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5.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44E35C" w14:textId="77777777" w:rsidR="0025163D" w:rsidRDefault="0025163D" w:rsidP="0025163D">
      <w:pPr>
        <w:autoSpaceDE w:val="0"/>
        <w:autoSpaceDN w:val="0"/>
        <w:adjustRightInd w:val="0"/>
        <w:spacing w:after="240" w:line="240" w:lineRule="auto"/>
        <w:jc w:val="center"/>
        <w:rPr>
          <w:rFonts w:ascii="Arial" w:hAnsi="Arial" w:cs="Arial"/>
          <w:b/>
          <w:sz w:val="40"/>
          <w:szCs w:val="40"/>
        </w:rPr>
      </w:pPr>
      <w:bookmarkStart w:id="0" w:name="_GoBack"/>
      <w:bookmarkEnd w:id="0"/>
    </w:p>
    <w:p w14:paraId="5CD3111E" w14:textId="77777777" w:rsidR="0025163D" w:rsidRPr="00691ECF" w:rsidRDefault="0025163D" w:rsidP="0025163D">
      <w:pPr>
        <w:keepLines/>
        <w:widowControl w:val="0"/>
        <w:autoSpaceDE w:val="0"/>
        <w:autoSpaceDN w:val="0"/>
        <w:adjustRightInd w:val="0"/>
        <w:spacing w:after="240" w:line="240" w:lineRule="auto"/>
        <w:jc w:val="center"/>
        <w:rPr>
          <w:rFonts w:ascii="Arial" w:hAnsi="Arial" w:cs="Arial"/>
          <w:b/>
          <w:sz w:val="40"/>
          <w:szCs w:val="40"/>
        </w:rPr>
      </w:pPr>
      <w:r w:rsidRPr="00691ECF">
        <w:rPr>
          <w:rFonts w:ascii="Arial" w:hAnsi="Arial" w:cs="Arial"/>
          <w:b/>
          <w:sz w:val="40"/>
          <w:szCs w:val="40"/>
        </w:rPr>
        <w:t xml:space="preserve">Trustees Annual Report and Financial statements for the year ended 31 August </w:t>
      </w:r>
      <w:r>
        <w:rPr>
          <w:rFonts w:ascii="Arial" w:hAnsi="Arial" w:cs="Arial"/>
          <w:b/>
          <w:sz w:val="40"/>
          <w:szCs w:val="40"/>
        </w:rPr>
        <w:t>2020</w:t>
      </w:r>
    </w:p>
    <w:p w14:paraId="28449DCB" w14:textId="77777777" w:rsidR="0025163D" w:rsidRPr="00336B16" w:rsidRDefault="0025163D" w:rsidP="0025163D">
      <w:pPr>
        <w:keepLines/>
        <w:widowControl w:val="0"/>
        <w:spacing w:after="240" w:line="240" w:lineRule="auto"/>
        <w:rPr>
          <w:rFonts w:ascii="Arial" w:hAnsi="Arial" w:cs="Arial"/>
          <w:color w:val="00006E"/>
          <w:sz w:val="40"/>
          <w:szCs w:val="40"/>
        </w:rPr>
      </w:pPr>
    </w:p>
    <w:p w14:paraId="6B662BD1" w14:textId="77777777" w:rsidR="0025163D" w:rsidRPr="00336B16" w:rsidRDefault="0025163D" w:rsidP="0025163D">
      <w:pPr>
        <w:keepLines/>
        <w:widowControl w:val="0"/>
        <w:spacing w:after="240" w:line="240" w:lineRule="auto"/>
        <w:rPr>
          <w:rFonts w:ascii="Arial" w:hAnsi="Arial" w:cs="Arial"/>
        </w:rPr>
      </w:pPr>
    </w:p>
    <w:p w14:paraId="49ABDE2C" w14:textId="77777777" w:rsidR="0025163D" w:rsidRPr="00336B16" w:rsidRDefault="0025163D" w:rsidP="0025163D">
      <w:pPr>
        <w:keepLines/>
        <w:widowControl w:val="0"/>
        <w:spacing w:after="240" w:line="240" w:lineRule="auto"/>
        <w:rPr>
          <w:rFonts w:ascii="Arial" w:hAnsi="Arial" w:cs="Arial"/>
        </w:rPr>
      </w:pPr>
    </w:p>
    <w:p w14:paraId="61771187" w14:textId="77777777" w:rsidR="0025163D" w:rsidRPr="00336B16" w:rsidRDefault="0025163D" w:rsidP="0025163D">
      <w:pPr>
        <w:keepLines/>
        <w:widowControl w:val="0"/>
        <w:spacing w:after="240" w:line="240" w:lineRule="auto"/>
        <w:rPr>
          <w:rFonts w:ascii="Arial" w:hAnsi="Arial" w:cs="Arial"/>
        </w:rPr>
      </w:pPr>
    </w:p>
    <w:p w14:paraId="2FE85630" w14:textId="77777777" w:rsidR="0025163D" w:rsidRPr="00336B16" w:rsidRDefault="0025163D" w:rsidP="0025163D">
      <w:pPr>
        <w:keepLines/>
        <w:widowControl w:val="0"/>
        <w:spacing w:after="240" w:line="240" w:lineRule="auto"/>
        <w:rPr>
          <w:rFonts w:ascii="Arial" w:hAnsi="Arial" w:cs="Arial"/>
        </w:rPr>
      </w:pPr>
    </w:p>
    <w:p w14:paraId="7F3F49B9" w14:textId="77777777" w:rsidR="0025163D" w:rsidRDefault="0025163D" w:rsidP="0025163D">
      <w:pPr>
        <w:keepLines/>
        <w:widowControl w:val="0"/>
        <w:spacing w:after="240" w:line="240" w:lineRule="auto"/>
        <w:jc w:val="center"/>
        <w:rPr>
          <w:rFonts w:ascii="Arial" w:hAnsi="Arial" w:cs="Arial"/>
          <w:b/>
          <w:sz w:val="72"/>
          <w:szCs w:val="72"/>
        </w:rPr>
      </w:pPr>
      <w:r w:rsidRPr="00691ECF">
        <w:rPr>
          <w:rFonts w:ascii="Arial" w:hAnsi="Arial" w:cs="Arial"/>
          <w:b/>
          <w:sz w:val="72"/>
          <w:szCs w:val="72"/>
        </w:rPr>
        <w:t>Shaw Trust</w:t>
      </w:r>
      <w:r w:rsidR="00437A75">
        <w:rPr>
          <w:rFonts w:ascii="Arial" w:hAnsi="Arial" w:cs="Arial"/>
          <w:b/>
          <w:sz w:val="72"/>
          <w:szCs w:val="72"/>
        </w:rPr>
        <w:t xml:space="preserve"> Limited</w:t>
      </w:r>
    </w:p>
    <w:p w14:paraId="39FC39B1" w14:textId="77777777" w:rsidR="0025163D" w:rsidRDefault="0025163D" w:rsidP="0025163D">
      <w:pPr>
        <w:keepLines/>
        <w:widowControl w:val="0"/>
        <w:spacing w:after="240" w:line="240" w:lineRule="auto"/>
        <w:jc w:val="center"/>
        <w:rPr>
          <w:rFonts w:ascii="Arial" w:hAnsi="Arial" w:cs="Arial"/>
          <w:b/>
          <w:sz w:val="72"/>
          <w:szCs w:val="72"/>
        </w:rPr>
      </w:pPr>
    </w:p>
    <w:p w14:paraId="1C3DFBF7" w14:textId="77777777" w:rsidR="0025163D" w:rsidRDefault="0025163D" w:rsidP="0025163D">
      <w:pPr>
        <w:keepLines/>
        <w:widowControl w:val="0"/>
        <w:spacing w:after="240" w:line="240" w:lineRule="auto"/>
        <w:jc w:val="center"/>
        <w:rPr>
          <w:rFonts w:ascii="Arial" w:hAnsi="Arial" w:cs="Arial"/>
          <w:b/>
          <w:sz w:val="72"/>
          <w:szCs w:val="72"/>
        </w:rPr>
      </w:pPr>
    </w:p>
    <w:p w14:paraId="10F80335" w14:textId="77777777" w:rsidR="0025163D" w:rsidRDefault="0025163D" w:rsidP="0025163D">
      <w:pPr>
        <w:keepLines/>
        <w:widowControl w:val="0"/>
        <w:spacing w:after="240" w:line="240" w:lineRule="auto"/>
        <w:jc w:val="center"/>
        <w:rPr>
          <w:rFonts w:ascii="Arial" w:hAnsi="Arial" w:cs="Arial"/>
          <w:b/>
          <w:sz w:val="72"/>
          <w:szCs w:val="72"/>
        </w:rPr>
      </w:pPr>
    </w:p>
    <w:p w14:paraId="159FBEE1" w14:textId="77777777" w:rsidR="0025163D" w:rsidRDefault="0025163D" w:rsidP="0025163D">
      <w:pPr>
        <w:keepLines/>
        <w:widowControl w:val="0"/>
        <w:spacing w:after="240" w:line="240" w:lineRule="auto"/>
        <w:jc w:val="center"/>
        <w:rPr>
          <w:rFonts w:ascii="Arial" w:hAnsi="Arial" w:cs="Arial"/>
          <w:b/>
          <w:sz w:val="72"/>
          <w:szCs w:val="72"/>
        </w:rPr>
      </w:pPr>
    </w:p>
    <w:p w14:paraId="2C6A812D" w14:textId="77777777" w:rsidR="0025163D" w:rsidRDefault="0025163D" w:rsidP="0025163D">
      <w:pPr>
        <w:keepLines/>
        <w:widowControl w:val="0"/>
        <w:spacing w:after="240" w:line="240" w:lineRule="auto"/>
        <w:jc w:val="center"/>
        <w:rPr>
          <w:rFonts w:ascii="Arial" w:hAnsi="Arial" w:cs="Arial"/>
          <w:b/>
          <w:sz w:val="72"/>
          <w:szCs w:val="72"/>
        </w:rPr>
      </w:pPr>
    </w:p>
    <w:p w14:paraId="0CEA611C" w14:textId="77777777" w:rsidR="0025163D" w:rsidRPr="00691ECF" w:rsidRDefault="0025163D" w:rsidP="0025163D">
      <w:pPr>
        <w:keepLines/>
        <w:widowControl w:val="0"/>
        <w:spacing w:after="240" w:line="240" w:lineRule="auto"/>
        <w:jc w:val="center"/>
        <w:rPr>
          <w:rFonts w:ascii="Arial" w:hAnsi="Arial" w:cs="Arial"/>
          <w:b/>
          <w:sz w:val="72"/>
          <w:szCs w:val="72"/>
        </w:rPr>
      </w:pPr>
    </w:p>
    <w:p w14:paraId="169C26C6" w14:textId="77777777" w:rsidR="0025163D" w:rsidRPr="00336B16" w:rsidRDefault="0025163D" w:rsidP="0025163D">
      <w:pPr>
        <w:keepLines/>
        <w:widowControl w:val="0"/>
        <w:spacing w:after="240" w:line="240" w:lineRule="auto"/>
        <w:rPr>
          <w:rFonts w:ascii="Arial" w:hAnsi="Arial" w:cs="Arial"/>
        </w:rPr>
      </w:pPr>
    </w:p>
    <w:p w14:paraId="7F8824DC" w14:textId="77777777" w:rsidR="0025163D" w:rsidRPr="00070D8D" w:rsidRDefault="0025163D" w:rsidP="0025163D">
      <w:pPr>
        <w:keepLines/>
        <w:widowControl w:val="0"/>
        <w:spacing w:after="240" w:line="240" w:lineRule="auto"/>
        <w:rPr>
          <w:rFonts w:ascii="Arial" w:hAnsi="Arial" w:cs="Arial"/>
        </w:rPr>
        <w:sectPr w:rsidR="0025163D" w:rsidRPr="00070D8D" w:rsidSect="0033647E">
          <w:headerReference w:type="default" r:id="rId11"/>
          <w:footerReference w:type="default" r:id="rId12"/>
          <w:footerReference w:type="first" r:id="rId13"/>
          <w:pgSz w:w="11906" w:h="16838" w:code="9"/>
          <w:pgMar w:top="1440" w:right="1440" w:bottom="1440" w:left="1440" w:header="709" w:footer="709" w:gutter="0"/>
          <w:cols w:space="708"/>
          <w:titlePg/>
          <w:docGrid w:linePitch="360"/>
        </w:sectPr>
      </w:pPr>
      <w:r>
        <w:rPr>
          <w:rFonts w:ascii="Arial" w:hAnsi="Arial" w:cs="Arial"/>
        </w:rPr>
        <w:br w:type="page"/>
      </w:r>
    </w:p>
    <w:p w14:paraId="24FB0F33" w14:textId="77777777" w:rsidR="004973F5" w:rsidRPr="004973F5" w:rsidRDefault="004973F5" w:rsidP="004973F5">
      <w:pPr>
        <w:keepLines/>
        <w:widowControl w:val="0"/>
        <w:autoSpaceDE w:val="0"/>
        <w:autoSpaceDN w:val="0"/>
        <w:adjustRightInd w:val="0"/>
        <w:spacing w:after="240" w:line="240" w:lineRule="auto"/>
        <w:rPr>
          <w:rFonts w:ascii="Arial" w:hAnsi="Arial" w:cs="Arial"/>
          <w:b/>
          <w:sz w:val="40"/>
          <w:szCs w:val="40"/>
        </w:rPr>
      </w:pPr>
      <w:r w:rsidRPr="004973F5">
        <w:rPr>
          <w:rFonts w:ascii="Arial" w:hAnsi="Arial" w:cs="Arial"/>
          <w:b/>
          <w:sz w:val="40"/>
          <w:szCs w:val="40"/>
        </w:rPr>
        <w:lastRenderedPageBreak/>
        <w:t>Trustees Report – Strategic report</w:t>
      </w:r>
    </w:p>
    <w:p w14:paraId="4E82D3FE" w14:textId="77777777" w:rsidR="004973F5" w:rsidRPr="004973F5" w:rsidRDefault="004973F5" w:rsidP="004973F5">
      <w:pPr>
        <w:keepLines/>
        <w:widowControl w:val="0"/>
        <w:numPr>
          <w:ilvl w:val="0"/>
          <w:numId w:val="3"/>
        </w:numPr>
        <w:spacing w:after="240" w:line="240" w:lineRule="auto"/>
        <w:ind w:left="567" w:hanging="567"/>
        <w:rPr>
          <w:rFonts w:ascii="Arial" w:hAnsi="Arial" w:cs="Arial"/>
          <w:b/>
          <w:sz w:val="32"/>
          <w:szCs w:val="32"/>
        </w:rPr>
      </w:pPr>
      <w:r w:rsidRPr="004973F5">
        <w:rPr>
          <w:rFonts w:ascii="Arial" w:hAnsi="Arial" w:cs="Arial"/>
          <w:b/>
          <w:sz w:val="32"/>
          <w:szCs w:val="32"/>
        </w:rPr>
        <w:t>Overview</w:t>
      </w:r>
    </w:p>
    <w:p w14:paraId="0C0BA785" w14:textId="77777777" w:rsidR="004973F5" w:rsidRPr="004973F5" w:rsidRDefault="004973F5" w:rsidP="004973F5">
      <w:pPr>
        <w:rPr>
          <w:rFonts w:ascii="Arial" w:hAnsi="Arial" w:cs="Arial"/>
          <w:b/>
          <w:sz w:val="32"/>
          <w:szCs w:val="32"/>
        </w:rPr>
      </w:pPr>
      <w:r w:rsidRPr="004973F5">
        <w:rPr>
          <w:rFonts w:ascii="Arial" w:hAnsi="Arial" w:cs="Arial"/>
          <w:b/>
          <w:sz w:val="32"/>
          <w:szCs w:val="32"/>
        </w:rPr>
        <w:t>Who we are and what we do</w:t>
      </w:r>
    </w:p>
    <w:p w14:paraId="3626508A" w14:textId="77777777" w:rsidR="004973F5" w:rsidRDefault="004973F5" w:rsidP="00D6338C">
      <w:pPr>
        <w:rPr>
          <w:rFonts w:ascii="Arial" w:hAnsi="Arial" w:cs="Arial"/>
          <w:b/>
          <w:sz w:val="24"/>
          <w:szCs w:val="24"/>
        </w:rPr>
      </w:pPr>
      <w:r w:rsidRPr="004973F5">
        <w:rPr>
          <w:rFonts w:ascii="Arial" w:hAnsi="Arial" w:cs="Arial"/>
          <w:b/>
          <w:sz w:val="24"/>
          <w:szCs w:val="24"/>
        </w:rPr>
        <w:t>We have supported 29</w:t>
      </w:r>
      <w:r w:rsidR="008F69E1">
        <w:rPr>
          <w:rFonts w:ascii="Arial" w:hAnsi="Arial" w:cs="Arial"/>
          <w:b/>
          <w:sz w:val="24"/>
          <w:szCs w:val="24"/>
        </w:rPr>
        <w:t>2</w:t>
      </w:r>
      <w:r w:rsidRPr="004973F5">
        <w:rPr>
          <w:rFonts w:ascii="Arial" w:hAnsi="Arial" w:cs="Arial"/>
          <w:b/>
          <w:sz w:val="24"/>
          <w:szCs w:val="24"/>
        </w:rPr>
        <w:t>,</w:t>
      </w:r>
      <w:r w:rsidR="008F69E1">
        <w:rPr>
          <w:rFonts w:ascii="Arial" w:hAnsi="Arial" w:cs="Arial"/>
          <w:b/>
          <w:sz w:val="24"/>
          <w:szCs w:val="24"/>
        </w:rPr>
        <w:t>735</w:t>
      </w:r>
      <w:r w:rsidRPr="004973F5">
        <w:rPr>
          <w:rFonts w:ascii="Arial" w:hAnsi="Arial" w:cs="Arial"/>
          <w:b/>
          <w:sz w:val="24"/>
          <w:szCs w:val="24"/>
        </w:rPr>
        <w:t xml:space="preserve"> people during the year</w:t>
      </w:r>
      <w:r w:rsidR="00226EAA">
        <w:rPr>
          <w:rFonts w:ascii="Arial" w:hAnsi="Arial" w:cs="Arial"/>
          <w:b/>
          <w:sz w:val="24"/>
          <w:szCs w:val="24"/>
        </w:rPr>
        <w:t xml:space="preserve"> </w:t>
      </w:r>
    </w:p>
    <w:p w14:paraId="76EC92F3" w14:textId="77777777" w:rsidR="00BE708D" w:rsidRDefault="00DE75C9" w:rsidP="00D6338C">
      <w:pPr>
        <w:rPr>
          <w:rFonts w:ascii="Arial" w:hAnsi="Arial" w:cs="Arial"/>
          <w:b/>
          <w:sz w:val="24"/>
          <w:szCs w:val="24"/>
        </w:rPr>
      </w:pPr>
      <w:r>
        <w:rPr>
          <w:rFonts w:ascii="Arial" w:hAnsi="Arial" w:cs="Arial"/>
          <w:b/>
          <w:noProof/>
          <w:sz w:val="24"/>
          <w:szCs w:val="24"/>
          <w:lang w:eastAsia="en-GB"/>
        </w:rPr>
        <w:drawing>
          <wp:inline distT="0" distB="0" distL="0" distR="0" wp14:anchorId="65DE3DAC" wp14:editId="19F0E520">
            <wp:extent cx="5934075" cy="3079692"/>
            <wp:effectExtent l="0" t="0" r="0" b="698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714" t="2697" r="11028" b="2389"/>
                    <a:stretch/>
                  </pic:blipFill>
                  <pic:spPr bwMode="auto">
                    <a:xfrm>
                      <a:off x="0" y="0"/>
                      <a:ext cx="5934075" cy="3079692"/>
                    </a:xfrm>
                    <a:prstGeom prst="rect">
                      <a:avLst/>
                    </a:prstGeom>
                    <a:noFill/>
                    <a:ln>
                      <a:noFill/>
                    </a:ln>
                    <a:extLst>
                      <a:ext uri="{53640926-AAD7-44D8-BBD7-CCE9431645EC}">
                        <a14:shadowObscured xmlns:a14="http://schemas.microsoft.com/office/drawing/2010/main"/>
                      </a:ext>
                    </a:extLst>
                  </pic:spPr>
                </pic:pic>
              </a:graphicData>
            </a:graphic>
          </wp:inline>
        </w:drawing>
      </w:r>
    </w:p>
    <w:p w14:paraId="6CCE65CB" w14:textId="77777777" w:rsidR="00DE75C9" w:rsidRPr="00D6338C" w:rsidRDefault="000B778B" w:rsidP="00D6338C">
      <w:pPr>
        <w:rPr>
          <w:rFonts w:ascii="Arial" w:hAnsi="Arial" w:cs="Arial"/>
          <w:b/>
          <w:sz w:val="24"/>
          <w:szCs w:val="24"/>
        </w:rPr>
        <w:sectPr w:rsidR="00DE75C9" w:rsidRPr="00D6338C" w:rsidSect="00BE727F">
          <w:footerReference w:type="default" r:id="rId15"/>
          <w:headerReference w:type="first" r:id="rId16"/>
          <w:footerReference w:type="first" r:id="rId17"/>
          <w:pgSz w:w="11906" w:h="16838" w:code="9"/>
          <w:pgMar w:top="1440" w:right="1440" w:bottom="1276" w:left="1440" w:header="709" w:footer="709" w:gutter="0"/>
          <w:cols w:space="708"/>
          <w:titlePg/>
          <w:docGrid w:linePitch="360"/>
        </w:sectPr>
      </w:pPr>
      <w:r>
        <w:rPr>
          <w:noProof/>
          <w:lang w:eastAsia="en-GB"/>
        </w:rPr>
        <w:drawing>
          <wp:inline distT="0" distB="0" distL="0" distR="0" wp14:anchorId="4992B6D8" wp14:editId="1C7D5B7B">
            <wp:extent cx="5913120" cy="3947160"/>
            <wp:effectExtent l="0" t="0" r="11430" b="1524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523FDC7" w14:textId="77777777" w:rsidR="00922FBC" w:rsidRPr="004973F5" w:rsidRDefault="00922FBC" w:rsidP="007D1126">
      <w:pPr>
        <w:jc w:val="both"/>
        <w:rPr>
          <w:rFonts w:ascii="Arial" w:hAnsi="Arial" w:cs="Arial"/>
          <w:sz w:val="24"/>
          <w:szCs w:val="24"/>
        </w:rPr>
      </w:pPr>
      <w:r w:rsidRPr="004973F5">
        <w:rPr>
          <w:rFonts w:ascii="Arial" w:hAnsi="Arial" w:cs="Arial"/>
          <w:sz w:val="24"/>
          <w:szCs w:val="24"/>
        </w:rPr>
        <w:lastRenderedPageBreak/>
        <w:t>At Shaw Trust we pride ourselves on our ‘charitable heart with a commercial brain’ approach to what we do</w:t>
      </w:r>
      <w:r>
        <w:rPr>
          <w:rFonts w:ascii="Arial" w:hAnsi="Arial" w:cs="Arial"/>
          <w:sz w:val="24"/>
          <w:szCs w:val="24"/>
        </w:rPr>
        <w:t>.  Our focus is to deliver</w:t>
      </w:r>
      <w:r w:rsidRPr="004973F5">
        <w:rPr>
          <w:rFonts w:ascii="Arial" w:hAnsi="Arial" w:cs="Arial"/>
          <w:sz w:val="24"/>
          <w:szCs w:val="24"/>
        </w:rPr>
        <w:t xml:space="preserve"> quality services that also maximise social value and social </w:t>
      </w:r>
      <w:r w:rsidRPr="00922FBC">
        <w:rPr>
          <w:rFonts w:ascii="Arial" w:hAnsi="Arial" w:cs="Arial"/>
          <w:sz w:val="24"/>
          <w:szCs w:val="24"/>
        </w:rPr>
        <w:t>investment</w:t>
      </w:r>
      <w:r w:rsidRPr="004973F5">
        <w:rPr>
          <w:rFonts w:ascii="Arial" w:hAnsi="Arial" w:cs="Arial"/>
          <w:sz w:val="24"/>
          <w:szCs w:val="24"/>
        </w:rPr>
        <w:t xml:space="preserve"> to communities.  This approach will allow us to meet:  </w:t>
      </w:r>
    </w:p>
    <w:p w14:paraId="10CB9DD4" w14:textId="77777777" w:rsidR="004973F5" w:rsidRPr="004973F5" w:rsidRDefault="004973F5" w:rsidP="004973F5">
      <w:pPr>
        <w:suppressAutoHyphens/>
        <w:autoSpaceDE w:val="0"/>
        <w:autoSpaceDN w:val="0"/>
        <w:adjustRightInd w:val="0"/>
        <w:spacing w:after="0" w:line="240" w:lineRule="auto"/>
        <w:jc w:val="both"/>
        <w:textAlignment w:val="center"/>
        <w:rPr>
          <w:rFonts w:ascii="Arial" w:hAnsi="Arial" w:cs="Arial"/>
          <w:sz w:val="24"/>
          <w:szCs w:val="24"/>
        </w:rPr>
      </w:pPr>
    </w:p>
    <w:p w14:paraId="6E727C05" w14:textId="77777777" w:rsidR="004973F5" w:rsidRPr="00EB4D0C" w:rsidRDefault="004973F5" w:rsidP="004973F5">
      <w:pPr>
        <w:suppressAutoHyphens/>
        <w:autoSpaceDE w:val="0"/>
        <w:autoSpaceDN w:val="0"/>
        <w:adjustRightInd w:val="0"/>
        <w:spacing w:after="0" w:line="240" w:lineRule="auto"/>
        <w:jc w:val="both"/>
        <w:textAlignment w:val="center"/>
        <w:rPr>
          <w:rFonts w:ascii="Arial" w:hAnsi="Arial" w:cs="Arial"/>
          <w:b/>
          <w:sz w:val="24"/>
          <w:szCs w:val="24"/>
        </w:rPr>
      </w:pPr>
      <w:r w:rsidRPr="00EB4D0C">
        <w:rPr>
          <w:rFonts w:ascii="Arial" w:hAnsi="Arial" w:cs="Arial"/>
          <w:b/>
          <w:sz w:val="24"/>
          <w:szCs w:val="24"/>
        </w:rPr>
        <w:t>What we believe</w:t>
      </w:r>
    </w:p>
    <w:p w14:paraId="390CB9E3" w14:textId="77777777" w:rsidR="004973F5" w:rsidRPr="004973F5" w:rsidRDefault="004973F5" w:rsidP="004973F5">
      <w:pPr>
        <w:suppressAutoHyphens/>
        <w:autoSpaceDE w:val="0"/>
        <w:autoSpaceDN w:val="0"/>
        <w:adjustRightInd w:val="0"/>
        <w:spacing w:after="0" w:line="240" w:lineRule="auto"/>
        <w:jc w:val="both"/>
        <w:textAlignment w:val="center"/>
        <w:rPr>
          <w:rFonts w:ascii="Arial" w:hAnsi="Arial" w:cs="Arial"/>
          <w:sz w:val="24"/>
          <w:szCs w:val="24"/>
        </w:rPr>
      </w:pPr>
    </w:p>
    <w:p w14:paraId="38440CDC" w14:textId="77777777" w:rsidR="004973F5" w:rsidRPr="00EB4D0C" w:rsidRDefault="004973F5" w:rsidP="004973F5">
      <w:pPr>
        <w:suppressAutoHyphens/>
        <w:autoSpaceDE w:val="0"/>
        <w:autoSpaceDN w:val="0"/>
        <w:adjustRightInd w:val="0"/>
        <w:spacing w:after="0" w:line="240" w:lineRule="auto"/>
        <w:jc w:val="both"/>
        <w:textAlignment w:val="center"/>
        <w:rPr>
          <w:rFonts w:ascii="Arial" w:hAnsi="Arial" w:cs="Arial"/>
          <w:b/>
          <w:sz w:val="24"/>
          <w:szCs w:val="24"/>
        </w:rPr>
      </w:pPr>
      <w:r w:rsidRPr="00EB4D0C">
        <w:rPr>
          <w:rFonts w:ascii="Arial" w:hAnsi="Arial" w:cs="Arial"/>
          <w:b/>
          <w:sz w:val="24"/>
          <w:szCs w:val="24"/>
        </w:rPr>
        <w:t>Our Vision</w:t>
      </w:r>
    </w:p>
    <w:p w14:paraId="25AE3422" w14:textId="77777777" w:rsidR="004973F5" w:rsidRPr="004973F5" w:rsidRDefault="00D10825" w:rsidP="004973F5">
      <w:pPr>
        <w:suppressAutoHyphens/>
        <w:autoSpaceDE w:val="0"/>
        <w:autoSpaceDN w:val="0"/>
        <w:adjustRightInd w:val="0"/>
        <w:spacing w:after="0" w:line="240" w:lineRule="auto"/>
        <w:jc w:val="both"/>
        <w:textAlignment w:val="center"/>
        <w:rPr>
          <w:rFonts w:ascii="Arial" w:hAnsi="Arial" w:cs="Arial"/>
          <w:sz w:val="24"/>
          <w:szCs w:val="24"/>
        </w:rPr>
      </w:pPr>
      <w:r>
        <w:rPr>
          <w:rFonts w:ascii="Arial" w:hAnsi="Arial" w:cs="Arial"/>
          <w:sz w:val="24"/>
          <w:szCs w:val="24"/>
        </w:rPr>
        <w:t xml:space="preserve">A future where </w:t>
      </w:r>
      <w:r w:rsidR="004973F5" w:rsidRPr="004973F5">
        <w:rPr>
          <w:rFonts w:ascii="Arial" w:hAnsi="Arial" w:cs="Arial"/>
          <w:sz w:val="24"/>
          <w:szCs w:val="24"/>
        </w:rPr>
        <w:t>good employment is accessible to all in society irrespective of life circumstances.</w:t>
      </w:r>
    </w:p>
    <w:p w14:paraId="2712B885" w14:textId="77777777" w:rsidR="004973F5" w:rsidRPr="004973F5" w:rsidRDefault="004973F5" w:rsidP="004973F5">
      <w:pPr>
        <w:suppressAutoHyphens/>
        <w:autoSpaceDE w:val="0"/>
        <w:autoSpaceDN w:val="0"/>
        <w:adjustRightInd w:val="0"/>
        <w:spacing w:after="0" w:line="240" w:lineRule="auto"/>
        <w:jc w:val="both"/>
        <w:textAlignment w:val="center"/>
        <w:rPr>
          <w:rFonts w:ascii="Arial" w:hAnsi="Arial" w:cs="Arial"/>
          <w:sz w:val="24"/>
          <w:szCs w:val="24"/>
        </w:rPr>
      </w:pPr>
    </w:p>
    <w:p w14:paraId="143D9AB0" w14:textId="77777777" w:rsidR="004973F5" w:rsidRPr="00EB4D0C" w:rsidRDefault="004973F5" w:rsidP="004973F5">
      <w:pPr>
        <w:suppressAutoHyphens/>
        <w:autoSpaceDE w:val="0"/>
        <w:autoSpaceDN w:val="0"/>
        <w:adjustRightInd w:val="0"/>
        <w:spacing w:after="0" w:line="240" w:lineRule="auto"/>
        <w:jc w:val="both"/>
        <w:textAlignment w:val="center"/>
        <w:rPr>
          <w:rFonts w:ascii="Arial" w:hAnsi="Arial" w:cs="Arial"/>
          <w:b/>
          <w:sz w:val="24"/>
          <w:szCs w:val="24"/>
        </w:rPr>
      </w:pPr>
      <w:r w:rsidRPr="00EB4D0C">
        <w:rPr>
          <w:rFonts w:ascii="Arial" w:hAnsi="Arial" w:cs="Arial"/>
          <w:b/>
          <w:sz w:val="24"/>
          <w:szCs w:val="24"/>
        </w:rPr>
        <w:t>Our Mission</w:t>
      </w:r>
    </w:p>
    <w:p w14:paraId="1A6419A6" w14:textId="77777777" w:rsidR="00922FBC" w:rsidRPr="004973F5" w:rsidRDefault="00922FBC" w:rsidP="00922FBC">
      <w:pPr>
        <w:suppressAutoHyphens/>
        <w:autoSpaceDE w:val="0"/>
        <w:autoSpaceDN w:val="0"/>
        <w:adjustRightInd w:val="0"/>
        <w:spacing w:after="0" w:line="240" w:lineRule="auto"/>
        <w:jc w:val="both"/>
        <w:textAlignment w:val="center"/>
        <w:rPr>
          <w:rFonts w:ascii="Arial" w:hAnsi="Arial" w:cs="Arial"/>
          <w:sz w:val="24"/>
          <w:szCs w:val="24"/>
        </w:rPr>
      </w:pPr>
      <w:r w:rsidRPr="004973F5">
        <w:rPr>
          <w:rFonts w:ascii="Arial" w:hAnsi="Arial" w:cs="Arial"/>
          <w:sz w:val="24"/>
          <w:szCs w:val="24"/>
        </w:rPr>
        <w:t>To co-create and deliver high quality employability programmes and complementary services for people with complex needs, challenging life circumstances or other barriers that impact on access to work.</w:t>
      </w:r>
      <w:r w:rsidRPr="004973F5" w:rsidDel="000C2973">
        <w:rPr>
          <w:rFonts w:ascii="Arial" w:hAnsi="Arial" w:cs="Arial"/>
          <w:sz w:val="24"/>
          <w:szCs w:val="24"/>
        </w:rPr>
        <w:t xml:space="preserve"> </w:t>
      </w:r>
    </w:p>
    <w:p w14:paraId="0D38A244" w14:textId="77777777" w:rsidR="004973F5" w:rsidRPr="004973F5" w:rsidRDefault="004973F5" w:rsidP="004973F5">
      <w:pPr>
        <w:suppressAutoHyphens/>
        <w:autoSpaceDE w:val="0"/>
        <w:autoSpaceDN w:val="0"/>
        <w:adjustRightInd w:val="0"/>
        <w:spacing w:after="0" w:line="240" w:lineRule="auto"/>
        <w:jc w:val="both"/>
        <w:textAlignment w:val="center"/>
        <w:rPr>
          <w:rFonts w:ascii="Arial" w:hAnsi="Arial" w:cs="Arial"/>
          <w:sz w:val="24"/>
          <w:szCs w:val="24"/>
        </w:rPr>
      </w:pPr>
    </w:p>
    <w:p w14:paraId="50B5BD94" w14:textId="77777777" w:rsidR="004973F5" w:rsidRPr="00EB4D0C" w:rsidRDefault="004973F5" w:rsidP="004973F5">
      <w:pPr>
        <w:suppressAutoHyphens/>
        <w:autoSpaceDE w:val="0"/>
        <w:autoSpaceDN w:val="0"/>
        <w:adjustRightInd w:val="0"/>
        <w:spacing w:after="0" w:line="240" w:lineRule="auto"/>
        <w:jc w:val="both"/>
        <w:textAlignment w:val="center"/>
        <w:rPr>
          <w:rFonts w:ascii="Arial" w:hAnsi="Arial" w:cs="Arial"/>
          <w:b/>
          <w:sz w:val="24"/>
          <w:szCs w:val="24"/>
        </w:rPr>
      </w:pPr>
      <w:r w:rsidRPr="00EB4D0C">
        <w:rPr>
          <w:rFonts w:ascii="Arial" w:hAnsi="Arial" w:cs="Arial"/>
          <w:b/>
          <w:sz w:val="24"/>
          <w:szCs w:val="24"/>
        </w:rPr>
        <w:t>Our Commitment</w:t>
      </w:r>
    </w:p>
    <w:p w14:paraId="6736BD6A" w14:textId="77777777" w:rsidR="00922FBC" w:rsidRPr="004973F5" w:rsidRDefault="00922FBC" w:rsidP="00922FBC">
      <w:pPr>
        <w:suppressAutoHyphens/>
        <w:autoSpaceDE w:val="0"/>
        <w:autoSpaceDN w:val="0"/>
        <w:adjustRightInd w:val="0"/>
        <w:spacing w:after="0" w:line="240" w:lineRule="auto"/>
        <w:jc w:val="both"/>
        <w:textAlignment w:val="center"/>
        <w:rPr>
          <w:rFonts w:ascii="Arial" w:hAnsi="Arial" w:cs="Arial"/>
          <w:sz w:val="24"/>
          <w:szCs w:val="24"/>
        </w:rPr>
      </w:pPr>
      <w:r w:rsidRPr="004973F5">
        <w:rPr>
          <w:rFonts w:ascii="Arial" w:hAnsi="Arial" w:cs="Arial"/>
          <w:sz w:val="24"/>
          <w:szCs w:val="24"/>
        </w:rPr>
        <w:t xml:space="preserve">To focus our experience, skills, advocacy and passion to deliver the highest quality services for the people we support and to improve opportunities and access to work now and for the long term. </w:t>
      </w:r>
    </w:p>
    <w:p w14:paraId="3A0D85DE" w14:textId="77777777" w:rsidR="004973F5" w:rsidRPr="004973F5" w:rsidRDefault="004973F5" w:rsidP="004973F5">
      <w:pPr>
        <w:suppressAutoHyphens/>
        <w:autoSpaceDE w:val="0"/>
        <w:autoSpaceDN w:val="0"/>
        <w:adjustRightInd w:val="0"/>
        <w:spacing w:after="0" w:line="240" w:lineRule="auto"/>
        <w:jc w:val="both"/>
        <w:textAlignment w:val="center"/>
        <w:rPr>
          <w:rFonts w:ascii="Arial" w:hAnsi="Arial" w:cs="Arial"/>
          <w:sz w:val="24"/>
          <w:szCs w:val="24"/>
        </w:rPr>
      </w:pPr>
    </w:p>
    <w:p w14:paraId="33D560E1" w14:textId="77777777" w:rsidR="004973F5" w:rsidRPr="00EB4D0C" w:rsidRDefault="004973F5" w:rsidP="004973F5">
      <w:pPr>
        <w:suppressAutoHyphens/>
        <w:autoSpaceDE w:val="0"/>
        <w:autoSpaceDN w:val="0"/>
        <w:adjustRightInd w:val="0"/>
        <w:spacing w:after="0" w:line="240" w:lineRule="auto"/>
        <w:jc w:val="both"/>
        <w:textAlignment w:val="center"/>
        <w:rPr>
          <w:rFonts w:ascii="Arial" w:hAnsi="Arial" w:cs="Arial"/>
          <w:b/>
          <w:sz w:val="24"/>
          <w:szCs w:val="24"/>
        </w:rPr>
      </w:pPr>
      <w:r w:rsidRPr="00EB4D0C">
        <w:rPr>
          <w:rFonts w:ascii="Arial" w:hAnsi="Arial" w:cs="Arial"/>
          <w:b/>
          <w:sz w:val="24"/>
          <w:szCs w:val="24"/>
        </w:rPr>
        <w:t>Our Values</w:t>
      </w:r>
    </w:p>
    <w:p w14:paraId="1BF2594E" w14:textId="77777777" w:rsidR="004973F5" w:rsidRPr="004973F5" w:rsidRDefault="004973F5" w:rsidP="004973F5">
      <w:pPr>
        <w:suppressAutoHyphens/>
        <w:autoSpaceDE w:val="0"/>
        <w:autoSpaceDN w:val="0"/>
        <w:adjustRightInd w:val="0"/>
        <w:spacing w:after="0" w:line="240" w:lineRule="auto"/>
        <w:jc w:val="both"/>
        <w:textAlignment w:val="center"/>
        <w:rPr>
          <w:rFonts w:ascii="Arial" w:hAnsi="Arial" w:cs="Arial"/>
          <w:sz w:val="24"/>
          <w:szCs w:val="24"/>
        </w:rPr>
      </w:pPr>
      <w:r w:rsidRPr="004973F5">
        <w:rPr>
          <w:rFonts w:ascii="Arial" w:hAnsi="Arial" w:cs="Arial"/>
          <w:sz w:val="24"/>
          <w:szCs w:val="24"/>
        </w:rPr>
        <w:t>We believe that who we are and the values we hold directly improves the quality of what we provide to those we support. Our values guide and focus us every day:</w:t>
      </w:r>
    </w:p>
    <w:p w14:paraId="3B58B657" w14:textId="77777777" w:rsidR="004973F5" w:rsidRPr="004973F5" w:rsidRDefault="004973F5" w:rsidP="004973F5">
      <w:pPr>
        <w:suppressAutoHyphens/>
        <w:autoSpaceDE w:val="0"/>
        <w:autoSpaceDN w:val="0"/>
        <w:adjustRightInd w:val="0"/>
        <w:spacing w:after="0" w:line="240" w:lineRule="auto"/>
        <w:jc w:val="both"/>
        <w:textAlignment w:val="center"/>
        <w:rPr>
          <w:rFonts w:ascii="Arial" w:hAnsi="Arial" w:cs="Arial"/>
          <w:sz w:val="24"/>
          <w:szCs w:val="24"/>
        </w:rPr>
      </w:pPr>
    </w:p>
    <w:p w14:paraId="5557F980" w14:textId="77777777" w:rsidR="004973F5" w:rsidRPr="004973F5" w:rsidRDefault="004973F5" w:rsidP="003D3ECD">
      <w:pPr>
        <w:suppressAutoHyphens/>
        <w:autoSpaceDE w:val="0"/>
        <w:autoSpaceDN w:val="0"/>
        <w:adjustRightInd w:val="0"/>
        <w:spacing w:after="0" w:line="240" w:lineRule="auto"/>
        <w:jc w:val="both"/>
        <w:textAlignment w:val="center"/>
        <w:rPr>
          <w:rFonts w:ascii="Arial" w:hAnsi="Arial" w:cs="Arial"/>
          <w:sz w:val="24"/>
          <w:szCs w:val="24"/>
        </w:rPr>
      </w:pPr>
      <w:r w:rsidRPr="004973F5">
        <w:rPr>
          <w:rFonts w:ascii="Arial" w:hAnsi="Arial" w:cs="Arial"/>
          <w:sz w:val="24"/>
          <w:szCs w:val="24"/>
        </w:rPr>
        <w:t>We care about people;</w:t>
      </w:r>
    </w:p>
    <w:p w14:paraId="2B0B91CC" w14:textId="77777777" w:rsidR="004973F5" w:rsidRPr="004973F5" w:rsidRDefault="004973F5" w:rsidP="003D3ECD">
      <w:pPr>
        <w:suppressAutoHyphens/>
        <w:autoSpaceDE w:val="0"/>
        <w:autoSpaceDN w:val="0"/>
        <w:adjustRightInd w:val="0"/>
        <w:spacing w:after="0" w:line="240" w:lineRule="auto"/>
        <w:jc w:val="both"/>
        <w:textAlignment w:val="center"/>
        <w:rPr>
          <w:rFonts w:ascii="Arial" w:hAnsi="Arial" w:cs="Arial"/>
          <w:sz w:val="24"/>
          <w:szCs w:val="24"/>
        </w:rPr>
      </w:pPr>
      <w:r w:rsidRPr="004973F5">
        <w:rPr>
          <w:rFonts w:ascii="Arial" w:hAnsi="Arial" w:cs="Arial"/>
          <w:sz w:val="24"/>
          <w:szCs w:val="24"/>
        </w:rPr>
        <w:t>We support our staff, our volunteers and the people we work with to realise their potential.</w:t>
      </w:r>
    </w:p>
    <w:p w14:paraId="75E500F8" w14:textId="77777777" w:rsidR="004973F5" w:rsidRPr="004973F5" w:rsidRDefault="004973F5" w:rsidP="004973F5">
      <w:pPr>
        <w:suppressAutoHyphens/>
        <w:autoSpaceDE w:val="0"/>
        <w:autoSpaceDN w:val="0"/>
        <w:adjustRightInd w:val="0"/>
        <w:spacing w:after="0" w:line="240" w:lineRule="auto"/>
        <w:ind w:left="720"/>
        <w:jc w:val="both"/>
        <w:textAlignment w:val="center"/>
        <w:rPr>
          <w:rFonts w:ascii="Arial" w:hAnsi="Arial" w:cs="Arial"/>
          <w:sz w:val="24"/>
          <w:szCs w:val="24"/>
        </w:rPr>
      </w:pPr>
    </w:p>
    <w:p w14:paraId="6D631D55" w14:textId="77777777" w:rsidR="004973F5" w:rsidRPr="004973F5" w:rsidRDefault="004973F5" w:rsidP="003D3ECD">
      <w:pPr>
        <w:suppressAutoHyphens/>
        <w:autoSpaceDE w:val="0"/>
        <w:autoSpaceDN w:val="0"/>
        <w:adjustRightInd w:val="0"/>
        <w:spacing w:after="0" w:line="240" w:lineRule="auto"/>
        <w:jc w:val="both"/>
        <w:textAlignment w:val="center"/>
        <w:rPr>
          <w:rFonts w:ascii="Arial" w:hAnsi="Arial" w:cs="Arial"/>
          <w:sz w:val="24"/>
          <w:szCs w:val="24"/>
        </w:rPr>
      </w:pPr>
      <w:r w:rsidRPr="004973F5">
        <w:rPr>
          <w:rFonts w:ascii="Arial" w:hAnsi="Arial" w:cs="Arial"/>
          <w:sz w:val="24"/>
          <w:szCs w:val="24"/>
        </w:rPr>
        <w:t>We make a difference;</w:t>
      </w:r>
    </w:p>
    <w:p w14:paraId="0E692DCF" w14:textId="77777777" w:rsidR="004973F5" w:rsidRPr="004973F5" w:rsidRDefault="004973F5" w:rsidP="003D3ECD">
      <w:pPr>
        <w:suppressAutoHyphens/>
        <w:autoSpaceDE w:val="0"/>
        <w:autoSpaceDN w:val="0"/>
        <w:adjustRightInd w:val="0"/>
        <w:spacing w:after="0" w:line="240" w:lineRule="auto"/>
        <w:jc w:val="both"/>
        <w:textAlignment w:val="center"/>
        <w:rPr>
          <w:rFonts w:ascii="Arial" w:hAnsi="Arial" w:cs="Arial"/>
          <w:sz w:val="24"/>
          <w:szCs w:val="24"/>
        </w:rPr>
      </w:pPr>
      <w:r w:rsidRPr="004973F5">
        <w:rPr>
          <w:rFonts w:ascii="Arial" w:hAnsi="Arial" w:cs="Arial"/>
          <w:sz w:val="24"/>
          <w:szCs w:val="24"/>
        </w:rPr>
        <w:t>Making a lasting positive impact for the people we support is the reason we exist. We deliver high performance across our services, helping people to improve their lives.</w:t>
      </w:r>
    </w:p>
    <w:p w14:paraId="740F0F46" w14:textId="77777777" w:rsidR="004973F5" w:rsidRPr="004973F5" w:rsidRDefault="004973F5" w:rsidP="004973F5">
      <w:pPr>
        <w:suppressAutoHyphens/>
        <w:autoSpaceDE w:val="0"/>
        <w:autoSpaceDN w:val="0"/>
        <w:adjustRightInd w:val="0"/>
        <w:spacing w:after="0" w:line="240" w:lineRule="auto"/>
        <w:ind w:left="720"/>
        <w:jc w:val="both"/>
        <w:textAlignment w:val="center"/>
        <w:rPr>
          <w:rFonts w:ascii="Arial" w:hAnsi="Arial" w:cs="Arial"/>
          <w:sz w:val="24"/>
          <w:szCs w:val="24"/>
        </w:rPr>
      </w:pPr>
    </w:p>
    <w:p w14:paraId="00C9EFAA" w14:textId="77777777" w:rsidR="00922FBC" w:rsidRDefault="00922FBC" w:rsidP="003D3ECD">
      <w:pPr>
        <w:suppressAutoHyphens/>
        <w:autoSpaceDE w:val="0"/>
        <w:autoSpaceDN w:val="0"/>
        <w:adjustRightInd w:val="0"/>
        <w:spacing w:after="0" w:line="240" w:lineRule="auto"/>
        <w:jc w:val="both"/>
        <w:textAlignment w:val="center"/>
        <w:rPr>
          <w:rFonts w:ascii="Arial" w:hAnsi="Arial" w:cs="Arial"/>
          <w:sz w:val="24"/>
          <w:szCs w:val="24"/>
        </w:rPr>
      </w:pPr>
    </w:p>
    <w:p w14:paraId="5DFBEA5A" w14:textId="77777777" w:rsidR="004973F5" w:rsidRPr="004973F5" w:rsidRDefault="004973F5" w:rsidP="003D3ECD">
      <w:pPr>
        <w:suppressAutoHyphens/>
        <w:autoSpaceDE w:val="0"/>
        <w:autoSpaceDN w:val="0"/>
        <w:adjustRightInd w:val="0"/>
        <w:spacing w:after="0" w:line="240" w:lineRule="auto"/>
        <w:jc w:val="both"/>
        <w:textAlignment w:val="center"/>
        <w:rPr>
          <w:rFonts w:ascii="Arial" w:hAnsi="Arial" w:cs="Arial"/>
          <w:sz w:val="24"/>
          <w:szCs w:val="24"/>
        </w:rPr>
      </w:pPr>
      <w:r w:rsidRPr="004973F5">
        <w:rPr>
          <w:rFonts w:ascii="Arial" w:hAnsi="Arial" w:cs="Arial"/>
          <w:sz w:val="24"/>
          <w:szCs w:val="24"/>
        </w:rPr>
        <w:t>We are inclusive;</w:t>
      </w:r>
    </w:p>
    <w:p w14:paraId="245A753C" w14:textId="77777777" w:rsidR="004973F5" w:rsidRPr="004973F5" w:rsidRDefault="004973F5" w:rsidP="003D3ECD">
      <w:pPr>
        <w:suppressAutoHyphens/>
        <w:autoSpaceDE w:val="0"/>
        <w:autoSpaceDN w:val="0"/>
        <w:adjustRightInd w:val="0"/>
        <w:spacing w:after="0" w:line="240" w:lineRule="auto"/>
        <w:jc w:val="both"/>
        <w:textAlignment w:val="center"/>
        <w:rPr>
          <w:rFonts w:ascii="Arial" w:hAnsi="Arial" w:cs="Arial"/>
          <w:sz w:val="24"/>
          <w:szCs w:val="24"/>
        </w:rPr>
      </w:pPr>
      <w:r w:rsidRPr="004973F5">
        <w:rPr>
          <w:rFonts w:ascii="Arial" w:hAnsi="Arial" w:cs="Arial"/>
          <w:sz w:val="24"/>
          <w:szCs w:val="24"/>
        </w:rPr>
        <w:t>We value the ideas, views and strengths of everyone we work with and support. Everybody is different and everybody is equal.</w:t>
      </w:r>
    </w:p>
    <w:p w14:paraId="3D504B60" w14:textId="77777777" w:rsidR="004973F5" w:rsidRPr="004973F5" w:rsidRDefault="004973F5" w:rsidP="004973F5">
      <w:pPr>
        <w:suppressAutoHyphens/>
        <w:autoSpaceDE w:val="0"/>
        <w:autoSpaceDN w:val="0"/>
        <w:adjustRightInd w:val="0"/>
        <w:spacing w:after="0" w:line="240" w:lineRule="auto"/>
        <w:ind w:left="720"/>
        <w:jc w:val="both"/>
        <w:textAlignment w:val="center"/>
        <w:rPr>
          <w:rFonts w:ascii="Arial" w:hAnsi="Arial" w:cs="Arial"/>
          <w:sz w:val="24"/>
          <w:szCs w:val="24"/>
        </w:rPr>
      </w:pPr>
    </w:p>
    <w:p w14:paraId="4C686DC7" w14:textId="77777777" w:rsidR="004973F5" w:rsidRPr="004973F5" w:rsidRDefault="004973F5" w:rsidP="003D3ECD">
      <w:pPr>
        <w:suppressAutoHyphens/>
        <w:autoSpaceDE w:val="0"/>
        <w:autoSpaceDN w:val="0"/>
        <w:adjustRightInd w:val="0"/>
        <w:spacing w:after="0" w:line="240" w:lineRule="auto"/>
        <w:jc w:val="both"/>
        <w:textAlignment w:val="center"/>
        <w:rPr>
          <w:rFonts w:ascii="Arial" w:hAnsi="Arial" w:cs="Arial"/>
          <w:sz w:val="24"/>
          <w:szCs w:val="24"/>
        </w:rPr>
      </w:pPr>
      <w:r w:rsidRPr="004973F5">
        <w:rPr>
          <w:rFonts w:ascii="Arial" w:hAnsi="Arial" w:cs="Arial"/>
          <w:sz w:val="24"/>
          <w:szCs w:val="24"/>
        </w:rPr>
        <w:t>We are collaborative;</w:t>
      </w:r>
    </w:p>
    <w:p w14:paraId="5D484535" w14:textId="77777777" w:rsidR="004973F5" w:rsidRPr="004973F5" w:rsidRDefault="004973F5" w:rsidP="003D3ECD">
      <w:pPr>
        <w:suppressAutoHyphens/>
        <w:autoSpaceDE w:val="0"/>
        <w:autoSpaceDN w:val="0"/>
        <w:adjustRightInd w:val="0"/>
        <w:spacing w:after="0" w:line="240" w:lineRule="auto"/>
        <w:jc w:val="both"/>
        <w:textAlignment w:val="center"/>
        <w:rPr>
          <w:rFonts w:ascii="Arial" w:hAnsi="Arial" w:cs="Arial"/>
          <w:sz w:val="24"/>
          <w:szCs w:val="24"/>
        </w:rPr>
      </w:pPr>
      <w:r w:rsidRPr="004973F5">
        <w:rPr>
          <w:rFonts w:ascii="Arial" w:hAnsi="Arial" w:cs="Arial"/>
          <w:sz w:val="24"/>
          <w:szCs w:val="24"/>
        </w:rPr>
        <w:t>Working together is more effective and efficient. We believe that by working together with those we support and our partners we create better services and solutions.</w:t>
      </w:r>
    </w:p>
    <w:p w14:paraId="3893DAE5" w14:textId="77777777" w:rsidR="004973F5" w:rsidRPr="004973F5" w:rsidRDefault="004973F5" w:rsidP="004973F5">
      <w:pPr>
        <w:suppressAutoHyphens/>
        <w:autoSpaceDE w:val="0"/>
        <w:autoSpaceDN w:val="0"/>
        <w:adjustRightInd w:val="0"/>
        <w:spacing w:after="0" w:line="240" w:lineRule="auto"/>
        <w:ind w:left="720"/>
        <w:jc w:val="both"/>
        <w:textAlignment w:val="center"/>
        <w:rPr>
          <w:rFonts w:ascii="Arial" w:hAnsi="Arial" w:cs="Arial"/>
          <w:sz w:val="24"/>
          <w:szCs w:val="24"/>
        </w:rPr>
      </w:pPr>
    </w:p>
    <w:p w14:paraId="1B415876" w14:textId="77777777" w:rsidR="004973F5" w:rsidRPr="004973F5" w:rsidRDefault="004973F5" w:rsidP="003D3ECD">
      <w:pPr>
        <w:suppressAutoHyphens/>
        <w:autoSpaceDE w:val="0"/>
        <w:autoSpaceDN w:val="0"/>
        <w:adjustRightInd w:val="0"/>
        <w:spacing w:after="0" w:line="240" w:lineRule="auto"/>
        <w:jc w:val="both"/>
        <w:textAlignment w:val="center"/>
        <w:rPr>
          <w:rFonts w:ascii="Arial" w:hAnsi="Arial" w:cs="Arial"/>
          <w:sz w:val="24"/>
          <w:szCs w:val="24"/>
        </w:rPr>
      </w:pPr>
      <w:r w:rsidRPr="004973F5">
        <w:rPr>
          <w:rFonts w:ascii="Arial" w:hAnsi="Arial" w:cs="Arial"/>
          <w:sz w:val="24"/>
          <w:szCs w:val="24"/>
        </w:rPr>
        <w:t>We are honest;</w:t>
      </w:r>
    </w:p>
    <w:p w14:paraId="34EB7578" w14:textId="77777777" w:rsidR="004973F5" w:rsidRPr="004973F5" w:rsidRDefault="004973F5" w:rsidP="003D3ECD">
      <w:pPr>
        <w:suppressAutoHyphens/>
        <w:autoSpaceDE w:val="0"/>
        <w:autoSpaceDN w:val="0"/>
        <w:adjustRightInd w:val="0"/>
        <w:spacing w:after="0" w:line="240" w:lineRule="auto"/>
        <w:jc w:val="both"/>
        <w:textAlignment w:val="center"/>
        <w:rPr>
          <w:rFonts w:ascii="Arial" w:hAnsi="Arial" w:cs="Arial"/>
          <w:sz w:val="24"/>
          <w:szCs w:val="24"/>
        </w:rPr>
      </w:pPr>
      <w:r w:rsidRPr="004973F5">
        <w:rPr>
          <w:rFonts w:ascii="Arial" w:hAnsi="Arial" w:cs="Arial"/>
          <w:sz w:val="24"/>
          <w:szCs w:val="24"/>
        </w:rPr>
        <w:t xml:space="preserve">We are authentic, accountable and transparent in all we do. </w:t>
      </w:r>
    </w:p>
    <w:p w14:paraId="480644D3" w14:textId="77777777" w:rsidR="004973F5" w:rsidRPr="004973F5" w:rsidRDefault="004973F5" w:rsidP="004973F5">
      <w:pPr>
        <w:suppressAutoHyphens/>
        <w:autoSpaceDE w:val="0"/>
        <w:autoSpaceDN w:val="0"/>
        <w:adjustRightInd w:val="0"/>
        <w:spacing w:after="0" w:line="240" w:lineRule="auto"/>
        <w:ind w:left="720"/>
        <w:jc w:val="both"/>
        <w:textAlignment w:val="center"/>
        <w:rPr>
          <w:rFonts w:ascii="Arial" w:hAnsi="Arial" w:cs="Arial"/>
          <w:sz w:val="24"/>
          <w:szCs w:val="24"/>
        </w:rPr>
      </w:pPr>
    </w:p>
    <w:p w14:paraId="338B3064" w14:textId="77777777" w:rsidR="00922FBC" w:rsidRDefault="00922FBC" w:rsidP="003D3ECD">
      <w:pPr>
        <w:suppressAutoHyphens/>
        <w:autoSpaceDE w:val="0"/>
        <w:autoSpaceDN w:val="0"/>
        <w:adjustRightInd w:val="0"/>
        <w:spacing w:after="0" w:line="240" w:lineRule="auto"/>
        <w:jc w:val="both"/>
        <w:textAlignment w:val="center"/>
        <w:rPr>
          <w:rFonts w:ascii="Arial" w:hAnsi="Arial" w:cs="Arial"/>
          <w:sz w:val="24"/>
          <w:szCs w:val="24"/>
        </w:rPr>
      </w:pPr>
    </w:p>
    <w:p w14:paraId="7DCC28B8" w14:textId="77777777" w:rsidR="004973F5" w:rsidRPr="004973F5" w:rsidRDefault="004973F5" w:rsidP="003D3ECD">
      <w:pPr>
        <w:suppressAutoHyphens/>
        <w:autoSpaceDE w:val="0"/>
        <w:autoSpaceDN w:val="0"/>
        <w:adjustRightInd w:val="0"/>
        <w:spacing w:after="0" w:line="240" w:lineRule="auto"/>
        <w:jc w:val="both"/>
        <w:textAlignment w:val="center"/>
        <w:rPr>
          <w:rFonts w:ascii="Arial" w:hAnsi="Arial" w:cs="Arial"/>
          <w:sz w:val="24"/>
          <w:szCs w:val="24"/>
        </w:rPr>
      </w:pPr>
      <w:r w:rsidRPr="004973F5">
        <w:rPr>
          <w:rFonts w:ascii="Arial" w:hAnsi="Arial" w:cs="Arial"/>
          <w:sz w:val="24"/>
          <w:szCs w:val="24"/>
        </w:rPr>
        <w:t xml:space="preserve">Shaw Trust believes in the right of every person in the United Kingdom to live a decent and dignified life through good employment.  </w:t>
      </w:r>
    </w:p>
    <w:p w14:paraId="1C43041F" w14:textId="77777777" w:rsidR="004973F5" w:rsidRPr="004973F5" w:rsidRDefault="004973F5" w:rsidP="004973F5">
      <w:pPr>
        <w:suppressAutoHyphens/>
        <w:autoSpaceDE w:val="0"/>
        <w:autoSpaceDN w:val="0"/>
        <w:adjustRightInd w:val="0"/>
        <w:spacing w:after="0" w:line="240" w:lineRule="auto"/>
        <w:ind w:left="720"/>
        <w:jc w:val="both"/>
        <w:textAlignment w:val="center"/>
        <w:rPr>
          <w:rFonts w:ascii="Arial" w:hAnsi="Arial" w:cs="Arial"/>
          <w:sz w:val="24"/>
          <w:szCs w:val="24"/>
        </w:rPr>
      </w:pPr>
    </w:p>
    <w:p w14:paraId="5201D4AE" w14:textId="77777777" w:rsidR="004973F5" w:rsidRPr="004973F5" w:rsidRDefault="004973F5" w:rsidP="003D3ECD">
      <w:pPr>
        <w:suppressAutoHyphens/>
        <w:autoSpaceDE w:val="0"/>
        <w:autoSpaceDN w:val="0"/>
        <w:adjustRightInd w:val="0"/>
        <w:spacing w:after="0" w:line="240" w:lineRule="auto"/>
        <w:jc w:val="both"/>
        <w:textAlignment w:val="center"/>
        <w:rPr>
          <w:rFonts w:ascii="Arial" w:hAnsi="Arial" w:cs="Arial"/>
          <w:sz w:val="24"/>
          <w:szCs w:val="24"/>
        </w:rPr>
      </w:pPr>
      <w:r w:rsidRPr="004973F5">
        <w:rPr>
          <w:rFonts w:ascii="Arial" w:hAnsi="Arial" w:cs="Arial"/>
          <w:sz w:val="24"/>
          <w:szCs w:val="24"/>
        </w:rPr>
        <w:t>We are a not-for-profit social enterprise that seeks to improve life chances for employment for people who face social and economic challenges, or who may also be disabled or have complex needs.</w:t>
      </w:r>
    </w:p>
    <w:p w14:paraId="2B48F2A0" w14:textId="77777777" w:rsidR="004973F5" w:rsidRPr="004973F5" w:rsidRDefault="004973F5" w:rsidP="004973F5">
      <w:pPr>
        <w:suppressAutoHyphens/>
        <w:autoSpaceDE w:val="0"/>
        <w:autoSpaceDN w:val="0"/>
        <w:adjustRightInd w:val="0"/>
        <w:spacing w:after="0" w:line="240" w:lineRule="auto"/>
        <w:ind w:left="720"/>
        <w:jc w:val="both"/>
        <w:textAlignment w:val="center"/>
        <w:rPr>
          <w:rFonts w:ascii="Arial" w:hAnsi="Arial" w:cs="Arial"/>
          <w:sz w:val="24"/>
          <w:szCs w:val="24"/>
        </w:rPr>
      </w:pPr>
    </w:p>
    <w:p w14:paraId="2890AEAE" w14:textId="77777777" w:rsidR="004973F5" w:rsidRPr="004973F5" w:rsidRDefault="004973F5" w:rsidP="003D3ECD">
      <w:pPr>
        <w:suppressAutoHyphens/>
        <w:autoSpaceDE w:val="0"/>
        <w:autoSpaceDN w:val="0"/>
        <w:adjustRightInd w:val="0"/>
        <w:spacing w:after="0" w:line="240" w:lineRule="auto"/>
        <w:jc w:val="both"/>
        <w:textAlignment w:val="center"/>
        <w:rPr>
          <w:rFonts w:ascii="Arial" w:hAnsi="Arial" w:cs="Arial"/>
          <w:sz w:val="24"/>
          <w:szCs w:val="24"/>
        </w:rPr>
      </w:pPr>
      <w:r w:rsidRPr="004973F5">
        <w:rPr>
          <w:rFonts w:ascii="Arial" w:hAnsi="Arial" w:cs="Arial"/>
          <w:sz w:val="24"/>
          <w:szCs w:val="24"/>
        </w:rPr>
        <w:t>We know that inequality and barriers to accessing good employment impact significantly on people’s income, sense of purpose, social connections and personal agency. These inequalities and barriers often begin early in life, impacting on individuals throughout their school y</w:t>
      </w:r>
      <w:r w:rsidR="00D10825">
        <w:rPr>
          <w:rFonts w:ascii="Arial" w:hAnsi="Arial" w:cs="Arial"/>
          <w:sz w:val="24"/>
          <w:szCs w:val="24"/>
        </w:rPr>
        <w:t xml:space="preserve">ears and into early adulthood. </w:t>
      </w:r>
    </w:p>
    <w:p w14:paraId="518A18C9" w14:textId="77777777" w:rsidR="004973F5" w:rsidRPr="004973F5" w:rsidRDefault="004973F5" w:rsidP="004973F5">
      <w:pPr>
        <w:suppressAutoHyphens/>
        <w:autoSpaceDE w:val="0"/>
        <w:autoSpaceDN w:val="0"/>
        <w:adjustRightInd w:val="0"/>
        <w:spacing w:after="0" w:line="240" w:lineRule="auto"/>
        <w:ind w:left="720"/>
        <w:jc w:val="both"/>
        <w:textAlignment w:val="center"/>
        <w:rPr>
          <w:rFonts w:ascii="Arial" w:hAnsi="Arial" w:cs="Arial"/>
          <w:sz w:val="24"/>
          <w:szCs w:val="24"/>
        </w:rPr>
      </w:pPr>
    </w:p>
    <w:p w14:paraId="39E5AD1D" w14:textId="77777777" w:rsidR="004973F5" w:rsidRDefault="004973F5" w:rsidP="003D3ECD">
      <w:pPr>
        <w:suppressAutoHyphens/>
        <w:autoSpaceDE w:val="0"/>
        <w:autoSpaceDN w:val="0"/>
        <w:adjustRightInd w:val="0"/>
        <w:spacing w:after="0" w:line="240" w:lineRule="auto"/>
        <w:jc w:val="both"/>
        <w:textAlignment w:val="center"/>
        <w:rPr>
          <w:rFonts w:ascii="Arial" w:hAnsi="Arial" w:cs="Arial"/>
          <w:sz w:val="24"/>
          <w:szCs w:val="24"/>
        </w:rPr>
      </w:pPr>
      <w:r w:rsidRPr="004973F5">
        <w:rPr>
          <w:rFonts w:ascii="Arial" w:hAnsi="Arial" w:cs="Arial"/>
          <w:sz w:val="24"/>
          <w:szCs w:val="24"/>
        </w:rPr>
        <w:t>We have grown from humble beginnings. Founded in 1982 as a small charity in the Wiltshire village of Shaw, our initial focus was to find employment for disabled people. Over time and through a combination of organic growth, mergers and acquisitions we have become the UK’s largest not-for-profit social enterprise in the employability sector.</w:t>
      </w:r>
    </w:p>
    <w:p w14:paraId="3B2F0010" w14:textId="77777777" w:rsidR="00922FBC" w:rsidRPr="004973F5" w:rsidRDefault="00922FBC" w:rsidP="003D3ECD">
      <w:pPr>
        <w:suppressAutoHyphens/>
        <w:autoSpaceDE w:val="0"/>
        <w:autoSpaceDN w:val="0"/>
        <w:adjustRightInd w:val="0"/>
        <w:spacing w:after="0" w:line="240" w:lineRule="auto"/>
        <w:jc w:val="both"/>
        <w:textAlignment w:val="center"/>
        <w:rPr>
          <w:rFonts w:ascii="Arial" w:hAnsi="Arial" w:cs="Arial"/>
          <w:sz w:val="24"/>
          <w:szCs w:val="24"/>
        </w:rPr>
      </w:pPr>
    </w:p>
    <w:p w14:paraId="15222714" w14:textId="77777777" w:rsidR="004973F5" w:rsidRPr="004973F5" w:rsidRDefault="004973F5" w:rsidP="003D3ECD">
      <w:pPr>
        <w:suppressAutoHyphens/>
        <w:autoSpaceDE w:val="0"/>
        <w:autoSpaceDN w:val="0"/>
        <w:adjustRightInd w:val="0"/>
        <w:spacing w:after="0" w:line="240" w:lineRule="auto"/>
        <w:jc w:val="both"/>
        <w:textAlignment w:val="center"/>
        <w:rPr>
          <w:rFonts w:ascii="Arial" w:hAnsi="Arial" w:cs="Arial"/>
          <w:sz w:val="24"/>
          <w:szCs w:val="24"/>
        </w:rPr>
      </w:pPr>
      <w:r w:rsidRPr="004973F5">
        <w:rPr>
          <w:rFonts w:ascii="Arial" w:hAnsi="Arial" w:cs="Arial"/>
          <w:sz w:val="24"/>
          <w:szCs w:val="24"/>
        </w:rPr>
        <w:t>Today we are a charity that remains committed to employment as the core pathway to a better life. However</w:t>
      </w:r>
      <w:r w:rsidR="00D10825">
        <w:rPr>
          <w:rFonts w:ascii="Arial" w:hAnsi="Arial" w:cs="Arial"/>
          <w:sz w:val="24"/>
          <w:szCs w:val="24"/>
        </w:rPr>
        <w:t>,</w:t>
      </w:r>
      <w:r w:rsidRPr="004973F5">
        <w:rPr>
          <w:rFonts w:ascii="Arial" w:hAnsi="Arial" w:cs="Arial"/>
          <w:sz w:val="24"/>
          <w:szCs w:val="24"/>
        </w:rPr>
        <w:t xml:space="preserve"> we </w:t>
      </w:r>
      <w:r w:rsidRPr="004973F5">
        <w:rPr>
          <w:rFonts w:ascii="Arial" w:hAnsi="Arial" w:cs="Arial"/>
          <w:sz w:val="24"/>
          <w:szCs w:val="24"/>
        </w:rPr>
        <w:lastRenderedPageBreak/>
        <w:t xml:space="preserve">recognise that access to good employment is critically dependent on what happens in people’s formative years and the opportunities they then have. </w:t>
      </w:r>
    </w:p>
    <w:p w14:paraId="5A41E5C2" w14:textId="77777777" w:rsidR="004973F5" w:rsidRPr="004973F5" w:rsidRDefault="004973F5" w:rsidP="004973F5">
      <w:pPr>
        <w:suppressAutoHyphens/>
        <w:autoSpaceDE w:val="0"/>
        <w:autoSpaceDN w:val="0"/>
        <w:adjustRightInd w:val="0"/>
        <w:spacing w:after="0" w:line="240" w:lineRule="auto"/>
        <w:ind w:left="720"/>
        <w:jc w:val="both"/>
        <w:textAlignment w:val="center"/>
        <w:rPr>
          <w:rFonts w:ascii="Arial" w:hAnsi="Arial" w:cs="Arial"/>
          <w:sz w:val="24"/>
          <w:szCs w:val="24"/>
        </w:rPr>
      </w:pPr>
    </w:p>
    <w:p w14:paraId="2D1825DC" w14:textId="77777777" w:rsidR="004973F5" w:rsidRPr="004973F5" w:rsidRDefault="004973F5" w:rsidP="003D3ECD">
      <w:pPr>
        <w:suppressAutoHyphens/>
        <w:autoSpaceDE w:val="0"/>
        <w:autoSpaceDN w:val="0"/>
        <w:adjustRightInd w:val="0"/>
        <w:spacing w:after="0" w:line="240" w:lineRule="auto"/>
        <w:jc w:val="both"/>
        <w:textAlignment w:val="center"/>
        <w:rPr>
          <w:rFonts w:ascii="Arial" w:hAnsi="Arial" w:cs="Arial"/>
          <w:sz w:val="24"/>
          <w:szCs w:val="24"/>
        </w:rPr>
      </w:pPr>
      <w:r w:rsidRPr="004973F5">
        <w:rPr>
          <w:rFonts w:ascii="Arial" w:hAnsi="Arial" w:cs="Arial"/>
          <w:sz w:val="24"/>
          <w:szCs w:val="24"/>
        </w:rPr>
        <w:t xml:space="preserve">To address this, we provide a broadened framework of complementary services including; Education and Skills, Children and Young People’s </w:t>
      </w:r>
      <w:r w:rsidR="00D10825">
        <w:rPr>
          <w:rFonts w:ascii="Arial" w:hAnsi="Arial" w:cs="Arial"/>
          <w:sz w:val="24"/>
          <w:szCs w:val="24"/>
        </w:rPr>
        <w:t>Services, Health and Wellbeing.</w:t>
      </w:r>
      <w:r w:rsidRPr="004973F5">
        <w:rPr>
          <w:rFonts w:ascii="Arial" w:hAnsi="Arial" w:cs="Arial"/>
          <w:sz w:val="24"/>
          <w:szCs w:val="24"/>
        </w:rPr>
        <w:t xml:space="preserve"> </w:t>
      </w:r>
    </w:p>
    <w:p w14:paraId="12712F5C" w14:textId="77777777" w:rsidR="004973F5" w:rsidRPr="004973F5" w:rsidRDefault="004973F5" w:rsidP="003D3ECD">
      <w:pPr>
        <w:suppressAutoHyphens/>
        <w:autoSpaceDE w:val="0"/>
        <w:autoSpaceDN w:val="0"/>
        <w:adjustRightInd w:val="0"/>
        <w:spacing w:after="0" w:line="240" w:lineRule="auto"/>
        <w:jc w:val="both"/>
        <w:textAlignment w:val="center"/>
        <w:rPr>
          <w:rFonts w:ascii="Arial" w:hAnsi="Arial" w:cs="Arial"/>
          <w:sz w:val="24"/>
          <w:szCs w:val="24"/>
        </w:rPr>
      </w:pPr>
      <w:r w:rsidRPr="004973F5">
        <w:rPr>
          <w:rFonts w:ascii="Arial" w:hAnsi="Arial" w:cs="Arial"/>
          <w:sz w:val="24"/>
          <w:szCs w:val="24"/>
        </w:rPr>
        <w:t>The</w:t>
      </w:r>
      <w:r w:rsidR="00FB1E43">
        <w:rPr>
          <w:rFonts w:ascii="Arial" w:hAnsi="Arial" w:cs="Arial"/>
          <w:sz w:val="24"/>
          <w:szCs w:val="24"/>
        </w:rPr>
        <w:t>se financial statements provide</w:t>
      </w:r>
      <w:r w:rsidRPr="004973F5">
        <w:rPr>
          <w:rFonts w:ascii="Arial" w:hAnsi="Arial" w:cs="Arial"/>
          <w:sz w:val="24"/>
          <w:szCs w:val="24"/>
        </w:rPr>
        <w:t xml:space="preserve"> a summary of our performance during the year and outlines our ongoing ambition and commitment to deliver high quality services to the people we support. </w:t>
      </w:r>
    </w:p>
    <w:p w14:paraId="1B328602" w14:textId="77777777" w:rsidR="004973F5" w:rsidRDefault="004973F5" w:rsidP="004973F5">
      <w:pPr>
        <w:suppressAutoHyphens/>
        <w:autoSpaceDE w:val="0"/>
        <w:autoSpaceDN w:val="0"/>
        <w:adjustRightInd w:val="0"/>
        <w:spacing w:after="0" w:line="240" w:lineRule="auto"/>
        <w:ind w:left="720"/>
        <w:jc w:val="both"/>
        <w:textAlignment w:val="center"/>
        <w:rPr>
          <w:rFonts w:ascii="Arial" w:hAnsi="Arial" w:cs="Arial"/>
          <w:sz w:val="24"/>
          <w:szCs w:val="24"/>
        </w:rPr>
      </w:pPr>
    </w:p>
    <w:p w14:paraId="7C4BCD4B" w14:textId="77777777" w:rsidR="003D3ECD" w:rsidRDefault="003D3ECD" w:rsidP="004973F5">
      <w:pPr>
        <w:suppressAutoHyphens/>
        <w:autoSpaceDE w:val="0"/>
        <w:autoSpaceDN w:val="0"/>
        <w:adjustRightInd w:val="0"/>
        <w:spacing w:after="0" w:line="240" w:lineRule="auto"/>
        <w:ind w:left="720"/>
        <w:jc w:val="both"/>
        <w:textAlignment w:val="center"/>
        <w:rPr>
          <w:rFonts w:ascii="Arial" w:hAnsi="Arial" w:cs="Arial"/>
          <w:sz w:val="24"/>
          <w:szCs w:val="24"/>
        </w:rPr>
      </w:pPr>
    </w:p>
    <w:p w14:paraId="030FBCE5" w14:textId="77777777" w:rsidR="003D3ECD" w:rsidRDefault="003D3ECD" w:rsidP="004973F5">
      <w:pPr>
        <w:suppressAutoHyphens/>
        <w:autoSpaceDE w:val="0"/>
        <w:autoSpaceDN w:val="0"/>
        <w:adjustRightInd w:val="0"/>
        <w:spacing w:after="0" w:line="240" w:lineRule="auto"/>
        <w:ind w:left="720"/>
        <w:jc w:val="both"/>
        <w:textAlignment w:val="center"/>
        <w:rPr>
          <w:rFonts w:ascii="Arial" w:hAnsi="Arial" w:cs="Arial"/>
          <w:sz w:val="24"/>
          <w:szCs w:val="24"/>
        </w:rPr>
      </w:pPr>
    </w:p>
    <w:p w14:paraId="0DCE6068" w14:textId="77777777" w:rsidR="003D3ECD" w:rsidRDefault="003D3ECD" w:rsidP="004973F5">
      <w:pPr>
        <w:suppressAutoHyphens/>
        <w:autoSpaceDE w:val="0"/>
        <w:autoSpaceDN w:val="0"/>
        <w:adjustRightInd w:val="0"/>
        <w:spacing w:after="0" w:line="240" w:lineRule="auto"/>
        <w:ind w:left="720"/>
        <w:jc w:val="both"/>
        <w:textAlignment w:val="center"/>
        <w:rPr>
          <w:rFonts w:ascii="Arial" w:hAnsi="Arial" w:cs="Arial"/>
          <w:sz w:val="24"/>
          <w:szCs w:val="24"/>
        </w:rPr>
      </w:pPr>
    </w:p>
    <w:p w14:paraId="415526A3" w14:textId="77777777" w:rsidR="003D3ECD" w:rsidRDefault="003D3ECD" w:rsidP="004973F5">
      <w:pPr>
        <w:suppressAutoHyphens/>
        <w:autoSpaceDE w:val="0"/>
        <w:autoSpaceDN w:val="0"/>
        <w:adjustRightInd w:val="0"/>
        <w:spacing w:after="0" w:line="240" w:lineRule="auto"/>
        <w:ind w:left="720"/>
        <w:jc w:val="both"/>
        <w:textAlignment w:val="center"/>
        <w:rPr>
          <w:rFonts w:ascii="Arial" w:hAnsi="Arial" w:cs="Arial"/>
          <w:sz w:val="24"/>
          <w:szCs w:val="24"/>
        </w:rPr>
      </w:pPr>
    </w:p>
    <w:p w14:paraId="7AB8162D" w14:textId="77777777" w:rsidR="003D3ECD" w:rsidRDefault="003D3ECD" w:rsidP="004973F5">
      <w:pPr>
        <w:suppressAutoHyphens/>
        <w:autoSpaceDE w:val="0"/>
        <w:autoSpaceDN w:val="0"/>
        <w:adjustRightInd w:val="0"/>
        <w:spacing w:after="0" w:line="240" w:lineRule="auto"/>
        <w:ind w:left="720"/>
        <w:jc w:val="both"/>
        <w:textAlignment w:val="center"/>
        <w:rPr>
          <w:rFonts w:ascii="Arial" w:hAnsi="Arial" w:cs="Arial"/>
          <w:sz w:val="24"/>
          <w:szCs w:val="24"/>
        </w:rPr>
      </w:pPr>
    </w:p>
    <w:p w14:paraId="0337A9D2" w14:textId="77777777" w:rsidR="003D3ECD" w:rsidRDefault="003D3ECD" w:rsidP="004973F5">
      <w:pPr>
        <w:suppressAutoHyphens/>
        <w:autoSpaceDE w:val="0"/>
        <w:autoSpaceDN w:val="0"/>
        <w:adjustRightInd w:val="0"/>
        <w:spacing w:after="0" w:line="240" w:lineRule="auto"/>
        <w:ind w:left="720"/>
        <w:jc w:val="both"/>
        <w:textAlignment w:val="center"/>
        <w:rPr>
          <w:rFonts w:ascii="Arial" w:hAnsi="Arial" w:cs="Arial"/>
          <w:sz w:val="24"/>
          <w:szCs w:val="24"/>
        </w:rPr>
      </w:pPr>
    </w:p>
    <w:p w14:paraId="097A9F4E" w14:textId="77777777" w:rsidR="003D3ECD" w:rsidRDefault="003D3ECD" w:rsidP="004973F5">
      <w:pPr>
        <w:suppressAutoHyphens/>
        <w:autoSpaceDE w:val="0"/>
        <w:autoSpaceDN w:val="0"/>
        <w:adjustRightInd w:val="0"/>
        <w:spacing w:after="0" w:line="240" w:lineRule="auto"/>
        <w:ind w:left="720"/>
        <w:jc w:val="both"/>
        <w:textAlignment w:val="center"/>
        <w:rPr>
          <w:rFonts w:ascii="Arial" w:hAnsi="Arial" w:cs="Arial"/>
          <w:sz w:val="24"/>
          <w:szCs w:val="24"/>
        </w:rPr>
        <w:sectPr w:rsidR="003D3ECD" w:rsidSect="00BE727F">
          <w:footerReference w:type="default" r:id="rId19"/>
          <w:headerReference w:type="first" r:id="rId20"/>
          <w:pgSz w:w="11906" w:h="16838" w:code="9"/>
          <w:pgMar w:top="1440" w:right="1440" w:bottom="1276" w:left="1440" w:header="709" w:footer="709" w:gutter="0"/>
          <w:pgNumType w:start="3"/>
          <w:cols w:num="2" w:space="408"/>
          <w:titlePg/>
          <w:docGrid w:linePitch="360"/>
        </w:sectPr>
      </w:pPr>
    </w:p>
    <w:p w14:paraId="403E27CA" w14:textId="77777777" w:rsidR="004973F5" w:rsidRPr="004973F5" w:rsidRDefault="004973F5" w:rsidP="004973F5">
      <w:pPr>
        <w:suppressAutoHyphens/>
        <w:autoSpaceDE w:val="0"/>
        <w:autoSpaceDN w:val="0"/>
        <w:adjustRightInd w:val="0"/>
        <w:spacing w:after="0" w:line="240" w:lineRule="auto"/>
        <w:ind w:left="720"/>
        <w:jc w:val="both"/>
        <w:textAlignment w:val="center"/>
        <w:rPr>
          <w:rFonts w:ascii="Arial" w:hAnsi="Arial" w:cs="Arial"/>
          <w:sz w:val="24"/>
          <w:szCs w:val="24"/>
        </w:rPr>
      </w:pPr>
    </w:p>
    <w:p w14:paraId="2B89408C" w14:textId="77777777" w:rsidR="00065D56" w:rsidRDefault="00065D56" w:rsidP="00065D56">
      <w:pPr>
        <w:jc w:val="center"/>
        <w:rPr>
          <w:rFonts w:ascii="Arial" w:hAnsi="Arial" w:cs="Arial"/>
          <w:b/>
          <w:sz w:val="32"/>
          <w:szCs w:val="32"/>
        </w:rPr>
      </w:pPr>
    </w:p>
    <w:p w14:paraId="4B7E130D" w14:textId="77777777" w:rsidR="003D3ECD" w:rsidRDefault="00EB4D0C" w:rsidP="00065D56">
      <w:pPr>
        <w:jc w:val="center"/>
        <w:rPr>
          <w:rFonts w:ascii="Arial" w:hAnsi="Arial" w:cs="Arial"/>
          <w:b/>
          <w:sz w:val="32"/>
          <w:szCs w:val="32"/>
        </w:rPr>
      </w:pPr>
      <w:r>
        <w:rPr>
          <w:rFonts w:ascii="Arial" w:hAnsi="Arial" w:cs="Arial"/>
          <w:b/>
          <w:sz w:val="32"/>
          <w:szCs w:val="32"/>
        </w:rPr>
        <w:t>Income &amp; Expenditure Highlights</w:t>
      </w:r>
    </w:p>
    <w:p w14:paraId="3EADAB8B" w14:textId="77777777" w:rsidR="000657DF" w:rsidRDefault="000657DF" w:rsidP="00065D56">
      <w:pPr>
        <w:jc w:val="center"/>
        <w:rPr>
          <w:rFonts w:ascii="Arial" w:hAnsi="Arial" w:cs="Arial"/>
          <w:b/>
          <w:sz w:val="32"/>
          <w:szCs w:val="32"/>
        </w:rPr>
      </w:pPr>
    </w:p>
    <w:p w14:paraId="279ADAD3" w14:textId="77777777" w:rsidR="00BE708D" w:rsidRDefault="000657DF" w:rsidP="004973F5">
      <w:pPr>
        <w:rPr>
          <w:rFonts w:ascii="Arial" w:hAnsi="Arial" w:cs="Arial"/>
          <w:sz w:val="24"/>
          <w:szCs w:val="24"/>
        </w:rPr>
      </w:pPr>
      <w:r>
        <w:rPr>
          <w:rFonts w:ascii="Arial" w:hAnsi="Arial" w:cs="Arial"/>
          <w:noProof/>
          <w:sz w:val="24"/>
          <w:szCs w:val="24"/>
          <w:lang w:eastAsia="en-GB"/>
        </w:rPr>
        <w:drawing>
          <wp:inline distT="0" distB="0" distL="0" distR="0" wp14:anchorId="102B3D73" wp14:editId="65E12E5B">
            <wp:extent cx="6286666" cy="393382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21">
                      <a:extLst>
                        <a:ext uri="{28A0092B-C50C-407E-A947-70E740481C1C}">
                          <a14:useLocalDpi xmlns:a14="http://schemas.microsoft.com/office/drawing/2010/main" val="0"/>
                        </a:ext>
                      </a:extLst>
                    </a:blip>
                    <a:srcRect l="12216" t="1244" r="26493" b="2435"/>
                    <a:stretch/>
                  </pic:blipFill>
                  <pic:spPr bwMode="auto">
                    <a:xfrm>
                      <a:off x="0" y="0"/>
                      <a:ext cx="6322477" cy="3956233"/>
                    </a:xfrm>
                    <a:prstGeom prst="rect">
                      <a:avLst/>
                    </a:prstGeom>
                    <a:noFill/>
                    <a:ln>
                      <a:noFill/>
                    </a:ln>
                    <a:extLst>
                      <a:ext uri="{53640926-AAD7-44D8-BBD7-CCE9431645EC}">
                        <a14:shadowObscured xmlns:a14="http://schemas.microsoft.com/office/drawing/2010/main"/>
                      </a:ext>
                    </a:extLst>
                  </pic:spPr>
                </pic:pic>
              </a:graphicData>
            </a:graphic>
          </wp:inline>
        </w:drawing>
      </w:r>
    </w:p>
    <w:p w14:paraId="7AC996A2" w14:textId="77777777" w:rsidR="00BE708D" w:rsidRDefault="00BE708D" w:rsidP="004973F5">
      <w:pPr>
        <w:rPr>
          <w:rFonts w:ascii="Arial" w:hAnsi="Arial" w:cs="Arial"/>
          <w:sz w:val="24"/>
          <w:szCs w:val="24"/>
        </w:rPr>
      </w:pPr>
    </w:p>
    <w:p w14:paraId="22A4B7B8" w14:textId="77777777" w:rsidR="00BE708D" w:rsidRDefault="00BE708D" w:rsidP="004973F5">
      <w:pPr>
        <w:rPr>
          <w:rFonts w:ascii="Arial" w:hAnsi="Arial" w:cs="Arial"/>
          <w:sz w:val="24"/>
          <w:szCs w:val="24"/>
        </w:rPr>
      </w:pPr>
    </w:p>
    <w:p w14:paraId="2428D2DB" w14:textId="77777777" w:rsidR="00BE708D" w:rsidRPr="00EB4D0C" w:rsidRDefault="00BE708D" w:rsidP="004973F5">
      <w:pPr>
        <w:rPr>
          <w:rFonts w:ascii="Arial" w:hAnsi="Arial" w:cs="Arial"/>
          <w:sz w:val="24"/>
          <w:szCs w:val="24"/>
        </w:rPr>
      </w:pPr>
    </w:p>
    <w:p w14:paraId="4D2DDA33" w14:textId="77777777" w:rsidR="000657DF" w:rsidRDefault="000657DF">
      <w:pPr>
        <w:rPr>
          <w:rFonts w:ascii="Arial" w:hAnsi="Arial" w:cs="Arial"/>
          <w:b/>
          <w:sz w:val="32"/>
          <w:szCs w:val="32"/>
        </w:rPr>
      </w:pPr>
      <w:r>
        <w:rPr>
          <w:rFonts w:ascii="Arial" w:hAnsi="Arial" w:cs="Arial"/>
          <w:b/>
          <w:sz w:val="32"/>
          <w:szCs w:val="32"/>
        </w:rPr>
        <w:br w:type="page"/>
      </w:r>
    </w:p>
    <w:p w14:paraId="7318AAAB" w14:textId="77777777" w:rsidR="00BE708D" w:rsidRDefault="00065D56" w:rsidP="00065D56">
      <w:pPr>
        <w:jc w:val="center"/>
        <w:rPr>
          <w:rFonts w:ascii="Arial" w:hAnsi="Arial" w:cs="Arial"/>
          <w:b/>
          <w:sz w:val="32"/>
          <w:szCs w:val="32"/>
        </w:rPr>
      </w:pPr>
      <w:r>
        <w:rPr>
          <w:rFonts w:ascii="Arial" w:hAnsi="Arial" w:cs="Arial"/>
          <w:b/>
          <w:sz w:val="32"/>
          <w:szCs w:val="32"/>
        </w:rPr>
        <w:lastRenderedPageBreak/>
        <w:t>Income &amp; Expenditure Highlights</w:t>
      </w:r>
    </w:p>
    <w:p w14:paraId="145861A7" w14:textId="77777777" w:rsidR="00BE708D" w:rsidRDefault="00BE708D" w:rsidP="004973F5">
      <w:pPr>
        <w:rPr>
          <w:rFonts w:ascii="Arial" w:hAnsi="Arial" w:cs="Arial"/>
          <w:b/>
          <w:sz w:val="32"/>
          <w:szCs w:val="32"/>
        </w:rPr>
      </w:pPr>
    </w:p>
    <w:p w14:paraId="1DA6FD24" w14:textId="77777777" w:rsidR="00BE708D" w:rsidRDefault="004A7305" w:rsidP="004973F5">
      <w:pPr>
        <w:rPr>
          <w:rFonts w:ascii="Arial" w:hAnsi="Arial" w:cs="Arial"/>
          <w:b/>
          <w:sz w:val="32"/>
          <w:szCs w:val="32"/>
        </w:rPr>
      </w:pPr>
      <w:r>
        <w:rPr>
          <w:rFonts w:ascii="Arial" w:hAnsi="Arial" w:cs="Arial"/>
          <w:b/>
          <w:noProof/>
          <w:sz w:val="32"/>
          <w:szCs w:val="32"/>
          <w:lang w:eastAsia="en-GB"/>
        </w:rPr>
        <w:drawing>
          <wp:inline distT="0" distB="0" distL="0" distR="0" wp14:anchorId="0ABC4123" wp14:editId="731B9AA7">
            <wp:extent cx="6235700" cy="231137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235700" cy="2311370"/>
                    </a:xfrm>
                    <a:prstGeom prst="rect">
                      <a:avLst/>
                    </a:prstGeom>
                    <a:noFill/>
                  </pic:spPr>
                </pic:pic>
              </a:graphicData>
            </a:graphic>
          </wp:inline>
        </w:drawing>
      </w:r>
    </w:p>
    <w:p w14:paraId="2A4A0DC5" w14:textId="77777777" w:rsidR="004A7305" w:rsidRDefault="004A7305" w:rsidP="00065D56">
      <w:pPr>
        <w:jc w:val="center"/>
        <w:rPr>
          <w:rFonts w:ascii="Arial" w:hAnsi="Arial" w:cs="Arial"/>
          <w:b/>
          <w:sz w:val="32"/>
          <w:szCs w:val="32"/>
        </w:rPr>
      </w:pPr>
    </w:p>
    <w:p w14:paraId="75FF012D" w14:textId="77777777" w:rsidR="00065D56" w:rsidRDefault="00065D56" w:rsidP="00065D56">
      <w:pPr>
        <w:jc w:val="center"/>
        <w:rPr>
          <w:rFonts w:ascii="Arial" w:hAnsi="Arial" w:cs="Arial"/>
          <w:b/>
          <w:sz w:val="32"/>
          <w:szCs w:val="32"/>
        </w:rPr>
      </w:pPr>
      <w:r>
        <w:rPr>
          <w:rFonts w:ascii="Arial" w:hAnsi="Arial" w:cs="Arial"/>
          <w:b/>
          <w:sz w:val="32"/>
          <w:szCs w:val="32"/>
        </w:rPr>
        <w:t xml:space="preserve">Total Income </w:t>
      </w:r>
      <w:r w:rsidR="00D85A11">
        <w:rPr>
          <w:rFonts w:ascii="Arial" w:hAnsi="Arial" w:cs="Arial"/>
          <w:b/>
          <w:sz w:val="32"/>
          <w:szCs w:val="32"/>
        </w:rPr>
        <w:t>less</w:t>
      </w:r>
      <w:r w:rsidR="00922FBC">
        <w:rPr>
          <w:rFonts w:ascii="Arial" w:hAnsi="Arial" w:cs="Arial"/>
          <w:b/>
          <w:sz w:val="32"/>
          <w:szCs w:val="32"/>
        </w:rPr>
        <w:t xml:space="preserve"> Expenditure</w:t>
      </w:r>
    </w:p>
    <w:p w14:paraId="52DD078B" w14:textId="77777777" w:rsidR="00BE708D" w:rsidRDefault="0027638D" w:rsidP="004973F5">
      <w:pPr>
        <w:rPr>
          <w:rFonts w:ascii="Arial" w:hAnsi="Arial" w:cs="Arial"/>
          <w:b/>
          <w:sz w:val="32"/>
          <w:szCs w:val="32"/>
        </w:rPr>
      </w:pPr>
      <w:r>
        <w:rPr>
          <w:noProof/>
          <w:lang w:eastAsia="en-GB"/>
        </w:rPr>
        <w:drawing>
          <wp:inline distT="0" distB="0" distL="0" distR="0" wp14:anchorId="0508E8B1" wp14:editId="41D370B1">
            <wp:extent cx="6123305" cy="4121727"/>
            <wp:effectExtent l="0" t="0" r="10795" b="12700"/>
            <wp:docPr id="13" name="Chart 13"/>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13" name="Chart 13"/>
                    <pic:cNvPicPr>
                      <a:picLocks noGrp="1" noRot="1" noChangeAspect="1" noMove="1" noResize="1" noEditPoints="1" noAdjustHandles="1" noChangeArrowheads="1" noChangeShapeType="1"/>
                    </pic:cNvPicPr>
                  </pic:nvPicPr>
                  <pic:blipFill>
                    <a:blip r:embed="rId23"/>
                    <a:stretch>
                      <a:fillRect/>
                    </a:stretch>
                  </pic:blipFill>
                  <pic:spPr>
                    <a:xfrm>
                      <a:off x="0" y="0"/>
                      <a:ext cx="6123305" cy="4121150"/>
                    </a:xfrm>
                    <a:prstGeom prst="rect">
                      <a:avLst/>
                    </a:prstGeom>
                  </pic:spPr>
                </pic:pic>
              </a:graphicData>
            </a:graphic>
          </wp:inline>
        </w:drawing>
      </w:r>
    </w:p>
    <w:p w14:paraId="0477446E" w14:textId="77777777" w:rsidR="004973F5" w:rsidRPr="004973F5" w:rsidRDefault="004973F5" w:rsidP="004973F5">
      <w:pPr>
        <w:rPr>
          <w:rFonts w:ascii="Arial" w:hAnsi="Arial" w:cs="Arial"/>
          <w:b/>
          <w:sz w:val="32"/>
          <w:szCs w:val="32"/>
        </w:rPr>
      </w:pPr>
      <w:r w:rsidRPr="004973F5">
        <w:rPr>
          <w:rFonts w:ascii="Arial" w:hAnsi="Arial" w:cs="Arial"/>
          <w:b/>
          <w:sz w:val="32"/>
          <w:szCs w:val="32"/>
        </w:rPr>
        <w:br w:type="page"/>
      </w:r>
    </w:p>
    <w:p w14:paraId="6E88D6C5" w14:textId="77777777" w:rsidR="00D5584F" w:rsidRPr="00872927" w:rsidRDefault="00D5584F" w:rsidP="00D5584F">
      <w:pPr>
        <w:keepLines/>
        <w:widowControl w:val="0"/>
        <w:spacing w:after="240" w:line="240" w:lineRule="auto"/>
        <w:rPr>
          <w:rFonts w:ascii="Arial" w:hAnsi="Arial" w:cs="Arial"/>
          <w:b/>
          <w:sz w:val="32"/>
          <w:szCs w:val="32"/>
        </w:rPr>
      </w:pPr>
      <w:r w:rsidRPr="00872927">
        <w:rPr>
          <w:rFonts w:ascii="Arial" w:hAnsi="Arial" w:cs="Arial"/>
          <w:b/>
          <w:sz w:val="32"/>
          <w:szCs w:val="32"/>
        </w:rPr>
        <w:lastRenderedPageBreak/>
        <w:t xml:space="preserve">2. </w:t>
      </w:r>
      <w:r w:rsidRPr="00872927">
        <w:rPr>
          <w:rFonts w:ascii="Arial" w:hAnsi="Arial" w:cs="Arial"/>
          <w:b/>
          <w:sz w:val="32"/>
          <w:szCs w:val="32"/>
        </w:rPr>
        <w:tab/>
        <w:t>Financial review</w:t>
      </w:r>
    </w:p>
    <w:p w14:paraId="12A44738" w14:textId="77777777" w:rsidR="00D5584F" w:rsidRPr="00872927" w:rsidRDefault="00D5584F" w:rsidP="00D5584F">
      <w:pPr>
        <w:keepLines/>
        <w:widowControl w:val="0"/>
        <w:autoSpaceDE w:val="0"/>
        <w:autoSpaceDN w:val="0"/>
        <w:adjustRightInd w:val="0"/>
        <w:spacing w:after="240" w:line="240" w:lineRule="auto"/>
        <w:rPr>
          <w:rFonts w:ascii="Arial" w:hAnsi="Arial" w:cs="Arial"/>
          <w:sz w:val="24"/>
          <w:szCs w:val="24"/>
        </w:rPr>
        <w:sectPr w:rsidR="00D5584F" w:rsidRPr="00872927" w:rsidSect="00DA5F3E">
          <w:type w:val="continuous"/>
          <w:pgSz w:w="11906" w:h="16838" w:code="9"/>
          <w:pgMar w:top="1440" w:right="1440" w:bottom="1276" w:left="1440" w:header="709" w:footer="709" w:gutter="0"/>
          <w:cols w:space="708"/>
          <w:titlePg/>
          <w:docGrid w:linePitch="360"/>
        </w:sectPr>
      </w:pPr>
    </w:p>
    <w:p w14:paraId="434CE85D" w14:textId="77777777" w:rsidR="00D5584F" w:rsidRPr="00FA3362" w:rsidRDefault="00D5584F" w:rsidP="00D5584F">
      <w:pPr>
        <w:keepLines/>
        <w:widowControl w:val="0"/>
        <w:autoSpaceDE w:val="0"/>
        <w:autoSpaceDN w:val="0"/>
        <w:adjustRightInd w:val="0"/>
        <w:spacing w:after="240" w:line="240" w:lineRule="auto"/>
        <w:jc w:val="both"/>
        <w:rPr>
          <w:rFonts w:ascii="Arial" w:hAnsi="Arial" w:cs="Arial"/>
          <w:sz w:val="24"/>
          <w:szCs w:val="24"/>
        </w:rPr>
      </w:pPr>
      <w:r w:rsidRPr="00FA3362">
        <w:rPr>
          <w:rFonts w:ascii="Arial" w:hAnsi="Arial" w:cs="Arial"/>
          <w:sz w:val="24"/>
          <w:szCs w:val="24"/>
        </w:rPr>
        <w:t xml:space="preserve">The Shaw Trust consolidated financial statements for 2019-20 are presented in the following pages.  </w:t>
      </w:r>
    </w:p>
    <w:p w14:paraId="787B1A63" w14:textId="77777777" w:rsidR="00D5584F" w:rsidRPr="00FA3362" w:rsidRDefault="00D5584F" w:rsidP="00D5584F">
      <w:pPr>
        <w:keepLines/>
        <w:widowControl w:val="0"/>
        <w:autoSpaceDE w:val="0"/>
        <w:autoSpaceDN w:val="0"/>
        <w:adjustRightInd w:val="0"/>
        <w:spacing w:after="240" w:line="240" w:lineRule="auto"/>
        <w:jc w:val="both"/>
        <w:rPr>
          <w:rFonts w:ascii="Arial" w:hAnsi="Arial" w:cs="Arial"/>
          <w:sz w:val="24"/>
          <w:szCs w:val="24"/>
        </w:rPr>
      </w:pPr>
      <w:r w:rsidRPr="00FA3362">
        <w:rPr>
          <w:rFonts w:ascii="Arial" w:hAnsi="Arial" w:cs="Arial"/>
          <w:sz w:val="24"/>
          <w:szCs w:val="24"/>
        </w:rPr>
        <w:t xml:space="preserve">The Trust has grown significantly in recent years, with the establishment of a multi academy Trust and acquisitions of the Ixion and Prospects Groups. Strategically this growth is important and has enabled the Trust to grow in new and existing markets. It has also facilitated opportunities to optimise the cost base across the group by maximising the opportunities to integrate property, systems, processes and people, particularly within the areas of central support services. </w:t>
      </w:r>
    </w:p>
    <w:p w14:paraId="25B049AB" w14:textId="77777777" w:rsidR="00D5584F" w:rsidRPr="00DD647D" w:rsidRDefault="00D5584F" w:rsidP="00D5584F">
      <w:pPr>
        <w:keepLines/>
        <w:widowControl w:val="0"/>
        <w:autoSpaceDE w:val="0"/>
        <w:autoSpaceDN w:val="0"/>
        <w:adjustRightInd w:val="0"/>
        <w:spacing w:after="240" w:line="240" w:lineRule="auto"/>
        <w:jc w:val="both"/>
        <w:rPr>
          <w:rFonts w:ascii="Arial" w:hAnsi="Arial" w:cs="Arial"/>
          <w:sz w:val="24"/>
          <w:szCs w:val="24"/>
        </w:rPr>
      </w:pPr>
      <w:r w:rsidRPr="00FA3362">
        <w:rPr>
          <w:rFonts w:ascii="Arial" w:hAnsi="Arial" w:cs="Arial"/>
          <w:sz w:val="24"/>
          <w:szCs w:val="24"/>
        </w:rPr>
        <w:t>More recently the organisation has seen a period of integration</w:t>
      </w:r>
      <w:r w:rsidRPr="00DD647D">
        <w:rPr>
          <w:rFonts w:ascii="Arial" w:hAnsi="Arial" w:cs="Arial"/>
          <w:sz w:val="24"/>
          <w:szCs w:val="24"/>
        </w:rPr>
        <w:t xml:space="preserve"> and consolidation in anticipation of future opportunities within a rapidly shifting public sector marketplace.</w:t>
      </w:r>
    </w:p>
    <w:p w14:paraId="7706E8C7" w14:textId="77777777" w:rsidR="00D5584F" w:rsidRPr="00DD647D" w:rsidRDefault="00D5584F" w:rsidP="00D5584F">
      <w:pPr>
        <w:keepLines/>
        <w:widowControl w:val="0"/>
        <w:autoSpaceDE w:val="0"/>
        <w:autoSpaceDN w:val="0"/>
        <w:adjustRightInd w:val="0"/>
        <w:spacing w:after="240" w:line="240" w:lineRule="auto"/>
        <w:jc w:val="both"/>
        <w:rPr>
          <w:rFonts w:ascii="Arial" w:hAnsi="Arial" w:cs="Arial"/>
          <w:sz w:val="24"/>
          <w:szCs w:val="24"/>
        </w:rPr>
      </w:pPr>
      <w:r>
        <w:rPr>
          <w:rFonts w:ascii="Arial" w:hAnsi="Arial" w:cs="Arial"/>
          <w:sz w:val="24"/>
          <w:szCs w:val="24"/>
        </w:rPr>
        <w:t>The</w:t>
      </w:r>
      <w:r w:rsidRPr="00DD647D">
        <w:rPr>
          <w:rFonts w:ascii="Arial" w:hAnsi="Arial" w:cs="Arial"/>
          <w:sz w:val="24"/>
          <w:szCs w:val="24"/>
        </w:rPr>
        <w:t xml:space="preserve"> new management team </w:t>
      </w:r>
      <w:r>
        <w:rPr>
          <w:rFonts w:ascii="Arial" w:hAnsi="Arial" w:cs="Arial"/>
          <w:sz w:val="24"/>
          <w:szCs w:val="24"/>
        </w:rPr>
        <w:t>formed in</w:t>
      </w:r>
      <w:r w:rsidRPr="00DD647D">
        <w:rPr>
          <w:rFonts w:ascii="Arial" w:hAnsi="Arial" w:cs="Arial"/>
          <w:sz w:val="24"/>
          <w:szCs w:val="24"/>
        </w:rPr>
        <w:t xml:space="preserve"> 2019 </w:t>
      </w:r>
      <w:r>
        <w:rPr>
          <w:rFonts w:ascii="Arial" w:hAnsi="Arial" w:cs="Arial"/>
          <w:sz w:val="24"/>
          <w:szCs w:val="24"/>
        </w:rPr>
        <w:t xml:space="preserve">has continued </w:t>
      </w:r>
      <w:r w:rsidRPr="00DD647D">
        <w:rPr>
          <w:rFonts w:ascii="Arial" w:hAnsi="Arial" w:cs="Arial"/>
          <w:sz w:val="24"/>
          <w:szCs w:val="24"/>
        </w:rPr>
        <w:t>the restructure programme for the business, including the approval and implementation of a three-year financial plan</w:t>
      </w:r>
      <w:r>
        <w:rPr>
          <w:rFonts w:ascii="Arial" w:hAnsi="Arial" w:cs="Arial"/>
          <w:sz w:val="24"/>
          <w:szCs w:val="24"/>
        </w:rPr>
        <w:t>, which</w:t>
      </w:r>
      <w:r w:rsidRPr="00DD647D">
        <w:rPr>
          <w:rFonts w:ascii="Arial" w:hAnsi="Arial" w:cs="Arial"/>
          <w:sz w:val="24"/>
          <w:szCs w:val="24"/>
        </w:rPr>
        <w:t xml:space="preserve"> has been approved by the Trustees and has the full support of funders and other stakeholders. </w:t>
      </w:r>
    </w:p>
    <w:p w14:paraId="5F1D1B51" w14:textId="77777777" w:rsidR="00D5584F" w:rsidRPr="00DD647D" w:rsidRDefault="00D5584F" w:rsidP="00D5584F">
      <w:pPr>
        <w:keepLines/>
        <w:widowControl w:val="0"/>
        <w:autoSpaceDE w:val="0"/>
        <w:autoSpaceDN w:val="0"/>
        <w:adjustRightInd w:val="0"/>
        <w:spacing w:after="240" w:line="240" w:lineRule="auto"/>
        <w:jc w:val="both"/>
        <w:rPr>
          <w:rFonts w:ascii="Arial" w:hAnsi="Arial" w:cs="Arial"/>
          <w:sz w:val="24"/>
          <w:szCs w:val="24"/>
        </w:rPr>
      </w:pPr>
      <w:r w:rsidRPr="00DD647D">
        <w:rPr>
          <w:rFonts w:ascii="Arial" w:hAnsi="Arial" w:cs="Arial"/>
          <w:sz w:val="24"/>
          <w:szCs w:val="24"/>
        </w:rPr>
        <w:t>The Trust has been in a year of transition and completed its first year of a 3-year turnaround plan</w:t>
      </w:r>
      <w:r>
        <w:rPr>
          <w:rFonts w:ascii="Arial" w:hAnsi="Arial" w:cs="Arial"/>
          <w:sz w:val="24"/>
          <w:szCs w:val="24"/>
        </w:rPr>
        <w:t>.</w:t>
      </w:r>
      <w:r w:rsidRPr="00DD647D">
        <w:rPr>
          <w:rFonts w:ascii="Arial" w:hAnsi="Arial" w:cs="Arial"/>
          <w:sz w:val="24"/>
          <w:szCs w:val="24"/>
        </w:rPr>
        <w:t xml:space="preserve"> A restructuring exercise during this period </w:t>
      </w:r>
      <w:r>
        <w:rPr>
          <w:rFonts w:ascii="Arial" w:hAnsi="Arial" w:cs="Arial"/>
          <w:sz w:val="24"/>
          <w:szCs w:val="24"/>
        </w:rPr>
        <w:t xml:space="preserve">has </w:t>
      </w:r>
      <w:r w:rsidRPr="00DD647D">
        <w:rPr>
          <w:rFonts w:ascii="Arial" w:hAnsi="Arial" w:cs="Arial"/>
          <w:sz w:val="24"/>
          <w:szCs w:val="24"/>
        </w:rPr>
        <w:t xml:space="preserve">significantly reduced the cost base. Detailed </w:t>
      </w:r>
      <w:r>
        <w:rPr>
          <w:rFonts w:ascii="Arial" w:hAnsi="Arial" w:cs="Arial"/>
          <w:sz w:val="24"/>
          <w:szCs w:val="24"/>
        </w:rPr>
        <w:t>operational reviews have driven</w:t>
      </w:r>
      <w:r w:rsidRPr="00DD647D">
        <w:rPr>
          <w:rFonts w:ascii="Arial" w:hAnsi="Arial" w:cs="Arial"/>
          <w:sz w:val="24"/>
          <w:szCs w:val="24"/>
        </w:rPr>
        <w:t xml:space="preserve"> better margin performance, and repositioned the Trust for its future development.</w:t>
      </w:r>
    </w:p>
    <w:p w14:paraId="7AADEA88" w14:textId="77777777" w:rsidR="00D5584F" w:rsidRDefault="00D5584F" w:rsidP="00D5584F">
      <w:pPr>
        <w:keepLines/>
        <w:widowControl w:val="0"/>
        <w:autoSpaceDE w:val="0"/>
        <w:autoSpaceDN w:val="0"/>
        <w:adjustRightInd w:val="0"/>
        <w:spacing w:after="240" w:line="240" w:lineRule="auto"/>
        <w:jc w:val="both"/>
        <w:rPr>
          <w:rFonts w:ascii="Arial" w:hAnsi="Arial" w:cs="Arial"/>
          <w:sz w:val="24"/>
          <w:szCs w:val="24"/>
        </w:rPr>
      </w:pPr>
      <w:r w:rsidRPr="00DD647D">
        <w:rPr>
          <w:rFonts w:ascii="Arial" w:hAnsi="Arial" w:cs="Arial"/>
          <w:sz w:val="24"/>
          <w:szCs w:val="24"/>
        </w:rPr>
        <w:t xml:space="preserve">The first half of the year saw a period of consolidation, focusing on the core activities and disposing of non-core assets and business, and </w:t>
      </w:r>
      <w:r>
        <w:rPr>
          <w:rFonts w:ascii="Arial" w:hAnsi="Arial" w:cs="Arial"/>
          <w:sz w:val="24"/>
          <w:szCs w:val="24"/>
        </w:rPr>
        <w:t xml:space="preserve">the </w:t>
      </w:r>
      <w:r w:rsidRPr="00DD647D">
        <w:rPr>
          <w:rFonts w:ascii="Arial" w:hAnsi="Arial" w:cs="Arial"/>
          <w:sz w:val="24"/>
          <w:szCs w:val="24"/>
        </w:rPr>
        <w:t xml:space="preserve">identification of efficiencies within the business </w:t>
      </w:r>
    </w:p>
    <w:p w14:paraId="7D0B6A20" w14:textId="77777777" w:rsidR="00D5584F" w:rsidRPr="00DD647D" w:rsidRDefault="00D5584F" w:rsidP="00D5584F">
      <w:pPr>
        <w:keepLines/>
        <w:widowControl w:val="0"/>
        <w:autoSpaceDE w:val="0"/>
        <w:autoSpaceDN w:val="0"/>
        <w:adjustRightInd w:val="0"/>
        <w:spacing w:after="240" w:line="240" w:lineRule="auto"/>
        <w:jc w:val="both"/>
        <w:rPr>
          <w:rFonts w:ascii="Arial" w:hAnsi="Arial" w:cs="Arial"/>
          <w:sz w:val="24"/>
          <w:szCs w:val="24"/>
        </w:rPr>
      </w:pPr>
      <w:r w:rsidRPr="00DD647D">
        <w:rPr>
          <w:rFonts w:ascii="Arial" w:hAnsi="Arial" w:cs="Arial"/>
          <w:sz w:val="24"/>
          <w:szCs w:val="24"/>
        </w:rPr>
        <w:t xml:space="preserve">The second half of the year was dominated by </w:t>
      </w:r>
      <w:r>
        <w:rPr>
          <w:rFonts w:ascii="Arial" w:hAnsi="Arial" w:cs="Arial"/>
          <w:sz w:val="24"/>
          <w:szCs w:val="24"/>
        </w:rPr>
        <w:t>the impact of the Covid-19 pandemic</w:t>
      </w:r>
      <w:r w:rsidRPr="00DD647D">
        <w:rPr>
          <w:rFonts w:ascii="Arial" w:hAnsi="Arial" w:cs="Arial"/>
          <w:sz w:val="24"/>
          <w:szCs w:val="24"/>
        </w:rPr>
        <w:t xml:space="preserve"> which has had a significant impact on the operations of the Trust and its activities. Extensive </w:t>
      </w:r>
      <w:r>
        <w:rPr>
          <w:rFonts w:ascii="Arial" w:hAnsi="Arial" w:cs="Arial"/>
          <w:sz w:val="24"/>
          <w:szCs w:val="24"/>
        </w:rPr>
        <w:t xml:space="preserve">risk assessment and </w:t>
      </w:r>
      <w:r w:rsidRPr="00DD647D">
        <w:rPr>
          <w:rFonts w:ascii="Arial" w:hAnsi="Arial" w:cs="Arial"/>
          <w:sz w:val="24"/>
          <w:szCs w:val="24"/>
        </w:rPr>
        <w:t>modelling has been undertaken to assess the impact on our business plan and contingency planning and actions undertaken.  This has included renegotiation of income streams on major contracts, furloughing certain employees where necessary, particularly in our retail and enterprise operations which had to shut down during the lockdown period, and we have also benefitted from temporary extra business rates relief.</w:t>
      </w:r>
    </w:p>
    <w:p w14:paraId="39F33E3E" w14:textId="77777777" w:rsidR="00D5584F" w:rsidRPr="00DD647D" w:rsidRDefault="00D5584F" w:rsidP="00D5584F">
      <w:pPr>
        <w:keepLines/>
        <w:widowControl w:val="0"/>
        <w:autoSpaceDE w:val="0"/>
        <w:autoSpaceDN w:val="0"/>
        <w:adjustRightInd w:val="0"/>
        <w:spacing w:after="240" w:line="240" w:lineRule="auto"/>
        <w:jc w:val="both"/>
        <w:rPr>
          <w:rFonts w:ascii="Arial" w:hAnsi="Arial" w:cs="Arial"/>
          <w:sz w:val="24"/>
          <w:szCs w:val="24"/>
        </w:rPr>
      </w:pPr>
      <w:r w:rsidRPr="00DD647D">
        <w:rPr>
          <w:rFonts w:ascii="Arial" w:hAnsi="Arial" w:cs="Arial"/>
          <w:sz w:val="24"/>
          <w:szCs w:val="24"/>
        </w:rPr>
        <w:t xml:space="preserve">In addition, </w:t>
      </w:r>
      <w:r>
        <w:rPr>
          <w:rFonts w:ascii="Arial" w:hAnsi="Arial" w:cs="Arial"/>
          <w:sz w:val="24"/>
          <w:szCs w:val="24"/>
        </w:rPr>
        <w:t xml:space="preserve">liquidity has been supported </w:t>
      </w:r>
      <w:r w:rsidRPr="00DD647D">
        <w:rPr>
          <w:rFonts w:ascii="Arial" w:hAnsi="Arial" w:cs="Arial"/>
          <w:sz w:val="24"/>
          <w:szCs w:val="24"/>
        </w:rPr>
        <w:t xml:space="preserve">through deferral of certain payments under the Government scheme as appropriate. Where possible we have sought to minimise our </w:t>
      </w:r>
      <w:r>
        <w:rPr>
          <w:rFonts w:ascii="Arial" w:hAnsi="Arial" w:cs="Arial"/>
          <w:sz w:val="24"/>
          <w:szCs w:val="24"/>
        </w:rPr>
        <w:t>operating costs, by reducing</w:t>
      </w:r>
      <w:r w:rsidRPr="00DD647D">
        <w:rPr>
          <w:rFonts w:ascii="Arial" w:hAnsi="Arial" w:cs="Arial"/>
          <w:sz w:val="24"/>
          <w:szCs w:val="24"/>
        </w:rPr>
        <w:t xml:space="preserve"> office costs and overhead expenditure. Although in many areas we have had to change our way of working, the underlying business remains robust and we have managed to deliver in line with our business plan during the year, and are confident that we will be able to manage the Trust through this crisis.   </w:t>
      </w:r>
    </w:p>
    <w:p w14:paraId="43A7AAAA" w14:textId="77777777" w:rsidR="00D5584F" w:rsidRPr="00DD647D" w:rsidRDefault="00D5584F" w:rsidP="00D5584F">
      <w:pPr>
        <w:autoSpaceDE w:val="0"/>
        <w:autoSpaceDN w:val="0"/>
        <w:adjustRightInd w:val="0"/>
        <w:spacing w:after="240" w:line="240" w:lineRule="auto"/>
        <w:jc w:val="both"/>
        <w:rPr>
          <w:rFonts w:ascii="Arial" w:hAnsi="Arial" w:cs="Arial"/>
          <w:sz w:val="24"/>
          <w:szCs w:val="24"/>
        </w:rPr>
      </w:pPr>
      <w:r w:rsidRPr="00DD647D">
        <w:rPr>
          <w:rFonts w:ascii="Arial" w:hAnsi="Arial" w:cs="Arial"/>
          <w:sz w:val="24"/>
          <w:szCs w:val="24"/>
        </w:rPr>
        <w:t>Some sectors of the business, in particular the Charity Shops</w:t>
      </w:r>
      <w:r>
        <w:rPr>
          <w:rFonts w:ascii="Arial" w:hAnsi="Arial" w:cs="Arial"/>
          <w:sz w:val="24"/>
          <w:szCs w:val="24"/>
        </w:rPr>
        <w:t>, Enterprise</w:t>
      </w:r>
      <w:r w:rsidRPr="00DD647D">
        <w:rPr>
          <w:rFonts w:ascii="Arial" w:hAnsi="Arial" w:cs="Arial"/>
          <w:sz w:val="24"/>
          <w:szCs w:val="24"/>
        </w:rPr>
        <w:t xml:space="preserve"> and Garden Centres have seen a higher impact than others with a number of employees having been furloughed in these areas.  </w:t>
      </w:r>
    </w:p>
    <w:p w14:paraId="124B02F1" w14:textId="77777777" w:rsidR="00D5584F" w:rsidRPr="00DD647D" w:rsidRDefault="00D5584F" w:rsidP="00D5584F">
      <w:pPr>
        <w:autoSpaceDE w:val="0"/>
        <w:autoSpaceDN w:val="0"/>
        <w:adjustRightInd w:val="0"/>
        <w:spacing w:after="240" w:line="240" w:lineRule="auto"/>
        <w:jc w:val="both"/>
        <w:rPr>
          <w:rFonts w:ascii="Arial" w:eastAsia="Times New Roman" w:hAnsi="Arial" w:cs="Arial"/>
          <w:bCs/>
          <w:sz w:val="24"/>
          <w:szCs w:val="24"/>
          <w:lang w:eastAsia="en-GB"/>
        </w:rPr>
      </w:pPr>
      <w:r w:rsidRPr="00DD647D">
        <w:rPr>
          <w:rFonts w:ascii="Arial" w:hAnsi="Arial" w:cs="Arial"/>
          <w:sz w:val="24"/>
          <w:szCs w:val="24"/>
        </w:rPr>
        <w:t xml:space="preserve">The Trust has performed extensive scenario </w:t>
      </w:r>
      <w:r>
        <w:rPr>
          <w:rFonts w:ascii="Arial" w:hAnsi="Arial" w:cs="Arial"/>
          <w:sz w:val="24"/>
          <w:szCs w:val="24"/>
        </w:rPr>
        <w:t xml:space="preserve">and contingency </w:t>
      </w:r>
      <w:r w:rsidRPr="00DD647D">
        <w:rPr>
          <w:rFonts w:ascii="Arial" w:hAnsi="Arial" w:cs="Arial"/>
          <w:sz w:val="24"/>
          <w:szCs w:val="24"/>
        </w:rPr>
        <w:t xml:space="preserve">planning and has continued support from its funders and stakeholders, having renegotiated funding arrangements as appropriate </w:t>
      </w:r>
      <w:r w:rsidRPr="00DD647D">
        <w:rPr>
          <w:rFonts w:ascii="Arial" w:eastAsia="Times New Roman" w:hAnsi="Arial" w:cs="Arial"/>
          <w:bCs/>
          <w:sz w:val="24"/>
          <w:szCs w:val="24"/>
          <w:lang w:eastAsia="en-GB"/>
        </w:rPr>
        <w:t>with major customers and varied working practices to adapt to the crisis.  This has included new funding arrangements with DWP, NCS, HMPPS and Kent County Council.</w:t>
      </w:r>
    </w:p>
    <w:p w14:paraId="62BCA074" w14:textId="77777777" w:rsidR="00D5584F" w:rsidRPr="00DD647D" w:rsidRDefault="00D5584F" w:rsidP="00D5584F">
      <w:pPr>
        <w:keepLines/>
        <w:widowControl w:val="0"/>
        <w:autoSpaceDE w:val="0"/>
        <w:autoSpaceDN w:val="0"/>
        <w:adjustRightInd w:val="0"/>
        <w:spacing w:after="240" w:line="240" w:lineRule="auto"/>
        <w:jc w:val="both"/>
        <w:rPr>
          <w:rFonts w:ascii="Arial" w:hAnsi="Arial" w:cs="Arial"/>
          <w:sz w:val="24"/>
          <w:szCs w:val="24"/>
        </w:rPr>
      </w:pPr>
      <w:r w:rsidRPr="00DD647D">
        <w:rPr>
          <w:rFonts w:ascii="Arial" w:hAnsi="Arial" w:cs="Arial"/>
          <w:b/>
          <w:i/>
          <w:sz w:val="24"/>
          <w:szCs w:val="24"/>
        </w:rPr>
        <w:lastRenderedPageBreak/>
        <w:t xml:space="preserve">2. </w:t>
      </w:r>
      <w:r w:rsidRPr="00DD647D">
        <w:rPr>
          <w:rFonts w:ascii="Arial" w:hAnsi="Arial" w:cs="Arial"/>
          <w:b/>
          <w:i/>
          <w:sz w:val="24"/>
          <w:szCs w:val="24"/>
        </w:rPr>
        <w:tab/>
        <w:t>Financial review (continued)</w:t>
      </w:r>
    </w:p>
    <w:p w14:paraId="79647839" w14:textId="77777777" w:rsidR="00D5584F" w:rsidRPr="00DD647D" w:rsidRDefault="00D5584F" w:rsidP="00D5584F">
      <w:pPr>
        <w:autoSpaceDE w:val="0"/>
        <w:autoSpaceDN w:val="0"/>
        <w:adjustRightInd w:val="0"/>
        <w:spacing w:after="240" w:line="240" w:lineRule="auto"/>
        <w:jc w:val="both"/>
        <w:rPr>
          <w:rFonts w:ascii="Arial" w:hAnsi="Arial" w:cs="Arial"/>
          <w:sz w:val="24"/>
          <w:szCs w:val="24"/>
        </w:rPr>
      </w:pPr>
      <w:r w:rsidRPr="00DD647D">
        <w:rPr>
          <w:rFonts w:ascii="Arial" w:eastAsia="Times New Roman" w:hAnsi="Arial" w:cs="Arial"/>
          <w:bCs/>
          <w:sz w:val="24"/>
          <w:szCs w:val="24"/>
          <w:lang w:eastAsia="en-GB"/>
        </w:rPr>
        <w:t>Financial performance during this period of Covid-19 lockdown has been favourable to the Covid-19 scenario</w:t>
      </w:r>
      <w:r>
        <w:rPr>
          <w:rFonts w:ascii="Arial" w:hAnsi="Arial" w:cs="Arial"/>
          <w:sz w:val="24"/>
          <w:szCs w:val="24"/>
        </w:rPr>
        <w:t xml:space="preserve"> planning and we have consistently modelled a two peak scenario. </w:t>
      </w:r>
      <w:r w:rsidRPr="00DD647D">
        <w:rPr>
          <w:rFonts w:ascii="Arial" w:hAnsi="Arial" w:cs="Arial"/>
          <w:sz w:val="24"/>
          <w:szCs w:val="24"/>
        </w:rPr>
        <w:t xml:space="preserve"> We remain vigilant, especially with the introduction of recent new </w:t>
      </w:r>
      <w:r>
        <w:rPr>
          <w:rFonts w:ascii="Arial" w:hAnsi="Arial" w:cs="Arial"/>
          <w:sz w:val="24"/>
          <w:szCs w:val="24"/>
        </w:rPr>
        <w:t>stricter</w:t>
      </w:r>
      <w:r w:rsidRPr="00DD647D">
        <w:rPr>
          <w:rFonts w:ascii="Arial" w:hAnsi="Arial" w:cs="Arial"/>
          <w:sz w:val="24"/>
          <w:szCs w:val="24"/>
        </w:rPr>
        <w:t xml:space="preserve"> measures, although the Trust is confident that it has sufficient financial and operational resources to operate through this period of disruption.</w:t>
      </w:r>
    </w:p>
    <w:p w14:paraId="1E652D1A" w14:textId="77777777" w:rsidR="00D5584F" w:rsidRDefault="00D5584F" w:rsidP="00D5584F">
      <w:pPr>
        <w:pStyle w:val="Default"/>
        <w:jc w:val="both"/>
      </w:pPr>
      <w:r w:rsidRPr="00DD647D">
        <w:t xml:space="preserve">Economic conditions in the main UK market remain challenging but the group is now delivering strong performance across the majority of its contracts. </w:t>
      </w:r>
      <w:r w:rsidR="007D1126">
        <w:t>The</w:t>
      </w:r>
      <w:r w:rsidRPr="00DD647D">
        <w:t xml:space="preserve"> Trust continues to operat</w:t>
      </w:r>
      <w:r>
        <w:t>e two of the Governments six</w:t>
      </w:r>
      <w:r w:rsidRPr="00DD647D">
        <w:t xml:space="preserve"> flagship employability contracts, Work and Health Programme, which commenced in January 2018 and a further contract in London, commissioned by the West London Alliance.</w:t>
      </w:r>
      <w:r w:rsidR="007D1126">
        <w:t xml:space="preserve">  From October 2020 the</w:t>
      </w:r>
      <w:r>
        <w:t xml:space="preserve"> Trust commenced the </w:t>
      </w:r>
      <w:r w:rsidRPr="001E6C0D">
        <w:t>(DWP) Work and Health Programme – Job Entry: Targeted Support</w:t>
      </w:r>
      <w:r>
        <w:t xml:space="preserve"> contract variation, covering</w:t>
      </w:r>
      <w:r w:rsidRPr="001E6C0D">
        <w:t xml:space="preserve"> Central England a</w:t>
      </w:r>
      <w:r>
        <w:t>nd the Home Counties.</w:t>
      </w:r>
    </w:p>
    <w:p w14:paraId="2A8004CE" w14:textId="77777777" w:rsidR="00D5584F" w:rsidRDefault="00D5584F" w:rsidP="00D5584F">
      <w:pPr>
        <w:pStyle w:val="Default"/>
        <w:jc w:val="both"/>
      </w:pPr>
    </w:p>
    <w:p w14:paraId="0C451BD2" w14:textId="77777777" w:rsidR="00D5584F" w:rsidRDefault="00D5584F" w:rsidP="00D5584F">
      <w:pPr>
        <w:pStyle w:val="Default"/>
        <w:jc w:val="both"/>
        <w:rPr>
          <w:rFonts w:eastAsia="Times New Roman"/>
          <w:bCs/>
          <w:lang w:eastAsia="en-GB"/>
        </w:rPr>
      </w:pPr>
      <w:r w:rsidRPr="00DD647D">
        <w:rPr>
          <w:rFonts w:eastAsia="Times New Roman"/>
          <w:bCs/>
          <w:lang w:eastAsia="en-GB"/>
        </w:rPr>
        <w:t>The Trust continued during the year with its divestment programme of non-core businesses and surplus assets as part of this re</w:t>
      </w:r>
      <w:r>
        <w:rPr>
          <w:rFonts w:eastAsia="Times New Roman"/>
          <w:bCs/>
          <w:lang w:eastAsia="en-GB"/>
        </w:rPr>
        <w:t>covery plan which realised proceeds of £7m.  T</w:t>
      </w:r>
      <w:r w:rsidRPr="00DD647D">
        <w:rPr>
          <w:rFonts w:eastAsia="Times New Roman"/>
          <w:bCs/>
          <w:lang w:eastAsia="en-GB"/>
        </w:rPr>
        <w:t xml:space="preserve">he </w:t>
      </w:r>
      <w:r>
        <w:rPr>
          <w:rFonts w:eastAsia="Times New Roman"/>
          <w:bCs/>
          <w:lang w:eastAsia="en-GB"/>
        </w:rPr>
        <w:t xml:space="preserve">freehold </w:t>
      </w:r>
      <w:r w:rsidRPr="00DD647D">
        <w:rPr>
          <w:rFonts w:eastAsia="Times New Roman"/>
          <w:bCs/>
          <w:lang w:eastAsia="en-GB"/>
        </w:rPr>
        <w:t xml:space="preserve">sale of a principal office building was </w:t>
      </w:r>
      <w:r>
        <w:rPr>
          <w:rFonts w:eastAsia="Times New Roman"/>
          <w:bCs/>
          <w:lang w:eastAsia="en-GB"/>
        </w:rPr>
        <w:t>completed in</w:t>
      </w:r>
      <w:r w:rsidRPr="00DD647D">
        <w:rPr>
          <w:rFonts w:eastAsia="Times New Roman"/>
          <w:bCs/>
          <w:lang w:eastAsia="en-GB"/>
        </w:rPr>
        <w:t xml:space="preserve"> July 2020, and the sale and leaseback of seven of the</w:t>
      </w:r>
      <w:r w:rsidR="007D1126">
        <w:rPr>
          <w:rFonts w:eastAsia="Times New Roman"/>
          <w:bCs/>
          <w:lang w:eastAsia="en-GB"/>
        </w:rPr>
        <w:t xml:space="preserve"> freehold properties in Homes 2</w:t>
      </w:r>
      <w:r w:rsidRPr="00DD647D">
        <w:rPr>
          <w:rFonts w:eastAsia="Times New Roman"/>
          <w:bCs/>
          <w:lang w:eastAsia="en-GB"/>
        </w:rPr>
        <w:t xml:space="preserve"> Inspire </w:t>
      </w:r>
      <w:r>
        <w:rPr>
          <w:rFonts w:eastAsia="Times New Roman"/>
          <w:bCs/>
          <w:lang w:eastAsia="en-GB"/>
        </w:rPr>
        <w:t>completed</w:t>
      </w:r>
      <w:r w:rsidRPr="00DD647D">
        <w:rPr>
          <w:rFonts w:eastAsia="Times New Roman"/>
          <w:bCs/>
          <w:lang w:eastAsia="en-GB"/>
        </w:rPr>
        <w:t xml:space="preserve"> mid-August 2020.</w:t>
      </w:r>
    </w:p>
    <w:p w14:paraId="5248F79E" w14:textId="77777777" w:rsidR="00D5584F" w:rsidRDefault="00D5584F" w:rsidP="00D5584F">
      <w:pPr>
        <w:pStyle w:val="Default"/>
        <w:jc w:val="both"/>
        <w:rPr>
          <w:rFonts w:eastAsia="Times New Roman"/>
          <w:bCs/>
          <w:lang w:eastAsia="en-GB"/>
        </w:rPr>
      </w:pPr>
    </w:p>
    <w:p w14:paraId="5450484E" w14:textId="77777777" w:rsidR="00D5584F" w:rsidRDefault="00D5584F" w:rsidP="00D5584F">
      <w:pPr>
        <w:pStyle w:val="Default"/>
        <w:jc w:val="both"/>
        <w:rPr>
          <w:rFonts w:eastAsia="Times New Roman"/>
          <w:bCs/>
          <w:lang w:eastAsia="en-GB"/>
        </w:rPr>
      </w:pPr>
      <w:r w:rsidRPr="00DD647D">
        <w:rPr>
          <w:rFonts w:eastAsia="Times New Roman"/>
          <w:bCs/>
          <w:lang w:eastAsia="en-GB"/>
        </w:rPr>
        <w:t>In addition</w:t>
      </w:r>
      <w:r>
        <w:rPr>
          <w:rFonts w:eastAsia="Times New Roman"/>
          <w:bCs/>
          <w:lang w:eastAsia="en-GB"/>
        </w:rPr>
        <w:t>,</w:t>
      </w:r>
      <w:r w:rsidRPr="00DD647D">
        <w:rPr>
          <w:rFonts w:eastAsia="Times New Roman"/>
          <w:bCs/>
          <w:lang w:eastAsia="en-GB"/>
        </w:rPr>
        <w:t xml:space="preserve"> the sale of our boutique education consultancy; </w:t>
      </w:r>
      <w:proofErr w:type="spellStart"/>
      <w:r w:rsidRPr="00DD647D">
        <w:rPr>
          <w:rFonts w:eastAsia="Times New Roman"/>
          <w:bCs/>
          <w:lang w:eastAsia="en-GB"/>
        </w:rPr>
        <w:t>Gabbitas</w:t>
      </w:r>
      <w:proofErr w:type="spellEnd"/>
      <w:r w:rsidRPr="00DD647D">
        <w:rPr>
          <w:rFonts w:eastAsia="Times New Roman"/>
          <w:bCs/>
          <w:lang w:eastAsia="en-GB"/>
        </w:rPr>
        <w:t>, which was considered a non-core operatio</w:t>
      </w:r>
      <w:r>
        <w:rPr>
          <w:rFonts w:eastAsia="Times New Roman"/>
          <w:bCs/>
          <w:lang w:eastAsia="en-GB"/>
        </w:rPr>
        <w:t>n, was completed on 31 May 2020 for consideration of £0.5m.</w:t>
      </w:r>
    </w:p>
    <w:p w14:paraId="26F2C55C" w14:textId="77777777" w:rsidR="00D5584F" w:rsidRDefault="00D5584F" w:rsidP="00D5584F">
      <w:pPr>
        <w:pStyle w:val="Default"/>
        <w:jc w:val="both"/>
        <w:rPr>
          <w:rFonts w:eastAsia="Times New Roman"/>
          <w:bCs/>
          <w:lang w:eastAsia="en-GB"/>
        </w:rPr>
      </w:pPr>
    </w:p>
    <w:p w14:paraId="4A8A18E9" w14:textId="77777777" w:rsidR="00D5584F" w:rsidRDefault="00D5584F" w:rsidP="00D5584F">
      <w:pPr>
        <w:pStyle w:val="Default"/>
        <w:jc w:val="both"/>
        <w:rPr>
          <w:rFonts w:eastAsia="Times New Roman"/>
          <w:bCs/>
          <w:lang w:eastAsia="en-GB"/>
        </w:rPr>
      </w:pPr>
      <w:r w:rsidRPr="00DD647D">
        <w:rPr>
          <w:rFonts w:eastAsia="Times New Roman"/>
          <w:bCs/>
          <w:lang w:eastAsia="en-GB"/>
        </w:rPr>
        <w:t xml:space="preserve">Performance since the year end has been favourable against the business plan and cash reserves have </w:t>
      </w:r>
      <w:r>
        <w:rPr>
          <w:rFonts w:eastAsia="Times New Roman"/>
          <w:bCs/>
          <w:lang w:eastAsia="en-GB"/>
        </w:rPr>
        <w:t xml:space="preserve">been </w:t>
      </w:r>
      <w:r>
        <w:rPr>
          <w:rFonts w:eastAsia="Times New Roman"/>
          <w:bCs/>
          <w:lang w:eastAsia="en-GB"/>
        </w:rPr>
        <w:t>maintained in line with the</w:t>
      </w:r>
      <w:r w:rsidRPr="00DD647D">
        <w:rPr>
          <w:rFonts w:eastAsia="Times New Roman"/>
          <w:bCs/>
          <w:lang w:eastAsia="en-GB"/>
        </w:rPr>
        <w:t xml:space="preserve"> new reserves policy.</w:t>
      </w:r>
    </w:p>
    <w:p w14:paraId="2EEA8F38" w14:textId="77777777" w:rsidR="00D5584F" w:rsidRDefault="00D5584F" w:rsidP="00D5584F">
      <w:pPr>
        <w:pStyle w:val="Default"/>
        <w:jc w:val="both"/>
        <w:rPr>
          <w:rFonts w:eastAsia="Times New Roman"/>
          <w:bCs/>
          <w:lang w:eastAsia="en-GB"/>
        </w:rPr>
      </w:pPr>
    </w:p>
    <w:p w14:paraId="77851262" w14:textId="77777777" w:rsidR="00D5584F" w:rsidRPr="00DD647D" w:rsidRDefault="00D5584F" w:rsidP="00D5584F">
      <w:pPr>
        <w:pStyle w:val="Default"/>
        <w:jc w:val="both"/>
      </w:pPr>
      <w:r w:rsidRPr="00DD647D">
        <w:t>The results of each main legal entity may be summarised as follows:</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907"/>
      </w:tblGrid>
      <w:tr w:rsidR="00D5584F" w:rsidRPr="00F35092" w14:paraId="2C6F060E" w14:textId="77777777" w:rsidTr="00DE75C9">
        <w:tc>
          <w:tcPr>
            <w:tcW w:w="3402" w:type="dxa"/>
          </w:tcPr>
          <w:p w14:paraId="471F3EE6" w14:textId="77777777" w:rsidR="00D5584F" w:rsidRPr="00F35092" w:rsidRDefault="00D5584F" w:rsidP="00DE75C9">
            <w:pPr>
              <w:keepLines/>
              <w:widowControl w:val="0"/>
              <w:autoSpaceDE w:val="0"/>
              <w:autoSpaceDN w:val="0"/>
              <w:adjustRightInd w:val="0"/>
              <w:spacing w:after="120"/>
              <w:jc w:val="both"/>
              <w:rPr>
                <w:rFonts w:ascii="Arial" w:hAnsi="Arial" w:cs="Arial"/>
                <w:sz w:val="24"/>
                <w:szCs w:val="24"/>
              </w:rPr>
            </w:pPr>
          </w:p>
        </w:tc>
        <w:tc>
          <w:tcPr>
            <w:tcW w:w="907" w:type="dxa"/>
          </w:tcPr>
          <w:p w14:paraId="14BCDCCB" w14:textId="77777777" w:rsidR="00D5584F" w:rsidRPr="00F35092" w:rsidRDefault="00D5584F" w:rsidP="00DE75C9">
            <w:pPr>
              <w:keepLines/>
              <w:widowControl w:val="0"/>
              <w:autoSpaceDE w:val="0"/>
              <w:autoSpaceDN w:val="0"/>
              <w:adjustRightInd w:val="0"/>
              <w:spacing w:after="120"/>
              <w:jc w:val="right"/>
              <w:rPr>
                <w:rFonts w:ascii="Arial" w:hAnsi="Arial" w:cs="Arial"/>
                <w:b/>
                <w:sz w:val="24"/>
                <w:szCs w:val="24"/>
              </w:rPr>
            </w:pPr>
            <w:r w:rsidRPr="00F35092">
              <w:rPr>
                <w:rFonts w:ascii="Arial" w:hAnsi="Arial" w:cs="Arial"/>
                <w:b/>
                <w:sz w:val="24"/>
                <w:szCs w:val="24"/>
              </w:rPr>
              <w:t>£m</w:t>
            </w:r>
          </w:p>
        </w:tc>
      </w:tr>
      <w:tr w:rsidR="00D5584F" w:rsidRPr="00F35092" w14:paraId="7D865DB8" w14:textId="77777777" w:rsidTr="00DE75C9">
        <w:tc>
          <w:tcPr>
            <w:tcW w:w="3402" w:type="dxa"/>
          </w:tcPr>
          <w:p w14:paraId="3A48044E" w14:textId="77777777" w:rsidR="00D5584F" w:rsidRPr="00F35092" w:rsidRDefault="00D5584F" w:rsidP="00DE75C9">
            <w:pPr>
              <w:keepLines/>
              <w:widowControl w:val="0"/>
              <w:autoSpaceDE w:val="0"/>
              <w:autoSpaceDN w:val="0"/>
              <w:adjustRightInd w:val="0"/>
              <w:spacing w:after="120"/>
              <w:jc w:val="both"/>
              <w:rPr>
                <w:rFonts w:ascii="Arial" w:hAnsi="Arial" w:cs="Arial"/>
                <w:sz w:val="24"/>
                <w:szCs w:val="24"/>
              </w:rPr>
            </w:pPr>
            <w:r w:rsidRPr="00F35092">
              <w:rPr>
                <w:rFonts w:ascii="Arial" w:hAnsi="Arial" w:cs="Arial"/>
                <w:sz w:val="24"/>
                <w:szCs w:val="24"/>
              </w:rPr>
              <w:t>Shaw Trust UK operations (</w:t>
            </w:r>
            <w:r w:rsidRPr="00F35092">
              <w:rPr>
                <w:rFonts w:ascii="Arial" w:hAnsi="Arial" w:cs="Arial"/>
                <w:i/>
                <w:sz w:val="24"/>
                <w:szCs w:val="24"/>
              </w:rPr>
              <w:t>excluding</w:t>
            </w:r>
            <w:r w:rsidR="00583C06">
              <w:rPr>
                <w:rFonts w:ascii="Arial" w:hAnsi="Arial" w:cs="Arial"/>
                <w:i/>
                <w:sz w:val="24"/>
                <w:szCs w:val="24"/>
              </w:rPr>
              <w:t xml:space="preserve"> </w:t>
            </w:r>
            <w:r w:rsidRPr="00F35092">
              <w:rPr>
                <w:rFonts w:ascii="Arial" w:hAnsi="Arial" w:cs="Arial"/>
                <w:i/>
                <w:sz w:val="24"/>
                <w:szCs w:val="24"/>
              </w:rPr>
              <w:t>business combinations and amortisation in period</w:t>
            </w:r>
            <w:r w:rsidRPr="00F35092">
              <w:rPr>
                <w:rFonts w:ascii="Arial" w:hAnsi="Arial" w:cs="Arial"/>
                <w:sz w:val="24"/>
                <w:szCs w:val="24"/>
              </w:rPr>
              <w:t>)</w:t>
            </w:r>
            <w:r w:rsidRPr="00F35092">
              <w:rPr>
                <w:rFonts w:ascii="Arial" w:hAnsi="Arial" w:cs="Arial"/>
                <w:sz w:val="24"/>
                <w:szCs w:val="24"/>
              </w:rPr>
              <w:tab/>
            </w:r>
          </w:p>
        </w:tc>
        <w:tc>
          <w:tcPr>
            <w:tcW w:w="907" w:type="dxa"/>
          </w:tcPr>
          <w:p w14:paraId="77D9E72B" w14:textId="77777777" w:rsidR="00D5584F" w:rsidRPr="00F35092" w:rsidRDefault="00D5584F" w:rsidP="00DE75C9">
            <w:pPr>
              <w:keepLines/>
              <w:widowControl w:val="0"/>
              <w:tabs>
                <w:tab w:val="decimal" w:pos="184"/>
              </w:tabs>
              <w:autoSpaceDE w:val="0"/>
              <w:autoSpaceDN w:val="0"/>
              <w:adjustRightInd w:val="0"/>
              <w:spacing w:after="120"/>
              <w:jc w:val="right"/>
              <w:rPr>
                <w:rFonts w:ascii="Arial" w:hAnsi="Arial" w:cs="Arial"/>
                <w:sz w:val="24"/>
                <w:szCs w:val="24"/>
              </w:rPr>
            </w:pPr>
            <w:r>
              <w:rPr>
                <w:rFonts w:ascii="Arial" w:hAnsi="Arial" w:cs="Arial"/>
                <w:sz w:val="24"/>
                <w:szCs w:val="24"/>
              </w:rPr>
              <w:t>(7.</w:t>
            </w:r>
            <w:r w:rsidR="003045D6">
              <w:rPr>
                <w:rFonts w:ascii="Arial" w:hAnsi="Arial" w:cs="Arial"/>
                <w:sz w:val="24"/>
                <w:szCs w:val="24"/>
              </w:rPr>
              <w:t>5</w:t>
            </w:r>
            <w:r w:rsidRPr="00F35092">
              <w:rPr>
                <w:rFonts w:ascii="Arial" w:hAnsi="Arial" w:cs="Arial"/>
                <w:sz w:val="24"/>
                <w:szCs w:val="24"/>
              </w:rPr>
              <w:t>)</w:t>
            </w:r>
          </w:p>
        </w:tc>
      </w:tr>
      <w:tr w:rsidR="00D5584F" w:rsidRPr="00F35092" w14:paraId="3E17EFEB" w14:textId="77777777" w:rsidTr="00DE75C9">
        <w:tc>
          <w:tcPr>
            <w:tcW w:w="3402" w:type="dxa"/>
          </w:tcPr>
          <w:p w14:paraId="26C65AD9" w14:textId="77777777" w:rsidR="00D5584F" w:rsidRPr="00F35092" w:rsidRDefault="00D5584F" w:rsidP="00DE75C9">
            <w:pPr>
              <w:keepLines/>
              <w:widowControl w:val="0"/>
              <w:autoSpaceDE w:val="0"/>
              <w:autoSpaceDN w:val="0"/>
              <w:adjustRightInd w:val="0"/>
              <w:spacing w:after="120"/>
              <w:jc w:val="both"/>
              <w:rPr>
                <w:rFonts w:ascii="Arial" w:hAnsi="Arial" w:cs="Arial"/>
                <w:sz w:val="24"/>
                <w:szCs w:val="24"/>
              </w:rPr>
            </w:pPr>
            <w:r w:rsidRPr="00F35092">
              <w:rPr>
                <w:rFonts w:ascii="Arial" w:hAnsi="Arial" w:cs="Arial"/>
                <w:sz w:val="24"/>
                <w:szCs w:val="24"/>
              </w:rPr>
              <w:t>Shaw Education Trust</w:t>
            </w:r>
            <w:r w:rsidRPr="00F35092">
              <w:rPr>
                <w:rFonts w:ascii="Arial" w:hAnsi="Arial" w:cs="Arial"/>
                <w:sz w:val="24"/>
                <w:szCs w:val="24"/>
              </w:rPr>
              <w:tab/>
            </w:r>
          </w:p>
        </w:tc>
        <w:tc>
          <w:tcPr>
            <w:tcW w:w="907" w:type="dxa"/>
          </w:tcPr>
          <w:p w14:paraId="22980C2D" w14:textId="77777777" w:rsidR="00D5584F" w:rsidRPr="00F35092" w:rsidRDefault="00D5584F" w:rsidP="00DE75C9">
            <w:pPr>
              <w:keepLines/>
              <w:widowControl w:val="0"/>
              <w:tabs>
                <w:tab w:val="decimal" w:pos="184"/>
              </w:tabs>
              <w:autoSpaceDE w:val="0"/>
              <w:autoSpaceDN w:val="0"/>
              <w:adjustRightInd w:val="0"/>
              <w:spacing w:after="120"/>
              <w:jc w:val="right"/>
              <w:rPr>
                <w:rFonts w:ascii="Arial" w:hAnsi="Arial" w:cs="Arial"/>
                <w:sz w:val="24"/>
                <w:szCs w:val="24"/>
              </w:rPr>
            </w:pPr>
            <w:r>
              <w:rPr>
                <w:rFonts w:ascii="Arial" w:hAnsi="Arial" w:cs="Arial"/>
                <w:sz w:val="24"/>
                <w:szCs w:val="24"/>
              </w:rPr>
              <w:t>21.5</w:t>
            </w:r>
          </w:p>
        </w:tc>
      </w:tr>
      <w:tr w:rsidR="00D5584F" w:rsidRPr="00F35092" w14:paraId="0AFCA4FC" w14:textId="77777777" w:rsidTr="00DE75C9">
        <w:tc>
          <w:tcPr>
            <w:tcW w:w="3402" w:type="dxa"/>
          </w:tcPr>
          <w:p w14:paraId="375BCE7B" w14:textId="77777777" w:rsidR="00D5584F" w:rsidRPr="00F35092" w:rsidRDefault="00D5584F" w:rsidP="00DE75C9">
            <w:pPr>
              <w:keepLines/>
              <w:widowControl w:val="0"/>
              <w:autoSpaceDE w:val="0"/>
              <w:autoSpaceDN w:val="0"/>
              <w:adjustRightInd w:val="0"/>
              <w:spacing w:after="120"/>
              <w:jc w:val="both"/>
              <w:rPr>
                <w:rFonts w:ascii="Arial" w:hAnsi="Arial" w:cs="Arial"/>
                <w:sz w:val="24"/>
                <w:szCs w:val="24"/>
              </w:rPr>
            </w:pPr>
            <w:r w:rsidRPr="00F35092">
              <w:rPr>
                <w:rFonts w:ascii="Arial" w:hAnsi="Arial" w:cs="Arial"/>
                <w:sz w:val="24"/>
                <w:szCs w:val="24"/>
              </w:rPr>
              <w:t>Other</w:t>
            </w:r>
          </w:p>
        </w:tc>
        <w:tc>
          <w:tcPr>
            <w:tcW w:w="907" w:type="dxa"/>
          </w:tcPr>
          <w:p w14:paraId="580D22CB" w14:textId="77777777" w:rsidR="00D5584F" w:rsidRPr="00F35092" w:rsidRDefault="00D5584F" w:rsidP="00DE75C9">
            <w:pPr>
              <w:keepLines/>
              <w:widowControl w:val="0"/>
              <w:tabs>
                <w:tab w:val="decimal" w:pos="184"/>
              </w:tabs>
              <w:autoSpaceDE w:val="0"/>
              <w:autoSpaceDN w:val="0"/>
              <w:adjustRightInd w:val="0"/>
              <w:spacing w:after="120"/>
              <w:jc w:val="right"/>
              <w:rPr>
                <w:rFonts w:ascii="Arial" w:hAnsi="Arial" w:cs="Arial"/>
                <w:sz w:val="24"/>
                <w:szCs w:val="24"/>
              </w:rPr>
            </w:pPr>
            <w:r>
              <w:rPr>
                <w:rFonts w:ascii="Arial" w:hAnsi="Arial" w:cs="Arial"/>
                <w:sz w:val="24"/>
                <w:szCs w:val="24"/>
              </w:rPr>
              <w:t>(1</w:t>
            </w:r>
            <w:r w:rsidRPr="00F35092">
              <w:rPr>
                <w:rFonts w:ascii="Arial" w:hAnsi="Arial" w:cs="Arial"/>
                <w:sz w:val="24"/>
                <w:szCs w:val="24"/>
              </w:rPr>
              <w:t>.</w:t>
            </w:r>
            <w:r w:rsidR="003045D6">
              <w:rPr>
                <w:rFonts w:ascii="Arial" w:hAnsi="Arial" w:cs="Arial"/>
                <w:sz w:val="24"/>
                <w:szCs w:val="24"/>
              </w:rPr>
              <w:t>2</w:t>
            </w:r>
            <w:r w:rsidRPr="00F35092">
              <w:rPr>
                <w:rFonts w:ascii="Arial" w:hAnsi="Arial" w:cs="Arial"/>
                <w:sz w:val="24"/>
                <w:szCs w:val="24"/>
              </w:rPr>
              <w:t>)</w:t>
            </w:r>
          </w:p>
        </w:tc>
      </w:tr>
      <w:tr w:rsidR="00D5584F" w:rsidRPr="00F35092" w14:paraId="67E21820" w14:textId="77777777" w:rsidTr="00DE75C9">
        <w:tc>
          <w:tcPr>
            <w:tcW w:w="3402" w:type="dxa"/>
          </w:tcPr>
          <w:p w14:paraId="195205DB" w14:textId="77777777" w:rsidR="00D5584F" w:rsidRPr="00F35092" w:rsidRDefault="00D5584F" w:rsidP="00DE75C9">
            <w:pPr>
              <w:keepLines/>
              <w:widowControl w:val="0"/>
              <w:autoSpaceDE w:val="0"/>
              <w:autoSpaceDN w:val="0"/>
              <w:adjustRightInd w:val="0"/>
              <w:spacing w:after="120"/>
              <w:jc w:val="both"/>
              <w:rPr>
                <w:rFonts w:ascii="Arial" w:hAnsi="Arial" w:cs="Arial"/>
                <w:sz w:val="24"/>
                <w:szCs w:val="24"/>
              </w:rPr>
            </w:pPr>
            <w:r w:rsidRPr="00F35092">
              <w:rPr>
                <w:rFonts w:ascii="Arial" w:hAnsi="Arial" w:cs="Arial"/>
                <w:sz w:val="24"/>
                <w:szCs w:val="24"/>
              </w:rPr>
              <w:t>Ixion</w:t>
            </w:r>
          </w:p>
        </w:tc>
        <w:tc>
          <w:tcPr>
            <w:tcW w:w="907" w:type="dxa"/>
          </w:tcPr>
          <w:p w14:paraId="7AB75FC6" w14:textId="77777777" w:rsidR="00D5584F" w:rsidRPr="00F35092" w:rsidRDefault="00D5584F" w:rsidP="00DE75C9">
            <w:pPr>
              <w:keepLines/>
              <w:widowControl w:val="0"/>
              <w:tabs>
                <w:tab w:val="decimal" w:pos="184"/>
              </w:tabs>
              <w:autoSpaceDE w:val="0"/>
              <w:autoSpaceDN w:val="0"/>
              <w:adjustRightInd w:val="0"/>
              <w:spacing w:after="120"/>
              <w:jc w:val="right"/>
              <w:rPr>
                <w:rFonts w:ascii="Arial" w:hAnsi="Arial" w:cs="Arial"/>
                <w:sz w:val="24"/>
                <w:szCs w:val="24"/>
              </w:rPr>
            </w:pPr>
            <w:r w:rsidRPr="00F35092">
              <w:rPr>
                <w:rFonts w:ascii="Arial" w:hAnsi="Arial" w:cs="Arial"/>
                <w:sz w:val="24"/>
                <w:szCs w:val="24"/>
              </w:rPr>
              <w:t>(0.5)</w:t>
            </w:r>
          </w:p>
        </w:tc>
      </w:tr>
      <w:tr w:rsidR="00D5584F" w:rsidRPr="00F35092" w14:paraId="0EEC8905" w14:textId="77777777" w:rsidTr="00DE75C9">
        <w:tc>
          <w:tcPr>
            <w:tcW w:w="3402" w:type="dxa"/>
          </w:tcPr>
          <w:p w14:paraId="67C484B9" w14:textId="77777777" w:rsidR="00D5584F" w:rsidRPr="00F35092" w:rsidRDefault="00D5584F" w:rsidP="00DE75C9">
            <w:pPr>
              <w:keepLines/>
              <w:widowControl w:val="0"/>
              <w:autoSpaceDE w:val="0"/>
              <w:autoSpaceDN w:val="0"/>
              <w:adjustRightInd w:val="0"/>
              <w:spacing w:after="120"/>
              <w:jc w:val="both"/>
              <w:rPr>
                <w:rFonts w:ascii="Arial" w:hAnsi="Arial" w:cs="Arial"/>
                <w:sz w:val="24"/>
                <w:szCs w:val="24"/>
              </w:rPr>
            </w:pPr>
            <w:r w:rsidRPr="00F35092">
              <w:rPr>
                <w:rFonts w:ascii="Arial" w:hAnsi="Arial" w:cs="Arial"/>
                <w:sz w:val="24"/>
                <w:szCs w:val="24"/>
              </w:rPr>
              <w:t>Prospects</w:t>
            </w:r>
          </w:p>
        </w:tc>
        <w:tc>
          <w:tcPr>
            <w:tcW w:w="907" w:type="dxa"/>
          </w:tcPr>
          <w:p w14:paraId="7924AC22" w14:textId="77777777" w:rsidR="00D5584F" w:rsidRPr="00F35092" w:rsidRDefault="003045D6" w:rsidP="00DE75C9">
            <w:pPr>
              <w:keepLines/>
              <w:widowControl w:val="0"/>
              <w:tabs>
                <w:tab w:val="decimal" w:pos="184"/>
              </w:tabs>
              <w:autoSpaceDE w:val="0"/>
              <w:autoSpaceDN w:val="0"/>
              <w:adjustRightInd w:val="0"/>
              <w:spacing w:after="120"/>
              <w:jc w:val="right"/>
              <w:rPr>
                <w:rFonts w:ascii="Arial" w:hAnsi="Arial" w:cs="Arial"/>
                <w:sz w:val="24"/>
                <w:szCs w:val="24"/>
              </w:rPr>
            </w:pPr>
            <w:r>
              <w:rPr>
                <w:rFonts w:ascii="Arial" w:hAnsi="Arial" w:cs="Arial"/>
                <w:sz w:val="24"/>
                <w:szCs w:val="24"/>
              </w:rPr>
              <w:t>1.4</w:t>
            </w:r>
          </w:p>
        </w:tc>
      </w:tr>
      <w:tr w:rsidR="00D5584F" w:rsidRPr="00F35092" w14:paraId="5B980D82" w14:textId="77777777" w:rsidTr="00DE75C9">
        <w:tc>
          <w:tcPr>
            <w:tcW w:w="3402" w:type="dxa"/>
          </w:tcPr>
          <w:p w14:paraId="23513140" w14:textId="77777777" w:rsidR="00D5584F" w:rsidRPr="00F35092" w:rsidRDefault="00D5584F" w:rsidP="00DE75C9">
            <w:pPr>
              <w:keepLines/>
              <w:widowControl w:val="0"/>
              <w:autoSpaceDE w:val="0"/>
              <w:autoSpaceDN w:val="0"/>
              <w:adjustRightInd w:val="0"/>
              <w:spacing w:after="120"/>
              <w:jc w:val="both"/>
              <w:rPr>
                <w:rFonts w:ascii="Arial" w:hAnsi="Arial" w:cs="Arial"/>
                <w:sz w:val="24"/>
                <w:szCs w:val="24"/>
              </w:rPr>
            </w:pPr>
            <w:r w:rsidRPr="00F35092">
              <w:rPr>
                <w:rFonts w:ascii="Arial" w:hAnsi="Arial" w:cs="Arial"/>
                <w:sz w:val="24"/>
                <w:szCs w:val="24"/>
              </w:rPr>
              <w:t xml:space="preserve">Goodwill amortisation and impairment </w:t>
            </w:r>
          </w:p>
          <w:p w14:paraId="7CDB3312" w14:textId="77777777" w:rsidR="00D5584F" w:rsidRPr="00F35092" w:rsidRDefault="00D5584F" w:rsidP="00DE75C9">
            <w:pPr>
              <w:keepLines/>
              <w:widowControl w:val="0"/>
              <w:autoSpaceDE w:val="0"/>
              <w:autoSpaceDN w:val="0"/>
              <w:adjustRightInd w:val="0"/>
              <w:spacing w:after="120"/>
              <w:jc w:val="both"/>
              <w:rPr>
                <w:rFonts w:ascii="Arial" w:hAnsi="Arial" w:cs="Arial"/>
                <w:sz w:val="24"/>
                <w:szCs w:val="24"/>
              </w:rPr>
            </w:pPr>
            <w:r w:rsidRPr="00F35092">
              <w:rPr>
                <w:rFonts w:ascii="Arial" w:hAnsi="Arial" w:cs="Arial"/>
                <w:sz w:val="24"/>
                <w:szCs w:val="24"/>
              </w:rPr>
              <w:t>Actuarial (losses) and Net finance return on defined benefit pension scheme</w:t>
            </w:r>
          </w:p>
        </w:tc>
        <w:tc>
          <w:tcPr>
            <w:tcW w:w="907" w:type="dxa"/>
          </w:tcPr>
          <w:p w14:paraId="00433D0B" w14:textId="77777777" w:rsidR="00D5584F" w:rsidRPr="00F35092" w:rsidRDefault="00D5584F" w:rsidP="00DE75C9">
            <w:pPr>
              <w:keepLines/>
              <w:widowControl w:val="0"/>
              <w:tabs>
                <w:tab w:val="decimal" w:pos="184"/>
              </w:tabs>
              <w:autoSpaceDE w:val="0"/>
              <w:autoSpaceDN w:val="0"/>
              <w:adjustRightInd w:val="0"/>
              <w:spacing w:after="120"/>
              <w:jc w:val="right"/>
              <w:rPr>
                <w:rFonts w:ascii="Arial" w:hAnsi="Arial" w:cs="Arial"/>
                <w:sz w:val="24"/>
                <w:szCs w:val="24"/>
              </w:rPr>
            </w:pPr>
            <w:r>
              <w:rPr>
                <w:rFonts w:ascii="Arial" w:hAnsi="Arial" w:cs="Arial"/>
                <w:sz w:val="24"/>
                <w:szCs w:val="24"/>
              </w:rPr>
              <w:t>(8.2</w:t>
            </w:r>
            <w:r w:rsidRPr="00F35092">
              <w:rPr>
                <w:rFonts w:ascii="Arial" w:hAnsi="Arial" w:cs="Arial"/>
                <w:sz w:val="24"/>
                <w:szCs w:val="24"/>
              </w:rPr>
              <w:t>)</w:t>
            </w:r>
          </w:p>
          <w:p w14:paraId="2E897A15" w14:textId="77777777" w:rsidR="00D5584F" w:rsidRPr="00F35092" w:rsidRDefault="00D5584F" w:rsidP="00DE75C9">
            <w:pPr>
              <w:keepLines/>
              <w:widowControl w:val="0"/>
              <w:tabs>
                <w:tab w:val="decimal" w:pos="184"/>
              </w:tabs>
              <w:autoSpaceDE w:val="0"/>
              <w:autoSpaceDN w:val="0"/>
              <w:adjustRightInd w:val="0"/>
              <w:spacing w:after="120"/>
              <w:jc w:val="right"/>
              <w:rPr>
                <w:rFonts w:ascii="Arial" w:hAnsi="Arial" w:cs="Arial"/>
                <w:sz w:val="24"/>
                <w:szCs w:val="24"/>
              </w:rPr>
            </w:pPr>
          </w:p>
          <w:p w14:paraId="6B1D3C1D" w14:textId="77777777" w:rsidR="00D5584F" w:rsidRPr="00F35092" w:rsidRDefault="00D5584F" w:rsidP="00DE75C9">
            <w:pPr>
              <w:keepLines/>
              <w:widowControl w:val="0"/>
              <w:tabs>
                <w:tab w:val="decimal" w:pos="184"/>
              </w:tabs>
              <w:autoSpaceDE w:val="0"/>
              <w:autoSpaceDN w:val="0"/>
              <w:adjustRightInd w:val="0"/>
              <w:spacing w:after="120"/>
              <w:jc w:val="right"/>
              <w:rPr>
                <w:rFonts w:ascii="Arial" w:hAnsi="Arial" w:cs="Arial"/>
                <w:sz w:val="24"/>
                <w:szCs w:val="24"/>
              </w:rPr>
            </w:pPr>
            <w:r>
              <w:rPr>
                <w:rFonts w:ascii="Arial" w:hAnsi="Arial" w:cs="Arial"/>
                <w:sz w:val="24"/>
                <w:szCs w:val="24"/>
              </w:rPr>
              <w:t>(4.7</w:t>
            </w:r>
            <w:r w:rsidRPr="00F35092">
              <w:rPr>
                <w:rFonts w:ascii="Arial" w:hAnsi="Arial" w:cs="Arial"/>
                <w:sz w:val="24"/>
                <w:szCs w:val="24"/>
              </w:rPr>
              <w:t>)</w:t>
            </w:r>
          </w:p>
        </w:tc>
      </w:tr>
      <w:tr w:rsidR="00D5584F" w:rsidRPr="00DD647D" w14:paraId="107DE654" w14:textId="77777777" w:rsidTr="00DE75C9">
        <w:tc>
          <w:tcPr>
            <w:tcW w:w="3402" w:type="dxa"/>
          </w:tcPr>
          <w:p w14:paraId="734B207F" w14:textId="77777777" w:rsidR="00D5584F" w:rsidRPr="00F35092" w:rsidRDefault="00D5584F" w:rsidP="00DE75C9">
            <w:pPr>
              <w:keepLines/>
              <w:widowControl w:val="0"/>
              <w:autoSpaceDE w:val="0"/>
              <w:autoSpaceDN w:val="0"/>
              <w:adjustRightInd w:val="0"/>
              <w:spacing w:after="240"/>
              <w:jc w:val="both"/>
              <w:rPr>
                <w:rFonts w:ascii="Arial" w:hAnsi="Arial" w:cs="Arial"/>
                <w:sz w:val="24"/>
                <w:szCs w:val="24"/>
              </w:rPr>
            </w:pPr>
            <w:r w:rsidRPr="00F35092">
              <w:rPr>
                <w:rFonts w:ascii="Arial" w:hAnsi="Arial" w:cs="Arial"/>
                <w:b/>
                <w:sz w:val="24"/>
                <w:szCs w:val="24"/>
              </w:rPr>
              <w:t>Net movement in funds</w:t>
            </w:r>
          </w:p>
        </w:tc>
        <w:tc>
          <w:tcPr>
            <w:tcW w:w="907" w:type="dxa"/>
          </w:tcPr>
          <w:p w14:paraId="242A9409" w14:textId="77777777" w:rsidR="00D5584F" w:rsidRPr="00F35092" w:rsidRDefault="00D5584F" w:rsidP="00DE75C9">
            <w:pPr>
              <w:keepLines/>
              <w:widowControl w:val="0"/>
              <w:pBdr>
                <w:top w:val="single" w:sz="4" w:space="1" w:color="auto"/>
                <w:bottom w:val="double" w:sz="4" w:space="1" w:color="auto"/>
              </w:pBdr>
              <w:tabs>
                <w:tab w:val="decimal" w:pos="184"/>
              </w:tabs>
              <w:autoSpaceDE w:val="0"/>
              <w:autoSpaceDN w:val="0"/>
              <w:adjustRightInd w:val="0"/>
              <w:spacing w:after="240"/>
              <w:jc w:val="right"/>
              <w:rPr>
                <w:rFonts w:ascii="Arial" w:hAnsi="Arial" w:cs="Arial"/>
                <w:b/>
                <w:sz w:val="24"/>
                <w:szCs w:val="24"/>
              </w:rPr>
            </w:pPr>
            <w:r>
              <w:rPr>
                <w:rFonts w:ascii="Arial" w:hAnsi="Arial" w:cs="Arial"/>
                <w:b/>
                <w:sz w:val="24"/>
                <w:szCs w:val="24"/>
              </w:rPr>
              <w:t xml:space="preserve"> 0.8</w:t>
            </w:r>
          </w:p>
        </w:tc>
      </w:tr>
    </w:tbl>
    <w:p w14:paraId="48F9DBD0" w14:textId="77777777" w:rsidR="00D5584F" w:rsidRPr="00DD647D" w:rsidRDefault="00D5584F" w:rsidP="00D5584F">
      <w:pPr>
        <w:keepLines/>
        <w:widowControl w:val="0"/>
        <w:autoSpaceDE w:val="0"/>
        <w:autoSpaceDN w:val="0"/>
        <w:adjustRightInd w:val="0"/>
        <w:spacing w:after="0" w:line="240" w:lineRule="auto"/>
        <w:jc w:val="both"/>
        <w:rPr>
          <w:rFonts w:ascii="Arial" w:hAnsi="Arial" w:cs="Arial"/>
          <w:sz w:val="24"/>
          <w:szCs w:val="24"/>
        </w:rPr>
      </w:pPr>
    </w:p>
    <w:p w14:paraId="3472965A" w14:textId="77777777" w:rsidR="00D5584F" w:rsidRPr="00DD647D" w:rsidRDefault="00D5584F" w:rsidP="00D5584F">
      <w:pPr>
        <w:autoSpaceDE w:val="0"/>
        <w:autoSpaceDN w:val="0"/>
        <w:adjustRightInd w:val="0"/>
        <w:spacing w:after="240" w:line="240" w:lineRule="auto"/>
        <w:jc w:val="both"/>
        <w:rPr>
          <w:rFonts w:ascii="Arial" w:hAnsi="Arial" w:cs="Arial"/>
          <w:sz w:val="24"/>
          <w:szCs w:val="24"/>
        </w:rPr>
      </w:pPr>
      <w:r w:rsidRPr="00DD647D">
        <w:rPr>
          <w:rFonts w:ascii="Arial" w:hAnsi="Arial" w:cs="Arial"/>
          <w:sz w:val="24"/>
          <w:szCs w:val="24"/>
        </w:rPr>
        <w:t>The net movement in funds for Shaw Education Trust includes the value of assets acquired at the date that new schools joined the Shaw Education Trust</w:t>
      </w:r>
      <w:r>
        <w:rPr>
          <w:rFonts w:ascii="Arial" w:hAnsi="Arial" w:cs="Arial"/>
          <w:sz w:val="24"/>
          <w:szCs w:val="24"/>
        </w:rPr>
        <w:t>,</w:t>
      </w:r>
      <w:r w:rsidRPr="00DD647D">
        <w:rPr>
          <w:rFonts w:ascii="Arial" w:hAnsi="Arial" w:cs="Arial"/>
          <w:sz w:val="24"/>
          <w:szCs w:val="24"/>
        </w:rPr>
        <w:t xml:space="preserve"> amounting to £</w:t>
      </w:r>
      <w:r w:rsidR="003045D6">
        <w:rPr>
          <w:rFonts w:ascii="Arial" w:hAnsi="Arial" w:cs="Arial"/>
          <w:sz w:val="24"/>
          <w:szCs w:val="24"/>
        </w:rPr>
        <w:t>1</w:t>
      </w:r>
      <w:r w:rsidRPr="00DD647D">
        <w:rPr>
          <w:rFonts w:ascii="Arial" w:hAnsi="Arial" w:cs="Arial"/>
          <w:sz w:val="24"/>
          <w:szCs w:val="24"/>
        </w:rPr>
        <w:t>3.7m (further details are included in note 25 – Business Combinations).</w:t>
      </w:r>
    </w:p>
    <w:p w14:paraId="2AFEC1BB" w14:textId="77777777" w:rsidR="00D5584F" w:rsidRDefault="00D5584F" w:rsidP="00D5584F">
      <w:pPr>
        <w:autoSpaceDE w:val="0"/>
        <w:autoSpaceDN w:val="0"/>
        <w:adjustRightInd w:val="0"/>
        <w:spacing w:after="240" w:line="240" w:lineRule="auto"/>
        <w:jc w:val="both"/>
        <w:rPr>
          <w:rFonts w:ascii="Arial" w:hAnsi="Arial" w:cs="Arial"/>
          <w:sz w:val="24"/>
          <w:szCs w:val="24"/>
        </w:rPr>
      </w:pPr>
      <w:r w:rsidRPr="00DD647D">
        <w:rPr>
          <w:rFonts w:ascii="Arial" w:hAnsi="Arial" w:cs="Arial"/>
          <w:sz w:val="24"/>
          <w:szCs w:val="24"/>
        </w:rPr>
        <w:t>The increase in turnover reflects growth in contracts, especially in the employability divisions as well as an increase in the number of academies. The incoming resources from the activity of the gro</w:t>
      </w:r>
      <w:r>
        <w:rPr>
          <w:rFonts w:ascii="Arial" w:hAnsi="Arial" w:cs="Arial"/>
          <w:sz w:val="24"/>
          <w:szCs w:val="24"/>
        </w:rPr>
        <w:t>up increased by £</w:t>
      </w:r>
      <w:r w:rsidR="000D6DD4">
        <w:rPr>
          <w:rFonts w:ascii="Arial" w:hAnsi="Arial" w:cs="Arial"/>
          <w:sz w:val="24"/>
          <w:szCs w:val="24"/>
        </w:rPr>
        <w:t>16.7m</w:t>
      </w:r>
      <w:r>
        <w:rPr>
          <w:rFonts w:ascii="Arial" w:hAnsi="Arial" w:cs="Arial"/>
          <w:sz w:val="24"/>
          <w:szCs w:val="24"/>
        </w:rPr>
        <w:t xml:space="preserve"> to £223.1m. Overall g</w:t>
      </w:r>
      <w:r w:rsidRPr="00DD647D">
        <w:rPr>
          <w:rFonts w:ascii="Arial" w:hAnsi="Arial" w:cs="Arial"/>
          <w:sz w:val="24"/>
          <w:szCs w:val="24"/>
        </w:rPr>
        <w:t xml:space="preserve">roup </w:t>
      </w:r>
      <w:r>
        <w:rPr>
          <w:rFonts w:ascii="Arial" w:hAnsi="Arial" w:cs="Arial"/>
          <w:sz w:val="24"/>
          <w:szCs w:val="24"/>
        </w:rPr>
        <w:t>net income has improved significantly, showing a surplus of £5.</w:t>
      </w:r>
      <w:r w:rsidR="000D6DD4">
        <w:rPr>
          <w:rFonts w:ascii="Arial" w:hAnsi="Arial" w:cs="Arial"/>
          <w:sz w:val="24"/>
          <w:szCs w:val="24"/>
        </w:rPr>
        <w:t>6</w:t>
      </w:r>
      <w:r>
        <w:rPr>
          <w:rFonts w:ascii="Arial" w:hAnsi="Arial" w:cs="Arial"/>
          <w:sz w:val="24"/>
          <w:szCs w:val="24"/>
        </w:rPr>
        <w:t>m during the year, an increase of £24.</w:t>
      </w:r>
      <w:r w:rsidR="000D6DD4">
        <w:rPr>
          <w:rFonts w:ascii="Arial" w:hAnsi="Arial" w:cs="Arial"/>
          <w:sz w:val="24"/>
          <w:szCs w:val="24"/>
        </w:rPr>
        <w:t>0</w:t>
      </w:r>
      <w:r>
        <w:rPr>
          <w:rFonts w:ascii="Arial" w:hAnsi="Arial" w:cs="Arial"/>
          <w:sz w:val="24"/>
          <w:szCs w:val="24"/>
        </w:rPr>
        <w:t>m over the prior year. Overall</w:t>
      </w:r>
      <w:r w:rsidRPr="00DD647D">
        <w:rPr>
          <w:rFonts w:ascii="Arial" w:hAnsi="Arial" w:cs="Arial"/>
          <w:sz w:val="24"/>
          <w:szCs w:val="24"/>
        </w:rPr>
        <w:t xml:space="preserve"> net surpl</w:t>
      </w:r>
      <w:r>
        <w:rPr>
          <w:rFonts w:ascii="Arial" w:hAnsi="Arial" w:cs="Arial"/>
          <w:sz w:val="24"/>
          <w:szCs w:val="24"/>
        </w:rPr>
        <w:t>us on funds for the year were £0.8</w:t>
      </w:r>
      <w:r w:rsidRPr="00DD647D">
        <w:rPr>
          <w:rFonts w:ascii="Arial" w:hAnsi="Arial" w:cs="Arial"/>
          <w:sz w:val="24"/>
          <w:szCs w:val="24"/>
        </w:rPr>
        <w:t>m (2019: net deficit of £50.8m).</w:t>
      </w:r>
    </w:p>
    <w:p w14:paraId="0A5ADDE8" w14:textId="77777777" w:rsidR="00D5584F" w:rsidRPr="00DD647D" w:rsidRDefault="00D5584F" w:rsidP="00D5584F">
      <w:pPr>
        <w:keepLines/>
        <w:widowControl w:val="0"/>
        <w:jc w:val="both"/>
        <w:rPr>
          <w:rFonts w:ascii="Arial" w:hAnsi="Arial" w:cs="Arial"/>
          <w:sz w:val="24"/>
          <w:szCs w:val="24"/>
        </w:rPr>
      </w:pPr>
      <w:r w:rsidRPr="00DD647D">
        <w:rPr>
          <w:rFonts w:ascii="Arial" w:hAnsi="Arial" w:cs="Arial"/>
          <w:sz w:val="24"/>
          <w:szCs w:val="24"/>
        </w:rPr>
        <w:br w:type="page"/>
      </w:r>
    </w:p>
    <w:p w14:paraId="5AFFBEE2" w14:textId="77777777" w:rsidR="00D5584F" w:rsidRPr="00DD647D" w:rsidRDefault="00D5584F" w:rsidP="00D5584F">
      <w:pPr>
        <w:keepLines/>
        <w:widowControl w:val="0"/>
        <w:tabs>
          <w:tab w:val="left" w:pos="567"/>
        </w:tabs>
        <w:autoSpaceDE w:val="0"/>
        <w:autoSpaceDN w:val="0"/>
        <w:adjustRightInd w:val="0"/>
        <w:spacing w:after="240" w:line="240" w:lineRule="auto"/>
        <w:jc w:val="both"/>
        <w:rPr>
          <w:rFonts w:ascii="Arial" w:hAnsi="Arial" w:cs="Arial"/>
          <w:b/>
          <w:i/>
          <w:sz w:val="24"/>
          <w:szCs w:val="24"/>
        </w:rPr>
      </w:pPr>
      <w:r w:rsidRPr="00DD647D">
        <w:rPr>
          <w:rFonts w:ascii="Arial" w:hAnsi="Arial" w:cs="Arial"/>
          <w:b/>
          <w:i/>
          <w:sz w:val="24"/>
          <w:szCs w:val="24"/>
        </w:rPr>
        <w:lastRenderedPageBreak/>
        <w:t xml:space="preserve">2. </w:t>
      </w:r>
      <w:r w:rsidRPr="00DD647D">
        <w:rPr>
          <w:rFonts w:ascii="Arial" w:hAnsi="Arial" w:cs="Arial"/>
          <w:b/>
          <w:i/>
          <w:sz w:val="24"/>
          <w:szCs w:val="24"/>
        </w:rPr>
        <w:tab/>
        <w:t>Financial review (continued)</w:t>
      </w:r>
    </w:p>
    <w:p w14:paraId="204AC762" w14:textId="77777777" w:rsidR="00D5584F" w:rsidRDefault="00D5584F" w:rsidP="00D5584F">
      <w:pPr>
        <w:autoSpaceDE w:val="0"/>
        <w:autoSpaceDN w:val="0"/>
        <w:adjustRightInd w:val="0"/>
        <w:spacing w:after="240" w:line="240" w:lineRule="auto"/>
        <w:jc w:val="both"/>
        <w:rPr>
          <w:rFonts w:ascii="Arial" w:hAnsi="Arial" w:cs="Arial"/>
          <w:sz w:val="24"/>
          <w:szCs w:val="24"/>
        </w:rPr>
      </w:pPr>
      <w:r>
        <w:rPr>
          <w:rFonts w:ascii="Arial" w:hAnsi="Arial" w:cs="Arial"/>
          <w:sz w:val="24"/>
          <w:szCs w:val="24"/>
        </w:rPr>
        <w:t>Within t</w:t>
      </w:r>
      <w:r w:rsidRPr="00BF0E5B">
        <w:rPr>
          <w:rFonts w:ascii="Arial" w:hAnsi="Arial" w:cs="Arial"/>
          <w:sz w:val="24"/>
          <w:szCs w:val="24"/>
        </w:rPr>
        <w:t xml:space="preserve">he </w:t>
      </w:r>
      <w:r>
        <w:rPr>
          <w:rFonts w:ascii="Arial" w:hAnsi="Arial" w:cs="Arial"/>
          <w:sz w:val="24"/>
          <w:szCs w:val="24"/>
        </w:rPr>
        <w:t xml:space="preserve">balance sheet, </w:t>
      </w:r>
      <w:r w:rsidRPr="00BF0E5B">
        <w:rPr>
          <w:rFonts w:ascii="Arial" w:hAnsi="Arial" w:cs="Arial"/>
          <w:sz w:val="24"/>
          <w:szCs w:val="24"/>
        </w:rPr>
        <w:t>consolidated reserves at £82.9m have increased slightly by £0.8m, reflecting a combination of transfer in of academies, the performance in the year, increase in pension provisions and goodwill amortisation.</w:t>
      </w:r>
    </w:p>
    <w:p w14:paraId="6FCFC7ED" w14:textId="77777777" w:rsidR="00D5584F" w:rsidRDefault="00D5584F" w:rsidP="00D5584F">
      <w:pPr>
        <w:autoSpaceDE w:val="0"/>
        <w:autoSpaceDN w:val="0"/>
        <w:adjustRightInd w:val="0"/>
        <w:spacing w:after="240" w:line="240" w:lineRule="auto"/>
        <w:jc w:val="both"/>
        <w:rPr>
          <w:rFonts w:ascii="Arial" w:hAnsi="Arial" w:cs="Arial"/>
          <w:sz w:val="24"/>
          <w:szCs w:val="24"/>
        </w:rPr>
      </w:pPr>
      <w:r w:rsidRPr="00BF0E5B">
        <w:rPr>
          <w:rFonts w:ascii="Arial" w:hAnsi="Arial" w:cs="Arial"/>
          <w:sz w:val="24"/>
          <w:szCs w:val="24"/>
        </w:rPr>
        <w:t xml:space="preserve">An increase of £25m in fixed assets to £168m is a reflection of additional schools acquired by SET. The majority of the fixed assets are </w:t>
      </w:r>
      <w:r>
        <w:rPr>
          <w:rFonts w:ascii="Arial" w:hAnsi="Arial" w:cs="Arial"/>
          <w:sz w:val="24"/>
          <w:szCs w:val="24"/>
        </w:rPr>
        <w:t>academies</w:t>
      </w:r>
      <w:r w:rsidRPr="00BF0E5B">
        <w:rPr>
          <w:rFonts w:ascii="Arial" w:hAnsi="Arial" w:cs="Arial"/>
          <w:sz w:val="24"/>
          <w:szCs w:val="24"/>
        </w:rPr>
        <w:t xml:space="preserve"> with SET.  </w:t>
      </w:r>
    </w:p>
    <w:p w14:paraId="1135BA53" w14:textId="77777777" w:rsidR="00D5584F" w:rsidRDefault="00D5584F" w:rsidP="00D5584F">
      <w:pPr>
        <w:autoSpaceDE w:val="0"/>
        <w:autoSpaceDN w:val="0"/>
        <w:adjustRightInd w:val="0"/>
        <w:spacing w:after="240" w:line="240" w:lineRule="auto"/>
        <w:jc w:val="both"/>
        <w:rPr>
          <w:rFonts w:ascii="Arial" w:hAnsi="Arial" w:cs="Arial"/>
          <w:sz w:val="24"/>
          <w:szCs w:val="24"/>
        </w:rPr>
      </w:pPr>
      <w:r>
        <w:rPr>
          <w:rFonts w:ascii="Arial" w:hAnsi="Arial" w:cs="Arial"/>
          <w:sz w:val="24"/>
          <w:szCs w:val="24"/>
        </w:rPr>
        <w:t>Working capital remained positive, showing an increase of £1.1m in the year to £19.6m.</w:t>
      </w:r>
    </w:p>
    <w:p w14:paraId="5539B2EE" w14:textId="77777777" w:rsidR="00D5584F" w:rsidRPr="00BF0E5B" w:rsidRDefault="00D5584F" w:rsidP="00D5584F">
      <w:pPr>
        <w:autoSpaceDE w:val="0"/>
        <w:autoSpaceDN w:val="0"/>
        <w:adjustRightInd w:val="0"/>
        <w:spacing w:after="240" w:line="240" w:lineRule="auto"/>
        <w:jc w:val="both"/>
        <w:rPr>
          <w:rFonts w:ascii="Arial" w:hAnsi="Arial" w:cs="Arial"/>
          <w:sz w:val="24"/>
          <w:szCs w:val="24"/>
        </w:rPr>
      </w:pPr>
      <w:r>
        <w:rPr>
          <w:rFonts w:ascii="Arial" w:hAnsi="Arial" w:cs="Arial"/>
          <w:sz w:val="24"/>
          <w:szCs w:val="24"/>
        </w:rPr>
        <w:t>A s</w:t>
      </w:r>
      <w:r w:rsidRPr="00BF0E5B">
        <w:rPr>
          <w:rFonts w:ascii="Arial" w:hAnsi="Arial" w:cs="Arial"/>
          <w:sz w:val="24"/>
          <w:szCs w:val="24"/>
        </w:rPr>
        <w:t>ignificant increase of £16.6m in cash and investments to £33.5m at 31 Aug 2020</w:t>
      </w:r>
      <w:r w:rsidR="007D1126">
        <w:rPr>
          <w:rFonts w:ascii="Arial" w:hAnsi="Arial" w:cs="Arial"/>
          <w:sz w:val="24"/>
          <w:szCs w:val="24"/>
        </w:rPr>
        <w:t xml:space="preserve"> reflects the</w:t>
      </w:r>
      <w:r>
        <w:rPr>
          <w:rFonts w:ascii="Arial" w:hAnsi="Arial" w:cs="Arial"/>
          <w:sz w:val="24"/>
          <w:szCs w:val="24"/>
        </w:rPr>
        <w:t xml:space="preserve"> Trust continuing</w:t>
      </w:r>
      <w:r w:rsidRPr="00BF0E5B">
        <w:rPr>
          <w:rFonts w:ascii="Arial" w:hAnsi="Arial" w:cs="Arial"/>
          <w:sz w:val="24"/>
          <w:szCs w:val="24"/>
        </w:rPr>
        <w:t xml:space="preserve"> its careful management of working capital and the build-up of a strategic reserve. </w:t>
      </w:r>
    </w:p>
    <w:p w14:paraId="219237D1" w14:textId="77777777" w:rsidR="00D5584F" w:rsidRPr="00BF0E5B" w:rsidRDefault="00D5584F" w:rsidP="00D5584F">
      <w:pPr>
        <w:autoSpaceDE w:val="0"/>
        <w:autoSpaceDN w:val="0"/>
        <w:adjustRightInd w:val="0"/>
        <w:spacing w:after="240" w:line="240" w:lineRule="auto"/>
        <w:jc w:val="both"/>
        <w:rPr>
          <w:rFonts w:ascii="Arial" w:hAnsi="Arial" w:cs="Arial"/>
          <w:sz w:val="24"/>
          <w:szCs w:val="24"/>
        </w:rPr>
      </w:pPr>
      <w:r w:rsidRPr="00BF0E5B">
        <w:rPr>
          <w:rFonts w:ascii="Arial" w:hAnsi="Arial" w:cs="Arial"/>
          <w:sz w:val="24"/>
          <w:szCs w:val="24"/>
        </w:rPr>
        <w:t>Longer-term liabilities predominantly relate to the increase in pension provisions</w:t>
      </w:r>
      <w:r>
        <w:rPr>
          <w:rFonts w:ascii="Arial" w:hAnsi="Arial" w:cs="Arial"/>
          <w:sz w:val="24"/>
          <w:szCs w:val="24"/>
        </w:rPr>
        <w:t xml:space="preserve">, and </w:t>
      </w:r>
      <w:r w:rsidRPr="00BF0E5B">
        <w:rPr>
          <w:rFonts w:ascii="Arial" w:hAnsi="Arial" w:cs="Arial"/>
          <w:sz w:val="24"/>
          <w:szCs w:val="24"/>
        </w:rPr>
        <w:t>h</w:t>
      </w:r>
      <w:r>
        <w:rPr>
          <w:rFonts w:ascii="Arial" w:hAnsi="Arial" w:cs="Arial"/>
          <w:sz w:val="24"/>
          <w:szCs w:val="24"/>
        </w:rPr>
        <w:t xml:space="preserve">ave increased </w:t>
      </w:r>
      <w:r w:rsidRPr="00BF0E5B">
        <w:rPr>
          <w:rFonts w:ascii="Arial" w:hAnsi="Arial" w:cs="Arial"/>
          <w:sz w:val="24"/>
          <w:szCs w:val="24"/>
        </w:rPr>
        <w:t>to £113m</w:t>
      </w:r>
      <w:r>
        <w:rPr>
          <w:rFonts w:ascii="Arial" w:hAnsi="Arial" w:cs="Arial"/>
          <w:sz w:val="24"/>
          <w:szCs w:val="24"/>
        </w:rPr>
        <w:t>, largely due to changes in actuarial assumptions.</w:t>
      </w:r>
    </w:p>
    <w:p w14:paraId="01742139" w14:textId="77777777" w:rsidR="00D5584F" w:rsidRPr="00DD647D" w:rsidRDefault="00D5584F" w:rsidP="00D5584F">
      <w:pPr>
        <w:autoSpaceDE w:val="0"/>
        <w:autoSpaceDN w:val="0"/>
        <w:adjustRightInd w:val="0"/>
        <w:spacing w:after="240" w:line="240" w:lineRule="auto"/>
        <w:jc w:val="both"/>
        <w:rPr>
          <w:rFonts w:ascii="Arial" w:hAnsi="Arial" w:cs="Arial"/>
          <w:sz w:val="24"/>
          <w:szCs w:val="24"/>
        </w:rPr>
      </w:pPr>
      <w:r>
        <w:rPr>
          <w:rFonts w:ascii="Arial" w:hAnsi="Arial" w:cs="Arial"/>
          <w:sz w:val="24"/>
          <w:szCs w:val="24"/>
        </w:rPr>
        <w:t>Within the cash flow, c</w:t>
      </w:r>
      <w:r w:rsidRPr="00DD647D">
        <w:rPr>
          <w:rFonts w:ascii="Arial" w:hAnsi="Arial" w:cs="Arial"/>
          <w:sz w:val="24"/>
          <w:szCs w:val="24"/>
        </w:rPr>
        <w:t xml:space="preserve">apital expenditure incurred </w:t>
      </w:r>
      <w:r w:rsidRPr="00842E02">
        <w:rPr>
          <w:rFonts w:ascii="Arial" w:hAnsi="Arial" w:cs="Arial"/>
          <w:sz w:val="24"/>
          <w:szCs w:val="24"/>
        </w:rPr>
        <w:t>of £27.6m (2019</w:t>
      </w:r>
      <w:r w:rsidRPr="00DD647D">
        <w:rPr>
          <w:rFonts w:ascii="Arial" w:hAnsi="Arial" w:cs="Arial"/>
          <w:sz w:val="24"/>
          <w:szCs w:val="24"/>
        </w:rPr>
        <w:t>: £</w:t>
      </w:r>
      <w:r w:rsidR="00521805">
        <w:rPr>
          <w:rFonts w:ascii="Arial" w:hAnsi="Arial" w:cs="Arial"/>
          <w:sz w:val="24"/>
          <w:szCs w:val="24"/>
        </w:rPr>
        <w:t>6.5m</w:t>
      </w:r>
      <w:r w:rsidRPr="00DD647D">
        <w:rPr>
          <w:rFonts w:ascii="Arial" w:hAnsi="Arial" w:cs="Arial"/>
          <w:sz w:val="24"/>
          <w:szCs w:val="24"/>
        </w:rPr>
        <w:t>) was primarily in respect of the costs of building work and improvements undertaken</w:t>
      </w:r>
      <w:r>
        <w:rPr>
          <w:rFonts w:ascii="Arial" w:hAnsi="Arial" w:cs="Arial"/>
          <w:sz w:val="24"/>
          <w:szCs w:val="24"/>
        </w:rPr>
        <w:t xml:space="preserve"> at the Shaw Education Trust’s a</w:t>
      </w:r>
      <w:r w:rsidRPr="00DD647D">
        <w:rPr>
          <w:rFonts w:ascii="Arial" w:hAnsi="Arial" w:cs="Arial"/>
          <w:sz w:val="24"/>
          <w:szCs w:val="24"/>
        </w:rPr>
        <w:t>cademies, largely funded by successful grant applications.</w:t>
      </w:r>
    </w:p>
    <w:p w14:paraId="5F2B4872" w14:textId="77777777" w:rsidR="00D5584F" w:rsidRPr="00DD647D" w:rsidRDefault="00D5584F" w:rsidP="00D5584F">
      <w:pPr>
        <w:keepLines/>
        <w:widowControl w:val="0"/>
        <w:autoSpaceDE w:val="0"/>
        <w:autoSpaceDN w:val="0"/>
        <w:adjustRightInd w:val="0"/>
        <w:spacing w:after="240" w:line="240" w:lineRule="auto"/>
        <w:jc w:val="both"/>
        <w:rPr>
          <w:rFonts w:ascii="Arial" w:hAnsi="Arial" w:cs="Arial"/>
          <w:b/>
          <w:sz w:val="24"/>
          <w:szCs w:val="24"/>
        </w:rPr>
      </w:pPr>
      <w:r w:rsidRPr="00DD647D">
        <w:rPr>
          <w:rFonts w:ascii="Arial" w:hAnsi="Arial" w:cs="Arial"/>
          <w:b/>
          <w:sz w:val="24"/>
          <w:szCs w:val="24"/>
        </w:rPr>
        <w:t xml:space="preserve">Investment powers, policy and performance </w:t>
      </w:r>
    </w:p>
    <w:p w14:paraId="1A8714DC" w14:textId="77777777" w:rsidR="00D5584F" w:rsidRDefault="00D5584F" w:rsidP="00D5584F">
      <w:pPr>
        <w:keepLines/>
        <w:widowControl w:val="0"/>
        <w:autoSpaceDE w:val="0"/>
        <w:autoSpaceDN w:val="0"/>
        <w:adjustRightInd w:val="0"/>
        <w:spacing w:after="240" w:line="240" w:lineRule="auto"/>
        <w:jc w:val="both"/>
        <w:rPr>
          <w:rFonts w:ascii="Arial" w:hAnsi="Arial" w:cs="Arial"/>
          <w:sz w:val="24"/>
          <w:szCs w:val="24"/>
        </w:rPr>
      </w:pPr>
      <w:r w:rsidRPr="00DD647D">
        <w:rPr>
          <w:rFonts w:ascii="Arial" w:hAnsi="Arial" w:cs="Arial"/>
          <w:sz w:val="24"/>
          <w:szCs w:val="24"/>
        </w:rPr>
        <w:t xml:space="preserve">The Trust currently has no material investments, having realised </w:t>
      </w:r>
      <w:r>
        <w:rPr>
          <w:rFonts w:ascii="Arial" w:hAnsi="Arial" w:cs="Arial"/>
          <w:sz w:val="24"/>
          <w:szCs w:val="24"/>
        </w:rPr>
        <w:t>the majority of its investments in the prior year</w:t>
      </w:r>
      <w:r w:rsidRPr="00DD647D">
        <w:rPr>
          <w:rFonts w:ascii="Arial" w:hAnsi="Arial" w:cs="Arial"/>
          <w:sz w:val="24"/>
          <w:szCs w:val="24"/>
        </w:rPr>
        <w:t>.  The Trust’s liquid assets are held as cash and cover a strategic reserve and sufficient cash for working capital purposes, and is in line with</w:t>
      </w:r>
      <w:r>
        <w:rPr>
          <w:rFonts w:ascii="Arial" w:hAnsi="Arial" w:cs="Arial"/>
          <w:sz w:val="24"/>
          <w:szCs w:val="24"/>
        </w:rPr>
        <w:t xml:space="preserve"> the reserves policy, below. </w:t>
      </w:r>
    </w:p>
    <w:p w14:paraId="4B37F9E3" w14:textId="77777777" w:rsidR="00D5584F" w:rsidRPr="00DD647D" w:rsidRDefault="00D5584F" w:rsidP="00D5584F">
      <w:pPr>
        <w:keepLines/>
        <w:widowControl w:val="0"/>
        <w:autoSpaceDE w:val="0"/>
        <w:autoSpaceDN w:val="0"/>
        <w:adjustRightInd w:val="0"/>
        <w:spacing w:after="240" w:line="240" w:lineRule="auto"/>
        <w:jc w:val="both"/>
        <w:rPr>
          <w:rFonts w:ascii="Arial" w:hAnsi="Arial" w:cs="Arial"/>
          <w:sz w:val="24"/>
          <w:szCs w:val="24"/>
        </w:rPr>
      </w:pPr>
      <w:r>
        <w:rPr>
          <w:rFonts w:ascii="Arial" w:hAnsi="Arial" w:cs="Arial"/>
          <w:sz w:val="24"/>
          <w:szCs w:val="24"/>
        </w:rPr>
        <w:t>The</w:t>
      </w:r>
      <w:r w:rsidRPr="00DD647D">
        <w:rPr>
          <w:rFonts w:ascii="Arial" w:hAnsi="Arial" w:cs="Arial"/>
          <w:sz w:val="24"/>
          <w:szCs w:val="24"/>
        </w:rPr>
        <w:t xml:space="preserve"> Trust’s long term policy for its reserves is to balance the security of its funds available for investment with the need for liquidity to meet its obligations as they fall due, while obtaining the best yield that can be generated given the Trust’s risk appetite.</w:t>
      </w:r>
    </w:p>
    <w:p w14:paraId="3D7A5B9F" w14:textId="77777777" w:rsidR="00D5584F" w:rsidRPr="00DD647D" w:rsidRDefault="00D5584F" w:rsidP="00D5584F">
      <w:pPr>
        <w:keepLines/>
        <w:widowControl w:val="0"/>
        <w:autoSpaceDE w:val="0"/>
        <w:autoSpaceDN w:val="0"/>
        <w:adjustRightInd w:val="0"/>
        <w:spacing w:after="240" w:line="240" w:lineRule="auto"/>
        <w:jc w:val="both"/>
        <w:rPr>
          <w:rFonts w:ascii="Arial" w:hAnsi="Arial" w:cs="Arial"/>
          <w:b/>
          <w:sz w:val="24"/>
          <w:szCs w:val="24"/>
        </w:rPr>
      </w:pPr>
      <w:r w:rsidRPr="00DD647D">
        <w:rPr>
          <w:rFonts w:ascii="Arial" w:hAnsi="Arial" w:cs="Arial"/>
          <w:b/>
          <w:sz w:val="24"/>
          <w:szCs w:val="24"/>
        </w:rPr>
        <w:t>Reserves policy</w:t>
      </w:r>
    </w:p>
    <w:p w14:paraId="1A19BAA8" w14:textId="77777777" w:rsidR="00D5584F" w:rsidRPr="00DD647D" w:rsidRDefault="00D5584F" w:rsidP="00D5584F">
      <w:pPr>
        <w:keepLines/>
        <w:widowControl w:val="0"/>
        <w:autoSpaceDE w:val="0"/>
        <w:autoSpaceDN w:val="0"/>
        <w:adjustRightInd w:val="0"/>
        <w:spacing w:after="240" w:line="240" w:lineRule="auto"/>
        <w:jc w:val="both"/>
        <w:rPr>
          <w:rFonts w:ascii="Arial" w:eastAsia="MS Mincho" w:hAnsi="Arial" w:cs="Arial"/>
          <w:sz w:val="24"/>
          <w:szCs w:val="24"/>
          <w:lang w:val="en-US"/>
        </w:rPr>
      </w:pPr>
      <w:r w:rsidRPr="00DD647D">
        <w:rPr>
          <w:rFonts w:ascii="Arial" w:eastAsia="MS Mincho" w:hAnsi="Arial" w:cs="Arial"/>
          <w:sz w:val="24"/>
          <w:szCs w:val="24"/>
          <w:lang w:val="en-US"/>
        </w:rPr>
        <w:t>The Trust’s free reserves are held in order to manage the risks to which the charity is exposed in the course of its activities. The Trustees ensure that the charity is in a responsible and secure financial position to provide reliable services for our beneficiaries, to absorb unforeseen setbacks in the event of a significant financial downturn and to take advantage of opportunities that are in line with our charitable mission.</w:t>
      </w:r>
    </w:p>
    <w:p w14:paraId="681A74FA" w14:textId="77777777" w:rsidR="00D5584F" w:rsidRPr="00DD647D" w:rsidRDefault="00D5584F" w:rsidP="00D5584F">
      <w:pPr>
        <w:keepLines/>
        <w:widowControl w:val="0"/>
        <w:autoSpaceDE w:val="0"/>
        <w:autoSpaceDN w:val="0"/>
        <w:adjustRightInd w:val="0"/>
        <w:spacing w:after="240" w:line="240" w:lineRule="auto"/>
        <w:jc w:val="both"/>
        <w:rPr>
          <w:rFonts w:ascii="Arial" w:eastAsia="MS Mincho" w:hAnsi="Arial" w:cs="Arial"/>
          <w:sz w:val="24"/>
          <w:szCs w:val="24"/>
          <w:lang w:val="en-US"/>
        </w:rPr>
      </w:pPr>
      <w:r w:rsidRPr="00DD647D">
        <w:rPr>
          <w:rFonts w:ascii="Arial" w:eastAsia="MS Mincho" w:hAnsi="Arial" w:cs="Arial"/>
          <w:sz w:val="24"/>
          <w:szCs w:val="24"/>
          <w:lang w:val="en-US"/>
        </w:rPr>
        <w:t>The reserves policy is reviewed annually by the Trustees, to take account of changes to the environment in which the Trust operates, and any other internal or external risk factors that might impact on the level of reserves required.</w:t>
      </w:r>
    </w:p>
    <w:p w14:paraId="5A0692A1" w14:textId="77777777" w:rsidR="00D5584F" w:rsidRPr="00DD647D" w:rsidRDefault="00D5584F" w:rsidP="00D5584F">
      <w:pPr>
        <w:keepLines/>
        <w:widowControl w:val="0"/>
        <w:autoSpaceDE w:val="0"/>
        <w:autoSpaceDN w:val="0"/>
        <w:adjustRightInd w:val="0"/>
        <w:spacing w:after="240" w:line="240" w:lineRule="auto"/>
        <w:jc w:val="both"/>
        <w:rPr>
          <w:rFonts w:ascii="Arial" w:eastAsia="MS Mincho" w:hAnsi="Arial" w:cs="Arial"/>
          <w:sz w:val="24"/>
          <w:szCs w:val="24"/>
          <w:lang w:val="en-US"/>
        </w:rPr>
      </w:pPr>
      <w:r w:rsidRPr="00DD647D">
        <w:rPr>
          <w:rFonts w:ascii="Arial" w:eastAsia="MS Mincho" w:hAnsi="Arial" w:cs="Arial"/>
          <w:sz w:val="24"/>
          <w:szCs w:val="24"/>
          <w:lang w:val="en-US"/>
        </w:rPr>
        <w:t xml:space="preserve">The reserves policy is based on the level of free reserves. The Trustees have considered whether the definition of free reserves, being the total unrestricted funds less any designated funds, revaluation reserves and pension </w:t>
      </w:r>
      <w:r>
        <w:rPr>
          <w:rFonts w:ascii="Arial" w:eastAsia="MS Mincho" w:hAnsi="Arial" w:cs="Arial"/>
          <w:sz w:val="24"/>
          <w:szCs w:val="24"/>
          <w:lang w:val="en-US"/>
        </w:rPr>
        <w:t>scheme surpluses or deficits, i</w:t>
      </w:r>
      <w:r w:rsidRPr="00DD647D">
        <w:rPr>
          <w:rFonts w:ascii="Arial" w:eastAsia="MS Mincho" w:hAnsi="Arial" w:cs="Arial"/>
          <w:sz w:val="24"/>
          <w:szCs w:val="24"/>
          <w:lang w:val="en-US"/>
        </w:rPr>
        <w:t>s appropriate due to the significant pension deficit arising, predominantly from the acquisition of Prospects.</w:t>
      </w:r>
    </w:p>
    <w:p w14:paraId="49341556" w14:textId="77777777" w:rsidR="00D5584F" w:rsidRDefault="00D5584F" w:rsidP="00D5584F">
      <w:pPr>
        <w:keepLines/>
        <w:widowControl w:val="0"/>
        <w:autoSpaceDE w:val="0"/>
        <w:autoSpaceDN w:val="0"/>
        <w:adjustRightInd w:val="0"/>
        <w:spacing w:after="240" w:line="240" w:lineRule="auto"/>
        <w:jc w:val="both"/>
        <w:rPr>
          <w:rFonts w:ascii="Arial" w:eastAsia="MS Mincho" w:hAnsi="Arial" w:cs="Arial"/>
          <w:sz w:val="24"/>
          <w:szCs w:val="24"/>
          <w:lang w:val="en-US"/>
        </w:rPr>
      </w:pPr>
      <w:r w:rsidRPr="00DD647D">
        <w:rPr>
          <w:rFonts w:ascii="Arial" w:eastAsia="MS Mincho" w:hAnsi="Arial" w:cs="Arial"/>
          <w:sz w:val="24"/>
          <w:szCs w:val="24"/>
          <w:lang w:val="en-US"/>
        </w:rPr>
        <w:t xml:space="preserve">The conclusion of the Trustees was that there was not a significant risk that the pension liability would </w:t>
      </w:r>
      <w:proofErr w:type="spellStart"/>
      <w:r w:rsidRPr="00DD647D">
        <w:rPr>
          <w:rFonts w:ascii="Arial" w:eastAsia="MS Mincho" w:hAnsi="Arial" w:cs="Arial"/>
          <w:sz w:val="24"/>
          <w:szCs w:val="24"/>
          <w:lang w:val="en-US"/>
        </w:rPr>
        <w:t>crystalise</w:t>
      </w:r>
      <w:proofErr w:type="spellEnd"/>
      <w:r w:rsidRPr="00DD647D">
        <w:rPr>
          <w:rFonts w:ascii="Arial" w:eastAsia="MS Mincho" w:hAnsi="Arial" w:cs="Arial"/>
          <w:sz w:val="24"/>
          <w:szCs w:val="24"/>
          <w:lang w:val="en-US"/>
        </w:rPr>
        <w:t xml:space="preserve"> in the short to medium term and that the Trust can meet the required projected further income without significantly impacting the ongoing business. </w:t>
      </w:r>
    </w:p>
    <w:p w14:paraId="6E235ED4" w14:textId="77777777" w:rsidR="00D5584F" w:rsidRPr="00DD647D" w:rsidRDefault="00D5584F" w:rsidP="00D5584F">
      <w:pPr>
        <w:keepLines/>
        <w:widowControl w:val="0"/>
        <w:autoSpaceDE w:val="0"/>
        <w:autoSpaceDN w:val="0"/>
        <w:adjustRightInd w:val="0"/>
        <w:spacing w:after="240" w:line="240" w:lineRule="auto"/>
        <w:jc w:val="both"/>
        <w:rPr>
          <w:rFonts w:ascii="Arial" w:hAnsi="Arial" w:cs="Arial"/>
          <w:b/>
          <w:sz w:val="24"/>
          <w:szCs w:val="24"/>
        </w:rPr>
      </w:pPr>
    </w:p>
    <w:p w14:paraId="5DF9DC02" w14:textId="77777777" w:rsidR="00D5584F" w:rsidRPr="00DD647D" w:rsidRDefault="00D5584F" w:rsidP="00D5584F">
      <w:pPr>
        <w:jc w:val="both"/>
        <w:rPr>
          <w:rFonts w:ascii="Arial" w:hAnsi="Arial" w:cs="Arial"/>
          <w:b/>
          <w:i/>
          <w:sz w:val="24"/>
          <w:szCs w:val="24"/>
        </w:rPr>
      </w:pPr>
      <w:r w:rsidRPr="00DD647D">
        <w:rPr>
          <w:rFonts w:ascii="Arial" w:hAnsi="Arial" w:cs="Arial"/>
          <w:b/>
          <w:i/>
          <w:sz w:val="24"/>
          <w:szCs w:val="24"/>
        </w:rPr>
        <w:br w:type="page"/>
      </w:r>
    </w:p>
    <w:p w14:paraId="557A0F45" w14:textId="77777777" w:rsidR="00D5584F" w:rsidRPr="00DD647D" w:rsidRDefault="00D5584F" w:rsidP="00D5584F">
      <w:pPr>
        <w:keepLines/>
        <w:widowControl w:val="0"/>
        <w:tabs>
          <w:tab w:val="left" w:pos="567"/>
        </w:tabs>
        <w:autoSpaceDE w:val="0"/>
        <w:autoSpaceDN w:val="0"/>
        <w:adjustRightInd w:val="0"/>
        <w:spacing w:after="240" w:line="240" w:lineRule="auto"/>
        <w:jc w:val="both"/>
        <w:rPr>
          <w:rFonts w:ascii="Arial" w:hAnsi="Arial" w:cs="Arial"/>
          <w:b/>
          <w:i/>
          <w:sz w:val="24"/>
          <w:szCs w:val="24"/>
        </w:rPr>
      </w:pPr>
      <w:r w:rsidRPr="00DD647D">
        <w:rPr>
          <w:rFonts w:ascii="Arial" w:hAnsi="Arial" w:cs="Arial"/>
          <w:b/>
          <w:i/>
          <w:sz w:val="24"/>
          <w:szCs w:val="24"/>
        </w:rPr>
        <w:lastRenderedPageBreak/>
        <w:t xml:space="preserve">2. </w:t>
      </w:r>
      <w:r w:rsidRPr="00DD647D">
        <w:rPr>
          <w:rFonts w:ascii="Arial" w:hAnsi="Arial" w:cs="Arial"/>
          <w:b/>
          <w:i/>
          <w:sz w:val="24"/>
          <w:szCs w:val="24"/>
        </w:rPr>
        <w:tab/>
        <w:t>Financial review (continued)</w:t>
      </w:r>
    </w:p>
    <w:p w14:paraId="46A89C0A" w14:textId="77777777" w:rsidR="00D5584F" w:rsidRPr="00DD647D" w:rsidRDefault="00D5584F" w:rsidP="00D5584F">
      <w:pPr>
        <w:keepLines/>
        <w:widowControl w:val="0"/>
        <w:autoSpaceDE w:val="0"/>
        <w:autoSpaceDN w:val="0"/>
        <w:adjustRightInd w:val="0"/>
        <w:spacing w:after="240" w:line="240" w:lineRule="auto"/>
        <w:jc w:val="both"/>
        <w:rPr>
          <w:rFonts w:ascii="Arial" w:eastAsia="MS Mincho" w:hAnsi="Arial" w:cs="Arial"/>
          <w:sz w:val="24"/>
          <w:szCs w:val="24"/>
          <w:lang w:val="en-US"/>
        </w:rPr>
      </w:pPr>
      <w:r w:rsidRPr="00DD647D">
        <w:rPr>
          <w:rFonts w:ascii="Arial" w:eastAsia="MS Mincho" w:hAnsi="Arial" w:cs="Arial"/>
          <w:sz w:val="24"/>
          <w:szCs w:val="24"/>
          <w:lang w:val="en-US"/>
        </w:rPr>
        <w:t>In addition, due to the relative stability of income through the long term nature of contracts undertaken, any reductions can be reasonably foreseen and actions taken before there is a significant impact on the Trust’s reserves.  The Trust therefore continues to calculate its ‘free’ reserves without setting aside designated reserves to cover its pension liabilities</w:t>
      </w:r>
      <w:r w:rsidR="007D1126">
        <w:rPr>
          <w:rFonts w:ascii="Arial" w:eastAsia="MS Mincho" w:hAnsi="Arial" w:cs="Arial"/>
          <w:sz w:val="24"/>
          <w:szCs w:val="24"/>
          <w:lang w:val="en-US"/>
        </w:rPr>
        <w:t>.</w:t>
      </w:r>
    </w:p>
    <w:p w14:paraId="4D76FA88" w14:textId="77777777" w:rsidR="00D5584F" w:rsidRPr="00DD647D" w:rsidRDefault="00D5584F" w:rsidP="00D5584F">
      <w:pPr>
        <w:keepLines/>
        <w:widowControl w:val="0"/>
        <w:autoSpaceDE w:val="0"/>
        <w:autoSpaceDN w:val="0"/>
        <w:adjustRightInd w:val="0"/>
        <w:spacing w:after="240" w:line="240" w:lineRule="auto"/>
        <w:jc w:val="both"/>
        <w:rPr>
          <w:rFonts w:ascii="Arial" w:eastAsia="MS Mincho" w:hAnsi="Arial" w:cs="Arial"/>
          <w:sz w:val="24"/>
          <w:szCs w:val="24"/>
          <w:lang w:val="en-US"/>
        </w:rPr>
      </w:pPr>
      <w:r w:rsidRPr="00DD647D">
        <w:rPr>
          <w:rFonts w:ascii="Arial" w:eastAsia="MS Mincho" w:hAnsi="Arial" w:cs="Arial"/>
          <w:sz w:val="24"/>
          <w:szCs w:val="24"/>
          <w:lang w:val="en-US"/>
        </w:rPr>
        <w:t>As at 31 August 2020 th</w:t>
      </w:r>
      <w:r>
        <w:rPr>
          <w:rFonts w:ascii="Arial" w:eastAsia="MS Mincho" w:hAnsi="Arial" w:cs="Arial"/>
          <w:sz w:val="24"/>
          <w:szCs w:val="24"/>
          <w:lang w:val="en-US"/>
        </w:rPr>
        <w:t>e Trust had free reserves of £23.6</w:t>
      </w:r>
      <w:r w:rsidRPr="00DD647D">
        <w:rPr>
          <w:rFonts w:ascii="Arial" w:eastAsia="MS Mincho" w:hAnsi="Arial" w:cs="Arial"/>
          <w:sz w:val="24"/>
          <w:szCs w:val="24"/>
          <w:lang w:val="en-US"/>
        </w:rPr>
        <w:t>m (31 August 2019: £35.4m) as follows:</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1091"/>
        <w:gridCol w:w="1091"/>
      </w:tblGrid>
      <w:tr w:rsidR="00D5584F" w:rsidRPr="00DD647D" w14:paraId="3D98A19C" w14:textId="77777777" w:rsidTr="00DE75C9">
        <w:tc>
          <w:tcPr>
            <w:tcW w:w="2127" w:type="dxa"/>
          </w:tcPr>
          <w:p w14:paraId="68761782" w14:textId="77777777" w:rsidR="00D5584F" w:rsidRPr="00DD647D" w:rsidRDefault="00D5584F" w:rsidP="00DE75C9">
            <w:pPr>
              <w:keepLines/>
              <w:widowControl w:val="0"/>
              <w:autoSpaceDE w:val="0"/>
              <w:autoSpaceDN w:val="0"/>
              <w:adjustRightInd w:val="0"/>
              <w:spacing w:after="120"/>
              <w:jc w:val="both"/>
              <w:rPr>
                <w:rFonts w:ascii="Arial" w:hAnsi="Arial" w:cs="Arial"/>
                <w:sz w:val="24"/>
                <w:szCs w:val="24"/>
              </w:rPr>
            </w:pPr>
          </w:p>
        </w:tc>
        <w:tc>
          <w:tcPr>
            <w:tcW w:w="1091" w:type="dxa"/>
          </w:tcPr>
          <w:p w14:paraId="1570C9D8" w14:textId="77777777" w:rsidR="00D5584F" w:rsidRPr="00DD647D" w:rsidRDefault="00D5584F" w:rsidP="00DE75C9">
            <w:pPr>
              <w:keepLines/>
              <w:widowControl w:val="0"/>
              <w:autoSpaceDE w:val="0"/>
              <w:autoSpaceDN w:val="0"/>
              <w:adjustRightInd w:val="0"/>
              <w:spacing w:after="120"/>
              <w:jc w:val="center"/>
              <w:rPr>
                <w:rFonts w:ascii="Arial" w:hAnsi="Arial" w:cs="Arial"/>
                <w:b/>
                <w:sz w:val="24"/>
                <w:szCs w:val="24"/>
              </w:rPr>
            </w:pPr>
            <w:r w:rsidRPr="00DD647D">
              <w:rPr>
                <w:rFonts w:ascii="Arial" w:hAnsi="Arial" w:cs="Arial"/>
                <w:b/>
                <w:sz w:val="24"/>
                <w:szCs w:val="24"/>
              </w:rPr>
              <w:t xml:space="preserve">At </w:t>
            </w:r>
            <w:r w:rsidRPr="00DD647D">
              <w:rPr>
                <w:rFonts w:ascii="Arial" w:hAnsi="Arial" w:cs="Arial"/>
                <w:b/>
                <w:sz w:val="24"/>
                <w:szCs w:val="24"/>
              </w:rPr>
              <w:br/>
              <w:t xml:space="preserve">31 Aug </w:t>
            </w:r>
            <w:r>
              <w:rPr>
                <w:rFonts w:ascii="Arial" w:hAnsi="Arial" w:cs="Arial"/>
                <w:b/>
                <w:sz w:val="24"/>
                <w:szCs w:val="24"/>
              </w:rPr>
              <w:t>20</w:t>
            </w:r>
            <w:r w:rsidRPr="00DD647D">
              <w:rPr>
                <w:rFonts w:ascii="Arial" w:hAnsi="Arial" w:cs="Arial"/>
                <w:b/>
                <w:sz w:val="24"/>
                <w:szCs w:val="24"/>
              </w:rPr>
              <w:t>20</w:t>
            </w:r>
            <w:r w:rsidRPr="00DD647D">
              <w:rPr>
                <w:rFonts w:ascii="Arial" w:hAnsi="Arial" w:cs="Arial"/>
                <w:b/>
                <w:sz w:val="24"/>
                <w:szCs w:val="24"/>
              </w:rPr>
              <w:br/>
              <w:t>£m</w:t>
            </w:r>
          </w:p>
        </w:tc>
        <w:tc>
          <w:tcPr>
            <w:tcW w:w="1091" w:type="dxa"/>
          </w:tcPr>
          <w:p w14:paraId="22FC215D" w14:textId="77777777" w:rsidR="00D5584F" w:rsidRPr="00DD647D" w:rsidRDefault="00D5584F" w:rsidP="00DE75C9">
            <w:pPr>
              <w:keepLines/>
              <w:widowControl w:val="0"/>
              <w:autoSpaceDE w:val="0"/>
              <w:autoSpaceDN w:val="0"/>
              <w:adjustRightInd w:val="0"/>
              <w:spacing w:after="120"/>
              <w:jc w:val="center"/>
              <w:rPr>
                <w:rFonts w:ascii="Arial" w:hAnsi="Arial" w:cs="Arial"/>
                <w:sz w:val="24"/>
                <w:szCs w:val="24"/>
              </w:rPr>
            </w:pPr>
            <w:r w:rsidRPr="00DD647D">
              <w:rPr>
                <w:rFonts w:ascii="Arial" w:hAnsi="Arial" w:cs="Arial"/>
                <w:b/>
                <w:sz w:val="24"/>
                <w:szCs w:val="24"/>
              </w:rPr>
              <w:t xml:space="preserve">At </w:t>
            </w:r>
            <w:r w:rsidRPr="00DD647D">
              <w:rPr>
                <w:rFonts w:ascii="Arial" w:hAnsi="Arial" w:cs="Arial"/>
                <w:b/>
                <w:sz w:val="24"/>
                <w:szCs w:val="24"/>
              </w:rPr>
              <w:br/>
              <w:t xml:space="preserve">31 Aug </w:t>
            </w:r>
            <w:r>
              <w:rPr>
                <w:rFonts w:ascii="Arial" w:hAnsi="Arial" w:cs="Arial"/>
                <w:b/>
                <w:sz w:val="24"/>
                <w:szCs w:val="24"/>
              </w:rPr>
              <w:t>20</w:t>
            </w:r>
            <w:r w:rsidRPr="00DD647D">
              <w:rPr>
                <w:rFonts w:ascii="Arial" w:hAnsi="Arial" w:cs="Arial"/>
                <w:b/>
                <w:sz w:val="24"/>
                <w:szCs w:val="24"/>
              </w:rPr>
              <w:t>19</w:t>
            </w:r>
            <w:r w:rsidRPr="00DD647D">
              <w:rPr>
                <w:rFonts w:ascii="Arial" w:hAnsi="Arial" w:cs="Arial"/>
                <w:b/>
                <w:sz w:val="24"/>
                <w:szCs w:val="24"/>
              </w:rPr>
              <w:br/>
              <w:t>£m</w:t>
            </w:r>
          </w:p>
        </w:tc>
      </w:tr>
      <w:tr w:rsidR="00D5584F" w:rsidRPr="00DD647D" w14:paraId="3B993F0B" w14:textId="77777777" w:rsidTr="00DE75C9">
        <w:tc>
          <w:tcPr>
            <w:tcW w:w="2127" w:type="dxa"/>
          </w:tcPr>
          <w:p w14:paraId="237CB9B0" w14:textId="77777777" w:rsidR="00D5584F" w:rsidRPr="00DD647D" w:rsidRDefault="00D5584F" w:rsidP="00DE75C9">
            <w:pPr>
              <w:keepLines/>
              <w:widowControl w:val="0"/>
              <w:autoSpaceDE w:val="0"/>
              <w:autoSpaceDN w:val="0"/>
              <w:adjustRightInd w:val="0"/>
              <w:spacing w:after="120"/>
              <w:jc w:val="both"/>
              <w:rPr>
                <w:rFonts w:ascii="Arial" w:hAnsi="Arial" w:cs="Arial"/>
                <w:sz w:val="24"/>
                <w:szCs w:val="24"/>
              </w:rPr>
            </w:pPr>
            <w:r w:rsidRPr="00DD647D">
              <w:rPr>
                <w:rFonts w:ascii="Arial" w:hAnsi="Arial" w:cs="Arial"/>
                <w:sz w:val="24"/>
                <w:szCs w:val="24"/>
              </w:rPr>
              <w:t>Total unrestricted reserves</w:t>
            </w:r>
          </w:p>
        </w:tc>
        <w:tc>
          <w:tcPr>
            <w:tcW w:w="1091" w:type="dxa"/>
          </w:tcPr>
          <w:p w14:paraId="02EC4A84" w14:textId="77777777" w:rsidR="00D5584F" w:rsidRPr="00DD647D" w:rsidRDefault="00D5584F" w:rsidP="00DE75C9">
            <w:pPr>
              <w:keepLines/>
              <w:widowControl w:val="0"/>
              <w:tabs>
                <w:tab w:val="decimal" w:pos="500"/>
              </w:tabs>
              <w:autoSpaceDE w:val="0"/>
              <w:autoSpaceDN w:val="0"/>
              <w:adjustRightInd w:val="0"/>
              <w:spacing w:after="120"/>
              <w:jc w:val="center"/>
              <w:rPr>
                <w:rFonts w:ascii="Arial" w:hAnsi="Arial" w:cs="Arial"/>
                <w:sz w:val="24"/>
                <w:szCs w:val="24"/>
              </w:rPr>
            </w:pPr>
            <w:r>
              <w:rPr>
                <w:rFonts w:ascii="Arial" w:hAnsi="Arial" w:cs="Arial"/>
                <w:sz w:val="24"/>
                <w:szCs w:val="24"/>
              </w:rPr>
              <w:t>(39.6</w:t>
            </w:r>
            <w:r w:rsidRPr="00DD647D">
              <w:rPr>
                <w:rFonts w:ascii="Arial" w:hAnsi="Arial" w:cs="Arial"/>
                <w:sz w:val="24"/>
                <w:szCs w:val="24"/>
              </w:rPr>
              <w:t>)</w:t>
            </w:r>
          </w:p>
        </w:tc>
        <w:tc>
          <w:tcPr>
            <w:tcW w:w="1091" w:type="dxa"/>
          </w:tcPr>
          <w:p w14:paraId="3DF3588F" w14:textId="77777777" w:rsidR="00D5584F" w:rsidRPr="00DD647D" w:rsidRDefault="00D5584F" w:rsidP="00DE75C9">
            <w:pPr>
              <w:keepLines/>
              <w:widowControl w:val="0"/>
              <w:tabs>
                <w:tab w:val="decimal" w:pos="500"/>
              </w:tabs>
              <w:autoSpaceDE w:val="0"/>
              <w:autoSpaceDN w:val="0"/>
              <w:adjustRightInd w:val="0"/>
              <w:spacing w:after="120"/>
              <w:jc w:val="center"/>
              <w:rPr>
                <w:rFonts w:ascii="Arial" w:hAnsi="Arial" w:cs="Arial"/>
                <w:sz w:val="24"/>
                <w:szCs w:val="24"/>
              </w:rPr>
            </w:pPr>
            <w:r w:rsidRPr="00DD647D">
              <w:rPr>
                <w:rFonts w:ascii="Arial" w:hAnsi="Arial" w:cs="Arial"/>
                <w:sz w:val="24"/>
                <w:szCs w:val="24"/>
              </w:rPr>
              <w:t>(23.4)</w:t>
            </w:r>
          </w:p>
        </w:tc>
      </w:tr>
      <w:tr w:rsidR="00D5584F" w:rsidRPr="00DD647D" w14:paraId="719778AA" w14:textId="77777777" w:rsidTr="00DE75C9">
        <w:tc>
          <w:tcPr>
            <w:tcW w:w="2127" w:type="dxa"/>
          </w:tcPr>
          <w:p w14:paraId="0114525B" w14:textId="77777777" w:rsidR="00D5584F" w:rsidRPr="00DD647D" w:rsidRDefault="00D5584F" w:rsidP="00DE75C9">
            <w:pPr>
              <w:keepLines/>
              <w:widowControl w:val="0"/>
              <w:autoSpaceDE w:val="0"/>
              <w:autoSpaceDN w:val="0"/>
              <w:adjustRightInd w:val="0"/>
              <w:spacing w:after="120"/>
              <w:jc w:val="both"/>
              <w:rPr>
                <w:rFonts w:ascii="Arial" w:hAnsi="Arial" w:cs="Arial"/>
                <w:sz w:val="24"/>
                <w:szCs w:val="24"/>
              </w:rPr>
            </w:pPr>
            <w:r w:rsidRPr="00DD647D">
              <w:rPr>
                <w:rFonts w:ascii="Arial" w:hAnsi="Arial" w:cs="Arial"/>
                <w:sz w:val="24"/>
                <w:szCs w:val="24"/>
              </w:rPr>
              <w:t xml:space="preserve">Less: Designated funds </w:t>
            </w:r>
          </w:p>
        </w:tc>
        <w:tc>
          <w:tcPr>
            <w:tcW w:w="1091" w:type="dxa"/>
          </w:tcPr>
          <w:p w14:paraId="03A819DF" w14:textId="77777777" w:rsidR="00D5584F" w:rsidRPr="00DD647D" w:rsidRDefault="00D5584F" w:rsidP="00DE75C9">
            <w:pPr>
              <w:keepLines/>
              <w:widowControl w:val="0"/>
              <w:tabs>
                <w:tab w:val="decimal" w:pos="500"/>
              </w:tabs>
              <w:autoSpaceDE w:val="0"/>
              <w:autoSpaceDN w:val="0"/>
              <w:adjustRightInd w:val="0"/>
              <w:spacing w:after="120"/>
              <w:jc w:val="center"/>
              <w:rPr>
                <w:rFonts w:ascii="Arial" w:hAnsi="Arial" w:cs="Arial"/>
                <w:sz w:val="24"/>
                <w:szCs w:val="24"/>
              </w:rPr>
            </w:pPr>
            <w:r w:rsidRPr="00DD647D">
              <w:rPr>
                <w:rFonts w:ascii="Arial" w:hAnsi="Arial" w:cs="Arial"/>
                <w:sz w:val="24"/>
                <w:szCs w:val="24"/>
              </w:rPr>
              <w:t>(1.5)</w:t>
            </w:r>
          </w:p>
        </w:tc>
        <w:tc>
          <w:tcPr>
            <w:tcW w:w="1091" w:type="dxa"/>
          </w:tcPr>
          <w:p w14:paraId="62F524F3" w14:textId="77777777" w:rsidR="00D5584F" w:rsidRPr="00DD647D" w:rsidRDefault="00D5584F" w:rsidP="00DE75C9">
            <w:pPr>
              <w:keepLines/>
              <w:widowControl w:val="0"/>
              <w:tabs>
                <w:tab w:val="decimal" w:pos="500"/>
              </w:tabs>
              <w:autoSpaceDE w:val="0"/>
              <w:autoSpaceDN w:val="0"/>
              <w:adjustRightInd w:val="0"/>
              <w:spacing w:after="120"/>
              <w:jc w:val="center"/>
              <w:rPr>
                <w:rFonts w:ascii="Arial" w:hAnsi="Arial" w:cs="Arial"/>
                <w:sz w:val="24"/>
                <w:szCs w:val="24"/>
              </w:rPr>
            </w:pPr>
            <w:r w:rsidRPr="00DD647D">
              <w:rPr>
                <w:rFonts w:ascii="Arial" w:hAnsi="Arial" w:cs="Arial"/>
                <w:sz w:val="24"/>
                <w:szCs w:val="24"/>
              </w:rPr>
              <w:t>(1.7)</w:t>
            </w:r>
          </w:p>
        </w:tc>
      </w:tr>
      <w:tr w:rsidR="00D5584F" w:rsidRPr="00DD647D" w14:paraId="2AF91084" w14:textId="77777777" w:rsidTr="00DE75C9">
        <w:tc>
          <w:tcPr>
            <w:tcW w:w="2127" w:type="dxa"/>
          </w:tcPr>
          <w:p w14:paraId="5AFD1269" w14:textId="77777777" w:rsidR="00D5584F" w:rsidRPr="00DD647D" w:rsidRDefault="00D5584F" w:rsidP="00DE75C9">
            <w:pPr>
              <w:keepLines/>
              <w:widowControl w:val="0"/>
              <w:autoSpaceDE w:val="0"/>
              <w:autoSpaceDN w:val="0"/>
              <w:adjustRightInd w:val="0"/>
              <w:spacing w:after="120"/>
              <w:jc w:val="both"/>
              <w:rPr>
                <w:rFonts w:ascii="Arial" w:hAnsi="Arial" w:cs="Arial"/>
                <w:sz w:val="24"/>
                <w:szCs w:val="24"/>
              </w:rPr>
            </w:pPr>
            <w:r w:rsidRPr="00DD647D">
              <w:rPr>
                <w:rFonts w:ascii="Arial" w:hAnsi="Arial" w:cs="Arial"/>
                <w:sz w:val="24"/>
                <w:szCs w:val="24"/>
              </w:rPr>
              <w:t>Add: Pension liability</w:t>
            </w:r>
          </w:p>
        </w:tc>
        <w:tc>
          <w:tcPr>
            <w:tcW w:w="1091" w:type="dxa"/>
          </w:tcPr>
          <w:p w14:paraId="39B81B57" w14:textId="77777777" w:rsidR="00D5584F" w:rsidRPr="00DD647D" w:rsidRDefault="00D5584F" w:rsidP="00DE75C9">
            <w:pPr>
              <w:keepLines/>
              <w:widowControl w:val="0"/>
              <w:tabs>
                <w:tab w:val="decimal" w:pos="500"/>
              </w:tabs>
              <w:autoSpaceDE w:val="0"/>
              <w:autoSpaceDN w:val="0"/>
              <w:adjustRightInd w:val="0"/>
              <w:spacing w:after="120"/>
              <w:jc w:val="center"/>
              <w:rPr>
                <w:rFonts w:ascii="Arial" w:hAnsi="Arial" w:cs="Arial"/>
                <w:sz w:val="24"/>
                <w:szCs w:val="24"/>
              </w:rPr>
            </w:pPr>
            <w:r w:rsidRPr="00DD647D">
              <w:rPr>
                <w:rFonts w:ascii="Arial" w:hAnsi="Arial" w:cs="Arial"/>
                <w:sz w:val="24"/>
                <w:szCs w:val="24"/>
              </w:rPr>
              <w:t>64.7</w:t>
            </w:r>
          </w:p>
        </w:tc>
        <w:tc>
          <w:tcPr>
            <w:tcW w:w="1091" w:type="dxa"/>
          </w:tcPr>
          <w:p w14:paraId="66FDA03C" w14:textId="77777777" w:rsidR="00D5584F" w:rsidRPr="00DD647D" w:rsidRDefault="00D5584F" w:rsidP="00DE75C9">
            <w:pPr>
              <w:keepLines/>
              <w:widowControl w:val="0"/>
              <w:tabs>
                <w:tab w:val="decimal" w:pos="500"/>
              </w:tabs>
              <w:autoSpaceDE w:val="0"/>
              <w:autoSpaceDN w:val="0"/>
              <w:adjustRightInd w:val="0"/>
              <w:spacing w:after="120"/>
              <w:jc w:val="center"/>
              <w:rPr>
                <w:rFonts w:ascii="Arial" w:hAnsi="Arial" w:cs="Arial"/>
                <w:sz w:val="24"/>
                <w:szCs w:val="24"/>
              </w:rPr>
            </w:pPr>
            <w:r w:rsidRPr="00DD647D">
              <w:rPr>
                <w:rFonts w:ascii="Arial" w:hAnsi="Arial" w:cs="Arial"/>
                <w:sz w:val="24"/>
                <w:szCs w:val="24"/>
              </w:rPr>
              <w:t>60.5</w:t>
            </w:r>
          </w:p>
        </w:tc>
      </w:tr>
      <w:tr w:rsidR="00D5584F" w:rsidRPr="00DD647D" w14:paraId="07B05E48" w14:textId="77777777" w:rsidTr="00DE75C9">
        <w:tc>
          <w:tcPr>
            <w:tcW w:w="2127" w:type="dxa"/>
          </w:tcPr>
          <w:p w14:paraId="2FFB4EF4" w14:textId="77777777" w:rsidR="00D5584F" w:rsidRPr="00DD647D" w:rsidRDefault="00D5584F" w:rsidP="00DE75C9">
            <w:pPr>
              <w:keepLines/>
              <w:widowControl w:val="0"/>
              <w:autoSpaceDE w:val="0"/>
              <w:autoSpaceDN w:val="0"/>
              <w:adjustRightInd w:val="0"/>
              <w:spacing w:after="240"/>
              <w:jc w:val="both"/>
              <w:rPr>
                <w:rFonts w:ascii="Arial" w:hAnsi="Arial" w:cs="Arial"/>
                <w:b/>
                <w:sz w:val="24"/>
                <w:szCs w:val="24"/>
              </w:rPr>
            </w:pPr>
            <w:r w:rsidRPr="00DD647D">
              <w:rPr>
                <w:rFonts w:ascii="Arial" w:hAnsi="Arial" w:cs="Arial"/>
                <w:b/>
                <w:sz w:val="24"/>
                <w:szCs w:val="24"/>
              </w:rPr>
              <w:t>Free reserves</w:t>
            </w:r>
          </w:p>
        </w:tc>
        <w:tc>
          <w:tcPr>
            <w:tcW w:w="1091" w:type="dxa"/>
          </w:tcPr>
          <w:p w14:paraId="5710A68E" w14:textId="77777777" w:rsidR="00D5584F" w:rsidRPr="00DD647D" w:rsidRDefault="00D5584F" w:rsidP="00DE75C9">
            <w:pPr>
              <w:keepLines/>
              <w:widowControl w:val="0"/>
              <w:pBdr>
                <w:top w:val="single" w:sz="4" w:space="0" w:color="auto"/>
                <w:bottom w:val="double" w:sz="4" w:space="0" w:color="auto"/>
              </w:pBdr>
              <w:tabs>
                <w:tab w:val="decimal" w:pos="500"/>
              </w:tabs>
              <w:autoSpaceDE w:val="0"/>
              <w:autoSpaceDN w:val="0"/>
              <w:adjustRightInd w:val="0"/>
              <w:spacing w:after="240"/>
              <w:jc w:val="center"/>
              <w:rPr>
                <w:rFonts w:ascii="Arial" w:hAnsi="Arial" w:cs="Arial"/>
                <w:b/>
                <w:sz w:val="24"/>
                <w:szCs w:val="24"/>
              </w:rPr>
            </w:pPr>
            <w:r>
              <w:rPr>
                <w:rFonts w:ascii="Arial" w:hAnsi="Arial" w:cs="Arial"/>
                <w:b/>
                <w:sz w:val="24"/>
                <w:szCs w:val="24"/>
              </w:rPr>
              <w:t>23.6</w:t>
            </w:r>
          </w:p>
        </w:tc>
        <w:tc>
          <w:tcPr>
            <w:tcW w:w="1091" w:type="dxa"/>
          </w:tcPr>
          <w:p w14:paraId="34D26D1A" w14:textId="77777777" w:rsidR="00D5584F" w:rsidRPr="00DD647D" w:rsidRDefault="00D5584F" w:rsidP="00DE75C9">
            <w:pPr>
              <w:keepLines/>
              <w:widowControl w:val="0"/>
              <w:pBdr>
                <w:top w:val="single" w:sz="4" w:space="0" w:color="auto"/>
                <w:bottom w:val="double" w:sz="4" w:space="0" w:color="auto"/>
              </w:pBdr>
              <w:tabs>
                <w:tab w:val="decimal" w:pos="500"/>
              </w:tabs>
              <w:autoSpaceDE w:val="0"/>
              <w:autoSpaceDN w:val="0"/>
              <w:adjustRightInd w:val="0"/>
              <w:spacing w:after="240"/>
              <w:jc w:val="center"/>
              <w:rPr>
                <w:rFonts w:ascii="Arial" w:hAnsi="Arial" w:cs="Arial"/>
                <w:sz w:val="24"/>
                <w:szCs w:val="24"/>
              </w:rPr>
            </w:pPr>
            <w:r w:rsidRPr="00DD647D">
              <w:rPr>
                <w:rFonts w:ascii="Arial" w:hAnsi="Arial" w:cs="Arial"/>
                <w:sz w:val="24"/>
                <w:szCs w:val="24"/>
              </w:rPr>
              <w:t>35.4</w:t>
            </w:r>
          </w:p>
        </w:tc>
      </w:tr>
    </w:tbl>
    <w:p w14:paraId="141DAFD9" w14:textId="77777777" w:rsidR="00D5584F" w:rsidRPr="00DD647D" w:rsidRDefault="00D5584F" w:rsidP="00D5584F">
      <w:pPr>
        <w:spacing w:after="240" w:line="240" w:lineRule="auto"/>
        <w:jc w:val="both"/>
        <w:rPr>
          <w:rFonts w:ascii="Arial" w:eastAsia="MS Mincho" w:hAnsi="Arial" w:cs="Arial"/>
          <w:sz w:val="24"/>
          <w:szCs w:val="24"/>
          <w:lang w:val="en-US"/>
        </w:rPr>
      </w:pPr>
      <w:r w:rsidRPr="00DD647D">
        <w:rPr>
          <w:rFonts w:ascii="Arial" w:eastAsia="MS Mincho" w:hAnsi="Arial" w:cs="Arial"/>
          <w:sz w:val="24"/>
          <w:szCs w:val="24"/>
          <w:lang w:val="en-US"/>
        </w:rPr>
        <w:t xml:space="preserve">The decrease in Free Reserves is predominantly a reflection of the </w:t>
      </w:r>
      <w:proofErr w:type="spellStart"/>
      <w:r w:rsidRPr="00DD647D">
        <w:rPr>
          <w:rFonts w:ascii="Arial" w:eastAsia="MS Mincho" w:hAnsi="Arial" w:cs="Arial"/>
          <w:sz w:val="24"/>
          <w:szCs w:val="24"/>
          <w:lang w:val="en-US"/>
        </w:rPr>
        <w:t>amortisation</w:t>
      </w:r>
      <w:proofErr w:type="spellEnd"/>
      <w:r w:rsidRPr="00DD647D">
        <w:rPr>
          <w:rFonts w:ascii="Arial" w:eastAsia="MS Mincho" w:hAnsi="Arial" w:cs="Arial"/>
          <w:sz w:val="24"/>
          <w:szCs w:val="24"/>
          <w:lang w:val="en-US"/>
        </w:rPr>
        <w:t xml:space="preserve"> of the goodwill created from</w:t>
      </w:r>
      <w:r>
        <w:rPr>
          <w:rFonts w:ascii="Arial" w:eastAsia="MS Mincho" w:hAnsi="Arial" w:cs="Arial"/>
          <w:sz w:val="24"/>
          <w:szCs w:val="24"/>
          <w:lang w:val="en-US"/>
        </w:rPr>
        <w:t xml:space="preserve"> the acquisition of Prospects and movement in unrestricted reserves.</w:t>
      </w:r>
    </w:p>
    <w:p w14:paraId="51EFDA71" w14:textId="77777777" w:rsidR="00D5584F" w:rsidRPr="00DD647D" w:rsidRDefault="00D5584F" w:rsidP="00D5584F">
      <w:pPr>
        <w:spacing w:after="240" w:line="240" w:lineRule="auto"/>
        <w:jc w:val="both"/>
        <w:rPr>
          <w:rFonts w:ascii="Arial" w:eastAsia="MS Mincho" w:hAnsi="Arial" w:cs="Arial"/>
          <w:sz w:val="24"/>
          <w:szCs w:val="24"/>
          <w:lang w:val="en-US"/>
        </w:rPr>
      </w:pPr>
      <w:r w:rsidRPr="00DD647D">
        <w:rPr>
          <w:rFonts w:ascii="Arial" w:eastAsia="MS Mincho" w:hAnsi="Arial" w:cs="Arial"/>
          <w:sz w:val="24"/>
          <w:szCs w:val="24"/>
          <w:lang w:val="en-US"/>
        </w:rPr>
        <w:t>In addition to a suggested level of free reserves, the Trust’s policy stipulates a minimum level of cash holding requirement to meet the following scenarios, including:</w:t>
      </w:r>
    </w:p>
    <w:p w14:paraId="799C0D3E" w14:textId="77777777" w:rsidR="00D5584F" w:rsidRPr="00DD647D" w:rsidRDefault="00D5584F" w:rsidP="00D5584F">
      <w:pPr>
        <w:numPr>
          <w:ilvl w:val="0"/>
          <w:numId w:val="12"/>
        </w:numPr>
        <w:spacing w:after="240" w:line="240" w:lineRule="auto"/>
        <w:contextualSpacing/>
        <w:jc w:val="both"/>
        <w:rPr>
          <w:rFonts w:ascii="Arial" w:eastAsia="Cambria" w:hAnsi="Arial" w:cs="Arial"/>
          <w:sz w:val="24"/>
          <w:szCs w:val="24"/>
        </w:rPr>
      </w:pPr>
      <w:r w:rsidRPr="00DD647D">
        <w:rPr>
          <w:rFonts w:ascii="Arial" w:eastAsia="Cambria" w:hAnsi="Arial" w:cs="Arial"/>
          <w:sz w:val="24"/>
          <w:szCs w:val="24"/>
        </w:rPr>
        <w:t>A delay in collection of receipts</w:t>
      </w:r>
    </w:p>
    <w:p w14:paraId="72B50ED0" w14:textId="77777777" w:rsidR="00D5584F" w:rsidRPr="00DD647D" w:rsidRDefault="00D5584F" w:rsidP="00D5584F">
      <w:pPr>
        <w:numPr>
          <w:ilvl w:val="0"/>
          <w:numId w:val="12"/>
        </w:numPr>
        <w:spacing w:after="240" w:line="240" w:lineRule="auto"/>
        <w:contextualSpacing/>
        <w:jc w:val="both"/>
        <w:rPr>
          <w:rFonts w:ascii="Arial" w:eastAsia="Cambria" w:hAnsi="Arial" w:cs="Arial"/>
          <w:sz w:val="24"/>
          <w:szCs w:val="24"/>
        </w:rPr>
      </w:pPr>
      <w:r w:rsidRPr="00DD647D">
        <w:rPr>
          <w:rFonts w:ascii="Arial" w:eastAsia="Cambria" w:hAnsi="Arial" w:cs="Arial"/>
          <w:sz w:val="24"/>
          <w:szCs w:val="24"/>
        </w:rPr>
        <w:t>Exceptional payments of costs</w:t>
      </w:r>
    </w:p>
    <w:p w14:paraId="2706352E" w14:textId="77777777" w:rsidR="00D5584F" w:rsidRPr="009B1711" w:rsidRDefault="00D5584F" w:rsidP="00D5584F">
      <w:pPr>
        <w:numPr>
          <w:ilvl w:val="0"/>
          <w:numId w:val="12"/>
        </w:numPr>
        <w:spacing w:after="240" w:line="240" w:lineRule="auto"/>
        <w:contextualSpacing/>
        <w:jc w:val="both"/>
        <w:rPr>
          <w:rFonts w:ascii="Arial" w:eastAsia="MS Mincho" w:hAnsi="Arial" w:cs="Arial"/>
          <w:sz w:val="24"/>
          <w:szCs w:val="24"/>
          <w:lang w:val="en-US"/>
        </w:rPr>
      </w:pPr>
      <w:r w:rsidRPr="009B1711">
        <w:rPr>
          <w:rFonts w:ascii="Arial" w:eastAsia="Cambria" w:hAnsi="Arial" w:cs="Arial"/>
          <w:sz w:val="24"/>
          <w:szCs w:val="24"/>
        </w:rPr>
        <w:t xml:space="preserve">A significant financial impact or loss of business </w:t>
      </w:r>
    </w:p>
    <w:p w14:paraId="3432E3AD" w14:textId="77777777" w:rsidR="00D5584F" w:rsidRPr="009B1711" w:rsidRDefault="00D5584F" w:rsidP="00D5584F">
      <w:pPr>
        <w:spacing w:after="240" w:line="240" w:lineRule="auto"/>
        <w:ind w:left="720"/>
        <w:contextualSpacing/>
        <w:jc w:val="both"/>
        <w:rPr>
          <w:rFonts w:ascii="Arial" w:eastAsia="MS Mincho" w:hAnsi="Arial" w:cs="Arial"/>
          <w:sz w:val="24"/>
          <w:szCs w:val="24"/>
          <w:lang w:val="en-US"/>
        </w:rPr>
      </w:pPr>
    </w:p>
    <w:p w14:paraId="1F554602" w14:textId="77777777" w:rsidR="00D5584F" w:rsidRPr="00DD647D" w:rsidRDefault="00D5584F" w:rsidP="00D5584F">
      <w:pPr>
        <w:spacing w:after="240" w:line="240" w:lineRule="auto"/>
        <w:jc w:val="both"/>
        <w:rPr>
          <w:rFonts w:ascii="Arial" w:eastAsia="MS Mincho" w:hAnsi="Arial" w:cs="Arial"/>
          <w:sz w:val="24"/>
          <w:szCs w:val="24"/>
          <w:lang w:val="en-US"/>
        </w:rPr>
      </w:pPr>
      <w:r w:rsidRPr="00DD647D">
        <w:rPr>
          <w:rFonts w:ascii="Arial" w:eastAsia="MS Mincho" w:hAnsi="Arial" w:cs="Arial"/>
          <w:sz w:val="24"/>
          <w:szCs w:val="24"/>
          <w:lang w:val="en-US"/>
        </w:rPr>
        <w:t xml:space="preserve">Detailed review of the risk and stress testing has been undertaken to assess the risk of a significant contract loss and </w:t>
      </w:r>
      <w:r w:rsidRPr="00DD647D">
        <w:rPr>
          <w:rFonts w:ascii="Arial" w:eastAsia="MS Mincho" w:hAnsi="Arial" w:cs="Arial"/>
          <w:sz w:val="24"/>
          <w:szCs w:val="24"/>
          <w:lang w:val="en-US"/>
        </w:rPr>
        <w:t>the mitigation steps available to management. The Trustees have considered the level of cash reserve required and consider it appropriate given the current resources and activities of the Trust.</w:t>
      </w:r>
    </w:p>
    <w:p w14:paraId="256B6C42" w14:textId="77777777" w:rsidR="00D5584F" w:rsidRPr="00DD647D" w:rsidRDefault="00D5584F" w:rsidP="00D5584F">
      <w:pPr>
        <w:keepLines/>
        <w:widowControl w:val="0"/>
        <w:tabs>
          <w:tab w:val="left" w:pos="567"/>
        </w:tabs>
        <w:autoSpaceDE w:val="0"/>
        <w:autoSpaceDN w:val="0"/>
        <w:adjustRightInd w:val="0"/>
        <w:spacing w:after="240" w:line="240" w:lineRule="auto"/>
        <w:jc w:val="both"/>
        <w:rPr>
          <w:rFonts w:ascii="Arial" w:hAnsi="Arial" w:cs="Arial"/>
          <w:sz w:val="24"/>
          <w:szCs w:val="24"/>
        </w:rPr>
      </w:pPr>
      <w:r w:rsidRPr="00DD647D">
        <w:rPr>
          <w:rFonts w:ascii="Arial" w:hAnsi="Arial" w:cs="Arial"/>
          <w:b/>
          <w:sz w:val="24"/>
          <w:szCs w:val="24"/>
        </w:rPr>
        <w:t>3. Pension Schemes</w:t>
      </w:r>
    </w:p>
    <w:p w14:paraId="2524D5ED" w14:textId="77777777" w:rsidR="00D5584F" w:rsidRPr="00DD647D" w:rsidRDefault="00D5584F" w:rsidP="00D5584F">
      <w:pPr>
        <w:keepLines/>
        <w:widowControl w:val="0"/>
        <w:tabs>
          <w:tab w:val="left" w:pos="567"/>
        </w:tabs>
        <w:autoSpaceDE w:val="0"/>
        <w:autoSpaceDN w:val="0"/>
        <w:adjustRightInd w:val="0"/>
        <w:spacing w:after="240" w:line="240" w:lineRule="auto"/>
        <w:jc w:val="both"/>
        <w:rPr>
          <w:rFonts w:ascii="Arial" w:hAnsi="Arial" w:cs="Arial"/>
          <w:sz w:val="24"/>
          <w:szCs w:val="24"/>
        </w:rPr>
      </w:pPr>
      <w:r w:rsidRPr="00DD647D">
        <w:rPr>
          <w:rFonts w:ascii="Arial" w:hAnsi="Arial" w:cs="Arial"/>
          <w:sz w:val="24"/>
          <w:szCs w:val="24"/>
        </w:rPr>
        <w:t xml:space="preserve">The valuation of the Trusts pension schemes at 31 August 2020, for the purposes of FRS102, showed a funding deficit of £113.1m (2018/19 £93.6m).  The increase reflects pension liabilities taken on with an additional 5 </w:t>
      </w:r>
      <w:r>
        <w:rPr>
          <w:rFonts w:ascii="Arial" w:hAnsi="Arial" w:cs="Arial"/>
          <w:sz w:val="24"/>
          <w:szCs w:val="24"/>
        </w:rPr>
        <w:t>academies</w:t>
      </w:r>
      <w:r w:rsidRPr="00DD647D">
        <w:rPr>
          <w:rFonts w:ascii="Arial" w:hAnsi="Arial" w:cs="Arial"/>
          <w:sz w:val="24"/>
          <w:szCs w:val="24"/>
        </w:rPr>
        <w:t xml:space="preserve"> within Shaw Education Trust, and also a significant change in actuarial assumptions over the prior year, in particular a reduction in the discount rate. </w:t>
      </w:r>
    </w:p>
    <w:p w14:paraId="112FB68C" w14:textId="77777777" w:rsidR="00D5584F" w:rsidRDefault="00D5584F" w:rsidP="00D5584F">
      <w:pPr>
        <w:keepLines/>
        <w:widowControl w:val="0"/>
        <w:tabs>
          <w:tab w:val="left" w:pos="567"/>
        </w:tabs>
        <w:autoSpaceDE w:val="0"/>
        <w:autoSpaceDN w:val="0"/>
        <w:adjustRightInd w:val="0"/>
        <w:spacing w:after="240" w:line="240" w:lineRule="auto"/>
        <w:jc w:val="both"/>
        <w:rPr>
          <w:rFonts w:ascii="Arial" w:hAnsi="Arial" w:cs="Arial"/>
          <w:sz w:val="24"/>
          <w:szCs w:val="24"/>
        </w:rPr>
      </w:pPr>
      <w:r w:rsidRPr="00DD647D">
        <w:rPr>
          <w:rFonts w:ascii="Arial" w:hAnsi="Arial" w:cs="Arial"/>
          <w:sz w:val="24"/>
          <w:szCs w:val="24"/>
        </w:rPr>
        <w:t>The Trust monitors the size of the pension deficit and feels that there is sufficient income and cash</w:t>
      </w:r>
      <w:r>
        <w:rPr>
          <w:rFonts w:ascii="Arial" w:hAnsi="Arial" w:cs="Arial"/>
          <w:sz w:val="24"/>
          <w:szCs w:val="24"/>
        </w:rPr>
        <w:t xml:space="preserve"> </w:t>
      </w:r>
      <w:r w:rsidRPr="00DD647D">
        <w:rPr>
          <w:rFonts w:ascii="Arial" w:hAnsi="Arial" w:cs="Arial"/>
          <w:sz w:val="24"/>
          <w:szCs w:val="24"/>
        </w:rPr>
        <w:t xml:space="preserve">flow in future years to service the requirement of these schemes.  </w:t>
      </w:r>
    </w:p>
    <w:p w14:paraId="6E7ADD57" w14:textId="77777777" w:rsidR="00D5584F" w:rsidRPr="00DD647D" w:rsidRDefault="00D5584F" w:rsidP="00D5584F">
      <w:pPr>
        <w:keepLines/>
        <w:widowControl w:val="0"/>
        <w:tabs>
          <w:tab w:val="left" w:pos="567"/>
        </w:tabs>
        <w:autoSpaceDE w:val="0"/>
        <w:autoSpaceDN w:val="0"/>
        <w:adjustRightInd w:val="0"/>
        <w:spacing w:after="240" w:line="240" w:lineRule="auto"/>
        <w:jc w:val="both"/>
        <w:rPr>
          <w:rFonts w:ascii="Arial" w:hAnsi="Arial" w:cs="Arial"/>
          <w:sz w:val="24"/>
          <w:szCs w:val="24"/>
        </w:rPr>
      </w:pPr>
      <w:r w:rsidRPr="00DD647D">
        <w:rPr>
          <w:rFonts w:ascii="Arial" w:hAnsi="Arial" w:cs="Arial"/>
          <w:sz w:val="24"/>
          <w:szCs w:val="24"/>
        </w:rPr>
        <w:t xml:space="preserve">In addition, </w:t>
      </w:r>
      <w:r>
        <w:rPr>
          <w:rFonts w:ascii="Arial" w:hAnsi="Arial" w:cs="Arial"/>
          <w:sz w:val="24"/>
          <w:szCs w:val="24"/>
        </w:rPr>
        <w:t>a significant review of pension exposure and risk was undertaken during the year. In July 2020 the Trust closed the LPFA scheme, a significant final salary scheme, to new and existing members following a detailed review and consultation with members. A</w:t>
      </w:r>
      <w:r w:rsidRPr="00DD647D">
        <w:rPr>
          <w:rFonts w:ascii="Arial" w:hAnsi="Arial" w:cs="Arial"/>
          <w:sz w:val="24"/>
          <w:szCs w:val="24"/>
        </w:rPr>
        <w:t xml:space="preserve"> long term </w:t>
      </w:r>
      <w:r>
        <w:rPr>
          <w:rFonts w:ascii="Arial" w:hAnsi="Arial" w:cs="Arial"/>
          <w:sz w:val="24"/>
          <w:szCs w:val="24"/>
        </w:rPr>
        <w:t>re</w:t>
      </w:r>
      <w:r w:rsidRPr="00DD647D">
        <w:rPr>
          <w:rFonts w:ascii="Arial" w:hAnsi="Arial" w:cs="Arial"/>
          <w:sz w:val="24"/>
          <w:szCs w:val="24"/>
        </w:rPr>
        <w:t xml:space="preserve">payments plan </w:t>
      </w:r>
      <w:r>
        <w:rPr>
          <w:rFonts w:ascii="Arial" w:hAnsi="Arial" w:cs="Arial"/>
          <w:sz w:val="24"/>
          <w:szCs w:val="24"/>
        </w:rPr>
        <w:t>has been agreed with the provider</w:t>
      </w:r>
      <w:r w:rsidRPr="00DD647D">
        <w:rPr>
          <w:rFonts w:ascii="Arial" w:hAnsi="Arial" w:cs="Arial"/>
          <w:sz w:val="24"/>
          <w:szCs w:val="24"/>
        </w:rPr>
        <w:t>.</w:t>
      </w:r>
    </w:p>
    <w:p w14:paraId="7A8A538E" w14:textId="77777777" w:rsidR="00D5584F" w:rsidRPr="00DD647D" w:rsidRDefault="00D5584F" w:rsidP="00D5584F">
      <w:pPr>
        <w:keepLines/>
        <w:widowControl w:val="0"/>
        <w:tabs>
          <w:tab w:val="left" w:pos="567"/>
        </w:tabs>
        <w:autoSpaceDE w:val="0"/>
        <w:autoSpaceDN w:val="0"/>
        <w:adjustRightInd w:val="0"/>
        <w:spacing w:after="240" w:line="240" w:lineRule="auto"/>
        <w:jc w:val="both"/>
        <w:rPr>
          <w:rFonts w:ascii="Arial" w:hAnsi="Arial" w:cs="Arial"/>
          <w:b/>
          <w:sz w:val="24"/>
          <w:szCs w:val="24"/>
        </w:rPr>
      </w:pPr>
      <w:r w:rsidRPr="00DD647D">
        <w:rPr>
          <w:rFonts w:ascii="Arial" w:hAnsi="Arial" w:cs="Arial"/>
          <w:sz w:val="24"/>
          <w:szCs w:val="24"/>
        </w:rPr>
        <w:t>The Trust has several final salary pension schemes.  SET participates in two principal schemes, the Teachers Pensions Scheme and the Local Government Pension scheme. In addition, there are a number of smaller final salary schemes.  These are detailed in note 24, Pension Commitments.</w:t>
      </w:r>
    </w:p>
    <w:p w14:paraId="27B45FA8" w14:textId="77777777" w:rsidR="00D5584F" w:rsidRDefault="00D5584F" w:rsidP="00D5584F">
      <w:pPr>
        <w:rPr>
          <w:rFonts w:ascii="Arial" w:hAnsi="Arial" w:cs="Arial"/>
          <w:b/>
          <w:i/>
          <w:sz w:val="24"/>
          <w:szCs w:val="24"/>
        </w:rPr>
      </w:pPr>
      <w:r>
        <w:rPr>
          <w:rFonts w:ascii="Arial" w:hAnsi="Arial" w:cs="Arial"/>
          <w:b/>
          <w:i/>
          <w:sz w:val="24"/>
          <w:szCs w:val="24"/>
        </w:rPr>
        <w:br w:type="page"/>
      </w:r>
    </w:p>
    <w:p w14:paraId="4DC66741" w14:textId="77777777" w:rsidR="00D5584F" w:rsidRPr="00DD647D" w:rsidRDefault="00D5584F" w:rsidP="00D5584F">
      <w:pPr>
        <w:jc w:val="both"/>
        <w:rPr>
          <w:rFonts w:ascii="Arial" w:hAnsi="Arial" w:cs="Arial"/>
          <w:sz w:val="24"/>
          <w:szCs w:val="24"/>
          <w:highlight w:val="yellow"/>
        </w:rPr>
      </w:pPr>
      <w:r w:rsidRPr="00DD647D">
        <w:rPr>
          <w:rFonts w:ascii="Arial" w:hAnsi="Arial" w:cs="Arial"/>
          <w:b/>
          <w:i/>
          <w:sz w:val="24"/>
          <w:szCs w:val="24"/>
        </w:rPr>
        <w:lastRenderedPageBreak/>
        <w:t xml:space="preserve">2. </w:t>
      </w:r>
      <w:r w:rsidRPr="00DD647D">
        <w:rPr>
          <w:rFonts w:ascii="Arial" w:hAnsi="Arial" w:cs="Arial"/>
          <w:b/>
          <w:i/>
          <w:sz w:val="24"/>
          <w:szCs w:val="24"/>
        </w:rPr>
        <w:tab/>
        <w:t>Financial review (continued)</w:t>
      </w:r>
    </w:p>
    <w:p w14:paraId="4F73FD6E" w14:textId="77777777" w:rsidR="00D5584F" w:rsidRPr="00DD647D" w:rsidRDefault="00D5584F" w:rsidP="00D5584F">
      <w:pPr>
        <w:keepLines/>
        <w:widowControl w:val="0"/>
        <w:tabs>
          <w:tab w:val="left" w:pos="567"/>
        </w:tabs>
        <w:autoSpaceDE w:val="0"/>
        <w:autoSpaceDN w:val="0"/>
        <w:adjustRightInd w:val="0"/>
        <w:spacing w:after="240" w:line="240" w:lineRule="auto"/>
        <w:jc w:val="both"/>
        <w:rPr>
          <w:rFonts w:ascii="Arial" w:hAnsi="Arial" w:cs="Arial"/>
          <w:sz w:val="24"/>
          <w:szCs w:val="24"/>
        </w:rPr>
      </w:pPr>
      <w:r w:rsidRPr="00DD647D">
        <w:rPr>
          <w:rFonts w:ascii="Arial" w:hAnsi="Arial" w:cs="Arial"/>
          <w:b/>
          <w:sz w:val="24"/>
          <w:szCs w:val="24"/>
        </w:rPr>
        <w:t>4. Risks and uncertainties</w:t>
      </w:r>
    </w:p>
    <w:p w14:paraId="2FCE567B" w14:textId="77777777" w:rsidR="00D5584F" w:rsidRPr="00DD647D" w:rsidRDefault="00D5584F" w:rsidP="00D5584F">
      <w:pPr>
        <w:keepLines/>
        <w:widowControl w:val="0"/>
        <w:autoSpaceDE w:val="0"/>
        <w:autoSpaceDN w:val="0"/>
        <w:adjustRightInd w:val="0"/>
        <w:spacing w:after="240" w:line="240" w:lineRule="auto"/>
        <w:jc w:val="both"/>
        <w:rPr>
          <w:rFonts w:ascii="Arial" w:hAnsi="Arial" w:cs="Arial"/>
          <w:sz w:val="24"/>
          <w:szCs w:val="24"/>
        </w:rPr>
      </w:pPr>
      <w:r w:rsidRPr="00DD647D">
        <w:rPr>
          <w:rFonts w:ascii="Arial" w:hAnsi="Arial" w:cs="Arial"/>
          <w:sz w:val="24"/>
          <w:szCs w:val="24"/>
        </w:rPr>
        <w:t>This subject matter is referred to in depth in the Risk Management section of Structure, Governance and Management, below.</w:t>
      </w:r>
    </w:p>
    <w:p w14:paraId="19D86748" w14:textId="77777777" w:rsidR="00D5584F" w:rsidRPr="00DD647D" w:rsidRDefault="00D5584F" w:rsidP="00D5584F">
      <w:pPr>
        <w:keepLines/>
        <w:widowControl w:val="0"/>
        <w:autoSpaceDE w:val="0"/>
        <w:autoSpaceDN w:val="0"/>
        <w:adjustRightInd w:val="0"/>
        <w:spacing w:after="240" w:line="240" w:lineRule="auto"/>
        <w:jc w:val="both"/>
        <w:rPr>
          <w:rFonts w:ascii="Arial" w:hAnsi="Arial" w:cs="Arial"/>
          <w:b/>
          <w:sz w:val="24"/>
          <w:szCs w:val="24"/>
        </w:rPr>
      </w:pPr>
      <w:r w:rsidRPr="00DD647D">
        <w:rPr>
          <w:rFonts w:ascii="Arial" w:hAnsi="Arial" w:cs="Arial"/>
          <w:b/>
          <w:sz w:val="24"/>
          <w:szCs w:val="24"/>
        </w:rPr>
        <w:t>5. Plans for the future</w:t>
      </w:r>
    </w:p>
    <w:p w14:paraId="1DFEEA48" w14:textId="77777777" w:rsidR="00D5584F" w:rsidRPr="00FA3362" w:rsidRDefault="00D5584F" w:rsidP="00D5584F">
      <w:pPr>
        <w:keepLines/>
        <w:widowControl w:val="0"/>
        <w:autoSpaceDE w:val="0"/>
        <w:autoSpaceDN w:val="0"/>
        <w:adjustRightInd w:val="0"/>
        <w:spacing w:after="240" w:line="240" w:lineRule="auto"/>
        <w:jc w:val="both"/>
        <w:rPr>
          <w:rFonts w:ascii="Arial" w:hAnsi="Arial" w:cs="Arial"/>
          <w:sz w:val="24"/>
          <w:szCs w:val="24"/>
        </w:rPr>
      </w:pPr>
      <w:r w:rsidRPr="00FA3362">
        <w:rPr>
          <w:rFonts w:ascii="Arial" w:hAnsi="Arial" w:cs="Arial"/>
          <w:sz w:val="24"/>
          <w:szCs w:val="24"/>
        </w:rPr>
        <w:t xml:space="preserve">The Trust has recently agreed a ten year strategy and objectives, outlining our ambition and commitment to deliver high quality services to the people we support and our commissioners. </w:t>
      </w:r>
    </w:p>
    <w:p w14:paraId="576E9DAD" w14:textId="77777777" w:rsidR="00D5584F" w:rsidRPr="00FA3362" w:rsidRDefault="00D5584F" w:rsidP="00D5584F">
      <w:pPr>
        <w:keepLines/>
        <w:widowControl w:val="0"/>
        <w:autoSpaceDE w:val="0"/>
        <w:autoSpaceDN w:val="0"/>
        <w:adjustRightInd w:val="0"/>
        <w:spacing w:after="240" w:line="240" w:lineRule="auto"/>
        <w:jc w:val="both"/>
        <w:rPr>
          <w:rFonts w:ascii="Arial" w:hAnsi="Arial" w:cs="Arial"/>
          <w:sz w:val="24"/>
          <w:szCs w:val="24"/>
        </w:rPr>
      </w:pPr>
      <w:r w:rsidRPr="00FA3362">
        <w:rPr>
          <w:rFonts w:ascii="Arial" w:hAnsi="Arial" w:cs="Arial"/>
          <w:sz w:val="24"/>
          <w:szCs w:val="24"/>
        </w:rPr>
        <w:t>Our Vision 2030 Strategic Directive defines the short to medium term priorities which must be met to ensure that we have an organisation fit for the next decade. It lays out how we will deploy our skills and services to offer people centred tailored support and how we will work with commercial and charitable partners to meet our commissioners’ policy objectives.</w:t>
      </w:r>
    </w:p>
    <w:p w14:paraId="49A3E7AA" w14:textId="77777777" w:rsidR="00D5584F" w:rsidRPr="00DD647D" w:rsidRDefault="00D5584F" w:rsidP="00D5584F">
      <w:pPr>
        <w:spacing w:after="240" w:line="240" w:lineRule="auto"/>
        <w:jc w:val="both"/>
        <w:rPr>
          <w:rFonts w:ascii="Arial" w:eastAsia="MS Mincho" w:hAnsi="Arial" w:cs="Arial"/>
          <w:sz w:val="24"/>
          <w:szCs w:val="24"/>
          <w:lang w:val="en-US"/>
        </w:rPr>
      </w:pPr>
      <w:r w:rsidRPr="00FA3362">
        <w:rPr>
          <w:rFonts w:ascii="Arial" w:eastAsia="MS Mincho" w:hAnsi="Arial" w:cs="Arial"/>
          <w:sz w:val="24"/>
          <w:szCs w:val="24"/>
          <w:lang w:val="en-US"/>
        </w:rPr>
        <w:t xml:space="preserve">The Trust continues to focus on </w:t>
      </w:r>
      <w:proofErr w:type="spellStart"/>
      <w:r w:rsidRPr="00FA3362">
        <w:rPr>
          <w:rFonts w:ascii="Arial" w:eastAsia="MS Mincho" w:hAnsi="Arial" w:cs="Arial"/>
          <w:sz w:val="24"/>
          <w:szCs w:val="24"/>
          <w:lang w:val="en-US"/>
        </w:rPr>
        <w:t>maximising</w:t>
      </w:r>
      <w:proofErr w:type="spellEnd"/>
      <w:r w:rsidRPr="00FA3362">
        <w:rPr>
          <w:rFonts w:ascii="Arial" w:eastAsia="MS Mincho" w:hAnsi="Arial" w:cs="Arial"/>
          <w:sz w:val="24"/>
          <w:szCs w:val="24"/>
          <w:lang w:val="en-US"/>
        </w:rPr>
        <w:t xml:space="preserve"> performance on its key contracts and as part of its strategic vision to significantly increase</w:t>
      </w:r>
      <w:r w:rsidRPr="00DD647D">
        <w:rPr>
          <w:rFonts w:ascii="Arial" w:eastAsia="MS Mincho" w:hAnsi="Arial" w:cs="Arial"/>
          <w:sz w:val="24"/>
          <w:szCs w:val="24"/>
          <w:lang w:val="en-US"/>
        </w:rPr>
        <w:t xml:space="preserve"> the number of individuals supported, is looking at growing activity in existing and new markets. </w:t>
      </w:r>
    </w:p>
    <w:p w14:paraId="2FFB3B3A" w14:textId="77777777" w:rsidR="00D5584F" w:rsidRDefault="00D5584F" w:rsidP="00D5584F">
      <w:pPr>
        <w:spacing w:after="240" w:line="240" w:lineRule="auto"/>
        <w:jc w:val="both"/>
        <w:rPr>
          <w:rFonts w:ascii="Arial" w:eastAsia="MS Mincho" w:hAnsi="Arial" w:cs="Arial"/>
          <w:sz w:val="24"/>
          <w:szCs w:val="24"/>
          <w:lang w:val="en-US"/>
        </w:rPr>
      </w:pPr>
      <w:r w:rsidRPr="00DD647D">
        <w:rPr>
          <w:rFonts w:ascii="Arial" w:eastAsia="MS Mincho" w:hAnsi="Arial" w:cs="Arial"/>
          <w:sz w:val="24"/>
          <w:szCs w:val="24"/>
          <w:lang w:val="en-US"/>
        </w:rPr>
        <w:t xml:space="preserve">After a decade of austerity and the impact </w:t>
      </w:r>
      <w:r w:rsidR="001A77C5">
        <w:rPr>
          <w:rFonts w:ascii="Arial" w:eastAsia="MS Mincho" w:hAnsi="Arial" w:cs="Arial"/>
          <w:sz w:val="24"/>
          <w:szCs w:val="24"/>
          <w:lang w:val="en-US"/>
        </w:rPr>
        <w:t>of Covid-19, the demand for the</w:t>
      </w:r>
      <w:r w:rsidRPr="00DD647D">
        <w:rPr>
          <w:rFonts w:ascii="Arial" w:eastAsia="MS Mincho" w:hAnsi="Arial" w:cs="Arial"/>
          <w:sz w:val="24"/>
          <w:szCs w:val="24"/>
          <w:lang w:val="en-US"/>
        </w:rPr>
        <w:t xml:space="preserve"> Trust’s services is increasing and will drive our plans to respond with increased capacity whilst retaining quality. We will retain employability as our principle </w:t>
      </w:r>
      <w:proofErr w:type="spellStart"/>
      <w:r w:rsidRPr="00DD647D">
        <w:rPr>
          <w:rFonts w:ascii="Arial" w:eastAsia="MS Mincho" w:hAnsi="Arial" w:cs="Arial"/>
          <w:sz w:val="24"/>
          <w:szCs w:val="24"/>
          <w:lang w:val="en-US"/>
        </w:rPr>
        <w:t>specialisation</w:t>
      </w:r>
      <w:proofErr w:type="spellEnd"/>
      <w:r w:rsidRPr="00DD647D">
        <w:rPr>
          <w:rFonts w:ascii="Arial" w:eastAsia="MS Mincho" w:hAnsi="Arial" w:cs="Arial"/>
          <w:sz w:val="24"/>
          <w:szCs w:val="24"/>
          <w:lang w:val="en-US"/>
        </w:rPr>
        <w:t xml:space="preserve"> and we will grow our complementary services to support it in</w:t>
      </w:r>
      <w:r>
        <w:rPr>
          <w:rFonts w:ascii="Arial" w:eastAsia="MS Mincho" w:hAnsi="Arial" w:cs="Arial"/>
          <w:sz w:val="24"/>
          <w:szCs w:val="24"/>
          <w:lang w:val="en-US"/>
        </w:rPr>
        <w:t xml:space="preserve"> the following areas</w:t>
      </w:r>
      <w:r w:rsidRPr="00DD647D">
        <w:rPr>
          <w:rFonts w:ascii="Arial" w:eastAsia="MS Mincho" w:hAnsi="Arial" w:cs="Arial"/>
          <w:sz w:val="24"/>
          <w:szCs w:val="24"/>
          <w:lang w:val="en-US"/>
        </w:rPr>
        <w:t>:</w:t>
      </w:r>
    </w:p>
    <w:p w14:paraId="541BEB13" w14:textId="77777777" w:rsidR="00D5584F" w:rsidRPr="00DD647D" w:rsidRDefault="00D5584F" w:rsidP="00D5584F">
      <w:pPr>
        <w:numPr>
          <w:ilvl w:val="0"/>
          <w:numId w:val="17"/>
        </w:numPr>
        <w:spacing w:after="240" w:line="240" w:lineRule="auto"/>
        <w:contextualSpacing/>
        <w:jc w:val="both"/>
        <w:rPr>
          <w:rFonts w:ascii="Arial" w:eastAsia="MS Mincho" w:hAnsi="Arial" w:cs="Arial"/>
          <w:sz w:val="24"/>
          <w:szCs w:val="24"/>
          <w:lang w:val="en-US"/>
        </w:rPr>
      </w:pPr>
      <w:r w:rsidRPr="00DD647D">
        <w:rPr>
          <w:rFonts w:ascii="Arial" w:eastAsia="MS Mincho" w:hAnsi="Arial" w:cs="Arial"/>
          <w:sz w:val="24"/>
          <w:szCs w:val="24"/>
          <w:lang w:val="en-US"/>
        </w:rPr>
        <w:t>Education and Skills</w:t>
      </w:r>
    </w:p>
    <w:p w14:paraId="4E160AEC" w14:textId="77777777" w:rsidR="00D5584F" w:rsidRPr="00DD647D" w:rsidRDefault="00D5584F" w:rsidP="00D5584F">
      <w:pPr>
        <w:numPr>
          <w:ilvl w:val="0"/>
          <w:numId w:val="17"/>
        </w:numPr>
        <w:spacing w:after="240" w:line="240" w:lineRule="auto"/>
        <w:contextualSpacing/>
        <w:jc w:val="both"/>
        <w:rPr>
          <w:rFonts w:ascii="Arial" w:eastAsia="MS Mincho" w:hAnsi="Arial" w:cs="Arial"/>
          <w:sz w:val="24"/>
          <w:szCs w:val="24"/>
          <w:lang w:val="en-US"/>
        </w:rPr>
      </w:pPr>
      <w:r w:rsidRPr="00DD647D">
        <w:rPr>
          <w:rFonts w:ascii="Arial" w:eastAsia="MS Mincho" w:hAnsi="Arial" w:cs="Arial"/>
          <w:sz w:val="24"/>
          <w:szCs w:val="24"/>
          <w:lang w:val="en-US"/>
        </w:rPr>
        <w:t>Children and Young People’s Services</w:t>
      </w:r>
    </w:p>
    <w:p w14:paraId="3EADE377" w14:textId="77777777" w:rsidR="00D5584F" w:rsidRDefault="00D5584F" w:rsidP="00D5584F">
      <w:pPr>
        <w:numPr>
          <w:ilvl w:val="0"/>
          <w:numId w:val="17"/>
        </w:numPr>
        <w:spacing w:after="240" w:line="240" w:lineRule="auto"/>
        <w:contextualSpacing/>
        <w:jc w:val="both"/>
        <w:rPr>
          <w:rFonts w:ascii="Arial" w:eastAsia="MS Mincho" w:hAnsi="Arial" w:cs="Arial"/>
          <w:sz w:val="24"/>
          <w:szCs w:val="24"/>
          <w:lang w:val="en-US"/>
        </w:rPr>
      </w:pPr>
      <w:r w:rsidRPr="00DD647D">
        <w:rPr>
          <w:rFonts w:ascii="Arial" w:eastAsia="MS Mincho" w:hAnsi="Arial" w:cs="Arial"/>
          <w:sz w:val="24"/>
          <w:szCs w:val="24"/>
          <w:lang w:val="en-US"/>
        </w:rPr>
        <w:t>Health and Wellbeing</w:t>
      </w:r>
    </w:p>
    <w:p w14:paraId="2FFC1D01" w14:textId="77777777" w:rsidR="00D5584F" w:rsidRPr="00DD647D" w:rsidRDefault="00D5584F" w:rsidP="00D5584F">
      <w:pPr>
        <w:spacing w:after="240" w:line="240" w:lineRule="auto"/>
        <w:ind w:left="720"/>
        <w:contextualSpacing/>
        <w:jc w:val="both"/>
        <w:rPr>
          <w:rFonts w:ascii="Arial" w:eastAsia="MS Mincho" w:hAnsi="Arial" w:cs="Arial"/>
          <w:sz w:val="24"/>
          <w:szCs w:val="24"/>
          <w:lang w:val="en-US"/>
        </w:rPr>
      </w:pPr>
    </w:p>
    <w:p w14:paraId="75F181DB" w14:textId="77777777" w:rsidR="00D5584F" w:rsidRDefault="00D5584F" w:rsidP="00D5584F">
      <w:pPr>
        <w:keepLines/>
        <w:widowControl w:val="0"/>
        <w:autoSpaceDE w:val="0"/>
        <w:autoSpaceDN w:val="0"/>
        <w:adjustRightInd w:val="0"/>
        <w:spacing w:after="240" w:line="240" w:lineRule="auto"/>
        <w:jc w:val="both"/>
        <w:rPr>
          <w:rFonts w:ascii="Arial" w:hAnsi="Arial" w:cs="Arial"/>
          <w:color w:val="FF0000"/>
          <w:sz w:val="24"/>
          <w:szCs w:val="24"/>
        </w:rPr>
      </w:pPr>
      <w:r w:rsidRPr="00DD647D">
        <w:rPr>
          <w:rFonts w:ascii="Arial" w:hAnsi="Arial" w:cs="Arial"/>
          <w:sz w:val="24"/>
          <w:szCs w:val="24"/>
        </w:rPr>
        <w:t>The Trust has recently organised its internal structure into specialised operational divisions, each with individual targets to grow and develop in their own markets, with the benefit of being able to draw upon the breadth of experience from across the group in order to provide an enhanced range of services to commissioners and clients</w:t>
      </w:r>
      <w:r w:rsidRPr="00DD647D">
        <w:rPr>
          <w:rFonts w:ascii="Arial" w:hAnsi="Arial" w:cs="Arial"/>
          <w:color w:val="FF0000"/>
          <w:sz w:val="24"/>
          <w:szCs w:val="24"/>
        </w:rPr>
        <w:t>.</w:t>
      </w:r>
    </w:p>
    <w:p w14:paraId="4D0FAE3C" w14:textId="77777777" w:rsidR="00D5584F" w:rsidRPr="00DD647D" w:rsidRDefault="00D5584F" w:rsidP="00D5584F">
      <w:pPr>
        <w:keepLines/>
        <w:widowControl w:val="0"/>
        <w:autoSpaceDE w:val="0"/>
        <w:autoSpaceDN w:val="0"/>
        <w:adjustRightInd w:val="0"/>
        <w:spacing w:after="240" w:line="240" w:lineRule="auto"/>
        <w:jc w:val="both"/>
        <w:rPr>
          <w:rFonts w:ascii="Arial" w:hAnsi="Arial" w:cs="Arial"/>
          <w:sz w:val="24"/>
          <w:szCs w:val="24"/>
        </w:rPr>
      </w:pPr>
      <w:r w:rsidRPr="00DD647D">
        <w:rPr>
          <w:rFonts w:ascii="Arial" w:hAnsi="Arial" w:cs="Arial"/>
          <w:sz w:val="24"/>
          <w:szCs w:val="24"/>
        </w:rPr>
        <w:t>The Trust continues to outperform a</w:t>
      </w:r>
      <w:r w:rsidR="009E3B80">
        <w:rPr>
          <w:rFonts w:ascii="Arial" w:hAnsi="Arial" w:cs="Arial"/>
          <w:sz w:val="24"/>
          <w:szCs w:val="24"/>
        </w:rPr>
        <w:t>gainst its Three Year Business P</w:t>
      </w:r>
      <w:r w:rsidRPr="00DD647D">
        <w:rPr>
          <w:rFonts w:ascii="Arial" w:hAnsi="Arial" w:cs="Arial"/>
          <w:sz w:val="24"/>
          <w:szCs w:val="24"/>
        </w:rPr>
        <w:t>lan, the divestment program has substantially completed and a strategic reserve is being built up.</w:t>
      </w:r>
    </w:p>
    <w:p w14:paraId="6D9C216A" w14:textId="77777777" w:rsidR="00D5584F" w:rsidRDefault="00D5584F" w:rsidP="00D5584F">
      <w:pPr>
        <w:keepLines/>
        <w:widowControl w:val="0"/>
        <w:autoSpaceDE w:val="0"/>
        <w:autoSpaceDN w:val="0"/>
        <w:adjustRightInd w:val="0"/>
        <w:spacing w:after="240" w:line="240" w:lineRule="auto"/>
        <w:jc w:val="both"/>
        <w:rPr>
          <w:rFonts w:ascii="Arial" w:hAnsi="Arial" w:cs="Arial"/>
          <w:sz w:val="24"/>
          <w:szCs w:val="24"/>
        </w:rPr>
      </w:pPr>
      <w:r w:rsidRPr="00DD647D">
        <w:rPr>
          <w:rFonts w:ascii="Arial" w:hAnsi="Arial" w:cs="Arial"/>
          <w:sz w:val="24"/>
          <w:szCs w:val="24"/>
        </w:rPr>
        <w:t>In addition, the impact and challenges as a result of the Covid-19</w:t>
      </w:r>
      <w:r>
        <w:rPr>
          <w:rFonts w:ascii="Arial" w:hAnsi="Arial" w:cs="Arial"/>
          <w:sz w:val="24"/>
          <w:szCs w:val="24"/>
        </w:rPr>
        <w:t xml:space="preserve"> pandemic</w:t>
      </w:r>
      <w:r w:rsidRPr="00DD647D">
        <w:rPr>
          <w:rFonts w:ascii="Arial" w:hAnsi="Arial" w:cs="Arial"/>
          <w:sz w:val="24"/>
          <w:szCs w:val="24"/>
        </w:rPr>
        <w:t xml:space="preserve"> hav</w:t>
      </w:r>
      <w:r>
        <w:rPr>
          <w:rFonts w:ascii="Arial" w:hAnsi="Arial" w:cs="Arial"/>
          <w:sz w:val="24"/>
          <w:szCs w:val="24"/>
        </w:rPr>
        <w:t>e been extensively investigated, risk assessed and mitigated where appropriate.</w:t>
      </w:r>
      <w:r w:rsidRPr="00DD647D">
        <w:rPr>
          <w:rFonts w:ascii="Arial" w:hAnsi="Arial" w:cs="Arial"/>
          <w:sz w:val="24"/>
          <w:szCs w:val="24"/>
        </w:rPr>
        <w:t xml:space="preserve"> Financial modelling and scenario analysis has indicated that the Trust has the resources to sustain a period of operational disruption and financial loss during the period of this crisis.</w:t>
      </w:r>
    </w:p>
    <w:p w14:paraId="19BAD5BF" w14:textId="77777777" w:rsidR="00D5584F" w:rsidRPr="00DD647D" w:rsidRDefault="00D5584F" w:rsidP="00D5584F">
      <w:pPr>
        <w:keepLines/>
        <w:widowControl w:val="0"/>
        <w:autoSpaceDE w:val="0"/>
        <w:autoSpaceDN w:val="0"/>
        <w:adjustRightInd w:val="0"/>
        <w:spacing w:after="240" w:line="240" w:lineRule="auto"/>
        <w:jc w:val="both"/>
        <w:rPr>
          <w:rFonts w:ascii="Arial" w:hAnsi="Arial" w:cs="Arial"/>
          <w:b/>
          <w:sz w:val="24"/>
          <w:szCs w:val="24"/>
        </w:rPr>
      </w:pPr>
      <w:r w:rsidRPr="00DD647D">
        <w:rPr>
          <w:rFonts w:ascii="Arial" w:hAnsi="Arial" w:cs="Arial"/>
          <w:b/>
          <w:sz w:val="24"/>
          <w:szCs w:val="24"/>
        </w:rPr>
        <w:t>6. Objectives and activities of the Trust</w:t>
      </w:r>
    </w:p>
    <w:p w14:paraId="2FA6CC24" w14:textId="77777777" w:rsidR="00D5584F" w:rsidRPr="00DD647D" w:rsidRDefault="00D5584F" w:rsidP="00D5584F">
      <w:pPr>
        <w:keepLines/>
        <w:widowControl w:val="0"/>
        <w:autoSpaceDE w:val="0"/>
        <w:autoSpaceDN w:val="0"/>
        <w:adjustRightInd w:val="0"/>
        <w:spacing w:after="240" w:line="240" w:lineRule="auto"/>
        <w:jc w:val="both"/>
        <w:rPr>
          <w:rFonts w:ascii="Arial" w:hAnsi="Arial" w:cs="Arial"/>
          <w:sz w:val="24"/>
          <w:szCs w:val="24"/>
        </w:rPr>
      </w:pPr>
      <w:r w:rsidRPr="00DD647D">
        <w:rPr>
          <w:rFonts w:ascii="Arial" w:hAnsi="Arial" w:cs="Arial"/>
          <w:sz w:val="24"/>
          <w:szCs w:val="24"/>
        </w:rPr>
        <w:t>The objectives of the Trust are:</w:t>
      </w:r>
    </w:p>
    <w:p w14:paraId="2CF24D0F" w14:textId="77777777" w:rsidR="00D5584F" w:rsidRPr="00DD647D" w:rsidRDefault="00D5584F" w:rsidP="00D5584F">
      <w:pPr>
        <w:keepLines/>
        <w:widowControl w:val="0"/>
        <w:tabs>
          <w:tab w:val="left" w:pos="567"/>
        </w:tabs>
        <w:autoSpaceDE w:val="0"/>
        <w:autoSpaceDN w:val="0"/>
        <w:adjustRightInd w:val="0"/>
        <w:spacing w:after="240" w:line="240" w:lineRule="auto"/>
        <w:jc w:val="both"/>
        <w:rPr>
          <w:rFonts w:ascii="Arial" w:hAnsi="Arial" w:cs="Arial"/>
          <w:b/>
          <w:i/>
          <w:sz w:val="24"/>
          <w:szCs w:val="24"/>
        </w:rPr>
      </w:pPr>
      <w:r w:rsidRPr="00DD647D">
        <w:rPr>
          <w:rFonts w:ascii="Arial" w:hAnsi="Arial" w:cs="Arial"/>
          <w:sz w:val="24"/>
          <w:szCs w:val="24"/>
        </w:rPr>
        <w:t>to relieve any person who is in need because of any disability or because of any other disadvantage resulting from unemployment, youth, age, financial hardship, ill-health or because they are offenders, ex-offenders or are at risk of offending;</w:t>
      </w:r>
      <w:r w:rsidRPr="00DD647D">
        <w:rPr>
          <w:rFonts w:ascii="Arial" w:hAnsi="Arial" w:cs="Arial"/>
          <w:b/>
          <w:i/>
          <w:sz w:val="24"/>
          <w:szCs w:val="24"/>
        </w:rPr>
        <w:t xml:space="preserve"> </w:t>
      </w:r>
    </w:p>
    <w:p w14:paraId="6682F2F7" w14:textId="77777777" w:rsidR="00D5584F" w:rsidRPr="00DD647D" w:rsidRDefault="00D5584F" w:rsidP="00D5584F">
      <w:pPr>
        <w:keepLines/>
        <w:widowControl w:val="0"/>
        <w:numPr>
          <w:ilvl w:val="0"/>
          <w:numId w:val="5"/>
        </w:numPr>
        <w:autoSpaceDE w:val="0"/>
        <w:autoSpaceDN w:val="0"/>
        <w:adjustRightInd w:val="0"/>
        <w:spacing w:after="240" w:line="240" w:lineRule="auto"/>
        <w:ind w:left="426" w:hanging="284"/>
        <w:contextualSpacing/>
        <w:jc w:val="both"/>
        <w:rPr>
          <w:rFonts w:ascii="Arial" w:hAnsi="Arial" w:cs="Arial"/>
          <w:sz w:val="24"/>
          <w:szCs w:val="24"/>
        </w:rPr>
      </w:pPr>
      <w:r w:rsidRPr="00DD647D">
        <w:rPr>
          <w:rFonts w:ascii="Arial" w:hAnsi="Arial" w:cs="Arial"/>
          <w:sz w:val="24"/>
          <w:szCs w:val="24"/>
        </w:rPr>
        <w:t xml:space="preserve">the promotion of the health, equality and independence of disabled people; and </w:t>
      </w:r>
    </w:p>
    <w:p w14:paraId="48AFE89D" w14:textId="77777777" w:rsidR="00D5584F" w:rsidRPr="00DD647D" w:rsidRDefault="00D5584F" w:rsidP="00D5584F">
      <w:pPr>
        <w:keepLines/>
        <w:widowControl w:val="0"/>
        <w:numPr>
          <w:ilvl w:val="0"/>
          <w:numId w:val="5"/>
        </w:numPr>
        <w:autoSpaceDE w:val="0"/>
        <w:autoSpaceDN w:val="0"/>
        <w:adjustRightInd w:val="0"/>
        <w:spacing w:after="240" w:line="240" w:lineRule="auto"/>
        <w:ind w:left="426" w:hanging="284"/>
        <w:jc w:val="both"/>
        <w:rPr>
          <w:rFonts w:ascii="Arial" w:hAnsi="Arial" w:cs="Arial"/>
          <w:sz w:val="24"/>
          <w:szCs w:val="24"/>
        </w:rPr>
      </w:pPr>
      <w:proofErr w:type="gramStart"/>
      <w:r w:rsidRPr="00DD647D">
        <w:rPr>
          <w:rFonts w:ascii="Arial" w:hAnsi="Arial" w:cs="Arial"/>
          <w:sz w:val="24"/>
          <w:szCs w:val="24"/>
        </w:rPr>
        <w:t>the</w:t>
      </w:r>
      <w:proofErr w:type="gramEnd"/>
      <w:r w:rsidRPr="00DD647D">
        <w:rPr>
          <w:rFonts w:ascii="Arial" w:hAnsi="Arial" w:cs="Arial"/>
          <w:sz w:val="24"/>
          <w:szCs w:val="24"/>
        </w:rPr>
        <w:t xml:space="preserve"> prevention and relief of poverty.</w:t>
      </w:r>
    </w:p>
    <w:p w14:paraId="1F7BA4AE" w14:textId="77777777" w:rsidR="00D5584F" w:rsidRPr="00DD647D" w:rsidRDefault="00D5584F" w:rsidP="00D5584F">
      <w:pPr>
        <w:keepLines/>
        <w:widowControl w:val="0"/>
        <w:autoSpaceDE w:val="0"/>
        <w:autoSpaceDN w:val="0"/>
        <w:adjustRightInd w:val="0"/>
        <w:spacing w:after="240" w:line="240" w:lineRule="auto"/>
        <w:jc w:val="both"/>
        <w:rPr>
          <w:rFonts w:ascii="Arial" w:hAnsi="Arial" w:cs="Arial"/>
          <w:sz w:val="24"/>
          <w:szCs w:val="24"/>
        </w:rPr>
      </w:pPr>
      <w:r w:rsidRPr="00DD647D">
        <w:rPr>
          <w:rFonts w:ascii="Arial" w:hAnsi="Arial" w:cs="Arial"/>
          <w:sz w:val="24"/>
          <w:szCs w:val="24"/>
        </w:rPr>
        <w:t>The Trust aims to further its objectives in particular by providing education, training, rehabilitation, support, employment opportunities and personal development opportunities.</w:t>
      </w:r>
    </w:p>
    <w:p w14:paraId="6569724A" w14:textId="77777777" w:rsidR="00D5584F" w:rsidRPr="00DD647D" w:rsidRDefault="00D5584F" w:rsidP="00D5584F">
      <w:pPr>
        <w:keepLines/>
        <w:widowControl w:val="0"/>
        <w:autoSpaceDE w:val="0"/>
        <w:autoSpaceDN w:val="0"/>
        <w:adjustRightInd w:val="0"/>
        <w:spacing w:after="240" w:line="240" w:lineRule="auto"/>
        <w:jc w:val="both"/>
        <w:rPr>
          <w:rFonts w:ascii="Arial" w:hAnsi="Arial" w:cs="Arial"/>
          <w:b/>
          <w:i/>
          <w:sz w:val="24"/>
          <w:szCs w:val="24"/>
        </w:rPr>
      </w:pPr>
      <w:r w:rsidRPr="00DD647D">
        <w:rPr>
          <w:rFonts w:ascii="Arial" w:hAnsi="Arial" w:cs="Arial"/>
          <w:b/>
          <w:i/>
          <w:sz w:val="24"/>
          <w:szCs w:val="24"/>
        </w:rPr>
        <w:br w:type="page"/>
      </w:r>
    </w:p>
    <w:p w14:paraId="19525AE0" w14:textId="77777777" w:rsidR="00D5584F" w:rsidRPr="00DD647D" w:rsidRDefault="00D5584F" w:rsidP="00D5584F">
      <w:pPr>
        <w:keepLines/>
        <w:widowControl w:val="0"/>
        <w:tabs>
          <w:tab w:val="left" w:pos="567"/>
        </w:tabs>
        <w:autoSpaceDE w:val="0"/>
        <w:autoSpaceDN w:val="0"/>
        <w:adjustRightInd w:val="0"/>
        <w:spacing w:after="240" w:line="240" w:lineRule="auto"/>
        <w:jc w:val="both"/>
        <w:rPr>
          <w:rFonts w:ascii="Arial" w:hAnsi="Arial" w:cs="Arial"/>
          <w:b/>
          <w:i/>
          <w:sz w:val="24"/>
          <w:szCs w:val="24"/>
        </w:rPr>
      </w:pPr>
      <w:r w:rsidRPr="00DD647D">
        <w:rPr>
          <w:rFonts w:ascii="Arial" w:hAnsi="Arial" w:cs="Arial"/>
          <w:b/>
          <w:i/>
          <w:sz w:val="24"/>
          <w:szCs w:val="24"/>
        </w:rPr>
        <w:lastRenderedPageBreak/>
        <w:t xml:space="preserve">2. </w:t>
      </w:r>
      <w:r w:rsidRPr="00DD647D">
        <w:rPr>
          <w:rFonts w:ascii="Arial" w:hAnsi="Arial" w:cs="Arial"/>
          <w:b/>
          <w:i/>
          <w:sz w:val="24"/>
          <w:szCs w:val="24"/>
        </w:rPr>
        <w:tab/>
        <w:t>Financial review (continued)</w:t>
      </w:r>
    </w:p>
    <w:p w14:paraId="0774FCA0" w14:textId="77777777" w:rsidR="00D5584F" w:rsidRPr="00DD647D" w:rsidRDefault="00D5584F" w:rsidP="00D5584F">
      <w:pPr>
        <w:keepLines/>
        <w:widowControl w:val="0"/>
        <w:autoSpaceDE w:val="0"/>
        <w:autoSpaceDN w:val="0"/>
        <w:adjustRightInd w:val="0"/>
        <w:spacing w:after="240" w:line="240" w:lineRule="auto"/>
        <w:jc w:val="both"/>
        <w:rPr>
          <w:rFonts w:ascii="Arial" w:hAnsi="Arial" w:cs="Arial"/>
          <w:b/>
          <w:sz w:val="24"/>
          <w:szCs w:val="24"/>
        </w:rPr>
      </w:pPr>
      <w:r>
        <w:rPr>
          <w:rFonts w:ascii="Arial" w:hAnsi="Arial" w:cs="Arial"/>
          <w:sz w:val="24"/>
          <w:szCs w:val="24"/>
        </w:rPr>
        <w:t>The Trust</w:t>
      </w:r>
      <w:r w:rsidRPr="00DD647D">
        <w:rPr>
          <w:rFonts w:ascii="Arial" w:hAnsi="Arial" w:cs="Arial"/>
          <w:sz w:val="24"/>
          <w:szCs w:val="24"/>
        </w:rPr>
        <w:t xml:space="preserve"> will be non-party in politics and non-sectarian in religion</w:t>
      </w:r>
      <w:r>
        <w:rPr>
          <w:rFonts w:ascii="Arial" w:hAnsi="Arial" w:cs="Arial"/>
          <w:sz w:val="24"/>
          <w:szCs w:val="24"/>
        </w:rPr>
        <w:t>.</w:t>
      </w:r>
    </w:p>
    <w:p w14:paraId="2E0C30E9" w14:textId="77777777" w:rsidR="00D5584F" w:rsidRPr="00DD647D" w:rsidRDefault="00D5584F" w:rsidP="00D5584F">
      <w:pPr>
        <w:spacing w:after="0" w:line="240" w:lineRule="auto"/>
        <w:jc w:val="both"/>
        <w:rPr>
          <w:rFonts w:ascii="Arial" w:eastAsia="MS Mincho" w:hAnsi="Arial" w:cs="Arial"/>
          <w:sz w:val="24"/>
          <w:szCs w:val="24"/>
          <w:lang w:val="en-US"/>
        </w:rPr>
      </w:pPr>
      <w:r>
        <w:rPr>
          <w:rFonts w:ascii="Arial" w:eastAsia="MS Mincho" w:hAnsi="Arial" w:cs="Arial"/>
          <w:sz w:val="24"/>
          <w:szCs w:val="24"/>
          <w:lang w:val="en-US"/>
        </w:rPr>
        <w:t>The strategic aims of the</w:t>
      </w:r>
      <w:r w:rsidRPr="00DD647D">
        <w:rPr>
          <w:rFonts w:ascii="Arial" w:eastAsia="MS Mincho" w:hAnsi="Arial" w:cs="Arial"/>
          <w:sz w:val="24"/>
          <w:szCs w:val="24"/>
          <w:lang w:val="en-US"/>
        </w:rPr>
        <w:t xml:space="preserve"> Trust are to:</w:t>
      </w:r>
    </w:p>
    <w:p w14:paraId="24BD299F" w14:textId="77777777" w:rsidR="00D5584F" w:rsidRPr="00DD647D" w:rsidRDefault="00D5584F" w:rsidP="00D5584F">
      <w:pPr>
        <w:spacing w:after="0" w:line="240" w:lineRule="auto"/>
        <w:jc w:val="both"/>
        <w:rPr>
          <w:rFonts w:ascii="Arial" w:eastAsia="MS Mincho" w:hAnsi="Arial" w:cs="Arial"/>
          <w:sz w:val="24"/>
          <w:szCs w:val="24"/>
          <w:lang w:val="en-US"/>
        </w:rPr>
      </w:pPr>
    </w:p>
    <w:p w14:paraId="07F27D7A" w14:textId="77777777" w:rsidR="00D5584F" w:rsidRPr="00DD647D" w:rsidRDefault="00D5584F" w:rsidP="00D5584F">
      <w:pPr>
        <w:keepLines/>
        <w:widowControl w:val="0"/>
        <w:numPr>
          <w:ilvl w:val="0"/>
          <w:numId w:val="5"/>
        </w:numPr>
        <w:autoSpaceDE w:val="0"/>
        <w:autoSpaceDN w:val="0"/>
        <w:adjustRightInd w:val="0"/>
        <w:spacing w:after="240" w:line="240" w:lineRule="auto"/>
        <w:ind w:left="426" w:hanging="284"/>
        <w:jc w:val="both"/>
        <w:rPr>
          <w:rFonts w:ascii="Arial" w:hAnsi="Arial" w:cs="Arial"/>
          <w:sz w:val="24"/>
          <w:szCs w:val="24"/>
        </w:rPr>
      </w:pPr>
      <w:r w:rsidRPr="00DD647D">
        <w:rPr>
          <w:rFonts w:ascii="Arial" w:hAnsi="Arial" w:cs="Arial"/>
          <w:sz w:val="24"/>
          <w:szCs w:val="24"/>
        </w:rPr>
        <w:t xml:space="preserve">Maintain a balanced portfolio of services to ensure robustness and resilience across the Group and avoid dependency on a single commissioner or contract. </w:t>
      </w:r>
    </w:p>
    <w:p w14:paraId="7CC45415" w14:textId="77777777" w:rsidR="00D5584F" w:rsidRPr="00DD647D" w:rsidRDefault="00D5584F" w:rsidP="00D5584F">
      <w:pPr>
        <w:keepLines/>
        <w:widowControl w:val="0"/>
        <w:numPr>
          <w:ilvl w:val="0"/>
          <w:numId w:val="5"/>
        </w:numPr>
        <w:autoSpaceDE w:val="0"/>
        <w:autoSpaceDN w:val="0"/>
        <w:adjustRightInd w:val="0"/>
        <w:spacing w:after="240" w:line="240" w:lineRule="auto"/>
        <w:ind w:left="426" w:hanging="284"/>
        <w:jc w:val="both"/>
        <w:rPr>
          <w:rFonts w:ascii="Arial" w:hAnsi="Arial" w:cs="Arial"/>
          <w:sz w:val="24"/>
          <w:szCs w:val="24"/>
        </w:rPr>
      </w:pPr>
      <w:r w:rsidRPr="00DD647D">
        <w:rPr>
          <w:rFonts w:ascii="Arial" w:hAnsi="Arial" w:cs="Arial"/>
          <w:sz w:val="24"/>
          <w:szCs w:val="24"/>
        </w:rPr>
        <w:t>Deliver an integrated, blended and seamless portfolio of services and programmes that are locally based and nationally scalable.</w:t>
      </w:r>
    </w:p>
    <w:p w14:paraId="12DAB4A0" w14:textId="77777777" w:rsidR="00D5584F" w:rsidRPr="00DD647D" w:rsidRDefault="00D5584F" w:rsidP="00D5584F">
      <w:pPr>
        <w:keepLines/>
        <w:widowControl w:val="0"/>
        <w:numPr>
          <w:ilvl w:val="0"/>
          <w:numId w:val="5"/>
        </w:numPr>
        <w:autoSpaceDE w:val="0"/>
        <w:autoSpaceDN w:val="0"/>
        <w:adjustRightInd w:val="0"/>
        <w:spacing w:after="240" w:line="240" w:lineRule="auto"/>
        <w:ind w:left="426" w:hanging="284"/>
        <w:jc w:val="both"/>
        <w:rPr>
          <w:rFonts w:ascii="Arial" w:hAnsi="Arial" w:cs="Arial"/>
          <w:sz w:val="24"/>
          <w:szCs w:val="24"/>
        </w:rPr>
      </w:pPr>
      <w:r w:rsidRPr="00DD647D">
        <w:rPr>
          <w:rFonts w:ascii="Arial" w:hAnsi="Arial" w:cs="Arial"/>
          <w:sz w:val="24"/>
          <w:szCs w:val="24"/>
        </w:rPr>
        <w:t>Innovate and continuously improve our offer to include digital-by-design and digital-by-execution where and when appropriate.</w:t>
      </w:r>
    </w:p>
    <w:p w14:paraId="6B500F80" w14:textId="77777777" w:rsidR="00D5584F" w:rsidRPr="00DD647D" w:rsidRDefault="00D5584F" w:rsidP="00D5584F">
      <w:pPr>
        <w:keepLines/>
        <w:widowControl w:val="0"/>
        <w:numPr>
          <w:ilvl w:val="0"/>
          <w:numId w:val="5"/>
        </w:numPr>
        <w:autoSpaceDE w:val="0"/>
        <w:autoSpaceDN w:val="0"/>
        <w:adjustRightInd w:val="0"/>
        <w:spacing w:after="0" w:line="240" w:lineRule="auto"/>
        <w:ind w:left="426" w:hanging="284"/>
        <w:jc w:val="both"/>
        <w:rPr>
          <w:rFonts w:ascii="Arial" w:eastAsia="MS Mincho" w:hAnsi="Arial" w:cs="Arial"/>
          <w:sz w:val="24"/>
          <w:szCs w:val="24"/>
          <w:lang w:val="en-US"/>
        </w:rPr>
      </w:pPr>
      <w:r w:rsidRPr="00DD647D">
        <w:rPr>
          <w:rFonts w:ascii="Arial" w:hAnsi="Arial" w:cs="Arial"/>
          <w:sz w:val="24"/>
          <w:szCs w:val="24"/>
        </w:rPr>
        <w:t>Continue our advocacy work through dialogue with commissioners and government to improve access to and quality of employment for all.</w:t>
      </w:r>
      <w:r w:rsidRPr="00DD647D" w:rsidDel="00D85352">
        <w:rPr>
          <w:rFonts w:ascii="Arial" w:hAnsi="Arial" w:cs="Arial"/>
          <w:sz w:val="24"/>
          <w:szCs w:val="24"/>
        </w:rPr>
        <w:t xml:space="preserve"> </w:t>
      </w:r>
    </w:p>
    <w:p w14:paraId="796F963C" w14:textId="77777777" w:rsidR="00D5584F" w:rsidRPr="00DD647D" w:rsidRDefault="00D5584F" w:rsidP="00D5584F">
      <w:pPr>
        <w:keepLines/>
        <w:widowControl w:val="0"/>
        <w:autoSpaceDE w:val="0"/>
        <w:autoSpaceDN w:val="0"/>
        <w:adjustRightInd w:val="0"/>
        <w:spacing w:after="0" w:line="240" w:lineRule="auto"/>
        <w:ind w:left="426"/>
        <w:jc w:val="both"/>
        <w:rPr>
          <w:rFonts w:ascii="Arial" w:eastAsia="MS Mincho" w:hAnsi="Arial" w:cs="Arial"/>
          <w:sz w:val="24"/>
          <w:szCs w:val="24"/>
          <w:lang w:val="en-US"/>
        </w:rPr>
      </w:pPr>
    </w:p>
    <w:p w14:paraId="48E37C00" w14:textId="77777777" w:rsidR="00D5584F" w:rsidRPr="00860235" w:rsidRDefault="00D5584F" w:rsidP="00D5584F">
      <w:pPr>
        <w:spacing w:after="240" w:line="240" w:lineRule="auto"/>
        <w:jc w:val="both"/>
        <w:rPr>
          <w:rFonts w:ascii="Arial" w:eastAsia="MS Mincho" w:hAnsi="Arial" w:cs="Arial"/>
          <w:sz w:val="24"/>
          <w:szCs w:val="24"/>
          <w:lang w:val="en-US"/>
        </w:rPr>
      </w:pPr>
      <w:r w:rsidRPr="00860235">
        <w:rPr>
          <w:rFonts w:ascii="Arial" w:eastAsia="MS Mincho" w:hAnsi="Arial" w:cs="Arial"/>
          <w:sz w:val="24"/>
          <w:szCs w:val="24"/>
          <w:lang w:val="en-US"/>
        </w:rPr>
        <w:t>In ord</w:t>
      </w:r>
      <w:r w:rsidR="007D1126">
        <w:rPr>
          <w:rFonts w:ascii="Arial" w:eastAsia="MS Mincho" w:hAnsi="Arial" w:cs="Arial"/>
          <w:sz w:val="24"/>
          <w:szCs w:val="24"/>
          <w:lang w:val="en-US"/>
        </w:rPr>
        <w:t>er to deliver our aims, we will:</w:t>
      </w:r>
    </w:p>
    <w:p w14:paraId="5A18DDBF" w14:textId="77777777" w:rsidR="00D5584F" w:rsidRPr="00860235" w:rsidRDefault="00D5584F" w:rsidP="00D5584F">
      <w:pPr>
        <w:keepLines/>
        <w:widowControl w:val="0"/>
        <w:numPr>
          <w:ilvl w:val="0"/>
          <w:numId w:val="5"/>
        </w:numPr>
        <w:autoSpaceDE w:val="0"/>
        <w:autoSpaceDN w:val="0"/>
        <w:adjustRightInd w:val="0"/>
        <w:spacing w:after="240" w:line="240" w:lineRule="auto"/>
        <w:ind w:left="426" w:hanging="284"/>
        <w:jc w:val="both"/>
        <w:rPr>
          <w:rFonts w:ascii="Arial" w:hAnsi="Arial" w:cs="Arial"/>
          <w:sz w:val="24"/>
          <w:szCs w:val="24"/>
        </w:rPr>
      </w:pPr>
      <w:r w:rsidRPr="00860235">
        <w:rPr>
          <w:rFonts w:ascii="Arial" w:hAnsi="Arial" w:cs="Arial"/>
          <w:sz w:val="24"/>
          <w:szCs w:val="24"/>
        </w:rPr>
        <w:t>Grow our balanced portfol</w:t>
      </w:r>
      <w:r w:rsidR="003D04BC">
        <w:rPr>
          <w:rFonts w:ascii="Arial" w:hAnsi="Arial" w:cs="Arial"/>
          <w:sz w:val="24"/>
          <w:szCs w:val="24"/>
        </w:rPr>
        <w:t>io to support the national need.</w:t>
      </w:r>
    </w:p>
    <w:p w14:paraId="06FFC8C0" w14:textId="77777777" w:rsidR="00D5584F" w:rsidRPr="00DD647D" w:rsidRDefault="00D5584F" w:rsidP="00D5584F">
      <w:pPr>
        <w:keepLines/>
        <w:widowControl w:val="0"/>
        <w:numPr>
          <w:ilvl w:val="0"/>
          <w:numId w:val="5"/>
        </w:numPr>
        <w:autoSpaceDE w:val="0"/>
        <w:autoSpaceDN w:val="0"/>
        <w:adjustRightInd w:val="0"/>
        <w:spacing w:after="240" w:line="240" w:lineRule="auto"/>
        <w:ind w:left="426" w:hanging="284"/>
        <w:jc w:val="both"/>
        <w:rPr>
          <w:rFonts w:ascii="Arial" w:hAnsi="Arial" w:cs="Arial"/>
          <w:sz w:val="24"/>
          <w:szCs w:val="24"/>
        </w:rPr>
      </w:pPr>
      <w:r w:rsidRPr="00860235">
        <w:rPr>
          <w:rFonts w:ascii="Arial" w:hAnsi="Arial" w:cs="Arial"/>
          <w:sz w:val="24"/>
          <w:szCs w:val="24"/>
        </w:rPr>
        <w:t>Expand our employability programmes</w:t>
      </w:r>
      <w:r w:rsidRPr="00DD647D">
        <w:rPr>
          <w:rFonts w:ascii="Arial" w:hAnsi="Arial" w:cs="Arial"/>
          <w:sz w:val="24"/>
          <w:szCs w:val="24"/>
        </w:rPr>
        <w:t xml:space="preserve"> through the new DWP departmental framework as a partner of choice.</w:t>
      </w:r>
    </w:p>
    <w:p w14:paraId="1DC5117E" w14:textId="77777777" w:rsidR="00D5584F" w:rsidRPr="00DD647D" w:rsidRDefault="00D5584F" w:rsidP="00D5584F">
      <w:pPr>
        <w:keepLines/>
        <w:widowControl w:val="0"/>
        <w:numPr>
          <w:ilvl w:val="0"/>
          <w:numId w:val="5"/>
        </w:numPr>
        <w:autoSpaceDE w:val="0"/>
        <w:autoSpaceDN w:val="0"/>
        <w:adjustRightInd w:val="0"/>
        <w:spacing w:after="240" w:line="240" w:lineRule="auto"/>
        <w:ind w:left="426" w:hanging="284"/>
        <w:jc w:val="both"/>
        <w:rPr>
          <w:rFonts w:ascii="Arial" w:hAnsi="Arial" w:cs="Arial"/>
          <w:sz w:val="24"/>
          <w:szCs w:val="24"/>
        </w:rPr>
      </w:pPr>
      <w:r w:rsidRPr="00DD647D">
        <w:rPr>
          <w:rFonts w:ascii="Arial" w:hAnsi="Arial" w:cs="Arial"/>
          <w:sz w:val="24"/>
          <w:szCs w:val="24"/>
        </w:rPr>
        <w:t>Establish a second multi-academy trust modelled on the Shaw Education Trust.</w:t>
      </w:r>
    </w:p>
    <w:p w14:paraId="2C3CDAE7" w14:textId="77777777" w:rsidR="00D5584F" w:rsidRDefault="00D5584F" w:rsidP="00D5584F">
      <w:pPr>
        <w:keepLines/>
        <w:widowControl w:val="0"/>
        <w:numPr>
          <w:ilvl w:val="0"/>
          <w:numId w:val="5"/>
        </w:numPr>
        <w:autoSpaceDE w:val="0"/>
        <w:autoSpaceDN w:val="0"/>
        <w:adjustRightInd w:val="0"/>
        <w:spacing w:after="240" w:line="240" w:lineRule="auto"/>
        <w:ind w:left="426" w:hanging="284"/>
        <w:jc w:val="both"/>
        <w:rPr>
          <w:rFonts w:ascii="Arial" w:hAnsi="Arial" w:cs="Arial"/>
          <w:sz w:val="24"/>
          <w:szCs w:val="24"/>
        </w:rPr>
      </w:pPr>
      <w:r w:rsidRPr="00DD647D">
        <w:rPr>
          <w:rFonts w:ascii="Arial" w:hAnsi="Arial" w:cs="Arial"/>
          <w:sz w:val="24"/>
          <w:szCs w:val="24"/>
        </w:rPr>
        <w:t>Examine the requirement and portfolio fit for Early Years interventions, maximise the potential of our Homes 2 Inspire children’s homes.</w:t>
      </w:r>
    </w:p>
    <w:p w14:paraId="35A69860" w14:textId="77777777" w:rsidR="00D5584F" w:rsidRPr="00DD647D" w:rsidRDefault="00D5584F" w:rsidP="00D5584F">
      <w:pPr>
        <w:keepLines/>
        <w:widowControl w:val="0"/>
        <w:numPr>
          <w:ilvl w:val="0"/>
          <w:numId w:val="5"/>
        </w:numPr>
        <w:autoSpaceDE w:val="0"/>
        <w:autoSpaceDN w:val="0"/>
        <w:adjustRightInd w:val="0"/>
        <w:spacing w:after="240" w:line="240" w:lineRule="auto"/>
        <w:ind w:left="426" w:hanging="284"/>
        <w:jc w:val="both"/>
        <w:rPr>
          <w:rFonts w:ascii="Arial" w:hAnsi="Arial" w:cs="Arial"/>
          <w:sz w:val="24"/>
          <w:szCs w:val="24"/>
        </w:rPr>
      </w:pPr>
      <w:r w:rsidRPr="00DD647D">
        <w:rPr>
          <w:rFonts w:ascii="Arial" w:hAnsi="Arial" w:cs="Arial"/>
          <w:sz w:val="24"/>
          <w:szCs w:val="24"/>
        </w:rPr>
        <w:t>Increase our children’s services engagement with Youth Offending Teams across the UK.</w:t>
      </w:r>
    </w:p>
    <w:p w14:paraId="53306727" w14:textId="77777777" w:rsidR="00D5584F" w:rsidRPr="00DD647D" w:rsidRDefault="00D5584F" w:rsidP="00D5584F">
      <w:pPr>
        <w:keepLines/>
        <w:widowControl w:val="0"/>
        <w:numPr>
          <w:ilvl w:val="0"/>
          <w:numId w:val="5"/>
        </w:numPr>
        <w:autoSpaceDE w:val="0"/>
        <w:autoSpaceDN w:val="0"/>
        <w:adjustRightInd w:val="0"/>
        <w:spacing w:after="240" w:line="240" w:lineRule="auto"/>
        <w:ind w:left="426" w:hanging="284"/>
        <w:jc w:val="both"/>
        <w:rPr>
          <w:rFonts w:ascii="Arial" w:hAnsi="Arial" w:cs="Arial"/>
          <w:sz w:val="24"/>
          <w:szCs w:val="24"/>
        </w:rPr>
      </w:pPr>
      <w:r w:rsidRPr="00DD647D">
        <w:rPr>
          <w:rFonts w:ascii="Arial" w:hAnsi="Arial" w:cs="Arial"/>
          <w:sz w:val="24"/>
          <w:szCs w:val="24"/>
        </w:rPr>
        <w:t>Increase our children’s services support for looked after children, young offenders and young people who are</w:t>
      </w:r>
      <w:r>
        <w:rPr>
          <w:rFonts w:ascii="Arial" w:hAnsi="Arial" w:cs="Arial"/>
          <w:sz w:val="24"/>
          <w:szCs w:val="24"/>
        </w:rPr>
        <w:t xml:space="preserve"> at risk of becoming </w:t>
      </w:r>
      <w:r w:rsidR="003D04BC">
        <w:rPr>
          <w:rFonts w:ascii="Arial" w:hAnsi="Arial" w:cs="Arial"/>
          <w:sz w:val="24"/>
          <w:szCs w:val="24"/>
        </w:rPr>
        <w:t>Not in Employment, Education or Training (</w:t>
      </w:r>
      <w:r>
        <w:rPr>
          <w:rFonts w:ascii="Arial" w:hAnsi="Arial" w:cs="Arial"/>
          <w:sz w:val="24"/>
          <w:szCs w:val="24"/>
        </w:rPr>
        <w:t>NEET</w:t>
      </w:r>
      <w:r w:rsidR="003D04BC">
        <w:rPr>
          <w:rFonts w:ascii="Arial" w:hAnsi="Arial" w:cs="Arial"/>
          <w:sz w:val="24"/>
          <w:szCs w:val="24"/>
        </w:rPr>
        <w:t>)</w:t>
      </w:r>
      <w:r w:rsidRPr="00DD647D">
        <w:rPr>
          <w:rFonts w:ascii="Arial" w:hAnsi="Arial" w:cs="Arial"/>
          <w:sz w:val="24"/>
          <w:szCs w:val="24"/>
        </w:rPr>
        <w:t xml:space="preserve"> by expanding our NEET offer.</w:t>
      </w:r>
    </w:p>
    <w:p w14:paraId="02F21990" w14:textId="77777777" w:rsidR="00D5584F" w:rsidRPr="00DD647D" w:rsidRDefault="00D5584F" w:rsidP="00D5584F">
      <w:pPr>
        <w:keepLines/>
        <w:widowControl w:val="0"/>
        <w:numPr>
          <w:ilvl w:val="0"/>
          <w:numId w:val="5"/>
        </w:numPr>
        <w:autoSpaceDE w:val="0"/>
        <w:autoSpaceDN w:val="0"/>
        <w:adjustRightInd w:val="0"/>
        <w:spacing w:after="240" w:line="240" w:lineRule="auto"/>
        <w:ind w:left="426" w:hanging="284"/>
        <w:jc w:val="both"/>
        <w:rPr>
          <w:rFonts w:ascii="Arial" w:hAnsi="Arial" w:cs="Arial"/>
          <w:sz w:val="24"/>
          <w:szCs w:val="24"/>
        </w:rPr>
      </w:pPr>
      <w:r w:rsidRPr="00DD647D">
        <w:rPr>
          <w:rFonts w:ascii="Arial" w:hAnsi="Arial" w:cs="Arial"/>
          <w:sz w:val="24"/>
          <w:szCs w:val="24"/>
        </w:rPr>
        <w:t>Expand our Health and Wellbeing services support using the ‘Live Well Kent’ model.</w:t>
      </w:r>
    </w:p>
    <w:p w14:paraId="1CCB6D5A" w14:textId="77777777" w:rsidR="00D5584F" w:rsidRPr="00667E75" w:rsidRDefault="00D5584F" w:rsidP="00D5584F">
      <w:pPr>
        <w:keepLines/>
        <w:widowControl w:val="0"/>
        <w:numPr>
          <w:ilvl w:val="0"/>
          <w:numId w:val="5"/>
        </w:numPr>
        <w:autoSpaceDE w:val="0"/>
        <w:autoSpaceDN w:val="0"/>
        <w:adjustRightInd w:val="0"/>
        <w:spacing w:after="240" w:line="240" w:lineRule="auto"/>
        <w:ind w:left="426" w:hanging="284"/>
        <w:jc w:val="both"/>
        <w:rPr>
          <w:rFonts w:ascii="Arial" w:hAnsi="Arial" w:cs="Arial"/>
        </w:rPr>
      </w:pPr>
      <w:r w:rsidRPr="00667E75">
        <w:rPr>
          <w:rFonts w:ascii="Arial" w:hAnsi="Arial" w:cs="Arial"/>
          <w:sz w:val="24"/>
          <w:szCs w:val="24"/>
        </w:rPr>
        <w:t>Review and adjust the various Social Enterprises now within the Shaw Trust Group for strategic fit within our growth pathways and layered services.</w:t>
      </w:r>
    </w:p>
    <w:p w14:paraId="432EC67A" w14:textId="77777777" w:rsidR="00D5584F" w:rsidRPr="009B1711" w:rsidRDefault="00D5584F" w:rsidP="00D5584F">
      <w:pPr>
        <w:keepLines/>
        <w:widowControl w:val="0"/>
        <w:numPr>
          <w:ilvl w:val="0"/>
          <w:numId w:val="5"/>
        </w:numPr>
        <w:autoSpaceDE w:val="0"/>
        <w:autoSpaceDN w:val="0"/>
        <w:adjustRightInd w:val="0"/>
        <w:spacing w:after="240" w:line="240" w:lineRule="auto"/>
        <w:ind w:left="426" w:hanging="284"/>
        <w:jc w:val="both"/>
        <w:rPr>
          <w:rFonts w:ascii="Arial" w:hAnsi="Arial" w:cs="Arial"/>
        </w:rPr>
      </w:pPr>
      <w:r w:rsidRPr="009B1711">
        <w:rPr>
          <w:rFonts w:ascii="Arial" w:hAnsi="Arial" w:cs="Arial"/>
          <w:sz w:val="24"/>
          <w:szCs w:val="24"/>
        </w:rPr>
        <w:t xml:space="preserve">Establish the Shaw Trust Foundation and Shaw Trust Policy Institute. </w:t>
      </w:r>
    </w:p>
    <w:p w14:paraId="74810A50" w14:textId="77777777" w:rsidR="00D5584F" w:rsidRPr="00860235" w:rsidRDefault="00D5584F" w:rsidP="00D5584F">
      <w:pPr>
        <w:pStyle w:val="body"/>
        <w:spacing w:after="240" w:line="240" w:lineRule="auto"/>
        <w:jc w:val="both"/>
        <w:rPr>
          <w:rFonts w:ascii="Arial" w:eastAsia="Times New Roman" w:hAnsi="Arial" w:cs="Arial"/>
          <w:color w:val="000000"/>
        </w:rPr>
      </w:pPr>
      <w:r w:rsidRPr="005E47C9">
        <w:rPr>
          <w:rFonts w:ascii="Arial" w:eastAsia="Times New Roman" w:hAnsi="Arial" w:cs="Arial"/>
          <w:color w:val="000000"/>
        </w:rPr>
        <w:t>The Shaw Trust Foundation gives the charity a visible and accountable rallying point for the charitable purpose and activity in our organisation. The Foundation will receive the surplus revenue generated through</w:t>
      </w:r>
      <w:r w:rsidRPr="00667E75">
        <w:rPr>
          <w:rFonts w:ascii="Arial" w:hAnsi="Arial" w:cs="Arial"/>
          <w:color w:val="auto"/>
        </w:rPr>
        <w:t xml:space="preserve"> our contracted services and will also actively fundraise to support our work. It will house the Shaw Trust Policy Institute, which will champion positive change for the people and communities we support, </w:t>
      </w:r>
      <w:r w:rsidRPr="00860235">
        <w:rPr>
          <w:rFonts w:ascii="Arial" w:eastAsia="Times New Roman" w:hAnsi="Arial" w:cs="Arial"/>
          <w:color w:val="000000"/>
        </w:rPr>
        <w:t xml:space="preserve">and the sectors we operate within. </w:t>
      </w:r>
    </w:p>
    <w:p w14:paraId="157590A8" w14:textId="77777777" w:rsidR="00D5584F" w:rsidRPr="00860235" w:rsidRDefault="00D5584F" w:rsidP="00D5584F">
      <w:pPr>
        <w:pStyle w:val="body"/>
        <w:spacing w:after="240" w:line="240" w:lineRule="auto"/>
        <w:jc w:val="both"/>
        <w:rPr>
          <w:rFonts w:ascii="Arial" w:eastAsia="Times New Roman" w:hAnsi="Arial" w:cs="Arial"/>
          <w:color w:val="000000"/>
        </w:rPr>
      </w:pPr>
      <w:r w:rsidRPr="00860235">
        <w:rPr>
          <w:rFonts w:ascii="Arial" w:eastAsia="Times New Roman" w:hAnsi="Arial" w:cs="Arial"/>
          <w:color w:val="000000"/>
        </w:rPr>
        <w:t>The Foundation aims to create a better tomorrow for more people across the UK by establishing a grant giving programme to offer access to services and support not otherwise available. It will help us further our impact by maximising opportunities to generate social value with likeminded organisations. The Foundation will advance social justice through social value adding programmes, support initiatives that build community and improve individual lives, and champion those with barriers to progression in life, and will build a community of volunteers and supporters to campaign for and support our charitable mission.</w:t>
      </w:r>
    </w:p>
    <w:p w14:paraId="5A3B3E98" w14:textId="77777777" w:rsidR="00D5584F" w:rsidRPr="00DD647D" w:rsidRDefault="00D5584F" w:rsidP="00D5584F">
      <w:pPr>
        <w:keepLines/>
        <w:widowControl w:val="0"/>
        <w:tabs>
          <w:tab w:val="left" w:pos="567"/>
        </w:tabs>
        <w:autoSpaceDE w:val="0"/>
        <w:autoSpaceDN w:val="0"/>
        <w:adjustRightInd w:val="0"/>
        <w:spacing w:after="240" w:line="240" w:lineRule="auto"/>
        <w:jc w:val="both"/>
        <w:rPr>
          <w:rFonts w:ascii="Arial" w:hAnsi="Arial" w:cs="Arial"/>
          <w:b/>
          <w:i/>
          <w:sz w:val="24"/>
          <w:szCs w:val="24"/>
        </w:rPr>
      </w:pPr>
      <w:r w:rsidRPr="00DD647D">
        <w:rPr>
          <w:rFonts w:ascii="Arial" w:hAnsi="Arial" w:cs="Arial"/>
          <w:b/>
          <w:i/>
          <w:sz w:val="24"/>
          <w:szCs w:val="24"/>
        </w:rPr>
        <w:lastRenderedPageBreak/>
        <w:t xml:space="preserve">2. </w:t>
      </w:r>
      <w:r w:rsidRPr="00DD647D">
        <w:rPr>
          <w:rFonts w:ascii="Arial" w:hAnsi="Arial" w:cs="Arial"/>
          <w:b/>
          <w:i/>
          <w:sz w:val="24"/>
          <w:szCs w:val="24"/>
        </w:rPr>
        <w:tab/>
        <w:t>Financial review (continued)</w:t>
      </w:r>
    </w:p>
    <w:p w14:paraId="2DDD2496" w14:textId="77777777" w:rsidR="00D5584F" w:rsidRPr="0094369F" w:rsidRDefault="00D5584F" w:rsidP="00D5584F">
      <w:pPr>
        <w:keepLines/>
        <w:widowControl w:val="0"/>
        <w:autoSpaceDE w:val="0"/>
        <w:autoSpaceDN w:val="0"/>
        <w:adjustRightInd w:val="0"/>
        <w:spacing w:after="240" w:line="240" w:lineRule="auto"/>
        <w:jc w:val="both"/>
        <w:rPr>
          <w:rFonts w:ascii="Arial" w:hAnsi="Arial" w:cs="Arial"/>
          <w:b/>
          <w:sz w:val="24"/>
          <w:szCs w:val="24"/>
        </w:rPr>
      </w:pPr>
      <w:r w:rsidRPr="0094369F">
        <w:rPr>
          <w:rFonts w:ascii="Arial" w:hAnsi="Arial" w:cs="Arial"/>
          <w:b/>
          <w:sz w:val="24"/>
          <w:szCs w:val="24"/>
        </w:rPr>
        <w:t>7. Achievements and performance</w:t>
      </w:r>
    </w:p>
    <w:p w14:paraId="17D16064" w14:textId="77777777" w:rsidR="00D5584F" w:rsidRPr="0094369F" w:rsidRDefault="00D5584F" w:rsidP="00D5584F">
      <w:pPr>
        <w:keepLines/>
        <w:widowControl w:val="0"/>
        <w:autoSpaceDE w:val="0"/>
        <w:autoSpaceDN w:val="0"/>
        <w:adjustRightInd w:val="0"/>
        <w:spacing w:after="240" w:line="240" w:lineRule="auto"/>
        <w:jc w:val="both"/>
        <w:rPr>
          <w:rFonts w:ascii="Arial" w:hAnsi="Arial" w:cs="Arial"/>
          <w:sz w:val="24"/>
          <w:szCs w:val="24"/>
        </w:rPr>
      </w:pPr>
      <w:r w:rsidRPr="0094369F">
        <w:rPr>
          <w:rFonts w:ascii="Arial" w:hAnsi="Arial" w:cs="Arial"/>
          <w:sz w:val="24"/>
          <w:szCs w:val="24"/>
        </w:rPr>
        <w:t xml:space="preserve">The Trust operates across a number of sectors to achieve </w:t>
      </w:r>
      <w:r>
        <w:rPr>
          <w:rFonts w:ascii="Arial" w:hAnsi="Arial" w:cs="Arial"/>
          <w:sz w:val="24"/>
          <w:szCs w:val="24"/>
        </w:rPr>
        <w:t>our</w:t>
      </w:r>
      <w:r w:rsidRPr="0094369F">
        <w:rPr>
          <w:rFonts w:ascii="Arial" w:hAnsi="Arial" w:cs="Arial"/>
          <w:sz w:val="24"/>
          <w:szCs w:val="24"/>
        </w:rPr>
        <w:t xml:space="preserve"> aims and objective as detailed below:</w:t>
      </w:r>
    </w:p>
    <w:p w14:paraId="566BA442" w14:textId="77777777" w:rsidR="00D5584F" w:rsidRPr="0094369F" w:rsidRDefault="00D5584F" w:rsidP="00D5584F">
      <w:pPr>
        <w:keepLines/>
        <w:widowControl w:val="0"/>
        <w:autoSpaceDE w:val="0"/>
        <w:autoSpaceDN w:val="0"/>
        <w:adjustRightInd w:val="0"/>
        <w:spacing w:after="240" w:line="240" w:lineRule="auto"/>
        <w:jc w:val="both"/>
        <w:rPr>
          <w:rFonts w:ascii="Arial" w:hAnsi="Arial" w:cs="Arial"/>
          <w:b/>
          <w:sz w:val="24"/>
          <w:szCs w:val="24"/>
        </w:rPr>
      </w:pPr>
      <w:r w:rsidRPr="0094369F">
        <w:rPr>
          <w:rFonts w:ascii="Arial" w:hAnsi="Arial" w:cs="Arial"/>
          <w:b/>
          <w:sz w:val="24"/>
          <w:szCs w:val="24"/>
        </w:rPr>
        <w:t>Employment</w:t>
      </w:r>
    </w:p>
    <w:p w14:paraId="7A896033" w14:textId="77777777" w:rsidR="00D5584F" w:rsidRDefault="00D5584F" w:rsidP="00D5584F">
      <w:pPr>
        <w:autoSpaceDE w:val="0"/>
        <w:autoSpaceDN w:val="0"/>
        <w:adjustRightInd w:val="0"/>
        <w:spacing w:after="240" w:line="240" w:lineRule="auto"/>
        <w:jc w:val="both"/>
        <w:rPr>
          <w:rFonts w:ascii="Arial" w:eastAsia="Times New Roman" w:hAnsi="Arial" w:cs="Arial"/>
          <w:color w:val="000000"/>
          <w:sz w:val="24"/>
          <w:szCs w:val="24"/>
        </w:rPr>
      </w:pPr>
      <w:r w:rsidRPr="0094369F">
        <w:rPr>
          <w:rFonts w:ascii="Arial" w:eastAsia="Times New Roman" w:hAnsi="Arial" w:cs="Arial"/>
          <w:color w:val="000000"/>
          <w:sz w:val="24"/>
          <w:szCs w:val="24"/>
        </w:rPr>
        <w:t xml:space="preserve">The employability division consists of a number of contracts centred </w:t>
      </w:r>
      <w:proofErr w:type="gramStart"/>
      <w:r w:rsidRPr="0094369F">
        <w:rPr>
          <w:rFonts w:ascii="Arial" w:eastAsia="Times New Roman" w:hAnsi="Arial" w:cs="Arial"/>
          <w:color w:val="000000"/>
          <w:sz w:val="24"/>
          <w:szCs w:val="24"/>
        </w:rPr>
        <w:t>around</w:t>
      </w:r>
      <w:proofErr w:type="gramEnd"/>
      <w:r w:rsidRPr="0094369F">
        <w:rPr>
          <w:rFonts w:ascii="Arial" w:eastAsia="Times New Roman" w:hAnsi="Arial" w:cs="Arial"/>
          <w:color w:val="000000"/>
          <w:sz w:val="24"/>
          <w:szCs w:val="24"/>
        </w:rPr>
        <w:t xml:space="preserve"> supporting and coaching adults who are currently unemployed, ultimately helping them achieve sustainable employment. </w:t>
      </w:r>
      <w:r>
        <w:rPr>
          <w:rFonts w:ascii="Arial" w:eastAsia="Times New Roman" w:hAnsi="Arial" w:cs="Arial"/>
          <w:color w:val="000000"/>
          <w:sz w:val="24"/>
          <w:szCs w:val="24"/>
        </w:rPr>
        <w:t>We are</w:t>
      </w:r>
      <w:r w:rsidRPr="0094369F">
        <w:rPr>
          <w:rFonts w:ascii="Arial" w:eastAsia="Times New Roman" w:hAnsi="Arial" w:cs="Arial"/>
          <w:color w:val="000000"/>
          <w:sz w:val="24"/>
          <w:szCs w:val="24"/>
        </w:rPr>
        <w:t xml:space="preserve"> one of the largest providers of the DWP Work and Health Programme (WHP) running 3 significant contracts across central England, East of England/Kent and West London, comprising 30% of the market share of this program. WHP is an employment support programme commissioned by DWP to improve employment outcomes for people with health conditions or disabilities and those unemployed for more than two years. </w:t>
      </w:r>
    </w:p>
    <w:p w14:paraId="033C77C5" w14:textId="77777777" w:rsidR="00D5584F" w:rsidRDefault="00D5584F" w:rsidP="00D5584F">
      <w:pPr>
        <w:autoSpaceDE w:val="0"/>
        <w:autoSpaceDN w:val="0"/>
        <w:adjustRightInd w:val="0"/>
        <w:spacing w:after="24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 xml:space="preserve">The </w:t>
      </w:r>
      <w:r w:rsidRPr="0094369F">
        <w:rPr>
          <w:rFonts w:ascii="Arial" w:eastAsia="Times New Roman" w:hAnsi="Arial" w:cs="Arial"/>
          <w:color w:val="000000"/>
          <w:sz w:val="24"/>
          <w:szCs w:val="24"/>
        </w:rPr>
        <w:t xml:space="preserve">Trust is contracted to provide co-ordinated, tailored, support to individuals to get </w:t>
      </w:r>
      <w:r w:rsidRPr="0094369F">
        <w:rPr>
          <w:rFonts w:ascii="Arial" w:eastAsia="Times New Roman" w:hAnsi="Arial" w:cs="Arial"/>
          <w:sz w:val="24"/>
          <w:szCs w:val="24"/>
        </w:rPr>
        <w:t xml:space="preserve">them </w:t>
      </w:r>
      <w:r w:rsidRPr="0094369F">
        <w:rPr>
          <w:rFonts w:ascii="Arial" w:eastAsia="Times New Roman" w:hAnsi="Arial" w:cs="Arial"/>
          <w:color w:val="000000"/>
          <w:sz w:val="24"/>
          <w:szCs w:val="24"/>
        </w:rPr>
        <w:t xml:space="preserve">into work.  </w:t>
      </w:r>
      <w:r>
        <w:rPr>
          <w:rFonts w:ascii="Arial" w:eastAsia="Times New Roman" w:hAnsi="Arial" w:cs="Arial"/>
          <w:color w:val="000000"/>
          <w:sz w:val="24"/>
          <w:szCs w:val="24"/>
        </w:rPr>
        <w:t>We</w:t>
      </w:r>
      <w:r w:rsidRPr="0094369F">
        <w:rPr>
          <w:rFonts w:ascii="Arial" w:eastAsia="Times New Roman" w:hAnsi="Arial" w:cs="Arial"/>
          <w:color w:val="000000"/>
          <w:sz w:val="24"/>
          <w:szCs w:val="24"/>
        </w:rPr>
        <w:t xml:space="preserve"> </w:t>
      </w:r>
      <w:r w:rsidRPr="00497526">
        <w:rPr>
          <w:rFonts w:ascii="Arial" w:eastAsia="Times New Roman" w:hAnsi="Arial" w:cs="Arial"/>
          <w:color w:val="000000"/>
          <w:sz w:val="24"/>
          <w:szCs w:val="24"/>
        </w:rPr>
        <w:t>helped 4</w:t>
      </w:r>
      <w:r w:rsidR="00497526" w:rsidRPr="00497526">
        <w:rPr>
          <w:rFonts w:ascii="Arial" w:eastAsia="Times New Roman" w:hAnsi="Arial" w:cs="Arial"/>
          <w:color w:val="000000"/>
          <w:sz w:val="24"/>
          <w:szCs w:val="24"/>
        </w:rPr>
        <w:t>3,5</w:t>
      </w:r>
      <w:r w:rsidRPr="00497526">
        <w:rPr>
          <w:rFonts w:ascii="Arial" w:eastAsia="Times New Roman" w:hAnsi="Arial" w:cs="Arial"/>
          <w:color w:val="000000"/>
          <w:sz w:val="24"/>
          <w:szCs w:val="24"/>
        </w:rPr>
        <w:t>00 people to gain skills to help them towards and or into employment. Nearly 5,000 of these clients went on to then find work. We continue to run three significant</w:t>
      </w:r>
      <w:r w:rsidRPr="00D70AD2">
        <w:rPr>
          <w:rFonts w:ascii="Arial" w:eastAsia="Times New Roman" w:hAnsi="Arial" w:cs="Arial"/>
          <w:color w:val="000000"/>
          <w:sz w:val="24"/>
          <w:szCs w:val="24"/>
        </w:rPr>
        <w:t xml:space="preserve"> Work and Health</w:t>
      </w:r>
      <w:r w:rsidRPr="0094369F">
        <w:rPr>
          <w:rFonts w:ascii="Arial" w:eastAsia="Times New Roman" w:hAnsi="Arial" w:cs="Arial"/>
          <w:color w:val="000000"/>
          <w:sz w:val="24"/>
          <w:szCs w:val="24"/>
        </w:rPr>
        <w:t xml:space="preserve"> Programme contracts and successfully retendered for two prime National Careers Service contracts, and a subcontract in South Yorkshire that are delivered through the Learning and Skills division.   </w:t>
      </w:r>
    </w:p>
    <w:p w14:paraId="41CB8221" w14:textId="77777777" w:rsidR="00D5584F" w:rsidRPr="00005AF8" w:rsidRDefault="00D5584F" w:rsidP="00D5584F">
      <w:pPr>
        <w:autoSpaceDE w:val="0"/>
        <w:autoSpaceDN w:val="0"/>
        <w:adjustRightInd w:val="0"/>
        <w:spacing w:after="240" w:line="240" w:lineRule="auto"/>
        <w:jc w:val="both"/>
        <w:rPr>
          <w:rFonts w:ascii="Arial" w:eastAsia="Times New Roman" w:hAnsi="Arial" w:cs="Arial"/>
          <w:color w:val="000000"/>
          <w:sz w:val="24"/>
          <w:szCs w:val="24"/>
        </w:rPr>
      </w:pPr>
      <w:r w:rsidRPr="0094369F">
        <w:rPr>
          <w:rFonts w:ascii="Arial" w:hAnsi="Arial" w:cs="Arial"/>
          <w:color w:val="000000"/>
          <w:sz w:val="24"/>
          <w:szCs w:val="24"/>
        </w:rPr>
        <w:t xml:space="preserve">The DWP awarded the Trust the Work and Health Programme – Job Entry: Targeted Support (WHP - JETS) contract variation which commenced in October 2020 with significant contracts in Central England and the Home Counties. The programme will help people who have been unemployed and in receipt of benefits for at least 13 weeks to find </w:t>
      </w:r>
      <w:r w:rsidRPr="0094369F">
        <w:rPr>
          <w:rFonts w:ascii="Arial" w:hAnsi="Arial" w:cs="Arial"/>
          <w:color w:val="000000"/>
          <w:sz w:val="24"/>
          <w:szCs w:val="24"/>
        </w:rPr>
        <w:t>sustained work. WHP - JETS will provide early support which will align to the core WHP programme and complement the wider labour market offer of support through a sector-based approach that responds to local priorities. The programme was in response to the Covid relief requirement due to increasingly high unemployment</w:t>
      </w:r>
    </w:p>
    <w:p w14:paraId="374C035C" w14:textId="77777777" w:rsidR="00D5584F" w:rsidRPr="0094369F" w:rsidRDefault="00D5584F" w:rsidP="00D5584F">
      <w:pPr>
        <w:keepLines/>
        <w:widowControl w:val="0"/>
        <w:autoSpaceDE w:val="0"/>
        <w:autoSpaceDN w:val="0"/>
        <w:adjustRightInd w:val="0"/>
        <w:spacing w:after="240" w:line="240" w:lineRule="auto"/>
        <w:jc w:val="both"/>
        <w:rPr>
          <w:rFonts w:ascii="Arial" w:hAnsi="Arial" w:cs="Arial"/>
          <w:b/>
          <w:sz w:val="24"/>
          <w:szCs w:val="24"/>
        </w:rPr>
      </w:pPr>
      <w:r w:rsidRPr="0094369F">
        <w:rPr>
          <w:rFonts w:ascii="Arial" w:hAnsi="Arial" w:cs="Arial"/>
          <w:b/>
          <w:sz w:val="24"/>
          <w:szCs w:val="24"/>
        </w:rPr>
        <w:t>Children’s Homes and Fostering Services</w:t>
      </w:r>
    </w:p>
    <w:p w14:paraId="7A29A2F4" w14:textId="77777777" w:rsidR="00D5584F" w:rsidRPr="0094369F" w:rsidRDefault="00D5584F" w:rsidP="00D5584F">
      <w:pPr>
        <w:widowControl w:val="0"/>
        <w:tabs>
          <w:tab w:val="right" w:pos="9064"/>
        </w:tabs>
        <w:autoSpaceDE w:val="0"/>
        <w:autoSpaceDN w:val="0"/>
        <w:adjustRightInd w:val="0"/>
        <w:spacing w:after="24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 xml:space="preserve">Our </w:t>
      </w:r>
      <w:r w:rsidRPr="0094369F">
        <w:rPr>
          <w:rFonts w:ascii="Arial" w:eastAsia="Times New Roman" w:hAnsi="Arial" w:cs="Arial"/>
          <w:color w:val="000000"/>
          <w:sz w:val="24"/>
          <w:szCs w:val="24"/>
        </w:rPr>
        <w:t>children’s homes and fostering services are run out of Homes</w:t>
      </w:r>
      <w:r w:rsidR="006A71D6">
        <w:rPr>
          <w:rFonts w:ascii="Arial" w:eastAsia="Times New Roman" w:hAnsi="Arial" w:cs="Arial"/>
          <w:color w:val="000000"/>
          <w:sz w:val="24"/>
          <w:szCs w:val="24"/>
        </w:rPr>
        <w:t xml:space="preserve"> </w:t>
      </w:r>
      <w:r w:rsidRPr="0094369F">
        <w:rPr>
          <w:rFonts w:ascii="Arial" w:eastAsia="Times New Roman" w:hAnsi="Arial" w:cs="Arial"/>
          <w:color w:val="000000"/>
          <w:sz w:val="24"/>
          <w:szCs w:val="24"/>
        </w:rPr>
        <w:t>2</w:t>
      </w:r>
      <w:r w:rsidR="006A71D6">
        <w:rPr>
          <w:rFonts w:ascii="Arial" w:eastAsia="Times New Roman" w:hAnsi="Arial" w:cs="Arial"/>
          <w:color w:val="000000"/>
          <w:sz w:val="24"/>
          <w:szCs w:val="24"/>
        </w:rPr>
        <w:t xml:space="preserve"> </w:t>
      </w:r>
      <w:r w:rsidRPr="0094369F">
        <w:rPr>
          <w:rFonts w:ascii="Arial" w:eastAsia="Times New Roman" w:hAnsi="Arial" w:cs="Arial"/>
          <w:color w:val="000000"/>
          <w:sz w:val="24"/>
          <w:szCs w:val="24"/>
        </w:rPr>
        <w:t>Inspire L</w:t>
      </w:r>
      <w:r w:rsidR="00857BE1">
        <w:rPr>
          <w:rFonts w:ascii="Arial" w:eastAsia="Times New Roman" w:hAnsi="Arial" w:cs="Arial"/>
          <w:color w:val="000000"/>
          <w:sz w:val="24"/>
          <w:szCs w:val="24"/>
        </w:rPr>
        <w:t xml:space="preserve">imited </w:t>
      </w:r>
      <w:r w:rsidRPr="0094369F">
        <w:rPr>
          <w:rFonts w:ascii="Arial" w:eastAsia="Times New Roman" w:hAnsi="Arial" w:cs="Arial"/>
          <w:color w:val="000000"/>
          <w:sz w:val="24"/>
          <w:szCs w:val="24"/>
        </w:rPr>
        <w:t>and Fosterin</w:t>
      </w:r>
      <w:r>
        <w:rPr>
          <w:rFonts w:ascii="Arial" w:eastAsia="Times New Roman" w:hAnsi="Arial" w:cs="Arial"/>
          <w:color w:val="000000"/>
          <w:sz w:val="24"/>
          <w:szCs w:val="24"/>
        </w:rPr>
        <w:t>g</w:t>
      </w:r>
      <w:r w:rsidR="006A71D6">
        <w:rPr>
          <w:rFonts w:ascii="Arial" w:eastAsia="Times New Roman" w:hAnsi="Arial" w:cs="Arial"/>
          <w:color w:val="000000"/>
          <w:sz w:val="24"/>
          <w:szCs w:val="24"/>
        </w:rPr>
        <w:t xml:space="preserve"> </w:t>
      </w:r>
      <w:r>
        <w:rPr>
          <w:rFonts w:ascii="Arial" w:eastAsia="Times New Roman" w:hAnsi="Arial" w:cs="Arial"/>
          <w:color w:val="000000"/>
          <w:sz w:val="24"/>
          <w:szCs w:val="24"/>
        </w:rPr>
        <w:t>2</w:t>
      </w:r>
      <w:r w:rsidR="006A71D6">
        <w:rPr>
          <w:rFonts w:ascii="Arial" w:eastAsia="Times New Roman" w:hAnsi="Arial" w:cs="Arial"/>
          <w:color w:val="000000"/>
          <w:sz w:val="24"/>
          <w:szCs w:val="24"/>
        </w:rPr>
        <w:t xml:space="preserve"> </w:t>
      </w:r>
      <w:r w:rsidRPr="0094369F">
        <w:rPr>
          <w:rFonts w:ascii="Arial" w:eastAsia="Times New Roman" w:hAnsi="Arial" w:cs="Arial"/>
          <w:color w:val="000000"/>
          <w:sz w:val="24"/>
          <w:szCs w:val="24"/>
        </w:rPr>
        <w:t xml:space="preserve">Inspire, and continued to grow and develop the services to meet the needs of our customers (Local Authorities) and thereby improve the outcomes for the children and young people we look after.  </w:t>
      </w:r>
    </w:p>
    <w:p w14:paraId="2A5D763C" w14:textId="77777777" w:rsidR="00D5584F" w:rsidRPr="0094369F" w:rsidRDefault="00D5584F" w:rsidP="00D5584F">
      <w:pPr>
        <w:widowControl w:val="0"/>
        <w:tabs>
          <w:tab w:val="right" w:pos="9064"/>
        </w:tabs>
        <w:autoSpaceDE w:val="0"/>
        <w:autoSpaceDN w:val="0"/>
        <w:adjustRightInd w:val="0"/>
        <w:spacing w:after="240" w:line="240" w:lineRule="auto"/>
        <w:jc w:val="both"/>
        <w:rPr>
          <w:rFonts w:ascii="Arial" w:eastAsia="Times New Roman" w:hAnsi="Arial" w:cs="Arial"/>
          <w:color w:val="000000"/>
          <w:sz w:val="24"/>
          <w:szCs w:val="24"/>
        </w:rPr>
      </w:pPr>
      <w:r w:rsidRPr="0094369F">
        <w:rPr>
          <w:rFonts w:ascii="Arial" w:eastAsia="Times New Roman" w:hAnsi="Arial" w:cs="Arial"/>
          <w:color w:val="000000"/>
          <w:sz w:val="24"/>
          <w:szCs w:val="24"/>
        </w:rPr>
        <w:t xml:space="preserve">Our principal activities are the provision of residential care for looked after children within our Ofsted registered children’s homes, the majority of which are in the East Midlands.  We currently have twenty-six homes which can look after up to one hundred and six children and young people.  </w:t>
      </w:r>
    </w:p>
    <w:p w14:paraId="5E8D9E8E" w14:textId="77777777" w:rsidR="00D5584F" w:rsidRPr="0094369F" w:rsidRDefault="00D5584F" w:rsidP="00D5584F">
      <w:pPr>
        <w:widowControl w:val="0"/>
        <w:tabs>
          <w:tab w:val="right" w:pos="9064"/>
        </w:tabs>
        <w:autoSpaceDE w:val="0"/>
        <w:autoSpaceDN w:val="0"/>
        <w:adjustRightInd w:val="0"/>
        <w:spacing w:after="24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We</w:t>
      </w:r>
      <w:r w:rsidRPr="0094369F">
        <w:rPr>
          <w:rFonts w:ascii="Arial" w:eastAsia="Times New Roman" w:hAnsi="Arial" w:cs="Arial"/>
          <w:color w:val="000000"/>
          <w:sz w:val="24"/>
          <w:szCs w:val="24"/>
        </w:rPr>
        <w:t xml:space="preserve"> also ha</w:t>
      </w:r>
      <w:r>
        <w:rPr>
          <w:rFonts w:ascii="Arial" w:eastAsia="Times New Roman" w:hAnsi="Arial" w:cs="Arial"/>
          <w:color w:val="000000"/>
          <w:sz w:val="24"/>
          <w:szCs w:val="24"/>
        </w:rPr>
        <w:t>ve</w:t>
      </w:r>
      <w:r w:rsidRPr="0094369F">
        <w:rPr>
          <w:rFonts w:ascii="Arial" w:eastAsia="Times New Roman" w:hAnsi="Arial" w:cs="Arial"/>
          <w:color w:val="000000"/>
          <w:sz w:val="24"/>
          <w:szCs w:val="24"/>
        </w:rPr>
        <w:t xml:space="preserve"> a contract to manage Trevone House; nineteen flats delivering leaving care services by providing 24-hour support, advice and guidance for some of the most vulnerable young people making the transition from care to independent living.   This provision has been visited by a number of other Local Authorities and is being seen as an ‘innovative, first of its kind blueprint’ to develop similar services elsewhere.  </w:t>
      </w:r>
    </w:p>
    <w:p w14:paraId="7A08A7B7" w14:textId="77777777" w:rsidR="00FB1E6E" w:rsidRPr="0094369F" w:rsidRDefault="00D5584F" w:rsidP="00FB1E6E">
      <w:pPr>
        <w:widowControl w:val="0"/>
        <w:tabs>
          <w:tab w:val="right" w:pos="9064"/>
        </w:tabs>
        <w:autoSpaceDE w:val="0"/>
        <w:autoSpaceDN w:val="0"/>
        <w:adjustRightInd w:val="0"/>
        <w:spacing w:after="24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Our</w:t>
      </w:r>
      <w:r w:rsidRPr="0094369F">
        <w:rPr>
          <w:rFonts w:ascii="Arial" w:eastAsia="Times New Roman" w:hAnsi="Arial" w:cs="Arial"/>
          <w:color w:val="000000"/>
          <w:sz w:val="24"/>
          <w:szCs w:val="24"/>
        </w:rPr>
        <w:t xml:space="preserve"> customers are Local Authorities who place children either through block contract arrangements, framework agreements or on a spot purchase basis.  </w:t>
      </w:r>
    </w:p>
    <w:p w14:paraId="39171A88" w14:textId="77777777" w:rsidR="00D5584F" w:rsidRDefault="00D5584F" w:rsidP="00D5584F">
      <w:pPr>
        <w:widowControl w:val="0"/>
        <w:tabs>
          <w:tab w:val="right" w:pos="9064"/>
        </w:tabs>
        <w:autoSpaceDE w:val="0"/>
        <w:autoSpaceDN w:val="0"/>
        <w:adjustRightInd w:val="0"/>
        <w:spacing w:after="240" w:line="240" w:lineRule="auto"/>
        <w:jc w:val="both"/>
        <w:rPr>
          <w:rFonts w:ascii="Arial" w:eastAsia="Times New Roman" w:hAnsi="Arial" w:cs="Arial"/>
          <w:color w:val="000000"/>
          <w:sz w:val="24"/>
          <w:szCs w:val="24"/>
        </w:rPr>
      </w:pPr>
    </w:p>
    <w:p w14:paraId="4661A168" w14:textId="77777777" w:rsidR="00FB1E6E" w:rsidRDefault="00FB1E6E" w:rsidP="00D5584F">
      <w:pPr>
        <w:keepLines/>
        <w:widowControl w:val="0"/>
        <w:tabs>
          <w:tab w:val="left" w:pos="567"/>
        </w:tabs>
        <w:autoSpaceDE w:val="0"/>
        <w:autoSpaceDN w:val="0"/>
        <w:adjustRightInd w:val="0"/>
        <w:spacing w:after="240" w:line="240" w:lineRule="auto"/>
        <w:jc w:val="both"/>
        <w:rPr>
          <w:rFonts w:ascii="Arial" w:hAnsi="Arial" w:cs="Arial"/>
          <w:b/>
          <w:i/>
          <w:sz w:val="24"/>
          <w:szCs w:val="24"/>
        </w:rPr>
      </w:pPr>
    </w:p>
    <w:p w14:paraId="2A79EFFE" w14:textId="77777777" w:rsidR="00D5584F" w:rsidRPr="00DD647D" w:rsidRDefault="00D5584F" w:rsidP="00D5584F">
      <w:pPr>
        <w:keepLines/>
        <w:widowControl w:val="0"/>
        <w:tabs>
          <w:tab w:val="left" w:pos="567"/>
        </w:tabs>
        <w:autoSpaceDE w:val="0"/>
        <w:autoSpaceDN w:val="0"/>
        <w:adjustRightInd w:val="0"/>
        <w:spacing w:after="240" w:line="240" w:lineRule="auto"/>
        <w:jc w:val="both"/>
        <w:rPr>
          <w:rFonts w:ascii="Arial" w:hAnsi="Arial" w:cs="Arial"/>
          <w:b/>
          <w:i/>
          <w:sz w:val="24"/>
          <w:szCs w:val="24"/>
        </w:rPr>
      </w:pPr>
      <w:r w:rsidRPr="00DD647D">
        <w:rPr>
          <w:rFonts w:ascii="Arial" w:hAnsi="Arial" w:cs="Arial"/>
          <w:b/>
          <w:i/>
          <w:sz w:val="24"/>
          <w:szCs w:val="24"/>
        </w:rPr>
        <w:lastRenderedPageBreak/>
        <w:t xml:space="preserve">2. </w:t>
      </w:r>
      <w:r w:rsidRPr="00DD647D">
        <w:rPr>
          <w:rFonts w:ascii="Arial" w:hAnsi="Arial" w:cs="Arial"/>
          <w:b/>
          <w:i/>
          <w:sz w:val="24"/>
          <w:szCs w:val="24"/>
        </w:rPr>
        <w:tab/>
        <w:t>Financial review (continued)</w:t>
      </w:r>
    </w:p>
    <w:p w14:paraId="22F8BB9E" w14:textId="77777777" w:rsidR="00FB1E6E" w:rsidRDefault="00FB1E6E" w:rsidP="00D5584F">
      <w:pPr>
        <w:widowControl w:val="0"/>
        <w:tabs>
          <w:tab w:val="right" w:pos="9064"/>
        </w:tabs>
        <w:autoSpaceDE w:val="0"/>
        <w:autoSpaceDN w:val="0"/>
        <w:adjustRightInd w:val="0"/>
        <w:spacing w:after="240" w:line="240" w:lineRule="auto"/>
        <w:jc w:val="both"/>
        <w:rPr>
          <w:rFonts w:ascii="Arial" w:eastAsia="Times New Roman" w:hAnsi="Arial" w:cs="Arial"/>
          <w:color w:val="000000"/>
          <w:sz w:val="24"/>
          <w:szCs w:val="24"/>
        </w:rPr>
      </w:pPr>
      <w:r w:rsidRPr="0094369F">
        <w:rPr>
          <w:rFonts w:ascii="Arial" w:eastAsia="Times New Roman" w:hAnsi="Arial" w:cs="Arial"/>
          <w:color w:val="000000"/>
          <w:sz w:val="24"/>
          <w:szCs w:val="24"/>
        </w:rPr>
        <w:t xml:space="preserve">66 of the 106 residential children’s home places are subject to block contract arrangements for the exclusive use of specific Local Authorities and the leaving care services contracted directly by a Local Authority.  </w:t>
      </w:r>
    </w:p>
    <w:p w14:paraId="3B4255CB" w14:textId="77777777" w:rsidR="00D5584F" w:rsidRDefault="00D5584F" w:rsidP="00D5584F">
      <w:pPr>
        <w:widowControl w:val="0"/>
        <w:tabs>
          <w:tab w:val="right" w:pos="9064"/>
        </w:tabs>
        <w:autoSpaceDE w:val="0"/>
        <w:autoSpaceDN w:val="0"/>
        <w:adjustRightInd w:val="0"/>
        <w:spacing w:after="240" w:line="240" w:lineRule="auto"/>
        <w:jc w:val="both"/>
        <w:rPr>
          <w:rFonts w:ascii="Arial" w:eastAsia="Times New Roman" w:hAnsi="Arial" w:cs="Arial"/>
          <w:color w:val="000000"/>
          <w:sz w:val="24"/>
          <w:szCs w:val="24"/>
        </w:rPr>
      </w:pPr>
      <w:r w:rsidRPr="0094369F">
        <w:rPr>
          <w:rFonts w:ascii="Arial" w:eastAsia="Times New Roman" w:hAnsi="Arial" w:cs="Arial"/>
          <w:color w:val="000000"/>
          <w:sz w:val="24"/>
          <w:szCs w:val="24"/>
        </w:rPr>
        <w:t xml:space="preserve">This has been a challenging year due to Covid-19 and the impact on maintaining service provision and developing new services.  The staff teams have worked tirelessly to maintain service delivery and support young people within a continuous and ongoing Ofsted </w:t>
      </w:r>
      <w:r>
        <w:rPr>
          <w:rFonts w:ascii="Arial" w:eastAsia="Times New Roman" w:hAnsi="Arial" w:cs="Arial"/>
          <w:color w:val="000000"/>
          <w:sz w:val="24"/>
          <w:szCs w:val="24"/>
        </w:rPr>
        <w:t>regulatory inspection regime.</w:t>
      </w:r>
    </w:p>
    <w:p w14:paraId="7AE22BD4" w14:textId="77777777" w:rsidR="00D5584F" w:rsidRDefault="00D5584F" w:rsidP="00D5584F">
      <w:pPr>
        <w:widowControl w:val="0"/>
        <w:tabs>
          <w:tab w:val="right" w:pos="9064"/>
        </w:tabs>
        <w:autoSpaceDE w:val="0"/>
        <w:autoSpaceDN w:val="0"/>
        <w:adjustRightInd w:val="0"/>
        <w:spacing w:after="240" w:line="240" w:lineRule="auto"/>
        <w:jc w:val="both"/>
        <w:rPr>
          <w:rFonts w:ascii="Arial" w:eastAsia="Times New Roman" w:hAnsi="Arial" w:cs="Arial"/>
          <w:color w:val="000000"/>
          <w:sz w:val="24"/>
          <w:szCs w:val="24"/>
        </w:rPr>
      </w:pPr>
      <w:r w:rsidRPr="0094369F">
        <w:rPr>
          <w:rFonts w:ascii="Arial" w:eastAsia="Times New Roman" w:hAnsi="Arial" w:cs="Arial"/>
          <w:color w:val="000000"/>
          <w:sz w:val="24"/>
          <w:szCs w:val="24"/>
        </w:rPr>
        <w:t>The direction of travel for</w:t>
      </w:r>
      <w:r>
        <w:rPr>
          <w:rFonts w:ascii="Arial" w:eastAsia="Times New Roman" w:hAnsi="Arial" w:cs="Arial"/>
          <w:color w:val="000000"/>
          <w:sz w:val="24"/>
          <w:szCs w:val="24"/>
        </w:rPr>
        <w:t xml:space="preserve"> our </w:t>
      </w:r>
      <w:r w:rsidRPr="0094369F">
        <w:rPr>
          <w:rFonts w:ascii="Arial" w:eastAsia="Times New Roman" w:hAnsi="Arial" w:cs="Arial"/>
          <w:color w:val="000000"/>
          <w:sz w:val="24"/>
          <w:szCs w:val="24"/>
        </w:rPr>
        <w:t>key customers continues to be one of developing children’s homes within their own County boundaries for their exclusive use on a block contract; meeting their ‘sufficiency and efficiency’ strategy and more importantly enabling the necessary ‘wrap around’ services, for example education and C</w:t>
      </w:r>
      <w:r w:rsidR="006A71D6">
        <w:rPr>
          <w:rFonts w:ascii="Arial" w:eastAsia="Times New Roman" w:hAnsi="Arial" w:cs="Arial"/>
          <w:color w:val="000000"/>
          <w:sz w:val="24"/>
          <w:szCs w:val="24"/>
        </w:rPr>
        <w:t>hild and Adolescent Mental Health Services (C</w:t>
      </w:r>
      <w:r w:rsidRPr="0094369F">
        <w:rPr>
          <w:rFonts w:ascii="Arial" w:eastAsia="Times New Roman" w:hAnsi="Arial" w:cs="Arial"/>
          <w:color w:val="000000"/>
          <w:sz w:val="24"/>
          <w:szCs w:val="24"/>
        </w:rPr>
        <w:t>AMHS</w:t>
      </w:r>
      <w:r w:rsidR="006A71D6">
        <w:rPr>
          <w:rFonts w:ascii="Arial" w:eastAsia="Times New Roman" w:hAnsi="Arial" w:cs="Arial"/>
          <w:color w:val="000000"/>
          <w:sz w:val="24"/>
          <w:szCs w:val="24"/>
        </w:rPr>
        <w:t>)</w:t>
      </w:r>
      <w:r w:rsidRPr="0094369F">
        <w:rPr>
          <w:rFonts w:ascii="Arial" w:eastAsia="Times New Roman" w:hAnsi="Arial" w:cs="Arial"/>
          <w:color w:val="000000"/>
          <w:sz w:val="24"/>
          <w:szCs w:val="24"/>
        </w:rPr>
        <w:t xml:space="preserve"> to be accessible and available to children and young people. </w:t>
      </w:r>
    </w:p>
    <w:p w14:paraId="51B8511C" w14:textId="77777777" w:rsidR="00D5584F" w:rsidRDefault="00D5584F" w:rsidP="00D5584F">
      <w:pPr>
        <w:widowControl w:val="0"/>
        <w:tabs>
          <w:tab w:val="right" w:pos="9064"/>
        </w:tabs>
        <w:autoSpaceDE w:val="0"/>
        <w:autoSpaceDN w:val="0"/>
        <w:adjustRightInd w:val="0"/>
        <w:spacing w:after="240" w:line="240" w:lineRule="auto"/>
        <w:jc w:val="both"/>
        <w:rPr>
          <w:rFonts w:ascii="Arial" w:eastAsia="Times New Roman" w:hAnsi="Arial" w:cs="Arial"/>
          <w:color w:val="000000"/>
          <w:sz w:val="24"/>
          <w:szCs w:val="24"/>
        </w:rPr>
      </w:pPr>
      <w:r w:rsidRPr="0094369F">
        <w:rPr>
          <w:rFonts w:ascii="Arial" w:eastAsia="Times New Roman" w:hAnsi="Arial" w:cs="Arial"/>
          <w:color w:val="000000"/>
          <w:sz w:val="24"/>
          <w:szCs w:val="24"/>
        </w:rPr>
        <w:t>In partnership with key customers we have looked at ways to develop our services to meet the complex needs of children and young people stepping down from Tier 4 mental health provision or from Local Authority secure accommodation on welfare grounds who require residential care.  This provides care for those who are hardest to place due to ‘matching’ and require h</w:t>
      </w:r>
      <w:r>
        <w:rPr>
          <w:rFonts w:ascii="Arial" w:eastAsia="Times New Roman" w:hAnsi="Arial" w:cs="Arial"/>
          <w:color w:val="000000"/>
          <w:sz w:val="24"/>
          <w:szCs w:val="24"/>
        </w:rPr>
        <w:t>igh levels of support and care.</w:t>
      </w:r>
    </w:p>
    <w:p w14:paraId="270C8AFF" w14:textId="77777777" w:rsidR="00D5584F" w:rsidRDefault="00D5584F" w:rsidP="00D5584F">
      <w:pPr>
        <w:widowControl w:val="0"/>
        <w:tabs>
          <w:tab w:val="right" w:pos="9064"/>
        </w:tabs>
        <w:autoSpaceDE w:val="0"/>
        <w:autoSpaceDN w:val="0"/>
        <w:adjustRightInd w:val="0"/>
        <w:spacing w:after="240" w:line="240" w:lineRule="auto"/>
        <w:jc w:val="both"/>
        <w:rPr>
          <w:rFonts w:ascii="Arial" w:eastAsia="Times New Roman" w:hAnsi="Arial" w:cs="Arial"/>
          <w:color w:val="000000"/>
          <w:sz w:val="24"/>
          <w:szCs w:val="24"/>
        </w:rPr>
      </w:pPr>
      <w:r w:rsidRPr="0094369F">
        <w:rPr>
          <w:rFonts w:ascii="Arial" w:eastAsia="Times New Roman" w:hAnsi="Arial" w:cs="Arial"/>
          <w:color w:val="000000"/>
          <w:sz w:val="24"/>
          <w:szCs w:val="24"/>
        </w:rPr>
        <w:t>To meet these challenges, we have continued to develop solo and dual placement homes linked to 5-bed homes or 2 x 2-dual bed homes in close proximity to each other. Over the last year</w:t>
      </w:r>
      <w:r>
        <w:rPr>
          <w:rFonts w:ascii="Arial" w:eastAsia="Times New Roman" w:hAnsi="Arial" w:cs="Arial"/>
          <w:color w:val="000000"/>
          <w:sz w:val="24"/>
          <w:szCs w:val="24"/>
        </w:rPr>
        <w:t xml:space="preserve"> we </w:t>
      </w:r>
      <w:r w:rsidRPr="0094369F">
        <w:rPr>
          <w:rFonts w:ascii="Arial" w:eastAsia="Times New Roman" w:hAnsi="Arial" w:cs="Arial"/>
          <w:color w:val="000000"/>
          <w:sz w:val="24"/>
          <w:szCs w:val="24"/>
        </w:rPr>
        <w:t>opened a further three homes and ha</w:t>
      </w:r>
      <w:r>
        <w:rPr>
          <w:rFonts w:ascii="Arial" w:eastAsia="Times New Roman" w:hAnsi="Arial" w:cs="Arial"/>
          <w:color w:val="000000"/>
          <w:sz w:val="24"/>
          <w:szCs w:val="24"/>
        </w:rPr>
        <w:t>ve</w:t>
      </w:r>
      <w:r w:rsidRPr="0094369F">
        <w:rPr>
          <w:rFonts w:ascii="Arial" w:eastAsia="Times New Roman" w:hAnsi="Arial" w:cs="Arial"/>
          <w:color w:val="000000"/>
          <w:sz w:val="24"/>
          <w:szCs w:val="24"/>
        </w:rPr>
        <w:t xml:space="preserve"> a further four homes under development.  </w:t>
      </w:r>
    </w:p>
    <w:p w14:paraId="273D1ABA" w14:textId="77777777" w:rsidR="00D5584F" w:rsidRDefault="00D5584F" w:rsidP="00D5584F">
      <w:pPr>
        <w:widowControl w:val="0"/>
        <w:tabs>
          <w:tab w:val="right" w:pos="9064"/>
        </w:tabs>
        <w:autoSpaceDE w:val="0"/>
        <w:autoSpaceDN w:val="0"/>
        <w:adjustRightInd w:val="0"/>
        <w:spacing w:after="240" w:line="240" w:lineRule="auto"/>
        <w:jc w:val="both"/>
        <w:rPr>
          <w:rFonts w:ascii="Arial" w:eastAsia="Times New Roman" w:hAnsi="Arial" w:cs="Arial"/>
          <w:color w:val="000000"/>
          <w:sz w:val="24"/>
          <w:szCs w:val="24"/>
        </w:rPr>
      </w:pPr>
      <w:r w:rsidRPr="0094369F">
        <w:rPr>
          <w:rFonts w:ascii="Arial" w:eastAsia="Times New Roman" w:hAnsi="Arial" w:cs="Arial"/>
          <w:color w:val="000000"/>
          <w:sz w:val="24"/>
          <w:szCs w:val="24"/>
        </w:rPr>
        <w:t xml:space="preserve">In March 2020 </w:t>
      </w:r>
      <w:r>
        <w:rPr>
          <w:rFonts w:ascii="Arial" w:eastAsia="Times New Roman" w:hAnsi="Arial" w:cs="Arial"/>
          <w:color w:val="000000"/>
          <w:sz w:val="24"/>
          <w:szCs w:val="24"/>
        </w:rPr>
        <w:t>we</w:t>
      </w:r>
      <w:r w:rsidRPr="0094369F">
        <w:rPr>
          <w:rFonts w:ascii="Arial" w:eastAsia="Times New Roman" w:hAnsi="Arial" w:cs="Arial"/>
          <w:color w:val="000000"/>
          <w:sz w:val="24"/>
          <w:szCs w:val="24"/>
        </w:rPr>
        <w:t xml:space="preserve"> won a block contract to provide 15 residential placements for Oxfordshire County Council.  Two existing homes will be transitioned to that contract; a further 2 homes are currently under development.  The contract is in 2 stages, with 7 beds being made available by October 2020 and the remaining beds by April 1</w:t>
      </w:r>
      <w:r w:rsidRPr="0094369F">
        <w:rPr>
          <w:rFonts w:ascii="Arial" w:eastAsia="Times New Roman" w:hAnsi="Arial" w:cs="Arial"/>
          <w:color w:val="000000"/>
          <w:sz w:val="24"/>
          <w:szCs w:val="24"/>
          <w:vertAlign w:val="superscript"/>
        </w:rPr>
        <w:t>st</w:t>
      </w:r>
      <w:r w:rsidRPr="0094369F">
        <w:rPr>
          <w:rFonts w:ascii="Arial" w:eastAsia="Times New Roman" w:hAnsi="Arial" w:cs="Arial"/>
          <w:color w:val="000000"/>
          <w:sz w:val="24"/>
          <w:szCs w:val="24"/>
        </w:rPr>
        <w:t xml:space="preserve"> 2021.  A specialist home to go onto an existing block contract for a child with sensory impairment and complex needs is also being developed.  </w:t>
      </w:r>
    </w:p>
    <w:p w14:paraId="6E370CFC" w14:textId="77777777" w:rsidR="00D5584F" w:rsidRDefault="00D5584F" w:rsidP="00D5584F">
      <w:pPr>
        <w:widowControl w:val="0"/>
        <w:tabs>
          <w:tab w:val="right" w:pos="9064"/>
        </w:tabs>
        <w:autoSpaceDE w:val="0"/>
        <w:autoSpaceDN w:val="0"/>
        <w:adjustRightInd w:val="0"/>
        <w:spacing w:after="240" w:line="240" w:lineRule="auto"/>
        <w:jc w:val="both"/>
        <w:rPr>
          <w:rFonts w:ascii="Arial" w:eastAsia="Times New Roman" w:hAnsi="Arial" w:cs="Arial"/>
          <w:color w:val="000000"/>
          <w:sz w:val="24"/>
          <w:szCs w:val="24"/>
        </w:rPr>
      </w:pPr>
      <w:r w:rsidRPr="0094369F">
        <w:rPr>
          <w:rFonts w:ascii="Arial" w:eastAsia="Times New Roman" w:hAnsi="Arial" w:cs="Arial"/>
          <w:color w:val="000000"/>
          <w:sz w:val="24"/>
          <w:szCs w:val="24"/>
        </w:rPr>
        <w:t>All homes have been inspected by Ofsted and 84% are ‘Good’ or ‘Outstanding’ with seven homes achieving an ‘Outstanding’ rating which acknowledges the dedication of the Home Managers and the staff teams in their work with children and young people.  Homes</w:t>
      </w:r>
      <w:r w:rsidR="006A71D6">
        <w:rPr>
          <w:rFonts w:ascii="Arial" w:eastAsia="Times New Roman" w:hAnsi="Arial" w:cs="Arial"/>
          <w:color w:val="000000"/>
          <w:sz w:val="24"/>
          <w:szCs w:val="24"/>
        </w:rPr>
        <w:t xml:space="preserve"> </w:t>
      </w:r>
      <w:r w:rsidRPr="0094369F">
        <w:rPr>
          <w:rFonts w:ascii="Arial" w:eastAsia="Times New Roman" w:hAnsi="Arial" w:cs="Arial"/>
          <w:color w:val="000000"/>
          <w:sz w:val="24"/>
          <w:szCs w:val="24"/>
        </w:rPr>
        <w:t>2</w:t>
      </w:r>
      <w:r w:rsidR="006A71D6">
        <w:rPr>
          <w:rFonts w:ascii="Arial" w:eastAsia="Times New Roman" w:hAnsi="Arial" w:cs="Arial"/>
          <w:color w:val="000000"/>
          <w:sz w:val="24"/>
          <w:szCs w:val="24"/>
        </w:rPr>
        <w:t xml:space="preserve"> </w:t>
      </w:r>
      <w:r w:rsidRPr="0094369F">
        <w:rPr>
          <w:rFonts w:ascii="Arial" w:eastAsia="Times New Roman" w:hAnsi="Arial" w:cs="Arial"/>
          <w:color w:val="000000"/>
          <w:sz w:val="24"/>
          <w:szCs w:val="24"/>
        </w:rPr>
        <w:t xml:space="preserve">Inspire has been recognised by Ofsted as being in the top </w:t>
      </w:r>
      <w:r>
        <w:rPr>
          <w:rFonts w:ascii="Arial" w:eastAsia="Times New Roman" w:hAnsi="Arial" w:cs="Arial"/>
          <w:color w:val="000000"/>
          <w:sz w:val="24"/>
          <w:szCs w:val="24"/>
        </w:rPr>
        <w:t xml:space="preserve">10 of all Care Home providers. </w:t>
      </w:r>
    </w:p>
    <w:p w14:paraId="50FA2152" w14:textId="77777777" w:rsidR="00D5584F" w:rsidRDefault="00D5584F" w:rsidP="00D5584F">
      <w:pPr>
        <w:widowControl w:val="0"/>
        <w:tabs>
          <w:tab w:val="right" w:pos="9064"/>
        </w:tabs>
        <w:autoSpaceDE w:val="0"/>
        <w:autoSpaceDN w:val="0"/>
        <w:adjustRightInd w:val="0"/>
        <w:spacing w:after="24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‘Fostering to Inspire’, our Independent Fostering agency</w:t>
      </w:r>
      <w:r w:rsidRPr="0094369F">
        <w:rPr>
          <w:rFonts w:ascii="Arial" w:eastAsia="Times New Roman" w:hAnsi="Arial" w:cs="Arial"/>
          <w:color w:val="000000"/>
          <w:sz w:val="24"/>
          <w:szCs w:val="24"/>
        </w:rPr>
        <w:t>, based in Wakefield received an Ofsted ‘Good’ on its first inspection and continues to grow incrementally year on year.  The creative work being undertaken will enable further opportunities to provide an integrated service between fostering and res</w:t>
      </w:r>
      <w:r>
        <w:rPr>
          <w:rFonts w:ascii="Arial" w:eastAsia="Times New Roman" w:hAnsi="Arial" w:cs="Arial"/>
          <w:color w:val="000000"/>
          <w:sz w:val="24"/>
          <w:szCs w:val="24"/>
        </w:rPr>
        <w:t xml:space="preserve">idential care to be developed. </w:t>
      </w:r>
    </w:p>
    <w:p w14:paraId="26DD37B5" w14:textId="77777777" w:rsidR="00D5584F" w:rsidRPr="005F3D4F" w:rsidRDefault="00D5584F" w:rsidP="00D5584F">
      <w:pPr>
        <w:widowControl w:val="0"/>
        <w:tabs>
          <w:tab w:val="right" w:pos="9064"/>
        </w:tabs>
        <w:autoSpaceDE w:val="0"/>
        <w:autoSpaceDN w:val="0"/>
        <w:adjustRightInd w:val="0"/>
        <w:spacing w:after="240" w:line="240" w:lineRule="auto"/>
        <w:jc w:val="both"/>
        <w:rPr>
          <w:rFonts w:ascii="Arial" w:eastAsia="Times New Roman" w:hAnsi="Arial" w:cs="Arial"/>
          <w:color w:val="000000"/>
          <w:sz w:val="24"/>
          <w:szCs w:val="24"/>
        </w:rPr>
      </w:pPr>
      <w:r w:rsidRPr="0094369F">
        <w:rPr>
          <w:rFonts w:ascii="Arial" w:eastAsia="Times New Roman" w:hAnsi="Arial" w:cs="Arial"/>
          <w:color w:val="000000"/>
          <w:sz w:val="24"/>
          <w:szCs w:val="24"/>
        </w:rPr>
        <w:t xml:space="preserve">The coming year will continue to present ongoing challenges as we come out of Covid-19 but also significant opportunities as we strive to meet the needs of our customers and commissioners by developing innovative solutions that provide value for money while authorities continue to review the services they deliver that provide positive outcomes for children and young people.  </w:t>
      </w:r>
    </w:p>
    <w:p w14:paraId="0FAEEA55" w14:textId="77777777" w:rsidR="00D5584F" w:rsidRPr="0094369F" w:rsidRDefault="00D5584F" w:rsidP="00D5584F">
      <w:pPr>
        <w:keepLines/>
        <w:widowControl w:val="0"/>
        <w:autoSpaceDE w:val="0"/>
        <w:autoSpaceDN w:val="0"/>
        <w:adjustRightInd w:val="0"/>
        <w:spacing w:after="240" w:line="240" w:lineRule="auto"/>
        <w:jc w:val="both"/>
        <w:rPr>
          <w:rFonts w:ascii="Arial" w:hAnsi="Arial" w:cs="Arial"/>
          <w:sz w:val="24"/>
          <w:szCs w:val="24"/>
        </w:rPr>
      </w:pPr>
      <w:r w:rsidRPr="0094369F">
        <w:rPr>
          <w:rFonts w:ascii="Arial" w:hAnsi="Arial" w:cs="Arial"/>
          <w:b/>
          <w:sz w:val="24"/>
          <w:szCs w:val="24"/>
        </w:rPr>
        <w:t>Children’s Services</w:t>
      </w:r>
      <w:r w:rsidRPr="0094369F">
        <w:rPr>
          <w:rFonts w:ascii="Arial" w:hAnsi="Arial" w:cs="Arial"/>
          <w:sz w:val="24"/>
          <w:szCs w:val="24"/>
        </w:rPr>
        <w:t xml:space="preserve">: </w:t>
      </w:r>
    </w:p>
    <w:p w14:paraId="44606E9C" w14:textId="77777777" w:rsidR="00D5584F" w:rsidRDefault="00D5584F" w:rsidP="00D5584F">
      <w:pPr>
        <w:keepLines/>
        <w:widowControl w:val="0"/>
        <w:autoSpaceDE w:val="0"/>
        <w:autoSpaceDN w:val="0"/>
        <w:adjustRightInd w:val="0"/>
        <w:spacing w:after="240" w:line="240" w:lineRule="auto"/>
        <w:jc w:val="both"/>
        <w:rPr>
          <w:rFonts w:ascii="Arial" w:hAnsi="Arial" w:cs="Arial"/>
          <w:sz w:val="24"/>
          <w:szCs w:val="24"/>
        </w:rPr>
      </w:pPr>
      <w:r>
        <w:rPr>
          <w:rFonts w:ascii="Arial" w:hAnsi="Arial" w:cs="Arial"/>
          <w:sz w:val="24"/>
          <w:szCs w:val="24"/>
        </w:rPr>
        <w:t>We are</w:t>
      </w:r>
      <w:r w:rsidRPr="0094369F">
        <w:rPr>
          <w:rFonts w:ascii="Arial" w:hAnsi="Arial" w:cs="Arial"/>
          <w:sz w:val="24"/>
          <w:szCs w:val="24"/>
        </w:rPr>
        <w:t xml:space="preserve"> the largest provider of our people’s not in employment, education or training (NEET) contracts in the country.  </w:t>
      </w:r>
    </w:p>
    <w:p w14:paraId="42802532" w14:textId="77777777" w:rsidR="00D5584F" w:rsidRPr="00DD647D" w:rsidRDefault="00D5584F" w:rsidP="00D5584F">
      <w:pPr>
        <w:keepLines/>
        <w:widowControl w:val="0"/>
        <w:tabs>
          <w:tab w:val="left" w:pos="567"/>
        </w:tabs>
        <w:autoSpaceDE w:val="0"/>
        <w:autoSpaceDN w:val="0"/>
        <w:adjustRightInd w:val="0"/>
        <w:spacing w:after="240" w:line="240" w:lineRule="auto"/>
        <w:jc w:val="both"/>
        <w:rPr>
          <w:rFonts w:ascii="Arial" w:hAnsi="Arial" w:cs="Arial"/>
          <w:b/>
          <w:i/>
          <w:sz w:val="24"/>
          <w:szCs w:val="24"/>
        </w:rPr>
      </w:pPr>
      <w:r w:rsidRPr="00DD647D">
        <w:rPr>
          <w:rFonts w:ascii="Arial" w:hAnsi="Arial" w:cs="Arial"/>
          <w:b/>
          <w:i/>
          <w:sz w:val="24"/>
          <w:szCs w:val="24"/>
        </w:rPr>
        <w:lastRenderedPageBreak/>
        <w:t xml:space="preserve">2. </w:t>
      </w:r>
      <w:r w:rsidRPr="00DD647D">
        <w:rPr>
          <w:rFonts w:ascii="Arial" w:hAnsi="Arial" w:cs="Arial"/>
          <w:b/>
          <w:i/>
          <w:sz w:val="24"/>
          <w:szCs w:val="24"/>
        </w:rPr>
        <w:tab/>
        <w:t>Financial review (continued)</w:t>
      </w:r>
    </w:p>
    <w:p w14:paraId="491FD6CA" w14:textId="77777777" w:rsidR="00D5584F" w:rsidRDefault="00D5584F" w:rsidP="00D5584F">
      <w:pPr>
        <w:keepLines/>
        <w:widowControl w:val="0"/>
        <w:autoSpaceDE w:val="0"/>
        <w:autoSpaceDN w:val="0"/>
        <w:adjustRightInd w:val="0"/>
        <w:spacing w:after="240" w:line="240" w:lineRule="auto"/>
        <w:jc w:val="both"/>
        <w:rPr>
          <w:rFonts w:ascii="Arial" w:hAnsi="Arial" w:cs="Arial"/>
          <w:sz w:val="24"/>
          <w:szCs w:val="24"/>
        </w:rPr>
      </w:pPr>
      <w:r>
        <w:rPr>
          <w:rFonts w:ascii="Arial" w:hAnsi="Arial" w:cs="Arial"/>
          <w:sz w:val="24"/>
          <w:szCs w:val="24"/>
        </w:rPr>
        <w:t>Our</w:t>
      </w:r>
      <w:r w:rsidRPr="0094369F">
        <w:rPr>
          <w:rFonts w:ascii="Arial" w:hAnsi="Arial" w:cs="Arial"/>
          <w:sz w:val="24"/>
          <w:szCs w:val="24"/>
        </w:rPr>
        <w:t xml:space="preserve"> London contracts are some of the best performing in the country, including Harrow, Brent, Havering, Westminster and Bexley.  </w:t>
      </w:r>
    </w:p>
    <w:p w14:paraId="657FE53D" w14:textId="77777777" w:rsidR="00D5584F" w:rsidRPr="0094369F" w:rsidRDefault="00D5584F" w:rsidP="00D5584F">
      <w:pPr>
        <w:keepLines/>
        <w:widowControl w:val="0"/>
        <w:autoSpaceDE w:val="0"/>
        <w:autoSpaceDN w:val="0"/>
        <w:adjustRightInd w:val="0"/>
        <w:spacing w:after="240" w:line="240" w:lineRule="auto"/>
        <w:jc w:val="both"/>
        <w:rPr>
          <w:rFonts w:ascii="Arial" w:hAnsi="Arial" w:cs="Arial"/>
          <w:sz w:val="24"/>
          <w:szCs w:val="24"/>
        </w:rPr>
      </w:pPr>
      <w:r w:rsidRPr="0094369F">
        <w:rPr>
          <w:rFonts w:ascii="Arial" w:hAnsi="Arial" w:cs="Arial"/>
          <w:sz w:val="24"/>
          <w:szCs w:val="24"/>
        </w:rPr>
        <w:t>The London team has successfully run five European Social Fund NEET to EET programmes since 2016 for the most vulnerable NEET.  In these projects we have used the unique Resilience mentor</w:t>
      </w:r>
      <w:r>
        <w:rPr>
          <w:rFonts w:ascii="Arial" w:hAnsi="Arial" w:cs="Arial"/>
          <w:sz w:val="24"/>
          <w:szCs w:val="24"/>
        </w:rPr>
        <w:t xml:space="preserve">ing approach and our </w:t>
      </w:r>
      <w:r w:rsidRPr="0094369F">
        <w:rPr>
          <w:rFonts w:ascii="Arial" w:hAnsi="Arial" w:cs="Arial"/>
          <w:sz w:val="24"/>
          <w:szCs w:val="24"/>
        </w:rPr>
        <w:t xml:space="preserve">Compass assessment tool to help our people understanding what could stop them from succeeding in their lives and develop skills to overcome the barriers. </w:t>
      </w:r>
    </w:p>
    <w:p w14:paraId="768A378A" w14:textId="77777777" w:rsidR="00D5584F" w:rsidRDefault="00D5584F" w:rsidP="00D5584F">
      <w:pPr>
        <w:keepLines/>
        <w:widowControl w:val="0"/>
        <w:autoSpaceDE w:val="0"/>
        <w:autoSpaceDN w:val="0"/>
        <w:adjustRightInd w:val="0"/>
        <w:spacing w:after="240" w:line="240" w:lineRule="auto"/>
        <w:jc w:val="both"/>
        <w:rPr>
          <w:rFonts w:ascii="Arial" w:hAnsi="Arial" w:cs="Arial"/>
          <w:sz w:val="24"/>
          <w:szCs w:val="24"/>
        </w:rPr>
      </w:pPr>
      <w:r w:rsidRPr="0094369F">
        <w:rPr>
          <w:rFonts w:ascii="Arial" w:hAnsi="Arial" w:cs="Arial"/>
          <w:sz w:val="24"/>
          <w:szCs w:val="24"/>
        </w:rPr>
        <w:t>We have delivered three Careers Cluster projects, supporting more than 50 schools and colleges to achieve good career guidance benchmarks, the Gatsby benchmarks. 100 employers engaged with 2,500 young people in schools, to raise their careers aspirations through inspirational virtual and real life employer experiences.</w:t>
      </w:r>
    </w:p>
    <w:p w14:paraId="2F8195EE" w14:textId="77777777" w:rsidR="00D5584F" w:rsidRPr="0094369F" w:rsidRDefault="00D5584F" w:rsidP="00D5584F">
      <w:pPr>
        <w:keepLines/>
        <w:widowControl w:val="0"/>
        <w:autoSpaceDE w:val="0"/>
        <w:autoSpaceDN w:val="0"/>
        <w:adjustRightInd w:val="0"/>
        <w:spacing w:after="240" w:line="240" w:lineRule="auto"/>
        <w:jc w:val="both"/>
        <w:rPr>
          <w:rFonts w:ascii="Arial" w:hAnsi="Arial" w:cs="Arial"/>
          <w:sz w:val="24"/>
          <w:szCs w:val="24"/>
        </w:rPr>
      </w:pPr>
      <w:r>
        <w:rPr>
          <w:rFonts w:ascii="Arial" w:hAnsi="Arial" w:cs="Arial"/>
          <w:sz w:val="24"/>
          <w:szCs w:val="24"/>
        </w:rPr>
        <w:t>We</w:t>
      </w:r>
      <w:r w:rsidRPr="0094369F">
        <w:rPr>
          <w:rFonts w:ascii="Arial" w:hAnsi="Arial" w:cs="Arial"/>
          <w:sz w:val="24"/>
          <w:szCs w:val="24"/>
        </w:rPr>
        <w:t xml:space="preserve"> </w:t>
      </w:r>
      <w:r w:rsidRPr="00860235">
        <w:rPr>
          <w:rFonts w:ascii="Arial" w:hAnsi="Arial" w:cs="Arial"/>
          <w:sz w:val="24"/>
          <w:szCs w:val="24"/>
        </w:rPr>
        <w:t>supported 102,000 children</w:t>
      </w:r>
      <w:r w:rsidRPr="0094369F">
        <w:rPr>
          <w:rFonts w:ascii="Arial" w:hAnsi="Arial" w:cs="Arial"/>
          <w:sz w:val="24"/>
          <w:szCs w:val="24"/>
        </w:rPr>
        <w:t xml:space="preserve">, young people </w:t>
      </w:r>
      <w:r w:rsidR="006A71D6">
        <w:rPr>
          <w:rFonts w:ascii="Arial" w:hAnsi="Arial" w:cs="Arial"/>
          <w:sz w:val="24"/>
          <w:szCs w:val="24"/>
        </w:rPr>
        <w:t>NEET</w:t>
      </w:r>
      <w:r w:rsidRPr="0094369F">
        <w:rPr>
          <w:rFonts w:ascii="Arial" w:hAnsi="Arial" w:cs="Arial"/>
          <w:sz w:val="24"/>
          <w:szCs w:val="24"/>
        </w:rPr>
        <w:t xml:space="preserve">, young offenders and those in care/care leavers to progress with life skills. </w:t>
      </w:r>
    </w:p>
    <w:p w14:paraId="19619B69" w14:textId="77777777" w:rsidR="00D5584F" w:rsidRPr="0094369F" w:rsidRDefault="00D5584F" w:rsidP="00D5584F">
      <w:pPr>
        <w:keepLines/>
        <w:widowControl w:val="0"/>
        <w:autoSpaceDE w:val="0"/>
        <w:autoSpaceDN w:val="0"/>
        <w:adjustRightInd w:val="0"/>
        <w:spacing w:after="240" w:line="240" w:lineRule="auto"/>
        <w:jc w:val="both"/>
        <w:rPr>
          <w:rFonts w:ascii="Arial" w:hAnsi="Arial" w:cs="Arial"/>
          <w:sz w:val="24"/>
          <w:szCs w:val="24"/>
        </w:rPr>
      </w:pPr>
      <w:r w:rsidRPr="0094369F">
        <w:rPr>
          <w:rFonts w:ascii="Arial" w:hAnsi="Arial" w:cs="Arial"/>
          <w:b/>
          <w:sz w:val="24"/>
          <w:szCs w:val="24"/>
        </w:rPr>
        <w:t>Learning &amp; Skills</w:t>
      </w:r>
      <w:r w:rsidRPr="0094369F">
        <w:rPr>
          <w:rFonts w:ascii="Arial" w:hAnsi="Arial" w:cs="Arial"/>
          <w:sz w:val="24"/>
          <w:szCs w:val="24"/>
        </w:rPr>
        <w:t xml:space="preserve">: </w:t>
      </w:r>
    </w:p>
    <w:p w14:paraId="5093DDB7" w14:textId="77777777" w:rsidR="00D5584F" w:rsidRPr="0094369F" w:rsidRDefault="00D5584F" w:rsidP="00D5584F">
      <w:pPr>
        <w:spacing w:after="0" w:line="240" w:lineRule="auto"/>
        <w:jc w:val="both"/>
        <w:rPr>
          <w:rFonts w:ascii="Arial" w:eastAsia="Times New Roman" w:hAnsi="Arial" w:cs="Arial"/>
          <w:sz w:val="24"/>
          <w:szCs w:val="24"/>
        </w:rPr>
      </w:pPr>
      <w:r w:rsidRPr="0094369F">
        <w:rPr>
          <w:rFonts w:ascii="Arial" w:eastAsia="Times New Roman" w:hAnsi="Arial" w:cs="Arial"/>
          <w:sz w:val="24"/>
          <w:szCs w:val="24"/>
        </w:rPr>
        <w:t>The learning and skills division continues as an Ofsted Grade 1 Training organisation and continued the delivery of a range of skills training including apprenticeships, traineeships, adult learning programmes and Advanced Learning Loans, skills support for th</w:t>
      </w:r>
      <w:r w:rsidR="001A77C5">
        <w:rPr>
          <w:rFonts w:ascii="Arial" w:eastAsia="Times New Roman" w:hAnsi="Arial" w:cs="Arial"/>
          <w:sz w:val="24"/>
          <w:szCs w:val="24"/>
        </w:rPr>
        <w:t>e employed and unemployed, Big L</w:t>
      </w:r>
      <w:r w:rsidRPr="0094369F">
        <w:rPr>
          <w:rFonts w:ascii="Arial" w:eastAsia="Times New Roman" w:hAnsi="Arial" w:cs="Arial"/>
          <w:sz w:val="24"/>
          <w:szCs w:val="24"/>
        </w:rPr>
        <w:t>ottery unemployment progress projects and construction programme across all London boroughs, ex-offender rehabilitation and business start-up programmes for the unemployed as well as welfare to work</w:t>
      </w:r>
      <w:r>
        <w:rPr>
          <w:rFonts w:ascii="Arial" w:eastAsia="Times New Roman" w:hAnsi="Arial" w:cs="Arial"/>
          <w:sz w:val="24"/>
          <w:szCs w:val="24"/>
        </w:rPr>
        <w:t>.</w:t>
      </w:r>
      <w:r w:rsidRPr="0094369F">
        <w:rPr>
          <w:rFonts w:ascii="Arial" w:eastAsia="Times New Roman" w:hAnsi="Arial" w:cs="Arial"/>
          <w:sz w:val="24"/>
          <w:szCs w:val="24"/>
        </w:rPr>
        <w:t xml:space="preserve"> Within the Innovation division, staff bid for and administered multimillion euro grant funded bids from </w:t>
      </w:r>
      <w:r w:rsidRPr="0094369F">
        <w:rPr>
          <w:rFonts w:ascii="Arial" w:eastAsia="Times New Roman" w:hAnsi="Arial" w:cs="Arial"/>
          <w:sz w:val="24"/>
          <w:szCs w:val="24"/>
        </w:rPr>
        <w:t>Horizon 2020 and Innovate UK</w:t>
      </w:r>
      <w:r w:rsidR="001A77C5">
        <w:rPr>
          <w:rFonts w:ascii="Arial" w:eastAsia="Times New Roman" w:hAnsi="Arial" w:cs="Arial"/>
          <w:sz w:val="24"/>
          <w:szCs w:val="24"/>
        </w:rPr>
        <w:t>,</w:t>
      </w:r>
      <w:r w:rsidRPr="0094369F">
        <w:rPr>
          <w:rFonts w:ascii="Arial" w:eastAsia="Times New Roman" w:hAnsi="Arial" w:cs="Arial"/>
          <w:sz w:val="24"/>
          <w:szCs w:val="24"/>
        </w:rPr>
        <w:t xml:space="preserve"> instruments to support the development of services and products to improve society for the benefit of all residents. This involved supporting</w:t>
      </w:r>
      <w:r>
        <w:rPr>
          <w:rFonts w:ascii="Arial" w:eastAsia="Times New Roman" w:hAnsi="Arial" w:cs="Arial"/>
          <w:sz w:val="24"/>
          <w:szCs w:val="24"/>
        </w:rPr>
        <w:t xml:space="preserve"> commercial clients in consortia across Europe to win innovation and research funding from the European Union and Innovate (EU) UK.</w:t>
      </w:r>
      <w:r w:rsidRPr="0094369F">
        <w:rPr>
          <w:rFonts w:ascii="Arial" w:eastAsia="Times New Roman" w:hAnsi="Arial" w:cs="Arial"/>
          <w:sz w:val="24"/>
          <w:szCs w:val="24"/>
        </w:rPr>
        <w:t xml:space="preserve"> </w:t>
      </w:r>
    </w:p>
    <w:p w14:paraId="53AD95C3" w14:textId="77777777" w:rsidR="00D5584F" w:rsidRPr="0094369F" w:rsidRDefault="00D5584F" w:rsidP="00D5584F">
      <w:pPr>
        <w:spacing w:after="0" w:line="240" w:lineRule="auto"/>
        <w:jc w:val="both"/>
        <w:rPr>
          <w:rFonts w:ascii="Arial" w:eastAsia="Times New Roman" w:hAnsi="Arial" w:cs="Arial"/>
          <w:sz w:val="24"/>
          <w:szCs w:val="24"/>
        </w:rPr>
      </w:pPr>
    </w:p>
    <w:p w14:paraId="45574357" w14:textId="77777777" w:rsidR="00D5584F" w:rsidRPr="0094369F" w:rsidRDefault="00D5584F" w:rsidP="00D5584F">
      <w:pPr>
        <w:keepLines/>
        <w:widowControl w:val="0"/>
        <w:autoSpaceDE w:val="0"/>
        <w:autoSpaceDN w:val="0"/>
        <w:adjustRightInd w:val="0"/>
        <w:spacing w:after="240" w:line="240" w:lineRule="auto"/>
        <w:jc w:val="both"/>
        <w:rPr>
          <w:rFonts w:ascii="Arial" w:hAnsi="Arial" w:cs="Arial"/>
          <w:sz w:val="24"/>
          <w:szCs w:val="24"/>
        </w:rPr>
      </w:pPr>
      <w:r>
        <w:rPr>
          <w:rFonts w:ascii="Arial" w:eastAsia="Times New Roman" w:hAnsi="Arial" w:cs="Arial"/>
          <w:sz w:val="24"/>
          <w:szCs w:val="24"/>
        </w:rPr>
        <w:t>We</w:t>
      </w:r>
      <w:r w:rsidRPr="0094369F">
        <w:rPr>
          <w:rFonts w:ascii="Arial" w:eastAsia="Times New Roman" w:hAnsi="Arial" w:cs="Arial"/>
          <w:sz w:val="24"/>
          <w:szCs w:val="24"/>
        </w:rPr>
        <w:t xml:space="preserve"> supported 101,000</w:t>
      </w:r>
      <w:r w:rsidRPr="0094369F">
        <w:rPr>
          <w:rFonts w:ascii="Arial" w:hAnsi="Arial" w:cs="Arial"/>
          <w:sz w:val="24"/>
          <w:szCs w:val="24"/>
        </w:rPr>
        <w:t xml:space="preserve"> people to receive careers information, advice and guidance and helped 27,000 people of all different attainment levels to progress and gain qualifications through Apprenticeships, Higher Apprenticeships and Traineeships, and with qualifications to support those who want to progress within work, or those who want to enter work in addition to advanced learning loans. </w:t>
      </w:r>
    </w:p>
    <w:p w14:paraId="3FBF30DB" w14:textId="77777777" w:rsidR="00D5584F" w:rsidRPr="0094369F" w:rsidRDefault="00D5584F" w:rsidP="00D5584F">
      <w:pPr>
        <w:keepLines/>
        <w:widowControl w:val="0"/>
        <w:autoSpaceDE w:val="0"/>
        <w:autoSpaceDN w:val="0"/>
        <w:adjustRightInd w:val="0"/>
        <w:spacing w:after="240" w:line="240" w:lineRule="auto"/>
        <w:jc w:val="both"/>
        <w:rPr>
          <w:rFonts w:ascii="Arial" w:hAnsi="Arial" w:cs="Arial"/>
          <w:sz w:val="24"/>
          <w:szCs w:val="24"/>
        </w:rPr>
      </w:pPr>
      <w:r w:rsidRPr="0094369F">
        <w:rPr>
          <w:rFonts w:ascii="Arial" w:hAnsi="Arial" w:cs="Arial"/>
          <w:sz w:val="24"/>
          <w:szCs w:val="24"/>
        </w:rPr>
        <w:t>Of these, 85% of those learners progressed into or within a range of employment, education and Apprenticeship opportunities within the Construction, Leadership and Management, Education and Training, Health and Social Care, and Digital and IT sectors.</w:t>
      </w:r>
    </w:p>
    <w:p w14:paraId="24C209A4" w14:textId="77777777" w:rsidR="00D5584F" w:rsidRPr="0094369F" w:rsidRDefault="00D5584F" w:rsidP="00D5584F">
      <w:pPr>
        <w:spacing w:after="0" w:line="240" w:lineRule="auto"/>
        <w:jc w:val="both"/>
        <w:rPr>
          <w:rFonts w:ascii="Arial" w:eastAsia="Times New Roman" w:hAnsi="Arial" w:cs="Arial"/>
          <w:sz w:val="24"/>
          <w:szCs w:val="24"/>
        </w:rPr>
      </w:pPr>
      <w:r w:rsidRPr="0094369F">
        <w:rPr>
          <w:rFonts w:ascii="Arial" w:eastAsia="Times New Roman" w:hAnsi="Arial" w:cs="Arial"/>
          <w:sz w:val="24"/>
          <w:szCs w:val="24"/>
        </w:rPr>
        <w:t>Revenue streams in the year were from Government Departments including: The Education Skills Funding Agency (EFSA); the European Social Fund (ESF); the Department for Work and Pensions (DWP); the Ministry of Justice (MOJ); the EU and Local Authorities, Horizon 2020 and Innovate UK along with the Big Lottery contracts.</w:t>
      </w:r>
    </w:p>
    <w:p w14:paraId="42F8A860" w14:textId="77777777" w:rsidR="00D5584F" w:rsidRPr="0094369F" w:rsidRDefault="00D5584F" w:rsidP="00D5584F">
      <w:pPr>
        <w:spacing w:after="0" w:line="240" w:lineRule="auto"/>
        <w:jc w:val="both"/>
        <w:rPr>
          <w:rFonts w:ascii="Arial" w:eastAsia="Times New Roman" w:hAnsi="Arial" w:cs="Arial"/>
          <w:sz w:val="24"/>
          <w:szCs w:val="24"/>
        </w:rPr>
      </w:pPr>
    </w:p>
    <w:p w14:paraId="586055DF" w14:textId="77777777" w:rsidR="00D5584F" w:rsidRDefault="00D5584F" w:rsidP="00D5584F">
      <w:pPr>
        <w:spacing w:after="0" w:line="240" w:lineRule="auto"/>
        <w:jc w:val="both"/>
        <w:rPr>
          <w:rFonts w:ascii="Arial" w:eastAsia="Times New Roman" w:hAnsi="Arial" w:cs="Arial"/>
          <w:sz w:val="24"/>
          <w:szCs w:val="24"/>
        </w:rPr>
      </w:pPr>
      <w:r w:rsidRPr="0094369F">
        <w:rPr>
          <w:rFonts w:ascii="Arial" w:eastAsia="Times New Roman" w:hAnsi="Arial" w:cs="Arial"/>
          <w:sz w:val="24"/>
          <w:szCs w:val="24"/>
        </w:rPr>
        <w:t>Revenue in the year decreased from the prior year mainly through some of the Government funded contracts coming to an end during the financial year and the significant impact of Covid 19 thro</w:t>
      </w:r>
      <w:r>
        <w:rPr>
          <w:rFonts w:ascii="Arial" w:eastAsia="Times New Roman" w:hAnsi="Arial" w:cs="Arial"/>
          <w:sz w:val="24"/>
          <w:szCs w:val="24"/>
        </w:rPr>
        <w:t>ugh the trading year. T</w:t>
      </w:r>
      <w:r w:rsidRPr="0094369F">
        <w:rPr>
          <w:rFonts w:ascii="Arial" w:eastAsia="Times New Roman" w:hAnsi="Arial" w:cs="Arial"/>
          <w:sz w:val="24"/>
          <w:szCs w:val="24"/>
        </w:rPr>
        <w:t>he Trust has continued to establish a strong track record and reputation of high quality delivery within Government Commissioners, key stakeholders and employers.</w:t>
      </w:r>
    </w:p>
    <w:p w14:paraId="02CB348A" w14:textId="77777777" w:rsidR="006A71D6" w:rsidRPr="0094369F" w:rsidRDefault="006A71D6" w:rsidP="00D5584F">
      <w:pPr>
        <w:spacing w:after="0" w:line="240" w:lineRule="auto"/>
        <w:jc w:val="both"/>
        <w:rPr>
          <w:rFonts w:ascii="Arial" w:eastAsia="Times New Roman" w:hAnsi="Arial" w:cs="Arial"/>
          <w:sz w:val="24"/>
          <w:szCs w:val="24"/>
        </w:rPr>
      </w:pPr>
    </w:p>
    <w:p w14:paraId="48AB5485" w14:textId="77777777" w:rsidR="00D5584F" w:rsidRPr="00DD647D" w:rsidRDefault="00D5584F" w:rsidP="00D5584F">
      <w:pPr>
        <w:keepLines/>
        <w:widowControl w:val="0"/>
        <w:tabs>
          <w:tab w:val="left" w:pos="567"/>
        </w:tabs>
        <w:autoSpaceDE w:val="0"/>
        <w:autoSpaceDN w:val="0"/>
        <w:adjustRightInd w:val="0"/>
        <w:spacing w:after="240" w:line="240" w:lineRule="auto"/>
        <w:jc w:val="both"/>
        <w:rPr>
          <w:rFonts w:ascii="Arial" w:hAnsi="Arial" w:cs="Arial"/>
          <w:b/>
          <w:i/>
          <w:sz w:val="24"/>
          <w:szCs w:val="24"/>
        </w:rPr>
      </w:pPr>
      <w:r w:rsidRPr="00DD647D">
        <w:rPr>
          <w:rFonts w:ascii="Arial" w:hAnsi="Arial" w:cs="Arial"/>
          <w:b/>
          <w:i/>
          <w:sz w:val="24"/>
          <w:szCs w:val="24"/>
        </w:rPr>
        <w:lastRenderedPageBreak/>
        <w:t xml:space="preserve">2. </w:t>
      </w:r>
      <w:r w:rsidRPr="00DD647D">
        <w:rPr>
          <w:rFonts w:ascii="Arial" w:hAnsi="Arial" w:cs="Arial"/>
          <w:b/>
          <w:i/>
          <w:sz w:val="24"/>
          <w:szCs w:val="24"/>
        </w:rPr>
        <w:tab/>
        <w:t>Financial review (continued)</w:t>
      </w:r>
    </w:p>
    <w:p w14:paraId="6FD6499C" w14:textId="77777777" w:rsidR="00D5584F" w:rsidRDefault="00D5584F" w:rsidP="00D5584F">
      <w:pPr>
        <w:spacing w:after="0" w:line="240" w:lineRule="auto"/>
        <w:jc w:val="both"/>
        <w:rPr>
          <w:rFonts w:ascii="Arial" w:eastAsia="Times New Roman" w:hAnsi="Arial" w:cs="Arial"/>
          <w:sz w:val="24"/>
          <w:szCs w:val="24"/>
        </w:rPr>
      </w:pPr>
      <w:r w:rsidRPr="0094369F">
        <w:rPr>
          <w:rFonts w:ascii="Arial" w:eastAsia="Times New Roman" w:hAnsi="Arial" w:cs="Arial"/>
          <w:sz w:val="24"/>
          <w:szCs w:val="24"/>
        </w:rPr>
        <w:t xml:space="preserve">The focus during the year has been to continue to invest in support services, embedding new technologies that offer efficient scaling to the business in a safe and compliant manner, delivering quality outcomes for our clients from our funding contracts, as well as developing key strategic alliances and collaborations to support business growth for the future. </w:t>
      </w:r>
    </w:p>
    <w:p w14:paraId="0AD2C79B" w14:textId="77777777" w:rsidR="00D5584F" w:rsidRDefault="00D5584F" w:rsidP="00D5584F">
      <w:pPr>
        <w:spacing w:after="0" w:line="240" w:lineRule="auto"/>
        <w:jc w:val="both"/>
        <w:rPr>
          <w:rFonts w:ascii="Arial" w:eastAsia="Times New Roman" w:hAnsi="Arial" w:cs="Arial"/>
          <w:sz w:val="24"/>
          <w:szCs w:val="24"/>
        </w:rPr>
      </w:pPr>
    </w:p>
    <w:p w14:paraId="5340485E" w14:textId="77777777" w:rsidR="00D5584F" w:rsidRDefault="00D5584F" w:rsidP="00D5584F">
      <w:pPr>
        <w:spacing w:after="0" w:line="240" w:lineRule="auto"/>
        <w:jc w:val="both"/>
        <w:rPr>
          <w:rFonts w:ascii="Arial" w:eastAsia="Times New Roman" w:hAnsi="Arial" w:cs="Arial"/>
          <w:sz w:val="24"/>
          <w:szCs w:val="24"/>
        </w:rPr>
      </w:pPr>
      <w:r w:rsidRPr="0094369F">
        <w:rPr>
          <w:rFonts w:ascii="Arial" w:eastAsia="Times New Roman" w:hAnsi="Arial" w:cs="Arial"/>
          <w:sz w:val="24"/>
          <w:szCs w:val="24"/>
        </w:rPr>
        <w:t xml:space="preserve">The impact </w:t>
      </w:r>
      <w:r>
        <w:rPr>
          <w:rFonts w:ascii="Arial" w:eastAsia="Times New Roman" w:hAnsi="Arial" w:cs="Arial"/>
          <w:sz w:val="24"/>
          <w:szCs w:val="24"/>
        </w:rPr>
        <w:t xml:space="preserve">of the pandemic has resulted in </w:t>
      </w:r>
      <w:r w:rsidRPr="0094369F">
        <w:rPr>
          <w:rFonts w:ascii="Arial" w:eastAsia="Times New Roman" w:hAnsi="Arial" w:cs="Arial"/>
          <w:sz w:val="24"/>
          <w:szCs w:val="24"/>
        </w:rPr>
        <w:t>an increased investment to further increase its physical and material digital capacity and res</w:t>
      </w:r>
      <w:r>
        <w:rPr>
          <w:rFonts w:ascii="Arial" w:eastAsia="Times New Roman" w:hAnsi="Arial" w:cs="Arial"/>
          <w:sz w:val="24"/>
          <w:szCs w:val="24"/>
        </w:rPr>
        <w:t xml:space="preserve">ources to support clients, and </w:t>
      </w:r>
      <w:r w:rsidRPr="0094369F">
        <w:rPr>
          <w:rFonts w:ascii="Arial" w:eastAsia="Times New Roman" w:hAnsi="Arial" w:cs="Arial"/>
          <w:sz w:val="24"/>
          <w:szCs w:val="24"/>
        </w:rPr>
        <w:t>an inability to claim all income due from contracts as clients were not able to fully undertake and complete their learning programmes. This was due to delays from external stakeholders in agreeing the solution to support clients on programmes.</w:t>
      </w:r>
      <w:r>
        <w:rPr>
          <w:rFonts w:ascii="Arial" w:eastAsia="Times New Roman" w:hAnsi="Arial" w:cs="Arial"/>
          <w:sz w:val="24"/>
          <w:szCs w:val="24"/>
        </w:rPr>
        <w:t xml:space="preserve">  It is anticipated that much of this income</w:t>
      </w:r>
      <w:r w:rsidRPr="0094369F">
        <w:rPr>
          <w:rFonts w:ascii="Arial" w:eastAsia="Times New Roman" w:hAnsi="Arial" w:cs="Arial"/>
          <w:sz w:val="24"/>
          <w:szCs w:val="24"/>
        </w:rPr>
        <w:t xml:space="preserve"> will be claimed in the 20/21 year when clients can be further supported out of lockdown. </w:t>
      </w:r>
    </w:p>
    <w:p w14:paraId="64252DCA" w14:textId="77777777" w:rsidR="00D5584F" w:rsidRPr="00DD647D" w:rsidRDefault="00D5584F" w:rsidP="00D5584F">
      <w:pPr>
        <w:spacing w:after="0" w:line="240" w:lineRule="auto"/>
        <w:jc w:val="both"/>
        <w:rPr>
          <w:rFonts w:ascii="Arial" w:hAnsi="Arial" w:cs="Arial"/>
          <w:b/>
          <w:i/>
          <w:sz w:val="24"/>
          <w:szCs w:val="24"/>
        </w:rPr>
      </w:pPr>
    </w:p>
    <w:p w14:paraId="015A90F4" w14:textId="77777777" w:rsidR="00D5584F" w:rsidRPr="0094369F" w:rsidRDefault="00D5584F" w:rsidP="00D5584F">
      <w:pPr>
        <w:spacing w:after="0" w:line="240" w:lineRule="auto"/>
        <w:jc w:val="both"/>
        <w:rPr>
          <w:rFonts w:ascii="Arial" w:eastAsia="Times New Roman" w:hAnsi="Arial" w:cs="Arial"/>
          <w:sz w:val="24"/>
          <w:szCs w:val="24"/>
        </w:rPr>
      </w:pPr>
      <w:r w:rsidRPr="0094369F">
        <w:rPr>
          <w:rFonts w:ascii="Arial" w:eastAsia="Times New Roman" w:hAnsi="Arial" w:cs="Arial"/>
          <w:sz w:val="24"/>
          <w:szCs w:val="24"/>
        </w:rPr>
        <w:t>In addition to this cost, the division has further invested in a wider set of employer outward facing teams to support delivery of the Apprenticeship Strategy and Skills Levy arrangements put in place by the Government from May 2017.</w:t>
      </w:r>
    </w:p>
    <w:p w14:paraId="0A7789B4" w14:textId="77777777" w:rsidR="00D5584F" w:rsidRPr="0094369F" w:rsidRDefault="00D5584F" w:rsidP="00D5584F">
      <w:pPr>
        <w:spacing w:after="0" w:line="240" w:lineRule="auto"/>
        <w:jc w:val="both"/>
        <w:rPr>
          <w:rFonts w:ascii="Arial" w:eastAsia="Times New Roman" w:hAnsi="Arial" w:cs="Arial"/>
          <w:sz w:val="24"/>
          <w:szCs w:val="24"/>
        </w:rPr>
      </w:pPr>
    </w:p>
    <w:p w14:paraId="26EA868D" w14:textId="77777777" w:rsidR="00D5584F" w:rsidRDefault="00D5584F" w:rsidP="00D5584F">
      <w:pPr>
        <w:spacing w:after="0" w:line="240" w:lineRule="auto"/>
        <w:jc w:val="both"/>
        <w:rPr>
          <w:rFonts w:ascii="Arial" w:eastAsia="Times New Roman" w:hAnsi="Arial" w:cs="Arial"/>
          <w:sz w:val="24"/>
          <w:szCs w:val="24"/>
        </w:rPr>
      </w:pPr>
      <w:r w:rsidRPr="0094369F">
        <w:rPr>
          <w:rFonts w:ascii="Arial" w:eastAsia="Times New Roman" w:hAnsi="Arial" w:cs="Arial"/>
          <w:sz w:val="24"/>
          <w:szCs w:val="24"/>
        </w:rPr>
        <w:t>Ixion, part of the Learning and Skills division, became a Grade 1 Outstanding Provider in November 2017 following an OFSTED inspection.</w:t>
      </w:r>
    </w:p>
    <w:p w14:paraId="0E388B22" w14:textId="77777777" w:rsidR="00D5584F" w:rsidRPr="0094369F" w:rsidRDefault="00D5584F" w:rsidP="00D5584F">
      <w:pPr>
        <w:spacing w:after="0" w:line="240" w:lineRule="auto"/>
        <w:jc w:val="both"/>
        <w:rPr>
          <w:rFonts w:ascii="Arial" w:eastAsia="Times New Roman" w:hAnsi="Arial" w:cs="Arial"/>
          <w:sz w:val="24"/>
          <w:szCs w:val="24"/>
        </w:rPr>
      </w:pPr>
    </w:p>
    <w:p w14:paraId="2A3E4027" w14:textId="77777777" w:rsidR="00D5584F" w:rsidRPr="0094369F" w:rsidRDefault="00D5584F" w:rsidP="00D5584F">
      <w:pPr>
        <w:spacing w:after="0" w:line="240" w:lineRule="auto"/>
        <w:jc w:val="both"/>
        <w:rPr>
          <w:rFonts w:ascii="Arial" w:eastAsia="Times New Roman" w:hAnsi="Arial" w:cs="Arial"/>
          <w:sz w:val="24"/>
          <w:szCs w:val="24"/>
        </w:rPr>
      </w:pPr>
      <w:r w:rsidRPr="0094369F">
        <w:rPr>
          <w:rFonts w:ascii="Arial" w:eastAsia="Times New Roman" w:hAnsi="Arial" w:cs="Arial"/>
          <w:sz w:val="24"/>
          <w:szCs w:val="24"/>
        </w:rPr>
        <w:t>In 2019/20 the division improved the lives of over 30,800</w:t>
      </w:r>
      <w:r>
        <w:rPr>
          <w:rFonts w:ascii="Arial" w:eastAsia="Times New Roman" w:hAnsi="Arial" w:cs="Arial"/>
          <w:sz w:val="24"/>
          <w:szCs w:val="24"/>
        </w:rPr>
        <w:t xml:space="preserve"> individuals</w:t>
      </w:r>
      <w:r w:rsidRPr="0094369F">
        <w:rPr>
          <w:rFonts w:ascii="Arial" w:eastAsia="Times New Roman" w:hAnsi="Arial" w:cs="Arial"/>
          <w:sz w:val="24"/>
          <w:szCs w:val="24"/>
        </w:rPr>
        <w:t xml:space="preserve"> (2018/19: 41,000</w:t>
      </w:r>
      <w:r>
        <w:rPr>
          <w:rFonts w:ascii="Arial" w:eastAsia="Times New Roman" w:hAnsi="Arial" w:cs="Arial"/>
          <w:sz w:val="24"/>
          <w:szCs w:val="24"/>
        </w:rPr>
        <w:t>), the decrease reflecting a</w:t>
      </w:r>
      <w:r w:rsidRPr="0094369F">
        <w:rPr>
          <w:rFonts w:ascii="Arial" w:eastAsia="Times New Roman" w:hAnsi="Arial" w:cs="Arial"/>
          <w:sz w:val="24"/>
          <w:szCs w:val="24"/>
        </w:rPr>
        <w:t xml:space="preserve"> lack of starts during </w:t>
      </w:r>
      <w:r>
        <w:rPr>
          <w:rFonts w:ascii="Arial" w:eastAsia="Times New Roman" w:hAnsi="Arial" w:cs="Arial"/>
          <w:sz w:val="24"/>
          <w:szCs w:val="24"/>
        </w:rPr>
        <w:t>the Covid 19 pandemic.</w:t>
      </w:r>
    </w:p>
    <w:p w14:paraId="312FDB1E" w14:textId="77777777" w:rsidR="00D5584F" w:rsidRPr="0094369F" w:rsidRDefault="00D5584F" w:rsidP="00D5584F">
      <w:pPr>
        <w:spacing w:after="0" w:line="240" w:lineRule="auto"/>
        <w:jc w:val="both"/>
        <w:rPr>
          <w:rFonts w:ascii="Arial" w:eastAsia="Times New Roman" w:hAnsi="Arial" w:cs="Arial"/>
          <w:b/>
          <w:sz w:val="24"/>
          <w:szCs w:val="24"/>
        </w:rPr>
      </w:pPr>
    </w:p>
    <w:p w14:paraId="13F5DFE9" w14:textId="77777777" w:rsidR="00D5584F" w:rsidRDefault="00D5584F" w:rsidP="00D5584F">
      <w:pPr>
        <w:keepLines/>
        <w:widowControl w:val="0"/>
        <w:autoSpaceDE w:val="0"/>
        <w:autoSpaceDN w:val="0"/>
        <w:adjustRightInd w:val="0"/>
        <w:spacing w:after="240" w:line="240" w:lineRule="auto"/>
        <w:jc w:val="both"/>
        <w:rPr>
          <w:rFonts w:ascii="Arial" w:hAnsi="Arial" w:cs="Arial"/>
          <w:b/>
          <w:sz w:val="24"/>
          <w:szCs w:val="24"/>
        </w:rPr>
      </w:pPr>
    </w:p>
    <w:p w14:paraId="5A9BACD8" w14:textId="77777777" w:rsidR="00D5584F" w:rsidRDefault="00D5584F" w:rsidP="00D5584F">
      <w:pPr>
        <w:keepLines/>
        <w:widowControl w:val="0"/>
        <w:autoSpaceDE w:val="0"/>
        <w:autoSpaceDN w:val="0"/>
        <w:adjustRightInd w:val="0"/>
        <w:spacing w:after="240" w:line="240" w:lineRule="auto"/>
        <w:jc w:val="both"/>
        <w:rPr>
          <w:rFonts w:ascii="Arial" w:hAnsi="Arial" w:cs="Arial"/>
          <w:b/>
          <w:sz w:val="24"/>
          <w:szCs w:val="24"/>
        </w:rPr>
      </w:pPr>
    </w:p>
    <w:p w14:paraId="2142CFB2" w14:textId="77777777" w:rsidR="00D5584F" w:rsidRDefault="00D5584F" w:rsidP="00D5584F">
      <w:pPr>
        <w:keepLines/>
        <w:widowControl w:val="0"/>
        <w:autoSpaceDE w:val="0"/>
        <w:autoSpaceDN w:val="0"/>
        <w:adjustRightInd w:val="0"/>
        <w:spacing w:after="240" w:line="240" w:lineRule="auto"/>
        <w:jc w:val="both"/>
        <w:rPr>
          <w:rFonts w:ascii="Arial" w:hAnsi="Arial" w:cs="Arial"/>
          <w:b/>
          <w:sz w:val="24"/>
          <w:szCs w:val="24"/>
        </w:rPr>
      </w:pPr>
    </w:p>
    <w:p w14:paraId="1B26AD24" w14:textId="77777777" w:rsidR="00D5584F" w:rsidRPr="0094369F" w:rsidRDefault="00D5584F" w:rsidP="00D5584F">
      <w:pPr>
        <w:keepLines/>
        <w:widowControl w:val="0"/>
        <w:autoSpaceDE w:val="0"/>
        <w:autoSpaceDN w:val="0"/>
        <w:adjustRightInd w:val="0"/>
        <w:spacing w:after="240" w:line="240" w:lineRule="auto"/>
        <w:jc w:val="both"/>
        <w:rPr>
          <w:rFonts w:ascii="Arial" w:hAnsi="Arial" w:cs="Arial"/>
          <w:b/>
          <w:sz w:val="24"/>
          <w:szCs w:val="24"/>
        </w:rPr>
      </w:pPr>
      <w:r w:rsidRPr="0094369F">
        <w:rPr>
          <w:rFonts w:ascii="Arial" w:hAnsi="Arial" w:cs="Arial"/>
          <w:b/>
          <w:sz w:val="24"/>
          <w:szCs w:val="24"/>
        </w:rPr>
        <w:t>Education</w:t>
      </w:r>
    </w:p>
    <w:p w14:paraId="35CD10E0" w14:textId="77777777" w:rsidR="00D5584F" w:rsidRPr="00151B94" w:rsidRDefault="00D5584F" w:rsidP="00D5584F">
      <w:pPr>
        <w:keepLines/>
        <w:widowControl w:val="0"/>
        <w:autoSpaceDE w:val="0"/>
        <w:autoSpaceDN w:val="0"/>
        <w:adjustRightInd w:val="0"/>
        <w:spacing w:after="240" w:line="240" w:lineRule="auto"/>
        <w:jc w:val="both"/>
        <w:rPr>
          <w:rFonts w:ascii="Arial" w:hAnsi="Arial" w:cs="Arial"/>
          <w:sz w:val="24"/>
          <w:szCs w:val="24"/>
        </w:rPr>
      </w:pPr>
      <w:r w:rsidRPr="00151B94">
        <w:rPr>
          <w:rFonts w:ascii="Arial" w:hAnsi="Arial" w:cs="Arial"/>
          <w:sz w:val="24"/>
          <w:szCs w:val="24"/>
        </w:rPr>
        <w:t>Shaw Education Trust</w:t>
      </w:r>
      <w:r w:rsidR="001A77C5">
        <w:rPr>
          <w:rFonts w:ascii="Arial" w:hAnsi="Arial" w:cs="Arial"/>
          <w:sz w:val="24"/>
          <w:szCs w:val="24"/>
        </w:rPr>
        <w:t xml:space="preserve"> (SET)</w:t>
      </w:r>
    </w:p>
    <w:p w14:paraId="170D3034" w14:textId="77777777" w:rsidR="00D5584F" w:rsidRPr="00C72B83" w:rsidRDefault="007B1407" w:rsidP="00D5584F">
      <w:pPr>
        <w:tabs>
          <w:tab w:val="center" w:pos="4513"/>
          <w:tab w:val="right" w:pos="9026"/>
        </w:tabs>
        <w:spacing w:after="240" w:line="240" w:lineRule="auto"/>
        <w:jc w:val="both"/>
        <w:rPr>
          <w:rFonts w:ascii="Arial" w:hAnsi="Arial" w:cs="Arial"/>
          <w:sz w:val="24"/>
        </w:rPr>
      </w:pPr>
      <w:r>
        <w:rPr>
          <w:rFonts w:ascii="Arial" w:hAnsi="Arial" w:cs="Arial"/>
          <w:sz w:val="24"/>
          <w:szCs w:val="24"/>
        </w:rPr>
        <w:t>SET</w:t>
      </w:r>
      <w:r w:rsidR="00D5584F" w:rsidRPr="00151B94">
        <w:rPr>
          <w:rFonts w:ascii="Arial" w:hAnsi="Arial" w:cs="Arial"/>
          <w:sz w:val="24"/>
          <w:szCs w:val="24"/>
        </w:rPr>
        <w:t xml:space="preserve"> is a multi-academy trust, based in the North West and the Midlands. As at 31 August 2020 the Shaw Education Trust operated twenty-two academies</w:t>
      </w:r>
      <w:r w:rsidR="00D5584F">
        <w:rPr>
          <w:rFonts w:ascii="Arial" w:hAnsi="Arial" w:cs="Arial"/>
          <w:sz w:val="24"/>
          <w:szCs w:val="24"/>
        </w:rPr>
        <w:t xml:space="preserve">, </w:t>
      </w:r>
      <w:r w:rsidR="00D5584F" w:rsidRPr="00151B94">
        <w:rPr>
          <w:rFonts w:ascii="Arial" w:hAnsi="Arial" w:cs="Arial"/>
          <w:sz w:val="24"/>
          <w:szCs w:val="24"/>
        </w:rPr>
        <w:t>one Specialist Independent College,</w:t>
      </w:r>
      <w:r w:rsidR="00D5584F">
        <w:rPr>
          <w:rFonts w:ascii="Arial" w:hAnsi="Arial" w:cs="Arial"/>
          <w:sz w:val="24"/>
          <w:szCs w:val="24"/>
        </w:rPr>
        <w:t xml:space="preserve"> three teaching schools and a SCITT.</w:t>
      </w:r>
      <w:r w:rsidR="00D5584F" w:rsidRPr="00151B94">
        <w:rPr>
          <w:rFonts w:ascii="Arial" w:hAnsi="Arial" w:cs="Arial"/>
          <w:sz w:val="24"/>
          <w:szCs w:val="24"/>
        </w:rPr>
        <w:t xml:space="preserve"> </w:t>
      </w:r>
      <w:r w:rsidR="00D5584F">
        <w:rPr>
          <w:rFonts w:ascii="Arial" w:hAnsi="Arial" w:cs="Arial"/>
          <w:sz w:val="24"/>
          <w:szCs w:val="24"/>
        </w:rPr>
        <w:t xml:space="preserve">This caters </w:t>
      </w:r>
      <w:r w:rsidR="00D5584F" w:rsidRPr="00151B94">
        <w:rPr>
          <w:rFonts w:ascii="Arial" w:hAnsi="Arial" w:cs="Arial"/>
          <w:sz w:val="24"/>
          <w:szCs w:val="24"/>
        </w:rPr>
        <w:t xml:space="preserve">for 8,235 pupils aged 2–25 across Staffordshire, Stoke on Trent, Birmingham, Wolverhampton Bury, Wigan, </w:t>
      </w:r>
      <w:proofErr w:type="spellStart"/>
      <w:r w:rsidR="00D5584F" w:rsidRPr="00151B94">
        <w:rPr>
          <w:rFonts w:ascii="Arial" w:hAnsi="Arial" w:cs="Arial"/>
          <w:sz w:val="24"/>
          <w:szCs w:val="24"/>
        </w:rPr>
        <w:t>Halton</w:t>
      </w:r>
      <w:proofErr w:type="spellEnd"/>
      <w:r w:rsidR="00D5584F" w:rsidRPr="00151B94">
        <w:rPr>
          <w:rFonts w:ascii="Arial" w:hAnsi="Arial" w:cs="Arial"/>
          <w:sz w:val="24"/>
          <w:szCs w:val="24"/>
        </w:rPr>
        <w:t xml:space="preserve"> and Derby. </w:t>
      </w:r>
      <w:r w:rsidR="00D5584F" w:rsidRPr="00C72B83">
        <w:rPr>
          <w:rFonts w:ascii="Arial" w:hAnsi="Arial" w:cs="Arial"/>
          <w:sz w:val="24"/>
        </w:rPr>
        <w:t xml:space="preserve"> </w:t>
      </w:r>
    </w:p>
    <w:p w14:paraId="6FFEF1A9" w14:textId="77777777" w:rsidR="00D5584F" w:rsidRDefault="00D5584F" w:rsidP="00D5584F">
      <w:pPr>
        <w:tabs>
          <w:tab w:val="center" w:pos="4513"/>
          <w:tab w:val="right" w:pos="9026"/>
        </w:tabs>
        <w:spacing w:after="240" w:line="240" w:lineRule="auto"/>
        <w:jc w:val="both"/>
        <w:rPr>
          <w:rFonts w:ascii="Arial" w:hAnsi="Arial" w:cs="Arial"/>
          <w:sz w:val="24"/>
        </w:rPr>
      </w:pPr>
      <w:r w:rsidRPr="00151B94">
        <w:rPr>
          <w:rFonts w:ascii="Arial" w:hAnsi="Arial" w:cs="Arial"/>
          <w:sz w:val="24"/>
        </w:rPr>
        <w:t xml:space="preserve">The total </w:t>
      </w:r>
      <w:r>
        <w:rPr>
          <w:rFonts w:ascii="Arial" w:hAnsi="Arial" w:cs="Arial"/>
          <w:sz w:val="24"/>
        </w:rPr>
        <w:t>comprises</w:t>
      </w:r>
      <w:r w:rsidRPr="00C72B83">
        <w:rPr>
          <w:rFonts w:ascii="Arial" w:hAnsi="Arial" w:cs="Arial"/>
          <w:sz w:val="24"/>
        </w:rPr>
        <w:t xml:space="preserve"> 11 specialist</w:t>
      </w:r>
      <w:r>
        <w:rPr>
          <w:rFonts w:ascii="Arial" w:hAnsi="Arial" w:cs="Arial"/>
          <w:sz w:val="24"/>
        </w:rPr>
        <w:t xml:space="preserve"> provisions (including an</w:t>
      </w:r>
      <w:r w:rsidRPr="00C72B83">
        <w:rPr>
          <w:rFonts w:ascii="Arial" w:hAnsi="Arial" w:cs="Arial"/>
          <w:sz w:val="24"/>
        </w:rPr>
        <w:t xml:space="preserve"> Independent Specialist College, </w:t>
      </w:r>
      <w:proofErr w:type="spellStart"/>
      <w:r w:rsidRPr="00C72B83">
        <w:rPr>
          <w:rFonts w:ascii="Arial" w:hAnsi="Arial" w:cs="Arial"/>
          <w:sz w:val="24"/>
        </w:rPr>
        <w:t>Newfriars</w:t>
      </w:r>
      <w:proofErr w:type="spellEnd"/>
      <w:r w:rsidRPr="00C72B83">
        <w:rPr>
          <w:rFonts w:ascii="Arial" w:hAnsi="Arial" w:cs="Arial"/>
          <w:sz w:val="24"/>
        </w:rPr>
        <w:t xml:space="preserve"> which caters for young adult learners aged 16-25 years old); five primary </w:t>
      </w:r>
      <w:r w:rsidRPr="00151B94">
        <w:rPr>
          <w:rFonts w:ascii="Arial" w:hAnsi="Arial" w:cs="Arial"/>
          <w:sz w:val="24"/>
        </w:rPr>
        <w:t>academies</w:t>
      </w:r>
      <w:r w:rsidRPr="00C72B83">
        <w:rPr>
          <w:rFonts w:ascii="Arial" w:hAnsi="Arial" w:cs="Arial"/>
          <w:sz w:val="24"/>
        </w:rPr>
        <w:t xml:space="preserve"> and nine secondary </w:t>
      </w:r>
      <w:r w:rsidRPr="00151B94">
        <w:rPr>
          <w:rFonts w:ascii="Arial" w:hAnsi="Arial" w:cs="Arial"/>
          <w:sz w:val="24"/>
        </w:rPr>
        <w:t>academies</w:t>
      </w:r>
      <w:r w:rsidRPr="00C72B83">
        <w:rPr>
          <w:rFonts w:ascii="Arial" w:hAnsi="Arial" w:cs="Arial"/>
          <w:sz w:val="24"/>
        </w:rPr>
        <w:t>.</w:t>
      </w:r>
    </w:p>
    <w:p w14:paraId="2289D822" w14:textId="77777777" w:rsidR="00D5584F" w:rsidRDefault="00D5584F" w:rsidP="00D5584F">
      <w:pPr>
        <w:tabs>
          <w:tab w:val="center" w:pos="4513"/>
          <w:tab w:val="right" w:pos="9026"/>
        </w:tabs>
        <w:spacing w:after="240" w:line="240" w:lineRule="auto"/>
        <w:jc w:val="both"/>
        <w:rPr>
          <w:rFonts w:ascii="Arial" w:hAnsi="Arial" w:cs="Arial"/>
          <w:sz w:val="24"/>
          <w:highlight w:val="green"/>
        </w:rPr>
      </w:pPr>
      <w:r>
        <w:rPr>
          <w:rFonts w:ascii="Arial" w:hAnsi="Arial" w:cs="Arial"/>
          <w:sz w:val="24"/>
          <w:szCs w:val="24"/>
        </w:rPr>
        <w:t>During the year a</w:t>
      </w:r>
      <w:r w:rsidRPr="00FA708A">
        <w:rPr>
          <w:rFonts w:ascii="Arial" w:hAnsi="Arial" w:cs="Arial"/>
          <w:sz w:val="24"/>
          <w:szCs w:val="24"/>
        </w:rPr>
        <w:t xml:space="preserve"> further four schools </w:t>
      </w:r>
      <w:r>
        <w:rPr>
          <w:rFonts w:ascii="Arial" w:hAnsi="Arial" w:cs="Arial"/>
          <w:sz w:val="24"/>
          <w:szCs w:val="24"/>
        </w:rPr>
        <w:t xml:space="preserve">joined SET and </w:t>
      </w:r>
      <w:r w:rsidRPr="00FA708A">
        <w:rPr>
          <w:rFonts w:ascii="Arial" w:hAnsi="Arial" w:cs="Arial"/>
          <w:sz w:val="24"/>
          <w:szCs w:val="24"/>
        </w:rPr>
        <w:t>were con</w:t>
      </w:r>
      <w:r>
        <w:rPr>
          <w:rFonts w:ascii="Arial" w:hAnsi="Arial" w:cs="Arial"/>
          <w:sz w:val="24"/>
          <w:szCs w:val="24"/>
        </w:rPr>
        <w:t>verted to academies and another existing academy transferred</w:t>
      </w:r>
      <w:r w:rsidRPr="00FA708A">
        <w:rPr>
          <w:rFonts w:ascii="Arial" w:hAnsi="Arial" w:cs="Arial"/>
          <w:sz w:val="24"/>
          <w:szCs w:val="24"/>
        </w:rPr>
        <w:t>.</w:t>
      </w:r>
      <w:r w:rsidRPr="00035575">
        <w:rPr>
          <w:rFonts w:ascii="Arial" w:hAnsi="Arial" w:cs="Arial"/>
          <w:sz w:val="24"/>
        </w:rPr>
        <w:t xml:space="preserve"> </w:t>
      </w:r>
      <w:r>
        <w:rPr>
          <w:rFonts w:ascii="Arial" w:hAnsi="Arial" w:cs="Arial"/>
          <w:sz w:val="24"/>
        </w:rPr>
        <w:t xml:space="preserve">These are detailed in note 25. </w:t>
      </w:r>
    </w:p>
    <w:p w14:paraId="1D354E05" w14:textId="77777777" w:rsidR="00D5584F" w:rsidRPr="00860235" w:rsidRDefault="00D5584F" w:rsidP="00D5584F">
      <w:pPr>
        <w:tabs>
          <w:tab w:val="center" w:pos="4513"/>
          <w:tab w:val="right" w:pos="9026"/>
        </w:tabs>
        <w:spacing w:after="240" w:line="240" w:lineRule="auto"/>
        <w:jc w:val="both"/>
        <w:rPr>
          <w:rFonts w:ascii="Arial" w:hAnsi="Arial" w:cs="Arial"/>
          <w:sz w:val="24"/>
        </w:rPr>
      </w:pPr>
      <w:r w:rsidRPr="00860235">
        <w:rPr>
          <w:rFonts w:ascii="Arial" w:hAnsi="Arial" w:cs="Arial"/>
          <w:sz w:val="24"/>
        </w:rPr>
        <w:t>Two mainstream primary academies joined in the year:</w:t>
      </w:r>
    </w:p>
    <w:p w14:paraId="20FEDC1A" w14:textId="77777777" w:rsidR="00D5584F" w:rsidRPr="00860235" w:rsidRDefault="00330B65" w:rsidP="00D5584F">
      <w:pPr>
        <w:tabs>
          <w:tab w:val="center" w:pos="4513"/>
          <w:tab w:val="right" w:pos="9026"/>
        </w:tabs>
        <w:spacing w:after="240" w:line="240" w:lineRule="auto"/>
        <w:jc w:val="both"/>
        <w:rPr>
          <w:rFonts w:ascii="Arial" w:hAnsi="Arial" w:cs="Arial"/>
          <w:sz w:val="24"/>
        </w:rPr>
      </w:pPr>
      <w:proofErr w:type="spellStart"/>
      <w:r>
        <w:rPr>
          <w:rFonts w:ascii="Arial" w:hAnsi="Arial" w:cs="Arial"/>
          <w:sz w:val="24"/>
        </w:rPr>
        <w:t>Stre</w:t>
      </w:r>
      <w:r w:rsidR="00D5584F" w:rsidRPr="00860235">
        <w:rPr>
          <w:rFonts w:ascii="Arial" w:hAnsi="Arial" w:cs="Arial"/>
          <w:sz w:val="24"/>
        </w:rPr>
        <w:t>ethay</w:t>
      </w:r>
      <w:proofErr w:type="spellEnd"/>
      <w:r w:rsidR="00D5584F" w:rsidRPr="00860235">
        <w:rPr>
          <w:rFonts w:ascii="Arial" w:hAnsi="Arial" w:cs="Arial"/>
          <w:sz w:val="24"/>
        </w:rPr>
        <w:t xml:space="preserve"> Primary School, our first free school on 1</w:t>
      </w:r>
      <w:r w:rsidR="00D5584F" w:rsidRPr="00860235">
        <w:rPr>
          <w:rFonts w:ascii="Arial" w:hAnsi="Arial" w:cs="Arial"/>
          <w:sz w:val="24"/>
          <w:vertAlign w:val="superscript"/>
        </w:rPr>
        <w:t>st</w:t>
      </w:r>
      <w:r w:rsidR="00D5584F" w:rsidRPr="00860235">
        <w:rPr>
          <w:rFonts w:ascii="Arial" w:hAnsi="Arial" w:cs="Arial"/>
          <w:sz w:val="24"/>
        </w:rPr>
        <w:t xml:space="preserve"> September 2019, and Meadows Academy on 1 Jan 2020.</w:t>
      </w:r>
    </w:p>
    <w:p w14:paraId="6C4E9374" w14:textId="77777777" w:rsidR="00D5584F" w:rsidRPr="00860235" w:rsidRDefault="00D5584F" w:rsidP="00D5584F">
      <w:pPr>
        <w:tabs>
          <w:tab w:val="center" w:pos="4513"/>
          <w:tab w:val="right" w:pos="9026"/>
        </w:tabs>
        <w:spacing w:after="240" w:line="240" w:lineRule="auto"/>
        <w:jc w:val="both"/>
        <w:rPr>
          <w:rFonts w:ascii="Arial" w:hAnsi="Arial" w:cs="Arial"/>
          <w:sz w:val="24"/>
        </w:rPr>
      </w:pPr>
      <w:r w:rsidRPr="00860235">
        <w:rPr>
          <w:rFonts w:ascii="Arial" w:hAnsi="Arial" w:cs="Arial"/>
          <w:sz w:val="24"/>
        </w:rPr>
        <w:t>In respect of specialist schools:</w:t>
      </w:r>
    </w:p>
    <w:p w14:paraId="1D7BCA52" w14:textId="77777777" w:rsidR="00D5584F" w:rsidRPr="00860235" w:rsidRDefault="00D5584F" w:rsidP="00D5584F">
      <w:pPr>
        <w:tabs>
          <w:tab w:val="center" w:pos="4513"/>
          <w:tab w:val="right" w:pos="9026"/>
        </w:tabs>
        <w:spacing w:after="240" w:line="240" w:lineRule="auto"/>
        <w:jc w:val="both"/>
        <w:rPr>
          <w:rFonts w:ascii="Arial" w:hAnsi="Arial" w:cs="Arial"/>
          <w:sz w:val="24"/>
        </w:rPr>
      </w:pPr>
      <w:r w:rsidRPr="00860235">
        <w:rPr>
          <w:rFonts w:ascii="Arial" w:hAnsi="Arial" w:cs="Arial"/>
          <w:sz w:val="24"/>
        </w:rPr>
        <w:t>Ivy House, a specialist provision for 2-19 year olds, joined on 1 October 2019</w:t>
      </w:r>
    </w:p>
    <w:p w14:paraId="310D64F6" w14:textId="77777777" w:rsidR="00D5584F" w:rsidRPr="00860235" w:rsidRDefault="00D5584F" w:rsidP="00D5584F">
      <w:pPr>
        <w:tabs>
          <w:tab w:val="center" w:pos="4513"/>
          <w:tab w:val="right" w:pos="9026"/>
        </w:tabs>
        <w:spacing w:after="240" w:line="240" w:lineRule="auto"/>
        <w:jc w:val="both"/>
        <w:rPr>
          <w:rFonts w:ascii="Arial" w:hAnsi="Arial" w:cs="Arial"/>
          <w:sz w:val="24"/>
        </w:rPr>
      </w:pPr>
      <w:r w:rsidRPr="00860235">
        <w:rPr>
          <w:rFonts w:ascii="Arial" w:hAnsi="Arial" w:cs="Arial"/>
          <w:sz w:val="24"/>
        </w:rPr>
        <w:t xml:space="preserve">St Andrews Academy and St Martins School, both teaching schools, and providing specialist provision for 11-19 year olds, joined on 1 June and </w:t>
      </w:r>
      <w:r w:rsidR="008D6B4D">
        <w:rPr>
          <w:rFonts w:ascii="Arial" w:hAnsi="Arial" w:cs="Arial"/>
          <w:sz w:val="24"/>
        </w:rPr>
        <w:t>1</w:t>
      </w:r>
      <w:r w:rsidRPr="00860235">
        <w:rPr>
          <w:rFonts w:ascii="Arial" w:hAnsi="Arial" w:cs="Arial"/>
          <w:sz w:val="24"/>
        </w:rPr>
        <w:t xml:space="preserve"> May 2020 respectively.</w:t>
      </w:r>
    </w:p>
    <w:p w14:paraId="69E6FB8B" w14:textId="77777777" w:rsidR="00D5584F" w:rsidRPr="00860235" w:rsidRDefault="00D5584F" w:rsidP="00D5584F">
      <w:pPr>
        <w:rPr>
          <w:rFonts w:ascii="Arial" w:hAnsi="Arial" w:cs="Arial"/>
          <w:b/>
          <w:i/>
          <w:sz w:val="24"/>
          <w:szCs w:val="24"/>
        </w:rPr>
      </w:pPr>
      <w:r w:rsidRPr="00860235">
        <w:rPr>
          <w:rFonts w:ascii="Arial" w:hAnsi="Arial" w:cs="Arial"/>
          <w:b/>
          <w:i/>
          <w:sz w:val="24"/>
          <w:szCs w:val="24"/>
        </w:rPr>
        <w:br w:type="page"/>
      </w:r>
    </w:p>
    <w:p w14:paraId="5D4CFCF4" w14:textId="77777777" w:rsidR="00D5584F" w:rsidRPr="00860235" w:rsidRDefault="00D5584F" w:rsidP="00D5584F">
      <w:pPr>
        <w:keepLines/>
        <w:widowControl w:val="0"/>
        <w:tabs>
          <w:tab w:val="left" w:pos="567"/>
        </w:tabs>
        <w:autoSpaceDE w:val="0"/>
        <w:autoSpaceDN w:val="0"/>
        <w:adjustRightInd w:val="0"/>
        <w:spacing w:after="240" w:line="240" w:lineRule="auto"/>
        <w:jc w:val="both"/>
        <w:rPr>
          <w:rFonts w:ascii="Arial" w:hAnsi="Arial" w:cs="Arial"/>
          <w:b/>
          <w:i/>
          <w:sz w:val="24"/>
          <w:szCs w:val="24"/>
        </w:rPr>
      </w:pPr>
      <w:r w:rsidRPr="00860235">
        <w:rPr>
          <w:rFonts w:ascii="Arial" w:hAnsi="Arial" w:cs="Arial"/>
          <w:b/>
          <w:i/>
          <w:sz w:val="24"/>
          <w:szCs w:val="24"/>
        </w:rPr>
        <w:lastRenderedPageBreak/>
        <w:t xml:space="preserve">2. </w:t>
      </w:r>
      <w:r w:rsidRPr="00860235">
        <w:rPr>
          <w:rFonts w:ascii="Arial" w:hAnsi="Arial" w:cs="Arial"/>
          <w:b/>
          <w:i/>
          <w:sz w:val="24"/>
          <w:szCs w:val="24"/>
        </w:rPr>
        <w:tab/>
        <w:t>Financial review (continued)</w:t>
      </w:r>
    </w:p>
    <w:p w14:paraId="6D910756" w14:textId="77777777" w:rsidR="00D5584F" w:rsidRPr="00860235" w:rsidRDefault="00D5584F" w:rsidP="00D5584F">
      <w:pPr>
        <w:tabs>
          <w:tab w:val="center" w:pos="4513"/>
          <w:tab w:val="right" w:pos="9026"/>
        </w:tabs>
        <w:spacing w:after="240" w:line="240" w:lineRule="auto"/>
        <w:jc w:val="both"/>
        <w:rPr>
          <w:rFonts w:ascii="Arial" w:hAnsi="Arial" w:cs="Arial"/>
          <w:sz w:val="24"/>
        </w:rPr>
      </w:pPr>
      <w:r w:rsidRPr="00860235">
        <w:rPr>
          <w:rFonts w:ascii="Arial" w:hAnsi="Arial" w:cs="Arial"/>
          <w:sz w:val="24"/>
        </w:rPr>
        <w:t xml:space="preserve">Evergreen and Pine Green Academies, providing a Primary Pupil Referral Unit and a specialist school for 7-16 year olds, joined on 1 March 2020, after a </w:t>
      </w:r>
      <w:proofErr w:type="spellStart"/>
      <w:r w:rsidRPr="00860235">
        <w:rPr>
          <w:rFonts w:ascii="Arial" w:hAnsi="Arial" w:cs="Arial"/>
          <w:sz w:val="24"/>
        </w:rPr>
        <w:t>rebrokerage</w:t>
      </w:r>
      <w:proofErr w:type="spellEnd"/>
      <w:r w:rsidRPr="00860235">
        <w:rPr>
          <w:rFonts w:ascii="Arial" w:hAnsi="Arial" w:cs="Arial"/>
          <w:sz w:val="24"/>
        </w:rPr>
        <w:t xml:space="preserve"> from another Multi-Academy Trust</w:t>
      </w:r>
      <w:r w:rsidR="00711100">
        <w:rPr>
          <w:rFonts w:ascii="Arial" w:hAnsi="Arial" w:cs="Arial"/>
          <w:sz w:val="24"/>
        </w:rPr>
        <w:t>.</w:t>
      </w:r>
    </w:p>
    <w:p w14:paraId="6FD36141" w14:textId="77777777" w:rsidR="00D5584F" w:rsidRDefault="00D5584F" w:rsidP="00D5584F">
      <w:pPr>
        <w:tabs>
          <w:tab w:val="center" w:pos="4513"/>
          <w:tab w:val="right" w:pos="9026"/>
        </w:tabs>
        <w:spacing w:after="240" w:line="240" w:lineRule="auto"/>
        <w:jc w:val="both"/>
        <w:rPr>
          <w:rFonts w:ascii="Arial" w:hAnsi="Arial" w:cs="Arial"/>
          <w:sz w:val="24"/>
          <w:szCs w:val="24"/>
        </w:rPr>
      </w:pPr>
      <w:r>
        <w:rPr>
          <w:rFonts w:ascii="Arial" w:hAnsi="Arial" w:cs="Arial"/>
          <w:sz w:val="24"/>
        </w:rPr>
        <w:t>The growth strategy continues, and t</w:t>
      </w:r>
      <w:r w:rsidRPr="00151B94">
        <w:rPr>
          <w:rFonts w:ascii="Arial" w:hAnsi="Arial" w:cs="Arial"/>
          <w:sz w:val="24"/>
        </w:rPr>
        <w:t>hree additional academies have joined since the year end.</w:t>
      </w:r>
    </w:p>
    <w:p w14:paraId="1B46F3ED" w14:textId="77777777" w:rsidR="00D5584F" w:rsidRDefault="00D5584F" w:rsidP="00D5584F">
      <w:pPr>
        <w:tabs>
          <w:tab w:val="center" w:pos="4513"/>
          <w:tab w:val="right" w:pos="9026"/>
        </w:tabs>
        <w:spacing w:after="240" w:line="240" w:lineRule="auto"/>
        <w:jc w:val="both"/>
        <w:rPr>
          <w:rFonts w:ascii="Arial" w:hAnsi="Arial" w:cs="Arial"/>
          <w:sz w:val="24"/>
        </w:rPr>
      </w:pPr>
      <w:r>
        <w:rPr>
          <w:rFonts w:ascii="Arial" w:hAnsi="Arial" w:cs="Arial"/>
          <w:sz w:val="24"/>
        </w:rPr>
        <w:t>In addition</w:t>
      </w:r>
      <w:r w:rsidR="006F225F">
        <w:rPr>
          <w:rFonts w:ascii="Arial" w:hAnsi="Arial" w:cs="Arial"/>
          <w:sz w:val="24"/>
        </w:rPr>
        <w:t>,</w:t>
      </w:r>
      <w:r>
        <w:rPr>
          <w:rFonts w:ascii="Arial" w:hAnsi="Arial" w:cs="Arial"/>
          <w:sz w:val="24"/>
        </w:rPr>
        <w:t xml:space="preserve"> SET has </w:t>
      </w:r>
      <w:r w:rsidRPr="00C72B83">
        <w:rPr>
          <w:rFonts w:ascii="Arial" w:hAnsi="Arial" w:cs="Arial"/>
          <w:sz w:val="24"/>
        </w:rPr>
        <w:t>been awarded a Free School (Specialist) in Bury, which is due to open in January 2023.</w:t>
      </w:r>
    </w:p>
    <w:p w14:paraId="0C088193" w14:textId="77777777" w:rsidR="00D5584F" w:rsidRDefault="00D5584F" w:rsidP="00D5584F">
      <w:pPr>
        <w:tabs>
          <w:tab w:val="center" w:pos="4513"/>
          <w:tab w:val="right" w:pos="9026"/>
        </w:tabs>
        <w:spacing w:after="240" w:line="240" w:lineRule="auto"/>
        <w:jc w:val="both"/>
        <w:rPr>
          <w:rFonts w:ascii="Arial" w:hAnsi="Arial" w:cs="Arial"/>
          <w:sz w:val="24"/>
          <w:szCs w:val="24"/>
        </w:rPr>
      </w:pPr>
      <w:r w:rsidRPr="00151B94">
        <w:rPr>
          <w:rFonts w:ascii="Arial" w:hAnsi="Arial" w:cs="Arial"/>
          <w:sz w:val="24"/>
          <w:szCs w:val="24"/>
        </w:rPr>
        <w:t xml:space="preserve">We work our hardest to improve, accelerate and enable ambitious life goals for all young people. Our 2,000 staff help the pupils </w:t>
      </w:r>
      <w:r>
        <w:rPr>
          <w:rFonts w:ascii="Arial" w:hAnsi="Arial" w:cs="Arial"/>
          <w:sz w:val="24"/>
          <w:szCs w:val="24"/>
        </w:rPr>
        <w:t xml:space="preserve">realise their potential and </w:t>
      </w:r>
      <w:r w:rsidRPr="00151B94">
        <w:rPr>
          <w:rFonts w:ascii="Arial" w:hAnsi="Arial" w:cs="Arial"/>
          <w:sz w:val="24"/>
          <w:szCs w:val="24"/>
        </w:rPr>
        <w:t xml:space="preserve">achieve their ambitions at academes in all key stages, from foundation to key stage 5 in both special and mainstream education. </w:t>
      </w:r>
    </w:p>
    <w:p w14:paraId="3D5F99E7" w14:textId="77777777" w:rsidR="00D5584F" w:rsidRDefault="00D5584F" w:rsidP="00D5584F">
      <w:pPr>
        <w:tabs>
          <w:tab w:val="center" w:pos="4513"/>
          <w:tab w:val="right" w:pos="9026"/>
        </w:tabs>
        <w:spacing w:after="240" w:line="240" w:lineRule="auto"/>
        <w:jc w:val="both"/>
        <w:rPr>
          <w:rFonts w:ascii="Arial" w:hAnsi="Arial" w:cs="Arial"/>
          <w:sz w:val="24"/>
        </w:rPr>
      </w:pPr>
      <w:r w:rsidRPr="00C72B83">
        <w:rPr>
          <w:rFonts w:ascii="Arial" w:hAnsi="Arial" w:cs="Arial"/>
          <w:sz w:val="24"/>
          <w:szCs w:val="24"/>
        </w:rPr>
        <w:t>It has been a</w:t>
      </w:r>
      <w:r w:rsidRPr="00151B94">
        <w:rPr>
          <w:rFonts w:ascii="Arial" w:hAnsi="Arial" w:cs="Arial"/>
          <w:sz w:val="24"/>
          <w:szCs w:val="24"/>
        </w:rPr>
        <w:t>n</w:t>
      </w:r>
      <w:r w:rsidRPr="00C72B83">
        <w:rPr>
          <w:rFonts w:ascii="Arial" w:hAnsi="Arial" w:cs="Arial"/>
          <w:sz w:val="24"/>
          <w:szCs w:val="24"/>
        </w:rPr>
        <w:t xml:space="preserve"> extraordinary year; </w:t>
      </w:r>
      <w:r w:rsidRPr="00151B94">
        <w:rPr>
          <w:rFonts w:ascii="Arial" w:hAnsi="Arial" w:cs="Arial"/>
          <w:sz w:val="24"/>
          <w:szCs w:val="24"/>
        </w:rPr>
        <w:t>the impact of Covid being a chall</w:t>
      </w:r>
      <w:r>
        <w:rPr>
          <w:rFonts w:ascii="Arial" w:hAnsi="Arial" w:cs="Arial"/>
          <w:sz w:val="24"/>
          <w:szCs w:val="24"/>
        </w:rPr>
        <w:t>enge since March 2020 and conti</w:t>
      </w:r>
      <w:r w:rsidRPr="00151B94">
        <w:rPr>
          <w:rFonts w:ascii="Arial" w:hAnsi="Arial" w:cs="Arial"/>
          <w:sz w:val="24"/>
          <w:szCs w:val="24"/>
        </w:rPr>
        <w:t>n</w:t>
      </w:r>
      <w:r>
        <w:rPr>
          <w:rFonts w:ascii="Arial" w:hAnsi="Arial" w:cs="Arial"/>
          <w:sz w:val="24"/>
          <w:szCs w:val="24"/>
        </w:rPr>
        <w:t>u</w:t>
      </w:r>
      <w:r w:rsidRPr="00151B94">
        <w:rPr>
          <w:rFonts w:ascii="Arial" w:hAnsi="Arial" w:cs="Arial"/>
          <w:sz w:val="24"/>
          <w:szCs w:val="24"/>
        </w:rPr>
        <w:t>ing post year end</w:t>
      </w:r>
      <w:r>
        <w:rPr>
          <w:rFonts w:ascii="Arial" w:hAnsi="Arial" w:cs="Arial"/>
          <w:sz w:val="24"/>
          <w:szCs w:val="24"/>
        </w:rPr>
        <w:t xml:space="preserve">.  </w:t>
      </w:r>
      <w:r w:rsidRPr="00151B94">
        <w:rPr>
          <w:rFonts w:ascii="Arial" w:hAnsi="Arial" w:cs="Arial"/>
          <w:sz w:val="24"/>
          <w:szCs w:val="24"/>
        </w:rPr>
        <w:t xml:space="preserve">In response to </w:t>
      </w:r>
      <w:r>
        <w:rPr>
          <w:rFonts w:ascii="Arial" w:hAnsi="Arial" w:cs="Arial"/>
          <w:sz w:val="24"/>
          <w:szCs w:val="24"/>
        </w:rPr>
        <w:t>the pandemic</w:t>
      </w:r>
      <w:r w:rsidRPr="00151B94">
        <w:rPr>
          <w:rFonts w:ascii="Arial" w:hAnsi="Arial" w:cs="Arial"/>
          <w:sz w:val="24"/>
          <w:szCs w:val="24"/>
        </w:rPr>
        <w:t xml:space="preserve"> all</w:t>
      </w:r>
      <w:r w:rsidRPr="00C72B83">
        <w:rPr>
          <w:rFonts w:ascii="Arial" w:hAnsi="Arial" w:cs="Arial"/>
          <w:sz w:val="24"/>
        </w:rPr>
        <w:t xml:space="preserve"> schools opened in line with expectation and national guidelines</w:t>
      </w:r>
      <w:r w:rsidRPr="00151B94">
        <w:rPr>
          <w:rFonts w:ascii="Arial" w:hAnsi="Arial" w:cs="Arial"/>
          <w:sz w:val="24"/>
        </w:rPr>
        <w:t>, with attendance</w:t>
      </w:r>
      <w:r w:rsidRPr="00C72B83">
        <w:rPr>
          <w:rFonts w:ascii="Arial" w:hAnsi="Arial" w:cs="Arial"/>
          <w:sz w:val="24"/>
        </w:rPr>
        <w:t xml:space="preserve"> continu</w:t>
      </w:r>
      <w:r w:rsidRPr="00151B94">
        <w:rPr>
          <w:rFonts w:ascii="Arial" w:hAnsi="Arial" w:cs="Arial"/>
          <w:sz w:val="24"/>
        </w:rPr>
        <w:t>ing</w:t>
      </w:r>
      <w:r w:rsidRPr="00C72B83">
        <w:rPr>
          <w:rFonts w:ascii="Arial" w:hAnsi="Arial" w:cs="Arial"/>
          <w:sz w:val="24"/>
        </w:rPr>
        <w:t xml:space="preserve"> to be well above national averages by sector and phase</w:t>
      </w:r>
      <w:r w:rsidRPr="00151B94">
        <w:rPr>
          <w:rFonts w:ascii="Arial" w:hAnsi="Arial" w:cs="Arial"/>
          <w:sz w:val="24"/>
        </w:rPr>
        <w:t xml:space="preserve">. </w:t>
      </w:r>
      <w:r w:rsidRPr="00C72B83">
        <w:rPr>
          <w:rFonts w:ascii="Arial" w:hAnsi="Arial" w:cs="Arial"/>
          <w:sz w:val="24"/>
        </w:rPr>
        <w:t xml:space="preserve">Schools are COVID safe and QA checks confirm compliance </w:t>
      </w:r>
      <w:r w:rsidRPr="00151B94">
        <w:rPr>
          <w:rFonts w:ascii="Arial" w:hAnsi="Arial" w:cs="Arial"/>
          <w:sz w:val="24"/>
        </w:rPr>
        <w:t>a</w:t>
      </w:r>
      <w:r w:rsidRPr="00C72B83">
        <w:rPr>
          <w:rFonts w:ascii="Arial" w:hAnsi="Arial" w:cs="Arial"/>
          <w:sz w:val="24"/>
        </w:rPr>
        <w:t>ll schools have blended and remote learning plans in place</w:t>
      </w:r>
      <w:r>
        <w:rPr>
          <w:rFonts w:ascii="Arial" w:hAnsi="Arial" w:cs="Arial"/>
          <w:sz w:val="24"/>
        </w:rPr>
        <w:t>.</w:t>
      </w:r>
    </w:p>
    <w:p w14:paraId="17A000EC" w14:textId="77777777" w:rsidR="00D5584F" w:rsidRDefault="00D5584F" w:rsidP="00D5584F">
      <w:pPr>
        <w:spacing w:after="240" w:line="240" w:lineRule="auto"/>
        <w:jc w:val="both"/>
        <w:rPr>
          <w:rFonts w:ascii="Arial" w:hAnsi="Arial" w:cs="Arial"/>
          <w:sz w:val="24"/>
          <w:szCs w:val="24"/>
        </w:rPr>
      </w:pPr>
      <w:r w:rsidRPr="00D26F10">
        <w:rPr>
          <w:rFonts w:ascii="Arial" w:hAnsi="Arial" w:cs="Arial"/>
          <w:sz w:val="24"/>
        </w:rPr>
        <w:t>Challenges re</w:t>
      </w:r>
      <w:r w:rsidRPr="00C72B83">
        <w:rPr>
          <w:rFonts w:ascii="Arial" w:hAnsi="Arial" w:cs="Arial"/>
          <w:sz w:val="24"/>
        </w:rPr>
        <w:t>main</w:t>
      </w:r>
      <w:r w:rsidRPr="00D26F10">
        <w:rPr>
          <w:rFonts w:ascii="Arial" w:hAnsi="Arial" w:cs="Arial"/>
          <w:sz w:val="24"/>
        </w:rPr>
        <w:t>, with c</w:t>
      </w:r>
      <w:r w:rsidRPr="00C72B83">
        <w:rPr>
          <w:rFonts w:ascii="Arial" w:hAnsi="Arial" w:cs="Arial"/>
          <w:sz w:val="24"/>
        </w:rPr>
        <w:t>ontinued COVID cases across the T</w:t>
      </w:r>
      <w:r w:rsidRPr="00D26F10">
        <w:rPr>
          <w:rFonts w:ascii="Arial" w:hAnsi="Arial" w:cs="Arial"/>
          <w:sz w:val="24"/>
        </w:rPr>
        <w:t xml:space="preserve">rust, particularly in the North. </w:t>
      </w:r>
      <w:r w:rsidRPr="00C72B83">
        <w:rPr>
          <w:rFonts w:ascii="Arial" w:hAnsi="Arial" w:cs="Arial"/>
          <w:sz w:val="24"/>
        </w:rPr>
        <w:t>Secondary schools are proving the hardest challenge due to scale and the related likelihood of infection</w:t>
      </w:r>
      <w:r w:rsidRPr="00D26F10">
        <w:rPr>
          <w:rFonts w:ascii="Arial" w:hAnsi="Arial" w:cs="Arial"/>
          <w:sz w:val="24"/>
        </w:rPr>
        <w:t xml:space="preserve">. </w:t>
      </w:r>
    </w:p>
    <w:p w14:paraId="70501494" w14:textId="77777777" w:rsidR="00D5584F" w:rsidRPr="00C72B83" w:rsidRDefault="00D5584F" w:rsidP="00D5584F">
      <w:pPr>
        <w:spacing w:after="240" w:line="240" w:lineRule="auto"/>
        <w:jc w:val="both"/>
        <w:rPr>
          <w:rFonts w:ascii="Arial" w:hAnsi="Arial" w:cs="Arial"/>
          <w:sz w:val="24"/>
          <w:szCs w:val="24"/>
        </w:rPr>
      </w:pPr>
      <w:r w:rsidRPr="00D26F10">
        <w:rPr>
          <w:rFonts w:ascii="Arial" w:hAnsi="Arial" w:cs="Arial"/>
          <w:sz w:val="24"/>
        </w:rPr>
        <w:t xml:space="preserve">Key priorities are </w:t>
      </w:r>
      <w:r>
        <w:rPr>
          <w:rFonts w:ascii="Arial" w:hAnsi="Arial" w:cs="Arial"/>
          <w:sz w:val="24"/>
        </w:rPr>
        <w:t>to continue r</w:t>
      </w:r>
      <w:r w:rsidRPr="00C72B83">
        <w:rPr>
          <w:rFonts w:ascii="Arial" w:hAnsi="Arial" w:cs="Arial"/>
          <w:sz w:val="24"/>
        </w:rPr>
        <w:t>emote</w:t>
      </w:r>
      <w:r>
        <w:rPr>
          <w:rFonts w:ascii="Arial" w:hAnsi="Arial" w:cs="Arial"/>
          <w:sz w:val="24"/>
        </w:rPr>
        <w:t>, blended and home learning, with a</w:t>
      </w:r>
      <w:r w:rsidRPr="00C72B83">
        <w:rPr>
          <w:rFonts w:ascii="Arial" w:hAnsi="Arial" w:cs="Arial"/>
          <w:sz w:val="24"/>
        </w:rPr>
        <w:t>ccessibility to home ICT for all students, including Wi-Fi access during COVID</w:t>
      </w:r>
      <w:r w:rsidRPr="00D26F10">
        <w:rPr>
          <w:rFonts w:ascii="Arial" w:hAnsi="Arial" w:cs="Arial"/>
          <w:sz w:val="24"/>
        </w:rPr>
        <w:t xml:space="preserve">. Partial closures are planned for, as matters continue to progress. Securing wellbeing of staff and students, including </w:t>
      </w:r>
      <w:r w:rsidRPr="00D26F10">
        <w:rPr>
          <w:rFonts w:ascii="Arial" w:hAnsi="Arial" w:cs="Arial"/>
          <w:sz w:val="24"/>
        </w:rPr>
        <w:t>safeguarding</w:t>
      </w:r>
      <w:r>
        <w:rPr>
          <w:rFonts w:ascii="Arial" w:hAnsi="Arial" w:cs="Arial"/>
          <w:sz w:val="24"/>
        </w:rPr>
        <w:t xml:space="preserve"> and addressing f</w:t>
      </w:r>
      <w:r w:rsidRPr="00C72B83">
        <w:rPr>
          <w:rFonts w:ascii="Arial" w:hAnsi="Arial" w:cs="Arial"/>
          <w:sz w:val="24"/>
        </w:rPr>
        <w:t>ood poverty and personal care provision</w:t>
      </w:r>
      <w:r w:rsidRPr="00D26F10">
        <w:rPr>
          <w:rFonts w:ascii="Arial" w:hAnsi="Arial" w:cs="Arial"/>
          <w:sz w:val="24"/>
        </w:rPr>
        <w:t>.</w:t>
      </w:r>
    </w:p>
    <w:p w14:paraId="4B327078" w14:textId="77777777" w:rsidR="00D5584F" w:rsidRPr="00C72B83" w:rsidRDefault="00D5584F" w:rsidP="00D5584F">
      <w:pPr>
        <w:tabs>
          <w:tab w:val="center" w:pos="4513"/>
          <w:tab w:val="right" w:pos="9026"/>
        </w:tabs>
        <w:spacing w:after="240" w:line="240" w:lineRule="auto"/>
        <w:jc w:val="both"/>
        <w:rPr>
          <w:rFonts w:ascii="Arial" w:hAnsi="Arial" w:cs="Arial"/>
          <w:sz w:val="24"/>
        </w:rPr>
      </w:pPr>
      <w:r>
        <w:rPr>
          <w:rFonts w:ascii="Arial" w:hAnsi="Arial" w:cs="Arial"/>
          <w:sz w:val="24"/>
        </w:rPr>
        <w:t>The Trust’s business plan includes a detailed strategy for further growth, including free school applications and maintained school conversions. The priority remains to recruit schools from all sectors, secondary, primary as well as special schools. We continue to drive school improvement using a multi-faceted and evolutionary approach with our longer term priority</w:t>
      </w:r>
      <w:r w:rsidRPr="00C72B83">
        <w:rPr>
          <w:rFonts w:ascii="Arial" w:hAnsi="Arial" w:cs="Arial"/>
          <w:sz w:val="24"/>
        </w:rPr>
        <w:t xml:space="preserve"> focus</w:t>
      </w:r>
      <w:r>
        <w:rPr>
          <w:rFonts w:ascii="Arial" w:hAnsi="Arial" w:cs="Arial"/>
          <w:sz w:val="24"/>
        </w:rPr>
        <w:t>ing</w:t>
      </w:r>
      <w:r w:rsidRPr="00C72B83">
        <w:rPr>
          <w:rFonts w:ascii="Arial" w:hAnsi="Arial" w:cs="Arial"/>
          <w:sz w:val="24"/>
        </w:rPr>
        <w:t xml:space="preserve"> on reducing the learning </w:t>
      </w:r>
      <w:r w:rsidRPr="00D26F10">
        <w:rPr>
          <w:rFonts w:ascii="Arial" w:hAnsi="Arial" w:cs="Arial"/>
          <w:sz w:val="24"/>
        </w:rPr>
        <w:t>disadvantaged gap.</w:t>
      </w:r>
    </w:p>
    <w:p w14:paraId="69118B6D" w14:textId="77777777" w:rsidR="00D5584F" w:rsidRPr="0094369F" w:rsidRDefault="00D5584F" w:rsidP="00D5584F">
      <w:pPr>
        <w:keepLines/>
        <w:widowControl w:val="0"/>
        <w:autoSpaceDE w:val="0"/>
        <w:autoSpaceDN w:val="0"/>
        <w:adjustRightInd w:val="0"/>
        <w:spacing w:after="240" w:line="240" w:lineRule="auto"/>
        <w:jc w:val="both"/>
        <w:rPr>
          <w:rFonts w:ascii="Arial" w:hAnsi="Arial" w:cs="Arial"/>
          <w:sz w:val="24"/>
          <w:szCs w:val="24"/>
        </w:rPr>
      </w:pPr>
      <w:r w:rsidRPr="0094369F">
        <w:rPr>
          <w:rFonts w:ascii="Arial" w:hAnsi="Arial" w:cs="Arial"/>
          <w:sz w:val="24"/>
          <w:szCs w:val="24"/>
        </w:rPr>
        <w:t xml:space="preserve">Optimus </w:t>
      </w:r>
    </w:p>
    <w:p w14:paraId="611EBAA6" w14:textId="77777777" w:rsidR="00D5584F" w:rsidRPr="0094369F" w:rsidRDefault="00D5584F" w:rsidP="00D5584F">
      <w:pPr>
        <w:keepLines/>
        <w:widowControl w:val="0"/>
        <w:autoSpaceDE w:val="0"/>
        <w:autoSpaceDN w:val="0"/>
        <w:adjustRightInd w:val="0"/>
        <w:spacing w:after="240" w:line="240" w:lineRule="auto"/>
        <w:jc w:val="both"/>
        <w:rPr>
          <w:rFonts w:ascii="Arial" w:hAnsi="Arial" w:cs="Arial"/>
          <w:sz w:val="24"/>
          <w:szCs w:val="24"/>
        </w:rPr>
      </w:pPr>
      <w:r w:rsidRPr="0094369F">
        <w:rPr>
          <w:rFonts w:ascii="Arial" w:hAnsi="Arial" w:cs="Arial"/>
          <w:sz w:val="24"/>
          <w:szCs w:val="24"/>
        </w:rPr>
        <w:t xml:space="preserve">Optimus Education is an established provider of professional development support and school improvement information for schools, academies and mother educational institutions.  We give teachers an opportunity for continuing professional development and offer careers and skills advice and guidance for young people.  </w:t>
      </w:r>
    </w:p>
    <w:p w14:paraId="72EB5B47" w14:textId="77777777" w:rsidR="00D5584F" w:rsidRPr="0094369F" w:rsidRDefault="00D5584F" w:rsidP="00D5584F">
      <w:pPr>
        <w:keepLines/>
        <w:widowControl w:val="0"/>
        <w:autoSpaceDE w:val="0"/>
        <w:autoSpaceDN w:val="0"/>
        <w:adjustRightInd w:val="0"/>
        <w:spacing w:after="240" w:line="240" w:lineRule="auto"/>
        <w:jc w:val="both"/>
        <w:rPr>
          <w:rFonts w:ascii="Arial" w:hAnsi="Arial" w:cs="Arial"/>
          <w:sz w:val="24"/>
          <w:szCs w:val="24"/>
        </w:rPr>
      </w:pPr>
      <w:r w:rsidRPr="0094369F">
        <w:rPr>
          <w:rFonts w:ascii="Arial" w:hAnsi="Arial" w:cs="Arial"/>
          <w:sz w:val="24"/>
          <w:szCs w:val="24"/>
        </w:rPr>
        <w:t>We work with over 7,000 schools per year, in the UK and internationally, including nursery, primary secondary and colleges. By doing so we support teaches to improve and maximise the life chances of nearly 1.8m students and young people</w:t>
      </w:r>
      <w:r w:rsidR="00711100">
        <w:rPr>
          <w:rFonts w:ascii="Arial" w:hAnsi="Arial" w:cs="Arial"/>
          <w:sz w:val="24"/>
          <w:szCs w:val="24"/>
        </w:rPr>
        <w:t>.</w:t>
      </w:r>
      <w:r w:rsidRPr="0094369F">
        <w:rPr>
          <w:rFonts w:ascii="Arial" w:hAnsi="Arial" w:cs="Arial"/>
          <w:sz w:val="24"/>
          <w:szCs w:val="24"/>
        </w:rPr>
        <w:t xml:space="preserve"> </w:t>
      </w:r>
    </w:p>
    <w:p w14:paraId="4A199EFD" w14:textId="77777777" w:rsidR="00D5584F" w:rsidRPr="0094369F" w:rsidRDefault="00D5584F" w:rsidP="00D5584F">
      <w:pPr>
        <w:keepLines/>
        <w:widowControl w:val="0"/>
        <w:autoSpaceDE w:val="0"/>
        <w:autoSpaceDN w:val="0"/>
        <w:adjustRightInd w:val="0"/>
        <w:spacing w:after="240" w:line="240" w:lineRule="auto"/>
        <w:jc w:val="both"/>
        <w:rPr>
          <w:rFonts w:ascii="Arial" w:hAnsi="Arial" w:cs="Arial"/>
          <w:sz w:val="24"/>
          <w:szCs w:val="24"/>
        </w:rPr>
      </w:pPr>
      <w:r w:rsidRPr="0094369F">
        <w:rPr>
          <w:rFonts w:ascii="Arial" w:hAnsi="Arial" w:cs="Arial"/>
          <w:sz w:val="24"/>
          <w:szCs w:val="24"/>
        </w:rPr>
        <w:t>The largest revenue stream is conferences and events, which has been hit by the Covid-19 pandemic, although significant events have been delayed to next year and a digital events platform solution is being developed for 2021. The Awards business, launched in 2016, contin</w:t>
      </w:r>
      <w:r>
        <w:rPr>
          <w:rFonts w:ascii="Arial" w:hAnsi="Arial" w:cs="Arial"/>
          <w:sz w:val="24"/>
          <w:szCs w:val="24"/>
        </w:rPr>
        <w:t>ues</w:t>
      </w:r>
      <w:r w:rsidRPr="0094369F">
        <w:rPr>
          <w:rFonts w:ascii="Arial" w:hAnsi="Arial" w:cs="Arial"/>
          <w:sz w:val="24"/>
          <w:szCs w:val="24"/>
        </w:rPr>
        <w:t xml:space="preserve"> with over 800 schools signing up towards the Wellbeing Award, and a new mini awards program was launched during the year. Membership levels have remained in line with budget.</w:t>
      </w:r>
    </w:p>
    <w:p w14:paraId="53F534D6" w14:textId="77777777" w:rsidR="00D5584F" w:rsidRDefault="00D5584F" w:rsidP="00D5584F">
      <w:pPr>
        <w:rPr>
          <w:rFonts w:ascii="Arial" w:hAnsi="Arial" w:cs="Arial"/>
          <w:b/>
          <w:i/>
          <w:sz w:val="24"/>
          <w:szCs w:val="24"/>
        </w:rPr>
      </w:pPr>
      <w:r>
        <w:rPr>
          <w:rFonts w:ascii="Arial" w:hAnsi="Arial" w:cs="Arial"/>
          <w:b/>
          <w:i/>
          <w:sz w:val="24"/>
          <w:szCs w:val="24"/>
        </w:rPr>
        <w:br w:type="page"/>
      </w:r>
    </w:p>
    <w:p w14:paraId="00F8E949" w14:textId="77777777" w:rsidR="00D5584F" w:rsidRPr="00DD647D" w:rsidRDefault="00D5584F" w:rsidP="00D5584F">
      <w:pPr>
        <w:keepLines/>
        <w:widowControl w:val="0"/>
        <w:tabs>
          <w:tab w:val="left" w:pos="567"/>
        </w:tabs>
        <w:autoSpaceDE w:val="0"/>
        <w:autoSpaceDN w:val="0"/>
        <w:adjustRightInd w:val="0"/>
        <w:spacing w:after="240" w:line="240" w:lineRule="auto"/>
        <w:jc w:val="both"/>
        <w:rPr>
          <w:rFonts w:ascii="Arial" w:hAnsi="Arial" w:cs="Arial"/>
          <w:b/>
          <w:i/>
          <w:sz w:val="24"/>
          <w:szCs w:val="24"/>
        </w:rPr>
      </w:pPr>
      <w:r w:rsidRPr="00DD647D">
        <w:rPr>
          <w:rFonts w:ascii="Arial" w:hAnsi="Arial" w:cs="Arial"/>
          <w:b/>
          <w:i/>
          <w:sz w:val="24"/>
          <w:szCs w:val="24"/>
        </w:rPr>
        <w:lastRenderedPageBreak/>
        <w:t xml:space="preserve">2. </w:t>
      </w:r>
      <w:r w:rsidRPr="00DD647D">
        <w:rPr>
          <w:rFonts w:ascii="Arial" w:hAnsi="Arial" w:cs="Arial"/>
          <w:b/>
          <w:i/>
          <w:sz w:val="24"/>
          <w:szCs w:val="24"/>
        </w:rPr>
        <w:tab/>
        <w:t>Financial review (continued)</w:t>
      </w:r>
    </w:p>
    <w:p w14:paraId="681A4C71" w14:textId="77777777" w:rsidR="00D5584F" w:rsidRPr="0094369F" w:rsidRDefault="00D5584F" w:rsidP="00D5584F">
      <w:pPr>
        <w:keepLines/>
        <w:widowControl w:val="0"/>
        <w:autoSpaceDE w:val="0"/>
        <w:autoSpaceDN w:val="0"/>
        <w:adjustRightInd w:val="0"/>
        <w:spacing w:after="240" w:line="240" w:lineRule="auto"/>
        <w:jc w:val="both"/>
        <w:rPr>
          <w:rFonts w:ascii="Arial" w:hAnsi="Arial" w:cs="Arial"/>
          <w:sz w:val="24"/>
          <w:szCs w:val="24"/>
        </w:rPr>
      </w:pPr>
      <w:proofErr w:type="spellStart"/>
      <w:r w:rsidRPr="0094369F">
        <w:rPr>
          <w:rFonts w:ascii="Arial" w:hAnsi="Arial" w:cs="Arial"/>
          <w:sz w:val="24"/>
          <w:szCs w:val="24"/>
        </w:rPr>
        <w:t>Gabbitas</w:t>
      </w:r>
      <w:proofErr w:type="spellEnd"/>
    </w:p>
    <w:p w14:paraId="53F36A5C" w14:textId="77777777" w:rsidR="00D5584F" w:rsidRPr="0094369F" w:rsidRDefault="00D5584F" w:rsidP="00D5584F">
      <w:pPr>
        <w:keepLines/>
        <w:widowControl w:val="0"/>
        <w:autoSpaceDE w:val="0"/>
        <w:autoSpaceDN w:val="0"/>
        <w:adjustRightInd w:val="0"/>
        <w:spacing w:after="240" w:line="240" w:lineRule="auto"/>
        <w:jc w:val="both"/>
        <w:rPr>
          <w:rFonts w:ascii="Arial" w:hAnsi="Arial" w:cs="Arial"/>
          <w:sz w:val="24"/>
          <w:szCs w:val="24"/>
        </w:rPr>
      </w:pPr>
      <w:r w:rsidRPr="0094369F">
        <w:rPr>
          <w:rFonts w:ascii="Arial" w:hAnsi="Arial" w:cs="Arial"/>
          <w:sz w:val="24"/>
          <w:szCs w:val="24"/>
        </w:rPr>
        <w:t xml:space="preserve">During the year </w:t>
      </w:r>
      <w:proofErr w:type="spellStart"/>
      <w:r w:rsidRPr="0094369F">
        <w:rPr>
          <w:rFonts w:ascii="Arial" w:hAnsi="Arial" w:cs="Arial"/>
          <w:sz w:val="24"/>
          <w:szCs w:val="24"/>
        </w:rPr>
        <w:t>Gabbitas</w:t>
      </w:r>
      <w:proofErr w:type="spellEnd"/>
      <w:r w:rsidRPr="0094369F">
        <w:rPr>
          <w:rFonts w:ascii="Arial" w:hAnsi="Arial" w:cs="Arial"/>
          <w:sz w:val="24"/>
          <w:szCs w:val="24"/>
        </w:rPr>
        <w:t xml:space="preserve">, </w:t>
      </w:r>
      <w:r>
        <w:rPr>
          <w:rFonts w:ascii="Arial" w:hAnsi="Arial" w:cs="Arial"/>
          <w:sz w:val="24"/>
          <w:szCs w:val="24"/>
        </w:rPr>
        <w:t>a</w:t>
      </w:r>
      <w:r w:rsidRPr="0094369F">
        <w:rPr>
          <w:rFonts w:ascii="Arial" w:hAnsi="Arial" w:cs="Arial"/>
          <w:sz w:val="24"/>
          <w:szCs w:val="24"/>
        </w:rPr>
        <w:t xml:space="preserve"> boutique education business, </w:t>
      </w:r>
      <w:r>
        <w:rPr>
          <w:rFonts w:ascii="Arial" w:hAnsi="Arial" w:cs="Arial"/>
          <w:sz w:val="24"/>
          <w:szCs w:val="24"/>
        </w:rPr>
        <w:t xml:space="preserve">was sold, </w:t>
      </w:r>
      <w:r w:rsidRPr="0094369F">
        <w:rPr>
          <w:rFonts w:ascii="Arial" w:hAnsi="Arial" w:cs="Arial"/>
          <w:sz w:val="24"/>
          <w:szCs w:val="24"/>
        </w:rPr>
        <w:t>as it was not core to</w:t>
      </w:r>
      <w:r>
        <w:rPr>
          <w:rFonts w:ascii="Arial" w:hAnsi="Arial" w:cs="Arial"/>
          <w:sz w:val="24"/>
          <w:szCs w:val="24"/>
        </w:rPr>
        <w:t xml:space="preserve"> our</w:t>
      </w:r>
      <w:r w:rsidRPr="0094369F">
        <w:rPr>
          <w:rFonts w:ascii="Arial" w:hAnsi="Arial" w:cs="Arial"/>
          <w:sz w:val="24"/>
          <w:szCs w:val="24"/>
        </w:rPr>
        <w:t xml:space="preserve"> ongoing strategy.</w:t>
      </w:r>
    </w:p>
    <w:p w14:paraId="3C443286" w14:textId="77777777" w:rsidR="00D5584F" w:rsidRPr="0094369F" w:rsidRDefault="00D5584F" w:rsidP="00D5584F">
      <w:pPr>
        <w:keepLines/>
        <w:widowControl w:val="0"/>
        <w:autoSpaceDE w:val="0"/>
        <w:autoSpaceDN w:val="0"/>
        <w:adjustRightInd w:val="0"/>
        <w:spacing w:after="240" w:line="240" w:lineRule="auto"/>
        <w:jc w:val="both"/>
        <w:rPr>
          <w:rFonts w:ascii="Arial" w:hAnsi="Arial" w:cs="Arial"/>
          <w:b/>
          <w:sz w:val="24"/>
          <w:szCs w:val="24"/>
        </w:rPr>
      </w:pPr>
      <w:r w:rsidRPr="0094369F">
        <w:rPr>
          <w:rFonts w:ascii="Arial" w:hAnsi="Arial" w:cs="Arial"/>
          <w:b/>
          <w:sz w:val="24"/>
          <w:szCs w:val="24"/>
        </w:rPr>
        <w:t>Justice</w:t>
      </w:r>
    </w:p>
    <w:p w14:paraId="1F531620" w14:textId="77777777" w:rsidR="00D5584F" w:rsidRPr="0094369F" w:rsidRDefault="00D5584F" w:rsidP="00D5584F">
      <w:pPr>
        <w:keepLines/>
        <w:widowControl w:val="0"/>
        <w:autoSpaceDE w:val="0"/>
        <w:autoSpaceDN w:val="0"/>
        <w:adjustRightInd w:val="0"/>
        <w:spacing w:after="240" w:line="240" w:lineRule="auto"/>
        <w:jc w:val="both"/>
        <w:rPr>
          <w:rFonts w:ascii="Arial" w:hAnsi="Arial" w:cs="Arial"/>
          <w:sz w:val="24"/>
          <w:szCs w:val="24"/>
        </w:rPr>
      </w:pPr>
      <w:r>
        <w:rPr>
          <w:rFonts w:ascii="Arial" w:hAnsi="Arial" w:cs="Arial"/>
          <w:sz w:val="24"/>
          <w:szCs w:val="24"/>
        </w:rPr>
        <w:t>W</w:t>
      </w:r>
      <w:r w:rsidRPr="0094369F">
        <w:rPr>
          <w:rFonts w:ascii="Arial" w:hAnsi="Arial" w:cs="Arial"/>
          <w:sz w:val="24"/>
          <w:szCs w:val="24"/>
        </w:rPr>
        <w:t>ork in the Justice sector is designed to enable the people we support to positively contribute to society and break the cycle of reoffending.  Education, skills, wellbeing and ongoing support, both within institutions and beyond the gate are all important elements of the rehabilitation process.</w:t>
      </w:r>
    </w:p>
    <w:p w14:paraId="51847C20" w14:textId="77777777" w:rsidR="00D5584F" w:rsidRPr="0094369F" w:rsidRDefault="00D5584F" w:rsidP="00D5584F">
      <w:pPr>
        <w:autoSpaceDE w:val="0"/>
        <w:autoSpaceDN w:val="0"/>
        <w:adjustRightInd w:val="0"/>
        <w:spacing w:after="240" w:line="240" w:lineRule="auto"/>
        <w:jc w:val="both"/>
        <w:rPr>
          <w:rFonts w:ascii="Arial" w:hAnsi="Arial" w:cs="Arial"/>
          <w:sz w:val="24"/>
          <w:szCs w:val="24"/>
        </w:rPr>
      </w:pPr>
      <w:r w:rsidRPr="0094369F">
        <w:rPr>
          <w:rFonts w:ascii="Arial" w:hAnsi="Arial" w:cs="Arial"/>
          <w:sz w:val="24"/>
          <w:szCs w:val="24"/>
        </w:rPr>
        <w:t>The Trust operates 7 of the 18 CF03 contracts for Her Majesty’s Prison and Probation Service.  The programme is co-funded by the European Social Fund and is designed to improve social inclusion amongst offenders and ex-o</w:t>
      </w:r>
      <w:r w:rsidR="00711100">
        <w:rPr>
          <w:rFonts w:ascii="Arial" w:hAnsi="Arial" w:cs="Arial"/>
          <w:sz w:val="24"/>
          <w:szCs w:val="24"/>
        </w:rPr>
        <w:t xml:space="preserve">ffenders, who are considered </w:t>
      </w:r>
      <w:r w:rsidRPr="0094369F">
        <w:rPr>
          <w:rFonts w:ascii="Arial" w:hAnsi="Arial" w:cs="Arial"/>
          <w:sz w:val="24"/>
          <w:szCs w:val="24"/>
        </w:rPr>
        <w:t xml:space="preserve">the hardest to help in the justice system.  We do this by helping them get ready for life after prison, turn their back on crime, train and find a job.  Many of those we support have multiple and complex needs. </w:t>
      </w:r>
    </w:p>
    <w:p w14:paraId="629AC1CC" w14:textId="77777777" w:rsidR="00D5584F" w:rsidRPr="0094369F" w:rsidRDefault="00D5584F" w:rsidP="00D5584F">
      <w:pPr>
        <w:autoSpaceDE w:val="0"/>
        <w:autoSpaceDN w:val="0"/>
        <w:adjustRightInd w:val="0"/>
        <w:spacing w:after="240" w:line="240" w:lineRule="auto"/>
        <w:jc w:val="both"/>
        <w:rPr>
          <w:rFonts w:ascii="Arial" w:hAnsi="Arial" w:cs="Arial"/>
          <w:sz w:val="24"/>
          <w:szCs w:val="24"/>
        </w:rPr>
      </w:pPr>
      <w:r w:rsidRPr="00FA3362">
        <w:rPr>
          <w:rFonts w:ascii="Arial" w:hAnsi="Arial" w:cs="Arial"/>
          <w:sz w:val="24"/>
          <w:szCs w:val="24"/>
        </w:rPr>
        <w:t>Through these we have helped over 8,000 new offenders, providing specific support, skills and training to clients in prisons and the community, resulting in</w:t>
      </w:r>
      <w:r w:rsidR="00FA3362">
        <w:rPr>
          <w:rFonts w:ascii="Arial" w:hAnsi="Arial" w:cs="Arial"/>
          <w:sz w:val="24"/>
          <w:szCs w:val="24"/>
        </w:rPr>
        <w:t xml:space="preserve"> over</w:t>
      </w:r>
      <w:r w:rsidRPr="00FA3362">
        <w:rPr>
          <w:rFonts w:ascii="Arial" w:hAnsi="Arial" w:cs="Arial"/>
          <w:sz w:val="24"/>
          <w:szCs w:val="24"/>
        </w:rPr>
        <w:t xml:space="preserve"> </w:t>
      </w:r>
      <w:r w:rsidR="00FA3362">
        <w:rPr>
          <w:rFonts w:ascii="Arial" w:hAnsi="Arial" w:cs="Arial"/>
          <w:sz w:val="24"/>
          <w:szCs w:val="24"/>
        </w:rPr>
        <w:t>3,000</w:t>
      </w:r>
      <w:r w:rsidRPr="00FA3362">
        <w:rPr>
          <w:rFonts w:ascii="Arial" w:hAnsi="Arial" w:cs="Arial"/>
          <w:sz w:val="24"/>
          <w:szCs w:val="24"/>
        </w:rPr>
        <w:t xml:space="preserve"> accreditations and more than 669 jobs. During the period the contracts were extended to provide services to August 2023.</w:t>
      </w:r>
      <w:r w:rsidRPr="0094369F">
        <w:rPr>
          <w:rFonts w:ascii="Arial" w:hAnsi="Arial" w:cs="Arial"/>
          <w:sz w:val="24"/>
          <w:szCs w:val="24"/>
        </w:rPr>
        <w:t xml:space="preserve"> </w:t>
      </w:r>
    </w:p>
    <w:p w14:paraId="660997B5" w14:textId="77777777" w:rsidR="00D5584F" w:rsidRPr="0094369F" w:rsidRDefault="00D5584F" w:rsidP="00D5584F">
      <w:pPr>
        <w:autoSpaceDE w:val="0"/>
        <w:autoSpaceDN w:val="0"/>
        <w:adjustRightInd w:val="0"/>
        <w:spacing w:after="240" w:line="240" w:lineRule="auto"/>
        <w:jc w:val="both"/>
        <w:rPr>
          <w:rFonts w:ascii="Arial" w:hAnsi="Arial" w:cs="Arial"/>
          <w:sz w:val="24"/>
          <w:szCs w:val="24"/>
        </w:rPr>
      </w:pPr>
      <w:r w:rsidRPr="0094369F">
        <w:rPr>
          <w:rFonts w:ascii="Arial" w:hAnsi="Arial" w:cs="Arial"/>
          <w:sz w:val="24"/>
          <w:szCs w:val="24"/>
        </w:rPr>
        <w:t>We continue to perform well on our IAG contracts despite the impact of Covid-19, with several contract wins during the year.</w:t>
      </w:r>
    </w:p>
    <w:p w14:paraId="190DEA7A" w14:textId="77777777" w:rsidR="00D5584F" w:rsidRPr="0094369F" w:rsidRDefault="00D5584F" w:rsidP="00D5584F">
      <w:pPr>
        <w:autoSpaceDE w:val="0"/>
        <w:autoSpaceDN w:val="0"/>
        <w:adjustRightInd w:val="0"/>
        <w:spacing w:after="240" w:line="240" w:lineRule="auto"/>
        <w:jc w:val="both"/>
        <w:rPr>
          <w:rFonts w:ascii="Verdana" w:hAnsi="Verdana" w:cs="Verdana"/>
          <w:sz w:val="17"/>
          <w:szCs w:val="17"/>
        </w:rPr>
      </w:pPr>
      <w:r w:rsidRPr="0094369F">
        <w:rPr>
          <w:rFonts w:ascii="Arial" w:hAnsi="Arial" w:cs="Arial"/>
          <w:sz w:val="24"/>
          <w:szCs w:val="24"/>
        </w:rPr>
        <w:t xml:space="preserve">In addition, our Feltham contract provides education and training for males ranging from 12-18 years old, delivered on site within Feltham Young Offenders Institution. For those that cannot attend </w:t>
      </w:r>
      <w:r w:rsidRPr="0094369F">
        <w:rPr>
          <w:rFonts w:ascii="Arial" w:hAnsi="Arial" w:cs="Arial"/>
          <w:sz w:val="24"/>
          <w:szCs w:val="24"/>
        </w:rPr>
        <w:t xml:space="preserve">in person, we provide education through visits to residential accommodation. </w:t>
      </w:r>
      <w:r w:rsidRPr="00FA3362">
        <w:rPr>
          <w:rFonts w:ascii="Arial" w:hAnsi="Arial" w:cs="Arial"/>
          <w:sz w:val="24"/>
          <w:szCs w:val="24"/>
        </w:rPr>
        <w:t>During the year we worked with more than 300 boys at Feltham, who collectively achieved more than 2,000 accredited qualifications</w:t>
      </w:r>
      <w:r w:rsidRPr="0094369F">
        <w:rPr>
          <w:rFonts w:ascii="Arial" w:hAnsi="Arial" w:cs="Arial"/>
          <w:sz w:val="24"/>
          <w:szCs w:val="24"/>
        </w:rPr>
        <w:t xml:space="preserve"> with some pupils achieving A-levels for the first time. </w:t>
      </w:r>
    </w:p>
    <w:p w14:paraId="45E8F721" w14:textId="77777777" w:rsidR="00D5584F" w:rsidRPr="0094369F" w:rsidRDefault="00D5584F" w:rsidP="00D5584F">
      <w:pPr>
        <w:keepLines/>
        <w:widowControl w:val="0"/>
        <w:tabs>
          <w:tab w:val="left" w:pos="567"/>
        </w:tabs>
        <w:autoSpaceDE w:val="0"/>
        <w:autoSpaceDN w:val="0"/>
        <w:adjustRightInd w:val="0"/>
        <w:spacing w:after="240" w:line="240" w:lineRule="auto"/>
        <w:jc w:val="both"/>
        <w:rPr>
          <w:rFonts w:ascii="Arial" w:hAnsi="Arial" w:cs="Arial"/>
          <w:sz w:val="24"/>
          <w:szCs w:val="24"/>
        </w:rPr>
      </w:pPr>
      <w:r w:rsidRPr="0094369F">
        <w:rPr>
          <w:rFonts w:ascii="Arial" w:hAnsi="Arial" w:cs="Arial"/>
          <w:b/>
          <w:sz w:val="24"/>
          <w:szCs w:val="24"/>
        </w:rPr>
        <w:t xml:space="preserve">Community Health &amp; Wellbeing </w:t>
      </w:r>
    </w:p>
    <w:p w14:paraId="155D784B" w14:textId="77777777" w:rsidR="00D5584F" w:rsidRPr="0094369F" w:rsidRDefault="00D5584F" w:rsidP="00D5584F">
      <w:pPr>
        <w:keepLines/>
        <w:widowControl w:val="0"/>
        <w:tabs>
          <w:tab w:val="left" w:pos="567"/>
        </w:tabs>
        <w:autoSpaceDE w:val="0"/>
        <w:autoSpaceDN w:val="0"/>
        <w:adjustRightInd w:val="0"/>
        <w:spacing w:after="240" w:line="240" w:lineRule="auto"/>
        <w:jc w:val="both"/>
        <w:rPr>
          <w:rFonts w:ascii="Arial" w:hAnsi="Arial" w:cs="Arial"/>
          <w:sz w:val="24"/>
          <w:szCs w:val="24"/>
        </w:rPr>
      </w:pPr>
      <w:r w:rsidRPr="0094369F">
        <w:rPr>
          <w:rFonts w:ascii="Arial" w:hAnsi="Arial" w:cs="Arial"/>
          <w:sz w:val="24"/>
          <w:szCs w:val="24"/>
        </w:rPr>
        <w:t xml:space="preserve">At least one in four people in the UK will experience a mental health problem each year.  We work together with local authorities, clinical commissioning groups, the NHS, local and national charities and businesses, to help people improved their mental and physical health and wellbeing.  This support means that people can better cope with the challenges they face and in turn function better at home, work and in their communities. </w:t>
      </w:r>
    </w:p>
    <w:p w14:paraId="3DDC9DC7" w14:textId="77777777" w:rsidR="00D5584F" w:rsidRPr="0094369F" w:rsidRDefault="00D5584F" w:rsidP="00D5584F">
      <w:pPr>
        <w:keepLines/>
        <w:widowControl w:val="0"/>
        <w:tabs>
          <w:tab w:val="left" w:pos="567"/>
        </w:tabs>
        <w:autoSpaceDE w:val="0"/>
        <w:autoSpaceDN w:val="0"/>
        <w:adjustRightInd w:val="0"/>
        <w:spacing w:after="240" w:line="240" w:lineRule="auto"/>
        <w:jc w:val="both"/>
        <w:rPr>
          <w:rFonts w:ascii="Arial" w:hAnsi="Arial" w:cs="Arial"/>
          <w:sz w:val="24"/>
          <w:szCs w:val="24"/>
        </w:rPr>
      </w:pPr>
      <w:r>
        <w:rPr>
          <w:rFonts w:ascii="Arial" w:hAnsi="Arial" w:cs="Arial"/>
          <w:sz w:val="24"/>
          <w:szCs w:val="24"/>
        </w:rPr>
        <w:t>The Trust</w:t>
      </w:r>
      <w:r w:rsidRPr="0094369F">
        <w:rPr>
          <w:rFonts w:ascii="Arial" w:hAnsi="Arial" w:cs="Arial"/>
          <w:sz w:val="24"/>
          <w:szCs w:val="24"/>
        </w:rPr>
        <w:t xml:space="preserve"> ha</w:t>
      </w:r>
      <w:r>
        <w:rPr>
          <w:rFonts w:ascii="Arial" w:hAnsi="Arial" w:cs="Arial"/>
          <w:sz w:val="24"/>
          <w:szCs w:val="24"/>
        </w:rPr>
        <w:t>s</w:t>
      </w:r>
      <w:r w:rsidRPr="0094369F">
        <w:rPr>
          <w:rFonts w:ascii="Arial" w:hAnsi="Arial" w:cs="Arial"/>
          <w:sz w:val="24"/>
          <w:szCs w:val="24"/>
        </w:rPr>
        <w:t xml:space="preserve"> a number of projects across the country working to improve community health and wellbeing.  These include Get Back on Track, Suffolk Wellbeing Service and Thrive into Work, Live Well Kind and Aim4Work.</w:t>
      </w:r>
    </w:p>
    <w:p w14:paraId="539DAE8A" w14:textId="77777777" w:rsidR="00D5584F" w:rsidRPr="00FA3362" w:rsidRDefault="00D5584F" w:rsidP="00D5584F">
      <w:pPr>
        <w:keepLines/>
        <w:widowControl w:val="0"/>
        <w:tabs>
          <w:tab w:val="left" w:pos="567"/>
        </w:tabs>
        <w:autoSpaceDE w:val="0"/>
        <w:autoSpaceDN w:val="0"/>
        <w:adjustRightInd w:val="0"/>
        <w:spacing w:after="240" w:line="240" w:lineRule="auto"/>
        <w:jc w:val="both"/>
        <w:rPr>
          <w:rFonts w:ascii="Arial" w:hAnsi="Arial" w:cs="Arial"/>
          <w:sz w:val="24"/>
          <w:szCs w:val="24"/>
        </w:rPr>
      </w:pPr>
      <w:r w:rsidRPr="00FA3362">
        <w:rPr>
          <w:rFonts w:ascii="Arial" w:hAnsi="Arial" w:cs="Arial"/>
          <w:sz w:val="24"/>
          <w:szCs w:val="24"/>
        </w:rPr>
        <w:t xml:space="preserve">Community Health and Wellbeing services supported a total of 29,000 people to receive support for their health conditions working with 40 Supply Chain partners in delivery of our health and wellbeing services. This included almost 5,000 people who accessed our community wellbeing services where 87% of those people demonstrated an improvement in their Wellbeing. </w:t>
      </w:r>
    </w:p>
    <w:p w14:paraId="633DB667" w14:textId="77777777" w:rsidR="00D5584F" w:rsidRDefault="00D5584F" w:rsidP="00D5584F">
      <w:pPr>
        <w:keepLines/>
        <w:widowControl w:val="0"/>
        <w:tabs>
          <w:tab w:val="left" w:pos="567"/>
        </w:tabs>
        <w:autoSpaceDE w:val="0"/>
        <w:autoSpaceDN w:val="0"/>
        <w:adjustRightInd w:val="0"/>
        <w:spacing w:after="240" w:line="240" w:lineRule="auto"/>
        <w:jc w:val="both"/>
        <w:rPr>
          <w:rFonts w:ascii="Arial" w:hAnsi="Arial" w:cs="Arial"/>
          <w:b/>
          <w:i/>
          <w:sz w:val="24"/>
          <w:szCs w:val="24"/>
        </w:rPr>
      </w:pPr>
      <w:r w:rsidRPr="00FA3362">
        <w:rPr>
          <w:rFonts w:ascii="Arial" w:hAnsi="Arial" w:cs="Arial"/>
          <w:sz w:val="24"/>
          <w:szCs w:val="24"/>
        </w:rPr>
        <w:t xml:space="preserve">Our retention in work services supported </w:t>
      </w:r>
      <w:r w:rsidR="00FA3362" w:rsidRPr="00FA3362">
        <w:rPr>
          <w:rFonts w:ascii="Arial" w:hAnsi="Arial" w:cs="Arial"/>
          <w:sz w:val="24"/>
          <w:szCs w:val="24"/>
        </w:rPr>
        <w:t>over 1,0</w:t>
      </w:r>
      <w:r w:rsidRPr="00FA3362">
        <w:rPr>
          <w:rFonts w:ascii="Arial" w:hAnsi="Arial" w:cs="Arial"/>
          <w:sz w:val="24"/>
          <w:szCs w:val="24"/>
        </w:rPr>
        <w:t>00 people to receive support to retain their employment</w:t>
      </w:r>
      <w:r w:rsidRPr="0094369F">
        <w:rPr>
          <w:rFonts w:ascii="Arial" w:hAnsi="Arial" w:cs="Arial"/>
          <w:sz w:val="24"/>
          <w:szCs w:val="24"/>
        </w:rPr>
        <w:t xml:space="preserve"> after a period of sickness resulting from their health condition. We trained 220 people in Mental Health First Aid and were awarded the Connect for Health social prescription service in Suffolk, Kent Community Mental Health</w:t>
      </w:r>
      <w:r w:rsidRPr="0094369F">
        <w:rPr>
          <w:rFonts w:ascii="Arial" w:hAnsi="Arial" w:cs="Arial"/>
          <w:color w:val="1F497D"/>
          <w:sz w:val="24"/>
          <w:szCs w:val="24"/>
        </w:rPr>
        <w:t xml:space="preserve">. </w:t>
      </w:r>
      <w:r>
        <w:rPr>
          <w:rFonts w:ascii="Arial" w:hAnsi="Arial" w:cs="Arial"/>
          <w:b/>
          <w:i/>
          <w:sz w:val="24"/>
          <w:szCs w:val="24"/>
        </w:rPr>
        <w:br w:type="page"/>
      </w:r>
    </w:p>
    <w:p w14:paraId="518B7831" w14:textId="77777777" w:rsidR="00D5584F" w:rsidRPr="00DD647D" w:rsidRDefault="00D5584F" w:rsidP="00D5584F">
      <w:pPr>
        <w:keepLines/>
        <w:widowControl w:val="0"/>
        <w:tabs>
          <w:tab w:val="left" w:pos="567"/>
        </w:tabs>
        <w:autoSpaceDE w:val="0"/>
        <w:autoSpaceDN w:val="0"/>
        <w:adjustRightInd w:val="0"/>
        <w:spacing w:after="240" w:line="240" w:lineRule="auto"/>
        <w:jc w:val="both"/>
        <w:rPr>
          <w:rFonts w:ascii="Arial" w:hAnsi="Arial" w:cs="Arial"/>
          <w:b/>
          <w:i/>
          <w:sz w:val="24"/>
          <w:szCs w:val="24"/>
        </w:rPr>
      </w:pPr>
      <w:r w:rsidRPr="00DD647D">
        <w:rPr>
          <w:rFonts w:ascii="Arial" w:hAnsi="Arial" w:cs="Arial"/>
          <w:b/>
          <w:i/>
          <w:sz w:val="24"/>
          <w:szCs w:val="24"/>
        </w:rPr>
        <w:lastRenderedPageBreak/>
        <w:t xml:space="preserve">2. </w:t>
      </w:r>
      <w:r w:rsidRPr="00DD647D">
        <w:rPr>
          <w:rFonts w:ascii="Arial" w:hAnsi="Arial" w:cs="Arial"/>
          <w:b/>
          <w:i/>
          <w:sz w:val="24"/>
          <w:szCs w:val="24"/>
        </w:rPr>
        <w:tab/>
        <w:t>Financial review (continued)</w:t>
      </w:r>
    </w:p>
    <w:p w14:paraId="6E8EC36B" w14:textId="77777777" w:rsidR="00D5584F" w:rsidRPr="0094369F" w:rsidRDefault="00D5584F" w:rsidP="00D5584F">
      <w:pPr>
        <w:keepLines/>
        <w:widowControl w:val="0"/>
        <w:tabs>
          <w:tab w:val="left" w:pos="567"/>
        </w:tabs>
        <w:autoSpaceDE w:val="0"/>
        <w:autoSpaceDN w:val="0"/>
        <w:adjustRightInd w:val="0"/>
        <w:spacing w:after="240" w:line="240" w:lineRule="auto"/>
        <w:jc w:val="both"/>
        <w:rPr>
          <w:rFonts w:ascii="Arial" w:hAnsi="Arial" w:cs="Arial"/>
          <w:b/>
          <w:sz w:val="24"/>
          <w:szCs w:val="24"/>
        </w:rPr>
      </w:pPr>
      <w:r w:rsidRPr="0094369F">
        <w:rPr>
          <w:rFonts w:ascii="Arial" w:hAnsi="Arial" w:cs="Arial"/>
          <w:b/>
          <w:sz w:val="24"/>
          <w:szCs w:val="24"/>
        </w:rPr>
        <w:t>Retail and Enterprise</w:t>
      </w:r>
    </w:p>
    <w:p w14:paraId="75EBD4FB" w14:textId="77777777" w:rsidR="00D5584F" w:rsidRPr="0094369F" w:rsidRDefault="00D5584F" w:rsidP="00D5584F">
      <w:pPr>
        <w:autoSpaceDE w:val="0"/>
        <w:autoSpaceDN w:val="0"/>
        <w:adjustRightInd w:val="0"/>
        <w:spacing w:after="0" w:line="240" w:lineRule="auto"/>
        <w:jc w:val="both"/>
        <w:rPr>
          <w:rFonts w:ascii="Arial" w:hAnsi="Arial" w:cs="Arial"/>
          <w:sz w:val="24"/>
          <w:szCs w:val="24"/>
        </w:rPr>
      </w:pPr>
      <w:r w:rsidRPr="0094369F">
        <w:rPr>
          <w:rFonts w:ascii="Arial" w:hAnsi="Arial" w:cs="Arial"/>
          <w:sz w:val="24"/>
          <w:szCs w:val="24"/>
        </w:rPr>
        <w:t>The Enterprise division comprises four distinct sections:</w:t>
      </w:r>
    </w:p>
    <w:p w14:paraId="73569DC9" w14:textId="77777777" w:rsidR="00D5584F" w:rsidRPr="0094369F" w:rsidRDefault="00D5584F" w:rsidP="00D5584F">
      <w:pPr>
        <w:autoSpaceDE w:val="0"/>
        <w:autoSpaceDN w:val="0"/>
        <w:adjustRightInd w:val="0"/>
        <w:spacing w:after="0" w:line="240" w:lineRule="auto"/>
        <w:jc w:val="both"/>
        <w:rPr>
          <w:rFonts w:ascii="Arial" w:hAnsi="Arial" w:cs="Arial"/>
          <w:sz w:val="24"/>
          <w:szCs w:val="24"/>
        </w:rPr>
      </w:pPr>
    </w:p>
    <w:p w14:paraId="5CF02AEB" w14:textId="77777777" w:rsidR="00D5584F" w:rsidRPr="0094369F" w:rsidRDefault="00D5584F" w:rsidP="00D5584F">
      <w:pPr>
        <w:autoSpaceDE w:val="0"/>
        <w:autoSpaceDN w:val="0"/>
        <w:adjustRightInd w:val="0"/>
        <w:spacing w:after="0" w:line="240" w:lineRule="auto"/>
        <w:jc w:val="both"/>
        <w:rPr>
          <w:rFonts w:ascii="Arial" w:hAnsi="Arial" w:cs="Arial"/>
          <w:sz w:val="24"/>
          <w:szCs w:val="24"/>
        </w:rPr>
      </w:pPr>
      <w:r w:rsidRPr="0094369F">
        <w:rPr>
          <w:rFonts w:ascii="Arial" w:hAnsi="Arial" w:cs="Arial"/>
          <w:sz w:val="24"/>
          <w:szCs w:val="24"/>
        </w:rPr>
        <w:t>1. Enterprises - Enterprise projects; provides opportunities for adults with learning disabilities to work within nature and ecology parks across the UK, funded by Local Authorities. Doncaster industries - a plastic extrusion business employing learning disabled adults. Garden centres - provide real world work experience and vocational training for learning disabled adults.  We exited one garden centre after the year end and continue to focus on Billing and Palmer Gardens. Forth Sector - offers high profile charitable and employability services in Scotland.  The flagship project is St Jude’s Laundry in Edinburgh, which provides job opportunities for people with disabilities, lea</w:t>
      </w:r>
      <w:r>
        <w:rPr>
          <w:rFonts w:ascii="Arial" w:hAnsi="Arial" w:cs="Arial"/>
          <w:sz w:val="24"/>
          <w:szCs w:val="24"/>
        </w:rPr>
        <w:t>rning difficulties and mental or</w:t>
      </w:r>
      <w:r w:rsidRPr="0094369F">
        <w:rPr>
          <w:rFonts w:ascii="Arial" w:hAnsi="Arial" w:cs="Arial"/>
          <w:sz w:val="24"/>
          <w:szCs w:val="24"/>
        </w:rPr>
        <w:t xml:space="preserve"> physical health problems.  Despite the challenges from Covid</w:t>
      </w:r>
      <w:r>
        <w:rPr>
          <w:rFonts w:ascii="Arial" w:hAnsi="Arial" w:cs="Arial"/>
          <w:sz w:val="24"/>
          <w:szCs w:val="24"/>
        </w:rPr>
        <w:t>-19</w:t>
      </w:r>
      <w:r w:rsidRPr="0094369F">
        <w:rPr>
          <w:rFonts w:ascii="Arial" w:hAnsi="Arial" w:cs="Arial"/>
          <w:sz w:val="24"/>
          <w:szCs w:val="24"/>
        </w:rPr>
        <w:t>, it has continued to operate, although with a more limited capacity. In addition, the Company has rentable office space at its site in Edinburgh.</w:t>
      </w:r>
    </w:p>
    <w:p w14:paraId="04AB5FCD" w14:textId="77777777" w:rsidR="00D5584F" w:rsidRPr="0094369F" w:rsidRDefault="00D5584F" w:rsidP="00D5584F">
      <w:pPr>
        <w:autoSpaceDE w:val="0"/>
        <w:autoSpaceDN w:val="0"/>
        <w:adjustRightInd w:val="0"/>
        <w:spacing w:after="0" w:line="240" w:lineRule="auto"/>
        <w:jc w:val="both"/>
        <w:rPr>
          <w:rFonts w:ascii="Arial" w:hAnsi="Arial" w:cs="Arial"/>
          <w:sz w:val="24"/>
          <w:szCs w:val="24"/>
        </w:rPr>
      </w:pPr>
    </w:p>
    <w:p w14:paraId="3D86FA90" w14:textId="77777777" w:rsidR="00D5584F" w:rsidRPr="0094369F" w:rsidRDefault="00D5584F" w:rsidP="00D5584F">
      <w:pPr>
        <w:autoSpaceDE w:val="0"/>
        <w:autoSpaceDN w:val="0"/>
        <w:adjustRightInd w:val="0"/>
        <w:spacing w:after="0" w:line="240" w:lineRule="auto"/>
        <w:jc w:val="both"/>
        <w:rPr>
          <w:rFonts w:ascii="Arial" w:hAnsi="Arial" w:cs="Arial"/>
          <w:sz w:val="24"/>
          <w:szCs w:val="24"/>
        </w:rPr>
      </w:pPr>
      <w:r w:rsidRPr="0094369F">
        <w:rPr>
          <w:rFonts w:ascii="Arial" w:hAnsi="Arial" w:cs="Arial"/>
          <w:sz w:val="24"/>
          <w:szCs w:val="24"/>
        </w:rPr>
        <w:t>2. Accessibility services - works with companies to assess the accessibility of their online platforms, employing adults with a range of impairments, with the aim of improving digital access for people with disabilities, working with clients including the NHS, McDonalds and EasyJet</w:t>
      </w:r>
      <w:r>
        <w:rPr>
          <w:rFonts w:ascii="Arial" w:hAnsi="Arial" w:cs="Arial"/>
          <w:sz w:val="24"/>
          <w:szCs w:val="24"/>
        </w:rPr>
        <w:t>.</w:t>
      </w:r>
    </w:p>
    <w:p w14:paraId="7E473DE6" w14:textId="77777777" w:rsidR="00D5584F" w:rsidRPr="0094369F" w:rsidRDefault="00D5584F" w:rsidP="00D5584F">
      <w:pPr>
        <w:autoSpaceDE w:val="0"/>
        <w:autoSpaceDN w:val="0"/>
        <w:adjustRightInd w:val="0"/>
        <w:spacing w:after="0" w:line="240" w:lineRule="auto"/>
        <w:jc w:val="both"/>
        <w:rPr>
          <w:rFonts w:ascii="Arial" w:hAnsi="Arial" w:cs="Arial"/>
          <w:sz w:val="24"/>
          <w:szCs w:val="24"/>
        </w:rPr>
      </w:pPr>
    </w:p>
    <w:p w14:paraId="0E1EADB9" w14:textId="77777777" w:rsidR="00D5584F" w:rsidRPr="0094369F" w:rsidRDefault="00D5584F" w:rsidP="00D5584F">
      <w:pPr>
        <w:autoSpaceDE w:val="0"/>
        <w:autoSpaceDN w:val="0"/>
        <w:adjustRightInd w:val="0"/>
        <w:spacing w:after="0" w:line="240" w:lineRule="auto"/>
        <w:jc w:val="both"/>
        <w:rPr>
          <w:rFonts w:ascii="Arial" w:hAnsi="Arial" w:cs="Arial"/>
          <w:sz w:val="24"/>
          <w:szCs w:val="24"/>
        </w:rPr>
      </w:pPr>
      <w:r w:rsidRPr="0094369F">
        <w:rPr>
          <w:rFonts w:ascii="Arial" w:hAnsi="Arial" w:cs="Arial"/>
          <w:sz w:val="24"/>
          <w:szCs w:val="24"/>
        </w:rPr>
        <w:t>3. The Disabled Living Foundation (“DLF”) - a separate charity which provides impartial advice for independent living and a marketplace for assistive and adaptable technologies, ranging from specialised clothing to mobility equipment.</w:t>
      </w:r>
    </w:p>
    <w:p w14:paraId="49FB4DC6" w14:textId="77777777" w:rsidR="00D5584F" w:rsidRPr="0094369F" w:rsidRDefault="00D5584F" w:rsidP="00D5584F">
      <w:pPr>
        <w:autoSpaceDE w:val="0"/>
        <w:autoSpaceDN w:val="0"/>
        <w:adjustRightInd w:val="0"/>
        <w:spacing w:after="0" w:line="240" w:lineRule="auto"/>
        <w:jc w:val="both"/>
        <w:rPr>
          <w:rFonts w:ascii="Arial" w:hAnsi="Arial" w:cs="Arial"/>
          <w:sz w:val="24"/>
          <w:szCs w:val="24"/>
        </w:rPr>
      </w:pPr>
    </w:p>
    <w:p w14:paraId="48E38E47" w14:textId="77777777" w:rsidR="00D5584F" w:rsidRDefault="00D5584F" w:rsidP="00D5584F">
      <w:pPr>
        <w:autoSpaceDE w:val="0"/>
        <w:autoSpaceDN w:val="0"/>
        <w:adjustRightInd w:val="0"/>
        <w:spacing w:after="0" w:line="240" w:lineRule="auto"/>
        <w:jc w:val="both"/>
        <w:rPr>
          <w:rFonts w:ascii="Arial" w:hAnsi="Arial" w:cs="Arial"/>
          <w:sz w:val="24"/>
          <w:szCs w:val="24"/>
        </w:rPr>
      </w:pPr>
      <w:r w:rsidRPr="0094369F">
        <w:rPr>
          <w:rFonts w:ascii="Arial" w:hAnsi="Arial" w:cs="Arial"/>
          <w:sz w:val="24"/>
          <w:szCs w:val="24"/>
        </w:rPr>
        <w:t xml:space="preserve">4. Our small network of charity shops have experienced a challenging year, and been particularly impacted by the Covid-19 pandemic, with temporary store closures and some staff being furloughed. </w:t>
      </w:r>
    </w:p>
    <w:p w14:paraId="5CD62277" w14:textId="77777777" w:rsidR="00D5584F" w:rsidRDefault="00D5584F" w:rsidP="00D5584F">
      <w:pPr>
        <w:autoSpaceDE w:val="0"/>
        <w:autoSpaceDN w:val="0"/>
        <w:adjustRightInd w:val="0"/>
        <w:spacing w:after="0" w:line="240" w:lineRule="auto"/>
        <w:jc w:val="both"/>
        <w:rPr>
          <w:rFonts w:ascii="Arial" w:hAnsi="Arial" w:cs="Arial"/>
          <w:b/>
          <w:sz w:val="24"/>
          <w:szCs w:val="24"/>
        </w:rPr>
      </w:pPr>
    </w:p>
    <w:p w14:paraId="1DF525EB" w14:textId="77777777" w:rsidR="00D5584F" w:rsidRPr="00872927" w:rsidRDefault="00D5584F" w:rsidP="00D5584F">
      <w:pPr>
        <w:keepLines/>
        <w:widowControl w:val="0"/>
        <w:tabs>
          <w:tab w:val="left" w:pos="567"/>
        </w:tabs>
        <w:autoSpaceDE w:val="0"/>
        <w:autoSpaceDN w:val="0"/>
        <w:adjustRightInd w:val="0"/>
        <w:spacing w:after="240" w:line="240" w:lineRule="auto"/>
        <w:jc w:val="both"/>
        <w:rPr>
          <w:rFonts w:ascii="Arial" w:hAnsi="Arial" w:cs="Arial"/>
          <w:b/>
          <w:i/>
          <w:sz w:val="24"/>
          <w:szCs w:val="24"/>
        </w:rPr>
      </w:pPr>
      <w:r w:rsidRPr="00872927">
        <w:rPr>
          <w:rFonts w:ascii="Arial" w:hAnsi="Arial" w:cs="Arial"/>
          <w:b/>
          <w:sz w:val="24"/>
          <w:szCs w:val="24"/>
        </w:rPr>
        <w:t>8. Structure, governance and management governing documents</w:t>
      </w:r>
    </w:p>
    <w:p w14:paraId="60BC776B" w14:textId="77777777" w:rsidR="00D5584F" w:rsidRPr="00872927" w:rsidRDefault="00D5584F" w:rsidP="00D5584F">
      <w:pPr>
        <w:keepLines/>
        <w:widowControl w:val="0"/>
        <w:autoSpaceDE w:val="0"/>
        <w:autoSpaceDN w:val="0"/>
        <w:adjustRightInd w:val="0"/>
        <w:spacing w:after="240" w:line="240" w:lineRule="auto"/>
        <w:jc w:val="both"/>
        <w:rPr>
          <w:rFonts w:ascii="Arial" w:hAnsi="Arial" w:cs="Arial"/>
          <w:b/>
          <w:i/>
          <w:sz w:val="24"/>
          <w:szCs w:val="24"/>
        </w:rPr>
      </w:pPr>
      <w:r w:rsidRPr="00872927">
        <w:rPr>
          <w:rFonts w:ascii="Arial" w:hAnsi="Arial" w:cs="Arial"/>
          <w:sz w:val="24"/>
          <w:szCs w:val="24"/>
        </w:rPr>
        <w:t>The company is legally constituted under its Memorandum and Articles of Association dated 3 August 1983 and amendments thereto.</w:t>
      </w:r>
    </w:p>
    <w:p w14:paraId="393E35EA" w14:textId="77777777" w:rsidR="00D5584F" w:rsidRPr="00872927" w:rsidRDefault="00D5584F" w:rsidP="00D5584F">
      <w:pPr>
        <w:keepLines/>
        <w:widowControl w:val="0"/>
        <w:autoSpaceDE w:val="0"/>
        <w:autoSpaceDN w:val="0"/>
        <w:adjustRightInd w:val="0"/>
        <w:spacing w:after="240" w:line="240" w:lineRule="auto"/>
        <w:jc w:val="both"/>
        <w:rPr>
          <w:rFonts w:ascii="Arial" w:hAnsi="Arial" w:cs="Arial"/>
          <w:b/>
          <w:sz w:val="24"/>
          <w:szCs w:val="24"/>
        </w:rPr>
      </w:pPr>
      <w:r w:rsidRPr="00872927">
        <w:rPr>
          <w:rFonts w:ascii="Arial" w:hAnsi="Arial" w:cs="Arial"/>
          <w:b/>
          <w:sz w:val="24"/>
          <w:szCs w:val="24"/>
        </w:rPr>
        <w:t>Governance</w:t>
      </w:r>
    </w:p>
    <w:p w14:paraId="22A71705" w14:textId="77777777" w:rsidR="00D5584F" w:rsidRPr="00860235" w:rsidRDefault="00D5584F" w:rsidP="00D5584F">
      <w:pPr>
        <w:keepLines/>
        <w:widowControl w:val="0"/>
        <w:autoSpaceDE w:val="0"/>
        <w:autoSpaceDN w:val="0"/>
        <w:adjustRightInd w:val="0"/>
        <w:spacing w:after="240" w:line="240" w:lineRule="auto"/>
        <w:jc w:val="both"/>
        <w:rPr>
          <w:rFonts w:ascii="Arial" w:hAnsi="Arial" w:cs="Arial"/>
          <w:sz w:val="24"/>
          <w:szCs w:val="24"/>
        </w:rPr>
      </w:pPr>
      <w:r w:rsidRPr="00872927">
        <w:rPr>
          <w:rFonts w:ascii="Arial" w:hAnsi="Arial" w:cs="Arial"/>
          <w:sz w:val="24"/>
          <w:szCs w:val="24"/>
        </w:rPr>
        <w:t>The Trustees in office during the year, and at the date of signing these financial statements, are set out on page</w:t>
      </w:r>
      <w:r w:rsidR="00230F0E">
        <w:rPr>
          <w:rFonts w:ascii="Arial" w:hAnsi="Arial" w:cs="Arial"/>
          <w:sz w:val="24"/>
          <w:szCs w:val="24"/>
        </w:rPr>
        <w:t xml:space="preserve"> 26</w:t>
      </w:r>
      <w:r w:rsidRPr="00872927">
        <w:rPr>
          <w:rFonts w:ascii="Arial" w:hAnsi="Arial" w:cs="Arial"/>
          <w:sz w:val="24"/>
          <w:szCs w:val="24"/>
        </w:rPr>
        <w:t xml:space="preserve">. The Trustee </w:t>
      </w:r>
      <w:r w:rsidRPr="00860235">
        <w:rPr>
          <w:rFonts w:ascii="Arial" w:hAnsi="Arial" w:cs="Arial"/>
          <w:sz w:val="24"/>
          <w:szCs w:val="24"/>
        </w:rPr>
        <w:t>Board has overall responsibility for the governance of the Trust which it discharges through three main duties:</w:t>
      </w:r>
    </w:p>
    <w:p w14:paraId="7F2AD974" w14:textId="77777777" w:rsidR="00D5584F" w:rsidRPr="00860235" w:rsidRDefault="00D5584F" w:rsidP="00D5584F">
      <w:pPr>
        <w:keepLines/>
        <w:widowControl w:val="0"/>
        <w:numPr>
          <w:ilvl w:val="0"/>
          <w:numId w:val="4"/>
        </w:numPr>
        <w:autoSpaceDE w:val="0"/>
        <w:autoSpaceDN w:val="0"/>
        <w:adjustRightInd w:val="0"/>
        <w:spacing w:after="0" w:line="240" w:lineRule="auto"/>
        <w:ind w:left="567" w:hanging="425"/>
        <w:jc w:val="both"/>
        <w:rPr>
          <w:rFonts w:ascii="Arial" w:hAnsi="Arial" w:cs="Arial"/>
          <w:sz w:val="24"/>
          <w:szCs w:val="24"/>
        </w:rPr>
      </w:pPr>
      <w:proofErr w:type="gramStart"/>
      <w:r w:rsidRPr="00860235">
        <w:rPr>
          <w:rFonts w:ascii="Arial" w:hAnsi="Arial" w:cs="Arial"/>
          <w:sz w:val="24"/>
          <w:szCs w:val="24"/>
        </w:rPr>
        <w:t>ensuring</w:t>
      </w:r>
      <w:proofErr w:type="gramEnd"/>
      <w:r w:rsidRPr="00860235">
        <w:rPr>
          <w:rFonts w:ascii="Arial" w:hAnsi="Arial" w:cs="Arial"/>
          <w:sz w:val="24"/>
          <w:szCs w:val="24"/>
        </w:rPr>
        <w:t xml:space="preserve"> there is a strategy in place; the main strategic goal is to help as many people as possible to adjust to and navigate the complex employability challenges that lie ahead. To achieve this main strategy, Trustees have agreed on different objectives which include organisational growth, maintaining a balanced portfolio of services and programmes that are locally based and nationally scalable, financial and operational stability, compliance and stakeholder’s relationships.</w:t>
      </w:r>
    </w:p>
    <w:p w14:paraId="29E531A6" w14:textId="77777777" w:rsidR="00D5584F" w:rsidRPr="00860235" w:rsidRDefault="00D5584F" w:rsidP="00D5584F">
      <w:pPr>
        <w:keepLines/>
        <w:widowControl w:val="0"/>
        <w:numPr>
          <w:ilvl w:val="0"/>
          <w:numId w:val="4"/>
        </w:numPr>
        <w:autoSpaceDE w:val="0"/>
        <w:autoSpaceDN w:val="0"/>
        <w:adjustRightInd w:val="0"/>
        <w:spacing w:after="0" w:line="240" w:lineRule="auto"/>
        <w:ind w:left="567" w:hanging="425"/>
        <w:jc w:val="both"/>
        <w:rPr>
          <w:rFonts w:ascii="Arial" w:hAnsi="Arial" w:cs="Arial"/>
          <w:sz w:val="24"/>
          <w:szCs w:val="24"/>
        </w:rPr>
      </w:pPr>
      <w:r w:rsidRPr="00860235">
        <w:rPr>
          <w:rFonts w:ascii="Arial" w:hAnsi="Arial" w:cs="Arial"/>
          <w:sz w:val="24"/>
          <w:szCs w:val="24"/>
        </w:rPr>
        <w:t>monitoring the implementation of the strategy against agreed plans, ensuring adequate resource is available; and</w:t>
      </w:r>
    </w:p>
    <w:p w14:paraId="58AE868B" w14:textId="77777777" w:rsidR="00D5584F" w:rsidRPr="00872927" w:rsidRDefault="00D5584F" w:rsidP="00D5584F">
      <w:pPr>
        <w:keepLines/>
        <w:widowControl w:val="0"/>
        <w:numPr>
          <w:ilvl w:val="0"/>
          <w:numId w:val="4"/>
        </w:numPr>
        <w:autoSpaceDE w:val="0"/>
        <w:autoSpaceDN w:val="0"/>
        <w:adjustRightInd w:val="0"/>
        <w:spacing w:after="240" w:line="240" w:lineRule="auto"/>
        <w:ind w:left="567" w:hanging="425"/>
        <w:jc w:val="both"/>
        <w:rPr>
          <w:rFonts w:ascii="Arial" w:hAnsi="Arial" w:cs="Arial"/>
          <w:sz w:val="24"/>
          <w:szCs w:val="24"/>
        </w:rPr>
      </w:pPr>
      <w:proofErr w:type="gramStart"/>
      <w:r w:rsidRPr="00860235">
        <w:rPr>
          <w:rFonts w:ascii="Arial" w:hAnsi="Arial" w:cs="Arial"/>
          <w:sz w:val="24"/>
          <w:szCs w:val="24"/>
        </w:rPr>
        <w:t>ensuring</w:t>
      </w:r>
      <w:proofErr w:type="gramEnd"/>
      <w:r w:rsidRPr="00860235">
        <w:rPr>
          <w:rFonts w:ascii="Arial" w:hAnsi="Arial" w:cs="Arial"/>
          <w:sz w:val="24"/>
          <w:szCs w:val="24"/>
        </w:rPr>
        <w:t xml:space="preserve"> the</w:t>
      </w:r>
      <w:r w:rsidRPr="00872927">
        <w:rPr>
          <w:rFonts w:ascii="Arial" w:hAnsi="Arial" w:cs="Arial"/>
          <w:sz w:val="24"/>
          <w:szCs w:val="24"/>
        </w:rPr>
        <w:t xml:space="preserve"> Trust complies with all necessary statutory and regulatory obligations.</w:t>
      </w:r>
    </w:p>
    <w:p w14:paraId="3A6C6926" w14:textId="77777777" w:rsidR="00D5584F" w:rsidRDefault="00D5584F" w:rsidP="00D5584F">
      <w:pPr>
        <w:rPr>
          <w:rFonts w:ascii="Arial" w:hAnsi="Arial" w:cs="Arial"/>
          <w:b/>
          <w:sz w:val="24"/>
          <w:szCs w:val="24"/>
        </w:rPr>
      </w:pPr>
      <w:r>
        <w:rPr>
          <w:rFonts w:ascii="Arial" w:hAnsi="Arial" w:cs="Arial"/>
          <w:b/>
          <w:sz w:val="24"/>
          <w:szCs w:val="24"/>
        </w:rPr>
        <w:br w:type="page"/>
      </w:r>
    </w:p>
    <w:p w14:paraId="6C0AAACC" w14:textId="77777777" w:rsidR="00D5584F" w:rsidRPr="00872927" w:rsidRDefault="00D5584F" w:rsidP="00D5584F">
      <w:pPr>
        <w:keepLines/>
        <w:widowControl w:val="0"/>
        <w:tabs>
          <w:tab w:val="left" w:pos="567"/>
        </w:tabs>
        <w:autoSpaceDE w:val="0"/>
        <w:autoSpaceDN w:val="0"/>
        <w:adjustRightInd w:val="0"/>
        <w:spacing w:after="240" w:line="240" w:lineRule="auto"/>
        <w:jc w:val="both"/>
        <w:rPr>
          <w:rFonts w:ascii="Arial" w:hAnsi="Arial" w:cs="Arial"/>
          <w:b/>
          <w:i/>
          <w:sz w:val="24"/>
          <w:szCs w:val="24"/>
        </w:rPr>
      </w:pPr>
      <w:r w:rsidRPr="00872927">
        <w:rPr>
          <w:rFonts w:ascii="Arial" w:hAnsi="Arial" w:cs="Arial"/>
          <w:b/>
          <w:i/>
          <w:sz w:val="24"/>
          <w:szCs w:val="24"/>
        </w:rPr>
        <w:lastRenderedPageBreak/>
        <w:t xml:space="preserve">2. </w:t>
      </w:r>
      <w:r w:rsidRPr="00872927">
        <w:rPr>
          <w:rFonts w:ascii="Arial" w:hAnsi="Arial" w:cs="Arial"/>
          <w:b/>
          <w:i/>
          <w:sz w:val="24"/>
          <w:szCs w:val="24"/>
        </w:rPr>
        <w:tab/>
        <w:t>Financial review (continued)</w:t>
      </w:r>
    </w:p>
    <w:p w14:paraId="704745B3" w14:textId="77777777" w:rsidR="00D5584F" w:rsidRPr="00476740" w:rsidRDefault="00D5584F" w:rsidP="00D5584F">
      <w:pPr>
        <w:pStyle w:val="ListParagraph"/>
        <w:keepLines/>
        <w:widowControl w:val="0"/>
        <w:numPr>
          <w:ilvl w:val="0"/>
          <w:numId w:val="4"/>
        </w:numPr>
        <w:autoSpaceDE w:val="0"/>
        <w:autoSpaceDN w:val="0"/>
        <w:adjustRightInd w:val="0"/>
        <w:spacing w:after="240" w:line="240" w:lineRule="auto"/>
        <w:jc w:val="both"/>
        <w:rPr>
          <w:rFonts w:ascii="Arial" w:hAnsi="Arial" w:cs="Arial"/>
          <w:b/>
          <w:i/>
          <w:sz w:val="24"/>
          <w:szCs w:val="24"/>
        </w:rPr>
      </w:pPr>
      <w:r w:rsidRPr="00476740">
        <w:rPr>
          <w:rFonts w:ascii="Arial" w:hAnsi="Arial" w:cs="Arial"/>
          <w:sz w:val="24"/>
          <w:szCs w:val="24"/>
        </w:rPr>
        <w:t>As part of this, the Trustees ensure that there is a robust system of internal control and risk management, as well as an appropriate reporting and oversight structure to ensure that the senior executives to whom the Trustees have delegated the daily management of the Trust are performing to the standards expected.</w:t>
      </w:r>
    </w:p>
    <w:p w14:paraId="7949CBF3" w14:textId="77777777" w:rsidR="00D5584F" w:rsidRPr="00872927" w:rsidRDefault="00D5584F" w:rsidP="00D5584F">
      <w:pPr>
        <w:keepLines/>
        <w:widowControl w:val="0"/>
        <w:autoSpaceDE w:val="0"/>
        <w:autoSpaceDN w:val="0"/>
        <w:adjustRightInd w:val="0"/>
        <w:spacing w:after="240" w:line="240" w:lineRule="auto"/>
        <w:jc w:val="both"/>
        <w:rPr>
          <w:rFonts w:ascii="Arial" w:hAnsi="Arial" w:cs="Arial"/>
          <w:sz w:val="24"/>
          <w:szCs w:val="24"/>
        </w:rPr>
      </w:pPr>
      <w:r w:rsidRPr="00872927">
        <w:rPr>
          <w:rFonts w:ascii="Arial" w:hAnsi="Arial" w:cs="Arial"/>
          <w:sz w:val="24"/>
          <w:szCs w:val="24"/>
        </w:rPr>
        <w:t>The Board meets quarterly and, while the matters discussed at those meetings will vary, the general themes of discussions are:</w:t>
      </w:r>
    </w:p>
    <w:p w14:paraId="1F222716" w14:textId="77777777" w:rsidR="00D5584F" w:rsidRPr="00872927" w:rsidRDefault="00D5584F" w:rsidP="00D5584F">
      <w:pPr>
        <w:keepLines/>
        <w:widowControl w:val="0"/>
        <w:numPr>
          <w:ilvl w:val="0"/>
          <w:numId w:val="5"/>
        </w:numPr>
        <w:autoSpaceDE w:val="0"/>
        <w:autoSpaceDN w:val="0"/>
        <w:adjustRightInd w:val="0"/>
        <w:spacing w:after="0" w:line="240" w:lineRule="auto"/>
        <w:ind w:left="426" w:hanging="284"/>
        <w:jc w:val="both"/>
        <w:rPr>
          <w:rFonts w:ascii="Arial" w:hAnsi="Arial" w:cs="Arial"/>
          <w:sz w:val="24"/>
          <w:szCs w:val="24"/>
        </w:rPr>
      </w:pPr>
      <w:r w:rsidRPr="00872927">
        <w:rPr>
          <w:rFonts w:ascii="Arial" w:hAnsi="Arial" w:cs="Arial"/>
          <w:sz w:val="24"/>
          <w:szCs w:val="24"/>
        </w:rPr>
        <w:t xml:space="preserve">strategy; </w:t>
      </w:r>
    </w:p>
    <w:p w14:paraId="7C422991" w14:textId="77777777" w:rsidR="00D5584F" w:rsidRPr="00872927" w:rsidRDefault="00D5584F" w:rsidP="00D5584F">
      <w:pPr>
        <w:keepLines/>
        <w:widowControl w:val="0"/>
        <w:numPr>
          <w:ilvl w:val="0"/>
          <w:numId w:val="5"/>
        </w:numPr>
        <w:autoSpaceDE w:val="0"/>
        <w:autoSpaceDN w:val="0"/>
        <w:adjustRightInd w:val="0"/>
        <w:spacing w:after="0" w:line="240" w:lineRule="auto"/>
        <w:ind w:left="426" w:hanging="284"/>
        <w:jc w:val="both"/>
        <w:rPr>
          <w:rFonts w:ascii="Arial" w:hAnsi="Arial" w:cs="Arial"/>
          <w:sz w:val="24"/>
          <w:szCs w:val="24"/>
        </w:rPr>
      </w:pPr>
      <w:r w:rsidRPr="00872927">
        <w:rPr>
          <w:rFonts w:ascii="Arial" w:hAnsi="Arial" w:cs="Arial"/>
          <w:sz w:val="24"/>
          <w:szCs w:val="24"/>
        </w:rPr>
        <w:t xml:space="preserve">review of performance; </w:t>
      </w:r>
    </w:p>
    <w:p w14:paraId="114190D2" w14:textId="77777777" w:rsidR="00D5584F" w:rsidRPr="00872927" w:rsidRDefault="00D5584F" w:rsidP="00D5584F">
      <w:pPr>
        <w:keepLines/>
        <w:widowControl w:val="0"/>
        <w:numPr>
          <w:ilvl w:val="0"/>
          <w:numId w:val="5"/>
        </w:numPr>
        <w:autoSpaceDE w:val="0"/>
        <w:autoSpaceDN w:val="0"/>
        <w:adjustRightInd w:val="0"/>
        <w:spacing w:after="0" w:line="240" w:lineRule="auto"/>
        <w:ind w:left="426" w:hanging="284"/>
        <w:jc w:val="both"/>
        <w:rPr>
          <w:rFonts w:ascii="Arial" w:hAnsi="Arial" w:cs="Arial"/>
          <w:sz w:val="24"/>
          <w:szCs w:val="24"/>
        </w:rPr>
      </w:pPr>
      <w:r w:rsidRPr="00872927">
        <w:rPr>
          <w:rFonts w:ascii="Arial" w:hAnsi="Arial" w:cs="Arial"/>
          <w:sz w:val="24"/>
          <w:szCs w:val="24"/>
        </w:rPr>
        <w:t xml:space="preserve">developments in the Trust’s external operating environment; and   </w:t>
      </w:r>
    </w:p>
    <w:p w14:paraId="1B5D868F" w14:textId="77777777" w:rsidR="00D5584F" w:rsidRPr="00872927" w:rsidRDefault="00D5584F" w:rsidP="00D5584F">
      <w:pPr>
        <w:keepLines/>
        <w:widowControl w:val="0"/>
        <w:numPr>
          <w:ilvl w:val="0"/>
          <w:numId w:val="5"/>
        </w:numPr>
        <w:autoSpaceDE w:val="0"/>
        <w:autoSpaceDN w:val="0"/>
        <w:adjustRightInd w:val="0"/>
        <w:spacing w:after="240" w:line="240" w:lineRule="auto"/>
        <w:ind w:left="426" w:hanging="284"/>
        <w:jc w:val="both"/>
        <w:rPr>
          <w:rFonts w:ascii="Arial" w:hAnsi="Arial" w:cs="Arial"/>
          <w:sz w:val="24"/>
          <w:szCs w:val="24"/>
        </w:rPr>
      </w:pPr>
      <w:proofErr w:type="gramStart"/>
      <w:r w:rsidRPr="00872927">
        <w:rPr>
          <w:rFonts w:ascii="Arial" w:hAnsi="Arial" w:cs="Arial"/>
          <w:sz w:val="24"/>
          <w:szCs w:val="24"/>
        </w:rPr>
        <w:t>major</w:t>
      </w:r>
      <w:proofErr w:type="gramEnd"/>
      <w:r w:rsidRPr="00872927">
        <w:rPr>
          <w:rFonts w:ascii="Arial" w:hAnsi="Arial" w:cs="Arial"/>
          <w:sz w:val="24"/>
          <w:szCs w:val="24"/>
        </w:rPr>
        <w:t xml:space="preserve"> internal change programmes.</w:t>
      </w:r>
    </w:p>
    <w:p w14:paraId="6DFFCD40" w14:textId="77777777" w:rsidR="00D5584F" w:rsidRPr="00872927" w:rsidRDefault="00D5584F" w:rsidP="00D5584F">
      <w:pPr>
        <w:keepLines/>
        <w:widowControl w:val="0"/>
        <w:autoSpaceDE w:val="0"/>
        <w:autoSpaceDN w:val="0"/>
        <w:adjustRightInd w:val="0"/>
        <w:spacing w:after="240" w:line="240" w:lineRule="auto"/>
        <w:ind w:left="142"/>
        <w:jc w:val="both"/>
        <w:rPr>
          <w:rFonts w:ascii="Arial" w:hAnsi="Arial" w:cs="Arial"/>
          <w:sz w:val="24"/>
          <w:szCs w:val="24"/>
        </w:rPr>
      </w:pPr>
      <w:r w:rsidRPr="00872927">
        <w:rPr>
          <w:rFonts w:ascii="Arial" w:hAnsi="Arial" w:cs="Arial"/>
          <w:sz w:val="24"/>
          <w:szCs w:val="24"/>
        </w:rPr>
        <w:t>During the year, the following subcommittees of the Trustees discharged specific aspects of their responsibilities:</w:t>
      </w:r>
    </w:p>
    <w:p w14:paraId="0971FE06" w14:textId="77777777" w:rsidR="00D5584F" w:rsidRDefault="006E0528" w:rsidP="00D5584F">
      <w:pPr>
        <w:keepLines/>
        <w:widowControl w:val="0"/>
        <w:numPr>
          <w:ilvl w:val="0"/>
          <w:numId w:val="5"/>
        </w:numPr>
        <w:autoSpaceDE w:val="0"/>
        <w:autoSpaceDN w:val="0"/>
        <w:adjustRightInd w:val="0"/>
        <w:spacing w:after="240" w:line="240" w:lineRule="auto"/>
        <w:ind w:left="426" w:hanging="284"/>
        <w:jc w:val="both"/>
        <w:rPr>
          <w:rFonts w:ascii="Arial" w:hAnsi="Arial" w:cs="Arial"/>
          <w:sz w:val="24"/>
          <w:szCs w:val="24"/>
        </w:rPr>
      </w:pPr>
      <w:r>
        <w:rPr>
          <w:rFonts w:ascii="Arial" w:hAnsi="Arial" w:cs="Arial"/>
          <w:sz w:val="24"/>
          <w:szCs w:val="24"/>
        </w:rPr>
        <w:t>The Audit and</w:t>
      </w:r>
      <w:r w:rsidR="00D5584F" w:rsidRPr="00872927">
        <w:rPr>
          <w:rFonts w:ascii="Arial" w:hAnsi="Arial" w:cs="Arial"/>
          <w:sz w:val="24"/>
          <w:szCs w:val="24"/>
        </w:rPr>
        <w:t xml:space="preserve"> Risk Committee has a key responsibility for financial and corporate governance, including ensuring effective liaison with external audit, considering major findings of internal audit reports and matters of risk management, and receiving updates on the Tr</w:t>
      </w:r>
      <w:r w:rsidR="00D5584F">
        <w:rPr>
          <w:rFonts w:ascii="Arial" w:hAnsi="Arial" w:cs="Arial"/>
          <w:sz w:val="24"/>
          <w:szCs w:val="24"/>
        </w:rPr>
        <w:t>ust’s strategic risk register.</w:t>
      </w:r>
    </w:p>
    <w:p w14:paraId="752AE3B3" w14:textId="77777777" w:rsidR="00D5584F" w:rsidRPr="008D60B6" w:rsidRDefault="00D5584F" w:rsidP="00D5584F">
      <w:pPr>
        <w:keepLines/>
        <w:widowControl w:val="0"/>
        <w:numPr>
          <w:ilvl w:val="0"/>
          <w:numId w:val="5"/>
        </w:numPr>
        <w:autoSpaceDE w:val="0"/>
        <w:autoSpaceDN w:val="0"/>
        <w:adjustRightInd w:val="0"/>
        <w:spacing w:after="240" w:line="240" w:lineRule="auto"/>
        <w:ind w:left="426" w:hanging="284"/>
        <w:jc w:val="both"/>
        <w:rPr>
          <w:rFonts w:ascii="Arial" w:hAnsi="Arial" w:cs="Arial"/>
          <w:sz w:val="24"/>
          <w:szCs w:val="24"/>
        </w:rPr>
      </w:pPr>
      <w:r w:rsidRPr="008D60B6">
        <w:rPr>
          <w:rFonts w:ascii="Arial" w:hAnsi="Arial" w:cs="Arial"/>
          <w:sz w:val="24"/>
          <w:szCs w:val="24"/>
        </w:rPr>
        <w:t xml:space="preserve">The HR Committee is responsible for determining the Trust’s overall HR strategy and approving major changes to the Trust’s structure, employees’ terms and conditions and the pay and reward for senior executives. </w:t>
      </w:r>
    </w:p>
    <w:p w14:paraId="096E3AB9" w14:textId="77777777" w:rsidR="00D5584F" w:rsidRPr="00872927" w:rsidRDefault="00D5584F" w:rsidP="00D5584F">
      <w:pPr>
        <w:keepLines/>
        <w:widowControl w:val="0"/>
        <w:numPr>
          <w:ilvl w:val="0"/>
          <w:numId w:val="5"/>
        </w:numPr>
        <w:autoSpaceDE w:val="0"/>
        <w:autoSpaceDN w:val="0"/>
        <w:adjustRightInd w:val="0"/>
        <w:spacing w:after="240" w:line="240" w:lineRule="auto"/>
        <w:ind w:left="426" w:hanging="284"/>
        <w:jc w:val="both"/>
        <w:rPr>
          <w:rFonts w:ascii="Arial" w:hAnsi="Arial" w:cs="Arial"/>
          <w:sz w:val="24"/>
          <w:szCs w:val="24"/>
        </w:rPr>
      </w:pPr>
      <w:r w:rsidRPr="00872927">
        <w:rPr>
          <w:rFonts w:ascii="Arial" w:hAnsi="Arial" w:cs="Arial"/>
          <w:sz w:val="24"/>
          <w:szCs w:val="24"/>
        </w:rPr>
        <w:t xml:space="preserve">Shaw Trust uses external consultants and comparison tools available to set the salary level for its key management. Salary and benchmarks are reviewed regularly to make sure the Trust can attract and retain the best talent.   </w:t>
      </w:r>
    </w:p>
    <w:p w14:paraId="64CF85E0" w14:textId="77777777" w:rsidR="00D5584F" w:rsidRPr="00872927" w:rsidRDefault="00D5584F" w:rsidP="00D5584F">
      <w:pPr>
        <w:keepLines/>
        <w:widowControl w:val="0"/>
        <w:numPr>
          <w:ilvl w:val="0"/>
          <w:numId w:val="5"/>
        </w:numPr>
        <w:autoSpaceDE w:val="0"/>
        <w:autoSpaceDN w:val="0"/>
        <w:adjustRightInd w:val="0"/>
        <w:spacing w:after="240" w:line="240" w:lineRule="auto"/>
        <w:ind w:left="426" w:hanging="284"/>
        <w:jc w:val="both"/>
        <w:rPr>
          <w:rFonts w:ascii="Arial" w:hAnsi="Arial" w:cs="Arial"/>
          <w:sz w:val="24"/>
          <w:szCs w:val="24"/>
        </w:rPr>
      </w:pPr>
      <w:r w:rsidRPr="00872927">
        <w:rPr>
          <w:rFonts w:ascii="Arial" w:hAnsi="Arial" w:cs="Arial"/>
          <w:sz w:val="24"/>
          <w:szCs w:val="24"/>
        </w:rPr>
        <w:t>The Performance and Investment Committee is responsible for reviewing in detail the operational and financial performance of the Trust and scrutinising major new business opportunities.</w:t>
      </w:r>
    </w:p>
    <w:p w14:paraId="084FC4D6" w14:textId="77777777" w:rsidR="00D5584F" w:rsidRPr="00D9114A" w:rsidRDefault="00D5584F" w:rsidP="00D5584F">
      <w:pPr>
        <w:pStyle w:val="ListParagraph"/>
        <w:keepLines/>
        <w:widowControl w:val="0"/>
        <w:numPr>
          <w:ilvl w:val="0"/>
          <w:numId w:val="5"/>
        </w:numPr>
        <w:autoSpaceDE w:val="0"/>
        <w:autoSpaceDN w:val="0"/>
        <w:adjustRightInd w:val="0"/>
        <w:spacing w:after="240" w:line="240" w:lineRule="auto"/>
        <w:jc w:val="both"/>
        <w:rPr>
          <w:rFonts w:ascii="Arial" w:hAnsi="Arial" w:cs="Arial"/>
          <w:sz w:val="24"/>
          <w:szCs w:val="24"/>
        </w:rPr>
      </w:pPr>
      <w:r w:rsidRPr="00D9114A">
        <w:rPr>
          <w:rFonts w:ascii="Arial" w:hAnsi="Arial" w:cs="Arial"/>
          <w:sz w:val="24"/>
          <w:szCs w:val="24"/>
        </w:rPr>
        <w:t>The Trustees have delegated the daily management of the Trust to the Group Chief Executive and the Executive Management Team. The current Chief Executive</w:t>
      </w:r>
      <w:r w:rsidR="006E0528">
        <w:rPr>
          <w:rFonts w:ascii="Arial" w:hAnsi="Arial" w:cs="Arial"/>
          <w:sz w:val="24"/>
          <w:szCs w:val="24"/>
        </w:rPr>
        <w:t xml:space="preserve"> Officer</w:t>
      </w:r>
      <w:r w:rsidRPr="00D9114A">
        <w:rPr>
          <w:rFonts w:ascii="Arial" w:hAnsi="Arial" w:cs="Arial"/>
          <w:sz w:val="24"/>
          <w:szCs w:val="24"/>
        </w:rPr>
        <w:t>, Chris Luck CB MBE, was appointed in May 2019, and joined the Trust after a distinguished career in the armed forces</w:t>
      </w:r>
      <w:r w:rsidR="006E0528">
        <w:rPr>
          <w:rFonts w:ascii="Arial" w:hAnsi="Arial" w:cs="Arial"/>
          <w:sz w:val="24"/>
          <w:szCs w:val="24"/>
        </w:rPr>
        <w:t>.</w:t>
      </w:r>
      <w:r w:rsidRPr="00D9114A">
        <w:rPr>
          <w:rFonts w:ascii="Arial" w:hAnsi="Arial" w:cs="Arial"/>
          <w:sz w:val="24"/>
          <w:szCs w:val="24"/>
        </w:rPr>
        <w:t xml:space="preserve"> He brings a wealth of experience, expertise and clear sense of purpose to the organisation. </w:t>
      </w:r>
    </w:p>
    <w:p w14:paraId="773EECC7" w14:textId="77777777" w:rsidR="00D5584F" w:rsidRPr="00D9114A" w:rsidRDefault="00D5584F" w:rsidP="00D5584F">
      <w:pPr>
        <w:pStyle w:val="ListParagraph"/>
        <w:keepLines/>
        <w:widowControl w:val="0"/>
        <w:numPr>
          <w:ilvl w:val="0"/>
          <w:numId w:val="5"/>
        </w:numPr>
        <w:autoSpaceDE w:val="0"/>
        <w:autoSpaceDN w:val="0"/>
        <w:adjustRightInd w:val="0"/>
        <w:spacing w:after="240" w:line="240" w:lineRule="auto"/>
        <w:jc w:val="both"/>
        <w:rPr>
          <w:rFonts w:ascii="Arial" w:hAnsi="Arial" w:cs="Arial"/>
          <w:color w:val="333333"/>
          <w:sz w:val="24"/>
          <w:szCs w:val="24"/>
          <w:shd w:val="clear" w:color="auto" w:fill="FFFFFF"/>
        </w:rPr>
      </w:pPr>
      <w:r w:rsidRPr="00D9114A">
        <w:rPr>
          <w:rFonts w:ascii="Arial" w:hAnsi="Arial" w:cs="Arial"/>
          <w:sz w:val="24"/>
          <w:szCs w:val="24"/>
        </w:rPr>
        <w:t>The Trust manages its activities through seven operational divisions and service delivery within each is managed by dedicated business unit teams.</w:t>
      </w:r>
      <w:r w:rsidRPr="00D9114A">
        <w:rPr>
          <w:rFonts w:ascii="Arial" w:hAnsi="Arial" w:cs="Arial"/>
          <w:color w:val="333333"/>
          <w:sz w:val="24"/>
          <w:szCs w:val="24"/>
          <w:shd w:val="clear" w:color="auto" w:fill="FFFFFF"/>
        </w:rPr>
        <w:t xml:space="preserve"> </w:t>
      </w:r>
    </w:p>
    <w:p w14:paraId="440E807C" w14:textId="77777777" w:rsidR="00D5584F" w:rsidRPr="00D9114A" w:rsidRDefault="00D5584F" w:rsidP="00D5584F">
      <w:pPr>
        <w:pStyle w:val="ListParagraph"/>
        <w:keepLines/>
        <w:widowControl w:val="0"/>
        <w:numPr>
          <w:ilvl w:val="0"/>
          <w:numId w:val="5"/>
        </w:numPr>
        <w:autoSpaceDE w:val="0"/>
        <w:autoSpaceDN w:val="0"/>
        <w:adjustRightInd w:val="0"/>
        <w:spacing w:after="240" w:line="240" w:lineRule="auto"/>
        <w:jc w:val="both"/>
        <w:rPr>
          <w:rFonts w:ascii="Arial" w:hAnsi="Arial" w:cs="Arial"/>
          <w:sz w:val="24"/>
          <w:szCs w:val="24"/>
        </w:rPr>
      </w:pPr>
      <w:r w:rsidRPr="00D9114A">
        <w:rPr>
          <w:rFonts w:ascii="Arial" w:hAnsi="Arial" w:cs="Arial"/>
          <w:sz w:val="24"/>
          <w:szCs w:val="24"/>
        </w:rPr>
        <w:t xml:space="preserve">Our operational staff are supported by Finance, People </w:t>
      </w:r>
      <w:r w:rsidR="006E0528">
        <w:rPr>
          <w:rFonts w:ascii="Arial" w:hAnsi="Arial" w:cs="Arial"/>
          <w:sz w:val="24"/>
          <w:szCs w:val="24"/>
        </w:rPr>
        <w:t>and</w:t>
      </w:r>
      <w:r w:rsidRPr="00D9114A">
        <w:rPr>
          <w:rFonts w:ascii="Arial" w:hAnsi="Arial" w:cs="Arial"/>
          <w:sz w:val="24"/>
          <w:szCs w:val="24"/>
        </w:rPr>
        <w:t xml:space="preserve"> Performance, Business Development, Information Services and Communications teams. As part of their succession planning, the Trustees have a system of Trustee evaluation to identify potential gaps in their individual skills and of the Board as a whole. Evaluation is carried out annually by the Trustees. Trustees are recruited in an open process, targeted towards any skills needs identified by the Trustee evaluation process, ensuring that we obtain the right balance of experience and expertise.</w:t>
      </w:r>
    </w:p>
    <w:p w14:paraId="7B63E7FD" w14:textId="77777777" w:rsidR="00D5584F" w:rsidRPr="0093012C" w:rsidRDefault="00D5584F" w:rsidP="00D5584F">
      <w:pPr>
        <w:keepLines/>
        <w:widowControl w:val="0"/>
        <w:autoSpaceDE w:val="0"/>
        <w:autoSpaceDN w:val="0"/>
        <w:adjustRightInd w:val="0"/>
        <w:spacing w:after="240" w:line="240" w:lineRule="auto"/>
        <w:jc w:val="both"/>
        <w:rPr>
          <w:rFonts w:ascii="Arial" w:hAnsi="Arial" w:cs="Arial"/>
          <w:b/>
          <w:i/>
          <w:sz w:val="24"/>
          <w:szCs w:val="24"/>
        </w:rPr>
      </w:pPr>
      <w:r w:rsidRPr="0093012C">
        <w:rPr>
          <w:rFonts w:ascii="Arial" w:hAnsi="Arial" w:cs="Arial"/>
          <w:b/>
          <w:i/>
          <w:sz w:val="24"/>
          <w:szCs w:val="24"/>
        </w:rPr>
        <w:lastRenderedPageBreak/>
        <w:t xml:space="preserve">2. </w:t>
      </w:r>
      <w:r w:rsidRPr="0093012C">
        <w:rPr>
          <w:rFonts w:ascii="Arial" w:hAnsi="Arial" w:cs="Arial"/>
          <w:b/>
          <w:i/>
          <w:sz w:val="24"/>
          <w:szCs w:val="24"/>
        </w:rPr>
        <w:tab/>
        <w:t>Financial review (continued)</w:t>
      </w:r>
    </w:p>
    <w:p w14:paraId="42C7D809" w14:textId="77777777" w:rsidR="00D5584F" w:rsidRPr="00D9114A" w:rsidRDefault="00D5584F" w:rsidP="00D5584F">
      <w:pPr>
        <w:pStyle w:val="ListParagraph"/>
        <w:keepLines/>
        <w:widowControl w:val="0"/>
        <w:numPr>
          <w:ilvl w:val="0"/>
          <w:numId w:val="5"/>
        </w:numPr>
        <w:autoSpaceDE w:val="0"/>
        <w:autoSpaceDN w:val="0"/>
        <w:adjustRightInd w:val="0"/>
        <w:spacing w:after="240" w:line="240" w:lineRule="auto"/>
        <w:jc w:val="both"/>
        <w:rPr>
          <w:rFonts w:ascii="Arial" w:hAnsi="Arial" w:cs="Arial"/>
          <w:sz w:val="24"/>
          <w:szCs w:val="24"/>
        </w:rPr>
      </w:pPr>
      <w:r w:rsidRPr="00D9114A">
        <w:rPr>
          <w:rFonts w:ascii="Arial" w:hAnsi="Arial" w:cs="Arial"/>
          <w:sz w:val="24"/>
          <w:szCs w:val="24"/>
        </w:rPr>
        <w:t>New Trustees can be co-opted by the members to fill a vacancy at any time during the period. Co-opted Trustees, if they wish to continue, seek re-election at the first Annual General Meeting after their appointment.</w:t>
      </w:r>
    </w:p>
    <w:p w14:paraId="07B7A651" w14:textId="77777777" w:rsidR="00D5584F" w:rsidRPr="00872927" w:rsidRDefault="00D5584F" w:rsidP="00D5584F">
      <w:pPr>
        <w:keepLines/>
        <w:widowControl w:val="0"/>
        <w:autoSpaceDE w:val="0"/>
        <w:autoSpaceDN w:val="0"/>
        <w:adjustRightInd w:val="0"/>
        <w:spacing w:after="240" w:line="240" w:lineRule="auto"/>
        <w:jc w:val="both"/>
        <w:rPr>
          <w:rFonts w:ascii="Arial" w:hAnsi="Arial" w:cs="Arial"/>
          <w:sz w:val="24"/>
          <w:szCs w:val="24"/>
        </w:rPr>
      </w:pPr>
      <w:r w:rsidRPr="00872927">
        <w:rPr>
          <w:rFonts w:ascii="Arial" w:hAnsi="Arial" w:cs="Arial"/>
          <w:sz w:val="24"/>
          <w:szCs w:val="24"/>
        </w:rPr>
        <w:t xml:space="preserve">Every new Trustee receives a copy of Shaw Trust’s Memorandum and Articles of Association; a summary of how it operates to achieve its charitable objects, with particular attention to its core areas of operations; a copy of Shaw Trust’s latest reports and financial statements; a copy of the Code of Practice adopted </w:t>
      </w:r>
      <w:r w:rsidR="006E0528">
        <w:rPr>
          <w:rFonts w:ascii="Arial" w:hAnsi="Arial" w:cs="Arial"/>
          <w:sz w:val="24"/>
          <w:szCs w:val="24"/>
        </w:rPr>
        <w:t>by the Trustees; details of The</w:t>
      </w:r>
      <w:r w:rsidRPr="00872927">
        <w:rPr>
          <w:rFonts w:ascii="Arial" w:hAnsi="Arial" w:cs="Arial"/>
          <w:sz w:val="24"/>
          <w:szCs w:val="24"/>
        </w:rPr>
        <w:t xml:space="preserve"> Trust’s senior executives and their respective roles, terms of reference and reporting lines; details of Board meetings; and the Board papers made available for meetings.</w:t>
      </w:r>
    </w:p>
    <w:p w14:paraId="2B742B1F" w14:textId="77777777" w:rsidR="00D5584F" w:rsidRPr="00872927" w:rsidRDefault="00D5584F" w:rsidP="00D5584F">
      <w:pPr>
        <w:keepLines/>
        <w:widowControl w:val="0"/>
        <w:autoSpaceDE w:val="0"/>
        <w:autoSpaceDN w:val="0"/>
        <w:adjustRightInd w:val="0"/>
        <w:spacing w:after="240" w:line="240" w:lineRule="auto"/>
        <w:jc w:val="both"/>
        <w:rPr>
          <w:rFonts w:ascii="Arial" w:hAnsi="Arial" w:cs="Arial"/>
          <w:sz w:val="24"/>
          <w:szCs w:val="24"/>
        </w:rPr>
      </w:pPr>
      <w:r w:rsidRPr="00872927">
        <w:rPr>
          <w:rFonts w:ascii="Arial" w:hAnsi="Arial" w:cs="Arial"/>
          <w:sz w:val="24"/>
          <w:szCs w:val="24"/>
        </w:rPr>
        <w:t>As well as induction, Trustees are able to undertake training in specific areas of Shaw Trust’s operations through visits and presentations.</w:t>
      </w:r>
    </w:p>
    <w:p w14:paraId="22A718DC" w14:textId="77777777" w:rsidR="00D5584F" w:rsidRPr="00872927" w:rsidRDefault="00D5584F" w:rsidP="00D5584F">
      <w:pPr>
        <w:keepLines/>
        <w:widowControl w:val="0"/>
        <w:autoSpaceDE w:val="0"/>
        <w:autoSpaceDN w:val="0"/>
        <w:adjustRightInd w:val="0"/>
        <w:spacing w:after="240" w:line="240" w:lineRule="auto"/>
        <w:jc w:val="both"/>
        <w:rPr>
          <w:rFonts w:ascii="Arial" w:hAnsi="Arial" w:cs="Arial"/>
          <w:b/>
          <w:sz w:val="24"/>
          <w:szCs w:val="24"/>
        </w:rPr>
      </w:pPr>
      <w:r w:rsidRPr="00872927">
        <w:rPr>
          <w:rFonts w:ascii="Arial" w:hAnsi="Arial" w:cs="Arial"/>
          <w:b/>
          <w:sz w:val="24"/>
          <w:szCs w:val="24"/>
        </w:rPr>
        <w:t>Risk management</w:t>
      </w:r>
      <w:r>
        <w:rPr>
          <w:rFonts w:ascii="Arial" w:hAnsi="Arial" w:cs="Arial"/>
          <w:b/>
          <w:sz w:val="24"/>
          <w:szCs w:val="24"/>
        </w:rPr>
        <w:t xml:space="preserve"> Framework</w:t>
      </w:r>
    </w:p>
    <w:p w14:paraId="7F71662B" w14:textId="77777777" w:rsidR="00D5584F" w:rsidRDefault="00D5584F" w:rsidP="00D5584F">
      <w:pPr>
        <w:spacing w:line="240" w:lineRule="auto"/>
        <w:jc w:val="both"/>
        <w:rPr>
          <w:rFonts w:ascii="Arial" w:hAnsi="Arial" w:cs="Arial"/>
          <w:sz w:val="24"/>
          <w:szCs w:val="24"/>
        </w:rPr>
      </w:pPr>
      <w:r w:rsidRPr="001F1481">
        <w:rPr>
          <w:rFonts w:ascii="Arial" w:hAnsi="Arial" w:cs="Arial"/>
          <w:sz w:val="24"/>
          <w:szCs w:val="24"/>
        </w:rPr>
        <w:t xml:space="preserve">The Trust’s risk appetite is set annually by the Board of Trustees with the goal of aligning risk-taking with the statutory requirements, strategic business objectives and capital planning. The Board of Trustees and the Group Chief Executive Officer (CEO) have key roles in the implementation of the Trust’s risk appetite by steering the balanced portfolio, geographical operating areas and markets, and funding and liquidity management. </w:t>
      </w:r>
    </w:p>
    <w:p w14:paraId="3C696CF1" w14:textId="77777777" w:rsidR="00D5584F" w:rsidRDefault="00D5584F" w:rsidP="00D5584F">
      <w:pPr>
        <w:spacing w:line="240" w:lineRule="auto"/>
        <w:jc w:val="both"/>
        <w:rPr>
          <w:rFonts w:ascii="Arial" w:hAnsi="Arial" w:cs="Arial"/>
          <w:sz w:val="24"/>
          <w:szCs w:val="24"/>
        </w:rPr>
      </w:pPr>
      <w:r w:rsidRPr="001F1481">
        <w:rPr>
          <w:rFonts w:ascii="Arial" w:hAnsi="Arial" w:cs="Arial"/>
          <w:sz w:val="24"/>
          <w:szCs w:val="24"/>
        </w:rPr>
        <w:t xml:space="preserve">The purpose of the </w:t>
      </w:r>
      <w:r>
        <w:rPr>
          <w:rFonts w:ascii="Arial" w:hAnsi="Arial" w:cs="Arial"/>
          <w:sz w:val="24"/>
          <w:szCs w:val="24"/>
        </w:rPr>
        <w:t>Risk Assurance Statement (</w:t>
      </w:r>
      <w:r w:rsidRPr="001F1481">
        <w:rPr>
          <w:rFonts w:ascii="Arial" w:hAnsi="Arial" w:cs="Arial"/>
          <w:sz w:val="24"/>
          <w:szCs w:val="24"/>
        </w:rPr>
        <w:t>RAS</w:t>
      </w:r>
      <w:r>
        <w:rPr>
          <w:rFonts w:ascii="Arial" w:hAnsi="Arial" w:cs="Arial"/>
          <w:sz w:val="24"/>
          <w:szCs w:val="24"/>
        </w:rPr>
        <w:t>)</w:t>
      </w:r>
      <w:r w:rsidRPr="001F1481">
        <w:rPr>
          <w:rFonts w:ascii="Arial" w:hAnsi="Arial" w:cs="Arial"/>
          <w:sz w:val="24"/>
          <w:szCs w:val="24"/>
        </w:rPr>
        <w:t xml:space="preserve"> is to state clearly the general principles for the Trust’s risk-taking, to raise risk awareness across the organisation, and to guide the staff regarding accepted and unacceptable behaviour. The RAS is implemented </w:t>
      </w:r>
      <w:r w:rsidRPr="001F1481">
        <w:rPr>
          <w:rFonts w:ascii="Arial" w:hAnsi="Arial" w:cs="Arial"/>
          <w:sz w:val="24"/>
          <w:szCs w:val="24"/>
        </w:rPr>
        <w:t>through the Trust’s operational policies and procedures, monitoring metrics, limit system and internal controls</w:t>
      </w:r>
      <w:r>
        <w:rPr>
          <w:rFonts w:ascii="Arial" w:hAnsi="Arial" w:cs="Arial"/>
          <w:sz w:val="24"/>
          <w:szCs w:val="24"/>
        </w:rPr>
        <w:t>.</w:t>
      </w:r>
    </w:p>
    <w:p w14:paraId="338533FE" w14:textId="77777777" w:rsidR="00D5584F" w:rsidRDefault="00D5584F" w:rsidP="00D5584F">
      <w:pPr>
        <w:spacing w:line="240" w:lineRule="auto"/>
        <w:jc w:val="both"/>
        <w:rPr>
          <w:rFonts w:ascii="Arial" w:hAnsi="Arial" w:cs="Arial"/>
          <w:sz w:val="24"/>
          <w:szCs w:val="24"/>
        </w:rPr>
      </w:pPr>
      <w:r w:rsidRPr="001F1481">
        <w:rPr>
          <w:rFonts w:ascii="Arial" w:hAnsi="Arial" w:cs="Arial"/>
          <w:sz w:val="24"/>
          <w:szCs w:val="24"/>
        </w:rPr>
        <w:t>Shaw Trust is subject to national supervision and prudential regulations</w:t>
      </w:r>
      <w:r>
        <w:rPr>
          <w:rFonts w:ascii="Arial" w:hAnsi="Arial" w:cs="Arial"/>
          <w:sz w:val="24"/>
          <w:szCs w:val="24"/>
        </w:rPr>
        <w:t>, including contractual obligations</w:t>
      </w:r>
      <w:r w:rsidRPr="001F1481">
        <w:rPr>
          <w:rFonts w:ascii="Arial" w:hAnsi="Arial" w:cs="Arial"/>
          <w:sz w:val="24"/>
          <w:szCs w:val="24"/>
        </w:rPr>
        <w:t xml:space="preserve">. </w:t>
      </w:r>
    </w:p>
    <w:p w14:paraId="182853F8" w14:textId="77777777" w:rsidR="00D5584F" w:rsidRPr="001F1481" w:rsidRDefault="00D5584F" w:rsidP="00D5584F">
      <w:pPr>
        <w:spacing w:line="240" w:lineRule="auto"/>
        <w:jc w:val="both"/>
        <w:rPr>
          <w:rFonts w:ascii="Arial" w:hAnsi="Arial" w:cs="Arial"/>
          <w:sz w:val="24"/>
          <w:szCs w:val="24"/>
        </w:rPr>
      </w:pPr>
      <w:r w:rsidRPr="001F1481">
        <w:rPr>
          <w:rFonts w:ascii="Arial" w:hAnsi="Arial" w:cs="Arial"/>
          <w:sz w:val="24"/>
          <w:szCs w:val="24"/>
        </w:rPr>
        <w:t>The Trust’s risk management system and procedures are reviewed and refined on an o</w:t>
      </w:r>
      <w:r>
        <w:rPr>
          <w:rFonts w:ascii="Arial" w:hAnsi="Arial" w:cs="Arial"/>
          <w:sz w:val="24"/>
          <w:szCs w:val="24"/>
        </w:rPr>
        <w:t xml:space="preserve">ngoing basis in order to comply </w:t>
      </w:r>
      <w:r w:rsidRPr="001F1481">
        <w:rPr>
          <w:rFonts w:ascii="Arial" w:hAnsi="Arial" w:cs="Arial"/>
          <w:sz w:val="24"/>
          <w:szCs w:val="24"/>
        </w:rPr>
        <w:t>with what the Trust identifies as the relevant standards, recommendations and best practices in the sectors operated in. The objecti</w:t>
      </w:r>
      <w:r>
        <w:rPr>
          <w:rFonts w:ascii="Arial" w:hAnsi="Arial" w:cs="Arial"/>
          <w:sz w:val="24"/>
          <w:szCs w:val="24"/>
        </w:rPr>
        <w:t>ves of the RAS are</w:t>
      </w:r>
      <w:r w:rsidRPr="001F1481">
        <w:rPr>
          <w:rFonts w:ascii="Arial" w:hAnsi="Arial" w:cs="Arial"/>
          <w:sz w:val="24"/>
          <w:szCs w:val="24"/>
        </w:rPr>
        <w:t>:</w:t>
      </w:r>
    </w:p>
    <w:p w14:paraId="5E2A0983" w14:textId="77777777" w:rsidR="00D5584F" w:rsidRDefault="00D5584F" w:rsidP="00D5584F">
      <w:pPr>
        <w:keepLines/>
        <w:widowControl w:val="0"/>
        <w:numPr>
          <w:ilvl w:val="0"/>
          <w:numId w:val="5"/>
        </w:numPr>
        <w:autoSpaceDE w:val="0"/>
        <w:autoSpaceDN w:val="0"/>
        <w:adjustRightInd w:val="0"/>
        <w:spacing w:after="240" w:line="240" w:lineRule="auto"/>
        <w:ind w:left="426" w:hanging="284"/>
        <w:jc w:val="both"/>
        <w:rPr>
          <w:rFonts w:ascii="Arial" w:hAnsi="Arial" w:cs="Arial"/>
          <w:sz w:val="24"/>
          <w:szCs w:val="24"/>
        </w:rPr>
      </w:pPr>
      <w:r w:rsidRPr="001F1481">
        <w:rPr>
          <w:rFonts w:ascii="Arial" w:hAnsi="Arial" w:cs="Arial"/>
          <w:sz w:val="24"/>
          <w:szCs w:val="24"/>
        </w:rPr>
        <w:t>To provide a clear articulation of the Trust’s risk-taking, risk mitigation and risk avoidance, and to define the risk-taking at the aggregate level.</w:t>
      </w:r>
    </w:p>
    <w:p w14:paraId="0DBBDE2E" w14:textId="77777777" w:rsidR="00D5584F" w:rsidRPr="001F1481" w:rsidRDefault="00D5584F" w:rsidP="00D5584F">
      <w:pPr>
        <w:keepLines/>
        <w:widowControl w:val="0"/>
        <w:numPr>
          <w:ilvl w:val="0"/>
          <w:numId w:val="5"/>
        </w:numPr>
        <w:autoSpaceDE w:val="0"/>
        <w:autoSpaceDN w:val="0"/>
        <w:adjustRightInd w:val="0"/>
        <w:spacing w:after="240" w:line="240" w:lineRule="auto"/>
        <w:ind w:left="426" w:hanging="284"/>
        <w:jc w:val="both"/>
        <w:rPr>
          <w:rFonts w:ascii="Arial" w:hAnsi="Arial" w:cs="Arial"/>
          <w:sz w:val="24"/>
          <w:szCs w:val="24"/>
        </w:rPr>
      </w:pPr>
      <w:r>
        <w:rPr>
          <w:rFonts w:ascii="Arial" w:hAnsi="Arial" w:cs="Arial"/>
          <w:sz w:val="24"/>
          <w:szCs w:val="24"/>
        </w:rPr>
        <w:t>To create</w:t>
      </w:r>
      <w:r w:rsidRPr="001F1481">
        <w:rPr>
          <w:rFonts w:ascii="Arial" w:hAnsi="Arial" w:cs="Arial"/>
          <w:sz w:val="24"/>
          <w:szCs w:val="24"/>
        </w:rPr>
        <w:t xml:space="preserve"> a foundation for effective communication of risk among inte</w:t>
      </w:r>
      <w:r>
        <w:rPr>
          <w:rFonts w:ascii="Arial" w:hAnsi="Arial" w:cs="Arial"/>
          <w:sz w:val="24"/>
          <w:szCs w:val="24"/>
        </w:rPr>
        <w:t>rnal and external stakeholders.</w:t>
      </w:r>
    </w:p>
    <w:p w14:paraId="7B473A4A" w14:textId="77777777" w:rsidR="00D5584F" w:rsidRPr="001F1481" w:rsidRDefault="00D5584F" w:rsidP="00D5584F">
      <w:pPr>
        <w:keepLines/>
        <w:widowControl w:val="0"/>
        <w:numPr>
          <w:ilvl w:val="0"/>
          <w:numId w:val="5"/>
        </w:numPr>
        <w:autoSpaceDE w:val="0"/>
        <w:autoSpaceDN w:val="0"/>
        <w:adjustRightInd w:val="0"/>
        <w:spacing w:after="240" w:line="240" w:lineRule="auto"/>
        <w:ind w:left="426" w:hanging="284"/>
        <w:jc w:val="both"/>
        <w:rPr>
          <w:rFonts w:ascii="Arial" w:hAnsi="Arial" w:cs="Arial"/>
          <w:sz w:val="24"/>
          <w:szCs w:val="24"/>
        </w:rPr>
      </w:pPr>
      <w:r w:rsidRPr="001F1481">
        <w:rPr>
          <w:rFonts w:ascii="Arial" w:hAnsi="Arial" w:cs="Arial"/>
          <w:sz w:val="24"/>
          <w:szCs w:val="24"/>
        </w:rPr>
        <w:t xml:space="preserve">To increase understanding of the Trust’s material risk exposures and raise risk awareness across the organisation. </w:t>
      </w:r>
    </w:p>
    <w:p w14:paraId="76940FD5" w14:textId="77777777" w:rsidR="00D5584F" w:rsidRPr="001F1481" w:rsidRDefault="00D5584F" w:rsidP="00D5584F">
      <w:pPr>
        <w:keepLines/>
        <w:widowControl w:val="0"/>
        <w:numPr>
          <w:ilvl w:val="0"/>
          <w:numId w:val="5"/>
        </w:numPr>
        <w:autoSpaceDE w:val="0"/>
        <w:autoSpaceDN w:val="0"/>
        <w:adjustRightInd w:val="0"/>
        <w:spacing w:after="240" w:line="240" w:lineRule="auto"/>
        <w:ind w:left="426" w:hanging="284"/>
        <w:jc w:val="both"/>
        <w:rPr>
          <w:rFonts w:ascii="Arial" w:hAnsi="Arial" w:cs="Arial"/>
          <w:sz w:val="24"/>
          <w:szCs w:val="24"/>
        </w:rPr>
      </w:pPr>
      <w:r w:rsidRPr="001F1481">
        <w:rPr>
          <w:rFonts w:ascii="Arial" w:hAnsi="Arial" w:cs="Arial"/>
          <w:sz w:val="24"/>
          <w:szCs w:val="24"/>
        </w:rPr>
        <w:t xml:space="preserve">To positively impact the defined risk culture of the Trust. </w:t>
      </w:r>
    </w:p>
    <w:p w14:paraId="29304E66" w14:textId="77777777" w:rsidR="00D5584F" w:rsidRPr="001F1481" w:rsidRDefault="00D5584F" w:rsidP="00D5584F">
      <w:pPr>
        <w:keepLines/>
        <w:widowControl w:val="0"/>
        <w:numPr>
          <w:ilvl w:val="0"/>
          <w:numId w:val="5"/>
        </w:numPr>
        <w:autoSpaceDE w:val="0"/>
        <w:autoSpaceDN w:val="0"/>
        <w:adjustRightInd w:val="0"/>
        <w:spacing w:after="240" w:line="240" w:lineRule="auto"/>
        <w:ind w:left="426" w:hanging="284"/>
        <w:jc w:val="both"/>
        <w:rPr>
          <w:rFonts w:ascii="Arial" w:hAnsi="Arial" w:cs="Arial"/>
          <w:sz w:val="24"/>
          <w:szCs w:val="24"/>
        </w:rPr>
      </w:pPr>
      <w:r w:rsidRPr="001F1481">
        <w:rPr>
          <w:rFonts w:ascii="Arial" w:hAnsi="Arial" w:cs="Arial"/>
          <w:sz w:val="24"/>
          <w:szCs w:val="24"/>
        </w:rPr>
        <w:t xml:space="preserve">To support the Board of Trustees and the senior management in planning, formulating and executing strategic business decisions to achieve the long-term targets of the Trust. </w:t>
      </w:r>
    </w:p>
    <w:p w14:paraId="3D3C67D0" w14:textId="77777777" w:rsidR="00D5584F" w:rsidRDefault="00D5584F" w:rsidP="00D5584F">
      <w:pPr>
        <w:keepLines/>
        <w:widowControl w:val="0"/>
        <w:numPr>
          <w:ilvl w:val="0"/>
          <w:numId w:val="5"/>
        </w:numPr>
        <w:autoSpaceDE w:val="0"/>
        <w:autoSpaceDN w:val="0"/>
        <w:adjustRightInd w:val="0"/>
        <w:spacing w:after="240" w:line="240" w:lineRule="auto"/>
        <w:ind w:left="426" w:hanging="284"/>
        <w:jc w:val="both"/>
        <w:rPr>
          <w:rFonts w:ascii="Arial" w:hAnsi="Arial" w:cs="Arial"/>
          <w:sz w:val="24"/>
          <w:szCs w:val="24"/>
        </w:rPr>
      </w:pPr>
      <w:r w:rsidRPr="001F1481">
        <w:rPr>
          <w:rFonts w:ascii="Arial" w:hAnsi="Arial" w:cs="Arial"/>
          <w:sz w:val="24"/>
          <w:szCs w:val="24"/>
        </w:rPr>
        <w:t xml:space="preserve">To provide means for the Board of Trustees and senior management to engage in discussions on risk-taking, risk management, and business strategy, and their interlinkages. </w:t>
      </w:r>
    </w:p>
    <w:p w14:paraId="51675859" w14:textId="77777777" w:rsidR="00D5584F" w:rsidRPr="00D37A00" w:rsidRDefault="00D5584F" w:rsidP="00D5584F">
      <w:pPr>
        <w:keepLines/>
        <w:widowControl w:val="0"/>
        <w:numPr>
          <w:ilvl w:val="0"/>
          <w:numId w:val="5"/>
        </w:numPr>
        <w:autoSpaceDE w:val="0"/>
        <w:autoSpaceDN w:val="0"/>
        <w:adjustRightInd w:val="0"/>
        <w:spacing w:after="240" w:line="240" w:lineRule="auto"/>
        <w:ind w:left="426" w:hanging="284"/>
        <w:jc w:val="both"/>
        <w:rPr>
          <w:rFonts w:ascii="Arial" w:hAnsi="Arial" w:cs="Arial"/>
          <w:sz w:val="24"/>
          <w:szCs w:val="24"/>
        </w:rPr>
      </w:pPr>
      <w:r w:rsidRPr="00D37A00">
        <w:rPr>
          <w:rFonts w:ascii="Arial" w:hAnsi="Arial" w:cs="Arial"/>
          <w:sz w:val="24"/>
          <w:szCs w:val="24"/>
        </w:rPr>
        <w:t>To provide the tools for the Board of Trustees and senior management to continuously monitor and align the Trust’s actual risk profile with the risk appetite</w:t>
      </w:r>
    </w:p>
    <w:p w14:paraId="04B53A9B" w14:textId="77777777" w:rsidR="00D5584F" w:rsidRPr="00D37A00" w:rsidRDefault="00D5584F" w:rsidP="00D5584F">
      <w:pPr>
        <w:keepLines/>
        <w:widowControl w:val="0"/>
        <w:tabs>
          <w:tab w:val="left" w:pos="567"/>
        </w:tabs>
        <w:autoSpaceDE w:val="0"/>
        <w:autoSpaceDN w:val="0"/>
        <w:adjustRightInd w:val="0"/>
        <w:spacing w:after="240" w:line="240" w:lineRule="auto"/>
        <w:jc w:val="both"/>
        <w:rPr>
          <w:rFonts w:ascii="Arial" w:hAnsi="Arial" w:cs="Arial"/>
          <w:b/>
          <w:i/>
          <w:sz w:val="24"/>
          <w:szCs w:val="24"/>
        </w:rPr>
      </w:pPr>
      <w:r w:rsidRPr="00872927">
        <w:rPr>
          <w:rFonts w:ascii="Arial" w:hAnsi="Arial" w:cs="Arial"/>
          <w:b/>
          <w:i/>
          <w:sz w:val="24"/>
          <w:szCs w:val="24"/>
        </w:rPr>
        <w:lastRenderedPageBreak/>
        <w:t xml:space="preserve">2. </w:t>
      </w:r>
      <w:r w:rsidRPr="00872927">
        <w:rPr>
          <w:rFonts w:ascii="Arial" w:hAnsi="Arial" w:cs="Arial"/>
          <w:b/>
          <w:i/>
          <w:sz w:val="24"/>
          <w:szCs w:val="24"/>
        </w:rPr>
        <w:tab/>
        <w:t>Financial review</w:t>
      </w:r>
      <w:r>
        <w:rPr>
          <w:rFonts w:ascii="Arial" w:hAnsi="Arial" w:cs="Arial"/>
          <w:b/>
          <w:i/>
          <w:sz w:val="24"/>
          <w:szCs w:val="24"/>
        </w:rPr>
        <w:t xml:space="preserve"> (continued)</w:t>
      </w:r>
      <w:r w:rsidRPr="001F1481">
        <w:rPr>
          <w:rFonts w:ascii="Arial" w:hAnsi="Arial" w:cs="Arial"/>
          <w:sz w:val="24"/>
          <w:szCs w:val="24"/>
        </w:rPr>
        <w:t xml:space="preserve">. </w:t>
      </w:r>
    </w:p>
    <w:p w14:paraId="379611D8" w14:textId="77777777" w:rsidR="00D5584F" w:rsidRPr="00872927" w:rsidRDefault="00D5584F" w:rsidP="00D5584F">
      <w:pPr>
        <w:keepLines/>
        <w:widowControl w:val="0"/>
        <w:autoSpaceDE w:val="0"/>
        <w:autoSpaceDN w:val="0"/>
        <w:adjustRightInd w:val="0"/>
        <w:spacing w:after="240" w:line="240" w:lineRule="auto"/>
        <w:jc w:val="both"/>
        <w:rPr>
          <w:rFonts w:ascii="Arial" w:hAnsi="Arial" w:cs="Arial"/>
          <w:sz w:val="24"/>
          <w:szCs w:val="24"/>
        </w:rPr>
      </w:pPr>
      <w:r w:rsidRPr="00872927">
        <w:rPr>
          <w:rFonts w:ascii="Arial" w:hAnsi="Arial" w:cs="Arial"/>
          <w:sz w:val="24"/>
          <w:szCs w:val="24"/>
        </w:rPr>
        <w:t>Trustees are responsible for setting the tone and influencing the culture of risk management within the Trust, including the attitude to risk. Through the Executive Management Team and Audit</w:t>
      </w:r>
      <w:r w:rsidR="006E0528">
        <w:rPr>
          <w:rFonts w:ascii="Arial" w:hAnsi="Arial" w:cs="Arial"/>
          <w:sz w:val="24"/>
          <w:szCs w:val="24"/>
        </w:rPr>
        <w:t xml:space="preserve"> and</w:t>
      </w:r>
      <w:r>
        <w:rPr>
          <w:rFonts w:ascii="Arial" w:hAnsi="Arial" w:cs="Arial"/>
          <w:sz w:val="24"/>
          <w:szCs w:val="24"/>
        </w:rPr>
        <w:t xml:space="preserve"> Risk</w:t>
      </w:r>
      <w:r w:rsidRPr="00872927">
        <w:rPr>
          <w:rFonts w:ascii="Arial" w:hAnsi="Arial" w:cs="Arial"/>
          <w:sz w:val="24"/>
          <w:szCs w:val="24"/>
        </w:rPr>
        <w:t xml:space="preserve"> Committee, which consists of Trustees with a financial and risk management background, Trustees discharge their responsibilities toward risk management by:</w:t>
      </w:r>
    </w:p>
    <w:p w14:paraId="13375487" w14:textId="77777777" w:rsidR="00D5584F" w:rsidRPr="0093012C" w:rsidRDefault="00D5584F" w:rsidP="00D5584F">
      <w:pPr>
        <w:keepLines/>
        <w:widowControl w:val="0"/>
        <w:numPr>
          <w:ilvl w:val="0"/>
          <w:numId w:val="5"/>
        </w:numPr>
        <w:autoSpaceDE w:val="0"/>
        <w:autoSpaceDN w:val="0"/>
        <w:adjustRightInd w:val="0"/>
        <w:spacing w:after="240" w:line="240" w:lineRule="auto"/>
        <w:ind w:left="426" w:hanging="284"/>
        <w:jc w:val="both"/>
        <w:rPr>
          <w:rFonts w:ascii="Arial" w:hAnsi="Arial" w:cs="Arial"/>
          <w:sz w:val="24"/>
          <w:szCs w:val="24"/>
        </w:rPr>
      </w:pPr>
      <w:r w:rsidRPr="00872927">
        <w:rPr>
          <w:rFonts w:ascii="Arial" w:hAnsi="Arial" w:cs="Arial"/>
          <w:sz w:val="24"/>
          <w:szCs w:val="24"/>
        </w:rPr>
        <w:t xml:space="preserve">The adoption of a range of policies and procedures to enable effective risk management including a risk management policy, an anti-fraud policy, a whistleblowing policy and a registration of interests’ policy.  </w:t>
      </w:r>
    </w:p>
    <w:p w14:paraId="4CB27657" w14:textId="77777777" w:rsidR="00D5584F" w:rsidRPr="0093012C" w:rsidRDefault="00D5584F" w:rsidP="00D5584F">
      <w:pPr>
        <w:keepLines/>
        <w:widowControl w:val="0"/>
        <w:numPr>
          <w:ilvl w:val="0"/>
          <w:numId w:val="5"/>
        </w:numPr>
        <w:autoSpaceDE w:val="0"/>
        <w:autoSpaceDN w:val="0"/>
        <w:adjustRightInd w:val="0"/>
        <w:spacing w:after="240" w:line="240" w:lineRule="auto"/>
        <w:ind w:left="426" w:hanging="284"/>
        <w:jc w:val="both"/>
        <w:rPr>
          <w:rFonts w:ascii="Arial" w:hAnsi="Arial" w:cs="Arial"/>
          <w:sz w:val="24"/>
          <w:szCs w:val="24"/>
        </w:rPr>
      </w:pPr>
      <w:r w:rsidRPr="00872927">
        <w:rPr>
          <w:rFonts w:ascii="Arial" w:hAnsi="Arial" w:cs="Arial"/>
          <w:sz w:val="24"/>
          <w:szCs w:val="24"/>
        </w:rPr>
        <w:t xml:space="preserve">The maintenance of a corporate risk register, which is used to monitor the risk environment of the Trust and to inform audit plans.  </w:t>
      </w:r>
    </w:p>
    <w:p w14:paraId="7572C364" w14:textId="77777777" w:rsidR="00D5584F" w:rsidRPr="00363CD0" w:rsidRDefault="00D5584F" w:rsidP="00D5584F">
      <w:pPr>
        <w:keepLines/>
        <w:widowControl w:val="0"/>
        <w:numPr>
          <w:ilvl w:val="0"/>
          <w:numId w:val="5"/>
        </w:numPr>
        <w:autoSpaceDE w:val="0"/>
        <w:autoSpaceDN w:val="0"/>
        <w:adjustRightInd w:val="0"/>
        <w:spacing w:after="240" w:line="240" w:lineRule="auto"/>
        <w:ind w:left="426" w:hanging="284"/>
        <w:jc w:val="both"/>
        <w:rPr>
          <w:rFonts w:ascii="Arial" w:hAnsi="Arial" w:cs="Arial"/>
          <w:b/>
          <w:i/>
          <w:sz w:val="24"/>
          <w:szCs w:val="24"/>
        </w:rPr>
      </w:pPr>
      <w:r w:rsidRPr="00363CD0">
        <w:rPr>
          <w:rFonts w:ascii="Arial" w:hAnsi="Arial" w:cs="Arial"/>
          <w:sz w:val="24"/>
          <w:szCs w:val="24"/>
        </w:rPr>
        <w:t xml:space="preserve">  The establishment and maintenance of the ‘three lines of defence’ model of internal control: </w:t>
      </w:r>
    </w:p>
    <w:p w14:paraId="4EBEC0B9" w14:textId="77777777" w:rsidR="00D5584F" w:rsidRDefault="00D5584F" w:rsidP="00D5584F">
      <w:pPr>
        <w:keepLines/>
        <w:widowControl w:val="0"/>
        <w:autoSpaceDE w:val="0"/>
        <w:autoSpaceDN w:val="0"/>
        <w:adjustRightInd w:val="0"/>
        <w:spacing w:after="0" w:line="240" w:lineRule="auto"/>
        <w:contextualSpacing/>
        <w:jc w:val="both"/>
        <w:rPr>
          <w:rFonts w:ascii="Arial" w:hAnsi="Arial" w:cs="Arial"/>
          <w:sz w:val="24"/>
          <w:szCs w:val="24"/>
        </w:rPr>
      </w:pPr>
      <w:proofErr w:type="gramStart"/>
      <w:r w:rsidRPr="00872927">
        <w:rPr>
          <w:rFonts w:ascii="Arial" w:hAnsi="Arial" w:cs="Arial"/>
          <w:i/>
          <w:sz w:val="24"/>
          <w:szCs w:val="24"/>
        </w:rPr>
        <w:t>line</w:t>
      </w:r>
      <w:proofErr w:type="gramEnd"/>
      <w:r w:rsidRPr="00872927">
        <w:rPr>
          <w:rFonts w:ascii="Arial" w:hAnsi="Arial" w:cs="Arial"/>
          <w:i/>
          <w:sz w:val="24"/>
          <w:szCs w:val="24"/>
        </w:rPr>
        <w:t xml:space="preserve"> one</w:t>
      </w:r>
      <w:r w:rsidRPr="00872927">
        <w:rPr>
          <w:rFonts w:ascii="Arial" w:hAnsi="Arial" w:cs="Arial"/>
          <w:sz w:val="24"/>
          <w:szCs w:val="24"/>
        </w:rPr>
        <w:t xml:space="preserve">: Management controls to prevent, detect and respond to exposure to risk. These include organisational structures that enable segregation of duties, the implementation of security protocols </w:t>
      </w:r>
      <w:r>
        <w:rPr>
          <w:rFonts w:ascii="Arial" w:hAnsi="Arial" w:cs="Arial"/>
          <w:sz w:val="24"/>
          <w:szCs w:val="24"/>
        </w:rPr>
        <w:t>in</w:t>
      </w:r>
      <w:r w:rsidRPr="00872927">
        <w:rPr>
          <w:rFonts w:ascii="Arial" w:hAnsi="Arial" w:cs="Arial"/>
          <w:sz w:val="24"/>
          <w:szCs w:val="24"/>
        </w:rPr>
        <w:t xml:space="preserve"> respect of assets and information, pre-employment checks and ongoing training, supplemented by management super</w:t>
      </w:r>
      <w:r>
        <w:rPr>
          <w:rFonts w:ascii="Arial" w:hAnsi="Arial" w:cs="Arial"/>
          <w:sz w:val="24"/>
          <w:szCs w:val="24"/>
        </w:rPr>
        <w:t>vision and checking arrangements</w:t>
      </w:r>
      <w:r w:rsidRPr="00872927">
        <w:rPr>
          <w:rFonts w:ascii="Arial" w:hAnsi="Arial" w:cs="Arial"/>
          <w:sz w:val="24"/>
          <w:szCs w:val="24"/>
        </w:rPr>
        <w:t xml:space="preserve">;    </w:t>
      </w:r>
    </w:p>
    <w:p w14:paraId="06F45A8B" w14:textId="77777777" w:rsidR="00D5584F" w:rsidRPr="00872927" w:rsidRDefault="00D5584F" w:rsidP="00D5584F">
      <w:pPr>
        <w:keepLines/>
        <w:widowControl w:val="0"/>
        <w:autoSpaceDE w:val="0"/>
        <w:autoSpaceDN w:val="0"/>
        <w:adjustRightInd w:val="0"/>
        <w:spacing w:after="0" w:line="240" w:lineRule="auto"/>
        <w:contextualSpacing/>
        <w:jc w:val="both"/>
        <w:rPr>
          <w:rFonts w:ascii="Arial" w:hAnsi="Arial" w:cs="Arial"/>
          <w:sz w:val="24"/>
          <w:szCs w:val="24"/>
        </w:rPr>
      </w:pPr>
    </w:p>
    <w:p w14:paraId="67423819" w14:textId="77777777" w:rsidR="00D5584F" w:rsidRDefault="00D5584F" w:rsidP="00D5584F">
      <w:pPr>
        <w:keepLines/>
        <w:widowControl w:val="0"/>
        <w:autoSpaceDE w:val="0"/>
        <w:autoSpaceDN w:val="0"/>
        <w:adjustRightInd w:val="0"/>
        <w:spacing w:after="240" w:line="240" w:lineRule="auto"/>
        <w:jc w:val="both"/>
        <w:rPr>
          <w:rFonts w:ascii="Arial" w:hAnsi="Arial" w:cs="Arial"/>
          <w:sz w:val="24"/>
          <w:szCs w:val="24"/>
        </w:rPr>
      </w:pPr>
      <w:proofErr w:type="gramStart"/>
      <w:r w:rsidRPr="00872927">
        <w:rPr>
          <w:rFonts w:ascii="Arial" w:hAnsi="Arial" w:cs="Arial"/>
          <w:i/>
          <w:sz w:val="24"/>
          <w:szCs w:val="24"/>
        </w:rPr>
        <w:t>line</w:t>
      </w:r>
      <w:proofErr w:type="gramEnd"/>
      <w:r w:rsidRPr="00872927">
        <w:rPr>
          <w:rFonts w:ascii="Arial" w:hAnsi="Arial" w:cs="Arial"/>
          <w:i/>
          <w:sz w:val="24"/>
          <w:szCs w:val="24"/>
        </w:rPr>
        <w:t xml:space="preserve"> two</w:t>
      </w:r>
      <w:r w:rsidRPr="00872927">
        <w:rPr>
          <w:rFonts w:ascii="Arial" w:hAnsi="Arial" w:cs="Arial"/>
          <w:sz w:val="24"/>
          <w:szCs w:val="24"/>
        </w:rPr>
        <w:t>: Risk management through the development, implementation, testing and maintenance of an effective control and governance environment. In addition, an internal Commercial Assurance Team (CAT) provides assurance in respect of the quality of service provision and compliance with legislation,</w:t>
      </w:r>
      <w:r>
        <w:rPr>
          <w:rFonts w:ascii="Arial" w:hAnsi="Arial" w:cs="Arial"/>
          <w:sz w:val="24"/>
          <w:szCs w:val="24"/>
        </w:rPr>
        <w:t xml:space="preserve"> standards and</w:t>
      </w:r>
      <w:r w:rsidRPr="00872927">
        <w:rPr>
          <w:rFonts w:ascii="Arial" w:hAnsi="Arial" w:cs="Arial"/>
          <w:sz w:val="24"/>
          <w:szCs w:val="24"/>
        </w:rPr>
        <w:t xml:space="preserve"> contractual requirements. </w:t>
      </w:r>
    </w:p>
    <w:p w14:paraId="726EFA5C" w14:textId="77777777" w:rsidR="00D5584F" w:rsidRPr="00872927" w:rsidRDefault="00D5584F" w:rsidP="00D5584F">
      <w:pPr>
        <w:keepLines/>
        <w:widowControl w:val="0"/>
        <w:autoSpaceDE w:val="0"/>
        <w:autoSpaceDN w:val="0"/>
        <w:adjustRightInd w:val="0"/>
        <w:spacing w:after="240" w:line="240" w:lineRule="auto"/>
        <w:jc w:val="both"/>
        <w:rPr>
          <w:rFonts w:ascii="Arial" w:hAnsi="Arial" w:cs="Arial"/>
          <w:sz w:val="24"/>
          <w:szCs w:val="24"/>
        </w:rPr>
      </w:pPr>
      <w:r w:rsidRPr="00872927">
        <w:rPr>
          <w:rFonts w:ascii="Arial" w:hAnsi="Arial" w:cs="Arial"/>
          <w:sz w:val="24"/>
          <w:szCs w:val="24"/>
        </w:rPr>
        <w:t xml:space="preserve">The Trust’s Line Two reports into senior management and the Trustee Board, through the Audit </w:t>
      </w:r>
      <w:r w:rsidR="006E0528">
        <w:rPr>
          <w:rFonts w:ascii="Arial" w:hAnsi="Arial" w:cs="Arial"/>
          <w:sz w:val="24"/>
          <w:szCs w:val="24"/>
        </w:rPr>
        <w:t>and</w:t>
      </w:r>
      <w:r>
        <w:rPr>
          <w:rFonts w:ascii="Arial" w:hAnsi="Arial" w:cs="Arial"/>
          <w:sz w:val="24"/>
          <w:szCs w:val="24"/>
        </w:rPr>
        <w:t xml:space="preserve"> Risk </w:t>
      </w:r>
      <w:r w:rsidRPr="00872927">
        <w:rPr>
          <w:rFonts w:ascii="Arial" w:hAnsi="Arial" w:cs="Arial"/>
          <w:sz w:val="24"/>
          <w:szCs w:val="24"/>
        </w:rPr>
        <w:t xml:space="preserve">Committee; and      </w:t>
      </w:r>
    </w:p>
    <w:p w14:paraId="26878F1D" w14:textId="77777777" w:rsidR="00D5584F" w:rsidRPr="00872927" w:rsidRDefault="00D5584F" w:rsidP="00D5584F">
      <w:pPr>
        <w:keepLines/>
        <w:widowControl w:val="0"/>
        <w:autoSpaceDE w:val="0"/>
        <w:autoSpaceDN w:val="0"/>
        <w:adjustRightInd w:val="0"/>
        <w:spacing w:after="240" w:line="240" w:lineRule="auto"/>
        <w:jc w:val="both"/>
        <w:rPr>
          <w:rFonts w:ascii="Arial" w:hAnsi="Arial" w:cs="Arial"/>
          <w:sz w:val="24"/>
          <w:szCs w:val="24"/>
        </w:rPr>
      </w:pPr>
      <w:proofErr w:type="gramStart"/>
      <w:r w:rsidRPr="00872927">
        <w:rPr>
          <w:rFonts w:ascii="Arial" w:hAnsi="Arial" w:cs="Arial"/>
          <w:i/>
          <w:sz w:val="24"/>
          <w:szCs w:val="24"/>
        </w:rPr>
        <w:t>line</w:t>
      </w:r>
      <w:proofErr w:type="gramEnd"/>
      <w:r w:rsidRPr="00872927">
        <w:rPr>
          <w:rFonts w:ascii="Arial" w:hAnsi="Arial" w:cs="Arial"/>
          <w:i/>
          <w:sz w:val="24"/>
          <w:szCs w:val="24"/>
        </w:rPr>
        <w:t xml:space="preserve"> three</w:t>
      </w:r>
      <w:r w:rsidRPr="00872927">
        <w:rPr>
          <w:rFonts w:ascii="Arial" w:hAnsi="Arial" w:cs="Arial"/>
          <w:sz w:val="24"/>
          <w:szCs w:val="24"/>
        </w:rPr>
        <w:t>: Internal Audit</w:t>
      </w:r>
      <w:r>
        <w:rPr>
          <w:rFonts w:ascii="Arial" w:hAnsi="Arial" w:cs="Arial"/>
          <w:sz w:val="24"/>
          <w:szCs w:val="24"/>
        </w:rPr>
        <w:t>, currently</w:t>
      </w:r>
      <w:r w:rsidRPr="00872927">
        <w:rPr>
          <w:rFonts w:ascii="Arial" w:hAnsi="Arial" w:cs="Arial"/>
          <w:sz w:val="24"/>
          <w:szCs w:val="24"/>
        </w:rPr>
        <w:t xml:space="preserve"> performed by an outsourced provider. Reporting primarily to the Audit </w:t>
      </w:r>
      <w:r>
        <w:rPr>
          <w:rFonts w:ascii="Arial" w:hAnsi="Arial" w:cs="Arial"/>
          <w:sz w:val="24"/>
          <w:szCs w:val="24"/>
        </w:rPr>
        <w:t xml:space="preserve">&amp; Risk </w:t>
      </w:r>
      <w:r w:rsidRPr="00872927">
        <w:rPr>
          <w:rFonts w:ascii="Arial" w:hAnsi="Arial" w:cs="Arial"/>
          <w:sz w:val="24"/>
          <w:szCs w:val="24"/>
        </w:rPr>
        <w:t>Committee, the internal auditors provide assurance over the effectiveness of corporate governance and the overall control environment including Line 2 defences. All reports identify areas of strength and good practice along with areas for improvement. In the case of the latter the Audit</w:t>
      </w:r>
      <w:r w:rsidR="006E0528">
        <w:rPr>
          <w:rFonts w:ascii="Arial" w:hAnsi="Arial" w:cs="Arial"/>
          <w:sz w:val="24"/>
          <w:szCs w:val="24"/>
        </w:rPr>
        <w:t xml:space="preserve"> and</w:t>
      </w:r>
      <w:r>
        <w:rPr>
          <w:rFonts w:ascii="Arial" w:hAnsi="Arial" w:cs="Arial"/>
          <w:sz w:val="24"/>
          <w:szCs w:val="24"/>
        </w:rPr>
        <w:t xml:space="preserve"> Risks</w:t>
      </w:r>
      <w:r w:rsidRPr="00872927">
        <w:rPr>
          <w:rFonts w:ascii="Arial" w:hAnsi="Arial" w:cs="Arial"/>
          <w:sz w:val="24"/>
          <w:szCs w:val="24"/>
        </w:rPr>
        <w:t xml:space="preserve"> Committee monitors a time based log of improvement actions, agreed by the management and the auditors, to ensure that they are implemented. </w:t>
      </w:r>
    </w:p>
    <w:p w14:paraId="398A1065" w14:textId="77777777" w:rsidR="00D5584F" w:rsidRPr="00872927" w:rsidRDefault="00D5584F" w:rsidP="00D5584F">
      <w:pPr>
        <w:keepLines/>
        <w:widowControl w:val="0"/>
        <w:autoSpaceDE w:val="0"/>
        <w:autoSpaceDN w:val="0"/>
        <w:adjustRightInd w:val="0"/>
        <w:spacing w:after="240" w:line="240" w:lineRule="auto"/>
        <w:jc w:val="both"/>
        <w:rPr>
          <w:rFonts w:ascii="Arial" w:hAnsi="Arial" w:cs="Arial"/>
          <w:sz w:val="24"/>
          <w:szCs w:val="24"/>
        </w:rPr>
      </w:pPr>
      <w:r w:rsidRPr="00872927">
        <w:rPr>
          <w:rFonts w:ascii="Arial" w:hAnsi="Arial" w:cs="Arial"/>
          <w:sz w:val="24"/>
          <w:szCs w:val="24"/>
        </w:rPr>
        <w:t xml:space="preserve">The identification, evaluation and monitoring of significant risks is a continuous process. Emerging risks and changes to the risk profile are identified by the Executive Management </w:t>
      </w:r>
      <w:r w:rsidR="006E0528">
        <w:rPr>
          <w:rFonts w:ascii="Arial" w:hAnsi="Arial" w:cs="Arial"/>
          <w:sz w:val="24"/>
          <w:szCs w:val="24"/>
        </w:rPr>
        <w:t>Team and reported to the Audit and</w:t>
      </w:r>
      <w:r w:rsidRPr="00872927">
        <w:rPr>
          <w:rFonts w:ascii="Arial" w:hAnsi="Arial" w:cs="Arial"/>
          <w:sz w:val="24"/>
          <w:szCs w:val="24"/>
        </w:rPr>
        <w:t xml:space="preserve"> Risk Committee and main Trustee Board through a Corporate Risk Register. The Trustee Board reviews new and existing risks, challenges risk ratings and assesses the effectiveness of mitigating actions and controls in the context of its risk appetite.</w:t>
      </w:r>
    </w:p>
    <w:p w14:paraId="00A3C9C3" w14:textId="77777777" w:rsidR="00D5584F" w:rsidRPr="00872927" w:rsidRDefault="00D5584F" w:rsidP="00D5584F">
      <w:pPr>
        <w:keepLines/>
        <w:widowControl w:val="0"/>
        <w:autoSpaceDE w:val="0"/>
        <w:autoSpaceDN w:val="0"/>
        <w:adjustRightInd w:val="0"/>
        <w:spacing w:after="240" w:line="240" w:lineRule="auto"/>
        <w:jc w:val="both"/>
        <w:rPr>
          <w:rFonts w:ascii="Arial" w:hAnsi="Arial" w:cs="Arial"/>
          <w:b/>
          <w:sz w:val="24"/>
          <w:szCs w:val="24"/>
        </w:rPr>
      </w:pPr>
      <w:r w:rsidRPr="00872927">
        <w:rPr>
          <w:rFonts w:ascii="Arial" w:hAnsi="Arial" w:cs="Arial"/>
          <w:b/>
          <w:sz w:val="24"/>
          <w:szCs w:val="24"/>
        </w:rPr>
        <w:t>Principal Risks and Uncertainties</w:t>
      </w:r>
    </w:p>
    <w:p w14:paraId="267FF3DD" w14:textId="77777777" w:rsidR="00D5584F" w:rsidRPr="00872927" w:rsidRDefault="00D5584F" w:rsidP="00D5584F">
      <w:pPr>
        <w:keepLines/>
        <w:widowControl w:val="0"/>
        <w:autoSpaceDE w:val="0"/>
        <w:autoSpaceDN w:val="0"/>
        <w:adjustRightInd w:val="0"/>
        <w:spacing w:after="240" w:line="240" w:lineRule="auto"/>
        <w:jc w:val="both"/>
        <w:rPr>
          <w:rFonts w:ascii="Arial" w:hAnsi="Arial" w:cs="Arial"/>
          <w:sz w:val="24"/>
          <w:szCs w:val="24"/>
        </w:rPr>
      </w:pPr>
      <w:r w:rsidRPr="00872927">
        <w:rPr>
          <w:rFonts w:ascii="Arial" w:hAnsi="Arial" w:cs="Arial"/>
          <w:sz w:val="24"/>
          <w:szCs w:val="24"/>
        </w:rPr>
        <w:t>The assessme</w:t>
      </w:r>
      <w:r w:rsidR="00711100">
        <w:rPr>
          <w:rFonts w:ascii="Arial" w:hAnsi="Arial" w:cs="Arial"/>
          <w:sz w:val="24"/>
          <w:szCs w:val="24"/>
        </w:rPr>
        <w:t xml:space="preserve">nt of risk is linked to the </w:t>
      </w:r>
      <w:r w:rsidRPr="00872927">
        <w:rPr>
          <w:rFonts w:ascii="Arial" w:hAnsi="Arial" w:cs="Arial"/>
          <w:sz w:val="24"/>
          <w:szCs w:val="24"/>
        </w:rPr>
        <w:t xml:space="preserve">Trust strategy and the following have been identified as key </w:t>
      </w:r>
      <w:r>
        <w:rPr>
          <w:rFonts w:ascii="Arial" w:hAnsi="Arial" w:cs="Arial"/>
          <w:sz w:val="24"/>
          <w:szCs w:val="24"/>
        </w:rPr>
        <w:t xml:space="preserve">strategic </w:t>
      </w:r>
      <w:r w:rsidRPr="00872927">
        <w:rPr>
          <w:rFonts w:ascii="Arial" w:hAnsi="Arial" w:cs="Arial"/>
          <w:sz w:val="24"/>
          <w:szCs w:val="24"/>
        </w:rPr>
        <w:t>risks and the Trust is taking appropriate steps to monitor and mitigate them:</w:t>
      </w:r>
    </w:p>
    <w:p w14:paraId="15BB3DB4" w14:textId="77777777" w:rsidR="00D5584F" w:rsidRPr="00872927" w:rsidRDefault="00D5584F" w:rsidP="00D5584F">
      <w:pPr>
        <w:keepLines/>
        <w:widowControl w:val="0"/>
        <w:numPr>
          <w:ilvl w:val="0"/>
          <w:numId w:val="5"/>
        </w:numPr>
        <w:autoSpaceDE w:val="0"/>
        <w:autoSpaceDN w:val="0"/>
        <w:adjustRightInd w:val="0"/>
        <w:spacing w:after="240" w:line="240" w:lineRule="auto"/>
        <w:ind w:left="426" w:hanging="284"/>
        <w:jc w:val="both"/>
        <w:rPr>
          <w:rFonts w:ascii="Arial" w:hAnsi="Arial" w:cs="Arial"/>
          <w:sz w:val="24"/>
          <w:szCs w:val="24"/>
        </w:rPr>
      </w:pPr>
      <w:r w:rsidRPr="00872927">
        <w:rPr>
          <w:rFonts w:ascii="Arial" w:hAnsi="Arial" w:cs="Arial"/>
          <w:sz w:val="24"/>
          <w:szCs w:val="24"/>
        </w:rPr>
        <w:t>Failure to finance the business.</w:t>
      </w:r>
    </w:p>
    <w:p w14:paraId="4B3AEE41" w14:textId="77777777" w:rsidR="00D5584F" w:rsidRPr="00872927" w:rsidRDefault="00D5584F" w:rsidP="00D5584F">
      <w:pPr>
        <w:keepLines/>
        <w:widowControl w:val="0"/>
        <w:numPr>
          <w:ilvl w:val="0"/>
          <w:numId w:val="5"/>
        </w:numPr>
        <w:autoSpaceDE w:val="0"/>
        <w:autoSpaceDN w:val="0"/>
        <w:adjustRightInd w:val="0"/>
        <w:spacing w:after="240" w:line="240" w:lineRule="auto"/>
        <w:ind w:left="426" w:hanging="284"/>
        <w:jc w:val="both"/>
        <w:rPr>
          <w:rFonts w:ascii="Arial" w:hAnsi="Arial" w:cs="Arial"/>
          <w:sz w:val="24"/>
          <w:szCs w:val="24"/>
        </w:rPr>
      </w:pPr>
      <w:r w:rsidRPr="00872927">
        <w:rPr>
          <w:rFonts w:ascii="Arial" w:hAnsi="Arial" w:cs="Arial"/>
          <w:sz w:val="24"/>
          <w:szCs w:val="24"/>
        </w:rPr>
        <w:t xml:space="preserve">Failure to </w:t>
      </w:r>
      <w:r>
        <w:rPr>
          <w:rFonts w:ascii="Arial" w:hAnsi="Arial" w:cs="Arial"/>
          <w:sz w:val="24"/>
          <w:szCs w:val="24"/>
        </w:rPr>
        <w:t>deliver the turnaround plan</w:t>
      </w:r>
      <w:r w:rsidRPr="00872927">
        <w:rPr>
          <w:rFonts w:ascii="Arial" w:hAnsi="Arial" w:cs="Arial"/>
          <w:sz w:val="24"/>
          <w:szCs w:val="24"/>
        </w:rPr>
        <w:t>, through margin improvement, cost control and synergies of acquisitions.</w:t>
      </w:r>
    </w:p>
    <w:p w14:paraId="2ED31D3A" w14:textId="77777777" w:rsidR="00D5584F" w:rsidRPr="00872927" w:rsidRDefault="00D5584F" w:rsidP="00D5584F">
      <w:pPr>
        <w:keepLines/>
        <w:widowControl w:val="0"/>
        <w:numPr>
          <w:ilvl w:val="0"/>
          <w:numId w:val="5"/>
        </w:numPr>
        <w:autoSpaceDE w:val="0"/>
        <w:autoSpaceDN w:val="0"/>
        <w:adjustRightInd w:val="0"/>
        <w:spacing w:after="240" w:line="240" w:lineRule="auto"/>
        <w:ind w:left="426" w:hanging="284"/>
        <w:jc w:val="both"/>
        <w:rPr>
          <w:rFonts w:ascii="Arial" w:hAnsi="Arial" w:cs="Arial"/>
          <w:sz w:val="24"/>
          <w:szCs w:val="24"/>
        </w:rPr>
      </w:pPr>
      <w:r w:rsidRPr="00872927">
        <w:rPr>
          <w:rFonts w:ascii="Arial" w:hAnsi="Arial" w:cs="Arial"/>
          <w:sz w:val="24"/>
          <w:szCs w:val="24"/>
        </w:rPr>
        <w:lastRenderedPageBreak/>
        <w:t>Physical, mental or emotional harm caused to our service users. The need to constantly safeguard vulnerable clients from harm.</w:t>
      </w:r>
    </w:p>
    <w:p w14:paraId="7415018D" w14:textId="77777777" w:rsidR="00D5584F" w:rsidRPr="00FA3362" w:rsidRDefault="00D5584F" w:rsidP="00FA3362">
      <w:pPr>
        <w:keepLines/>
        <w:widowControl w:val="0"/>
        <w:tabs>
          <w:tab w:val="left" w:pos="567"/>
        </w:tabs>
        <w:autoSpaceDE w:val="0"/>
        <w:autoSpaceDN w:val="0"/>
        <w:adjustRightInd w:val="0"/>
        <w:spacing w:after="240" w:line="240" w:lineRule="auto"/>
        <w:jc w:val="both"/>
        <w:rPr>
          <w:rFonts w:ascii="Arial" w:hAnsi="Arial" w:cs="Arial"/>
          <w:b/>
          <w:i/>
          <w:sz w:val="24"/>
          <w:szCs w:val="24"/>
        </w:rPr>
      </w:pPr>
      <w:r w:rsidRPr="00FA3362">
        <w:rPr>
          <w:rFonts w:ascii="Arial" w:hAnsi="Arial" w:cs="Arial"/>
          <w:b/>
          <w:i/>
          <w:sz w:val="24"/>
          <w:szCs w:val="24"/>
        </w:rPr>
        <w:t xml:space="preserve">2. </w:t>
      </w:r>
      <w:r w:rsidRPr="00FA3362">
        <w:rPr>
          <w:rFonts w:ascii="Arial" w:hAnsi="Arial" w:cs="Arial"/>
          <w:b/>
          <w:i/>
          <w:sz w:val="24"/>
          <w:szCs w:val="24"/>
        </w:rPr>
        <w:tab/>
        <w:t>Financial review (continued)</w:t>
      </w:r>
    </w:p>
    <w:p w14:paraId="64E96300" w14:textId="77777777" w:rsidR="00D5584F" w:rsidRDefault="00D5584F" w:rsidP="00D5584F">
      <w:pPr>
        <w:keepLines/>
        <w:widowControl w:val="0"/>
        <w:numPr>
          <w:ilvl w:val="0"/>
          <w:numId w:val="5"/>
        </w:numPr>
        <w:autoSpaceDE w:val="0"/>
        <w:autoSpaceDN w:val="0"/>
        <w:adjustRightInd w:val="0"/>
        <w:spacing w:after="240" w:line="240" w:lineRule="auto"/>
        <w:ind w:left="426" w:hanging="284"/>
        <w:jc w:val="both"/>
        <w:rPr>
          <w:rFonts w:ascii="Arial" w:hAnsi="Arial" w:cs="Arial"/>
          <w:sz w:val="24"/>
          <w:szCs w:val="24"/>
        </w:rPr>
      </w:pPr>
      <w:r w:rsidRPr="00872927">
        <w:rPr>
          <w:rFonts w:ascii="Arial" w:hAnsi="Arial" w:cs="Arial"/>
          <w:sz w:val="24"/>
          <w:szCs w:val="24"/>
        </w:rPr>
        <w:t>Ineffective protection of the confidentiality, integrity or availability of the Trust’s records and information assets.</w:t>
      </w:r>
      <w:r w:rsidRPr="00D37A00">
        <w:rPr>
          <w:rFonts w:ascii="Arial" w:hAnsi="Arial" w:cs="Arial"/>
          <w:sz w:val="24"/>
          <w:szCs w:val="24"/>
        </w:rPr>
        <w:t xml:space="preserve"> </w:t>
      </w:r>
    </w:p>
    <w:p w14:paraId="6887DCAD" w14:textId="77777777" w:rsidR="00D5584F" w:rsidRPr="00872927" w:rsidRDefault="00D5584F" w:rsidP="00D5584F">
      <w:pPr>
        <w:keepLines/>
        <w:widowControl w:val="0"/>
        <w:numPr>
          <w:ilvl w:val="0"/>
          <w:numId w:val="5"/>
        </w:numPr>
        <w:autoSpaceDE w:val="0"/>
        <w:autoSpaceDN w:val="0"/>
        <w:adjustRightInd w:val="0"/>
        <w:spacing w:after="240" w:line="240" w:lineRule="auto"/>
        <w:ind w:left="426" w:hanging="284"/>
        <w:jc w:val="both"/>
        <w:rPr>
          <w:rFonts w:ascii="Arial" w:hAnsi="Arial" w:cs="Arial"/>
          <w:sz w:val="24"/>
          <w:szCs w:val="24"/>
        </w:rPr>
      </w:pPr>
      <w:r w:rsidRPr="00872927">
        <w:rPr>
          <w:rFonts w:ascii="Arial" w:hAnsi="Arial" w:cs="Arial"/>
          <w:sz w:val="24"/>
          <w:szCs w:val="24"/>
        </w:rPr>
        <w:t>Inability to anticipate and respond to changes in the political, social and economic climate, including the need to innovate new service delivery models and funding streams.</w:t>
      </w:r>
    </w:p>
    <w:p w14:paraId="3F29C558" w14:textId="77777777" w:rsidR="00D5584F" w:rsidRPr="00872927" w:rsidRDefault="00D5584F" w:rsidP="00D5584F">
      <w:pPr>
        <w:keepLines/>
        <w:widowControl w:val="0"/>
        <w:numPr>
          <w:ilvl w:val="0"/>
          <w:numId w:val="5"/>
        </w:numPr>
        <w:autoSpaceDE w:val="0"/>
        <w:autoSpaceDN w:val="0"/>
        <w:adjustRightInd w:val="0"/>
        <w:spacing w:after="240" w:line="240" w:lineRule="auto"/>
        <w:ind w:left="426" w:hanging="284"/>
        <w:jc w:val="both"/>
        <w:rPr>
          <w:rFonts w:ascii="Arial" w:hAnsi="Arial" w:cs="Arial"/>
          <w:sz w:val="24"/>
          <w:szCs w:val="24"/>
        </w:rPr>
      </w:pPr>
      <w:r w:rsidRPr="00872927">
        <w:rPr>
          <w:rFonts w:ascii="Arial" w:hAnsi="Arial" w:cs="Arial"/>
          <w:sz w:val="24"/>
          <w:szCs w:val="24"/>
        </w:rPr>
        <w:t>Breakdown of relationships with key commissioners and suppliers as a result of poor performance or breach of contract and the consequent impact on contract renewals and new business.</w:t>
      </w:r>
    </w:p>
    <w:p w14:paraId="40849B68" w14:textId="77777777" w:rsidR="00D5584F" w:rsidRPr="00872927" w:rsidRDefault="00D5584F" w:rsidP="00D5584F">
      <w:pPr>
        <w:keepLines/>
        <w:widowControl w:val="0"/>
        <w:numPr>
          <w:ilvl w:val="0"/>
          <w:numId w:val="5"/>
        </w:numPr>
        <w:autoSpaceDE w:val="0"/>
        <w:autoSpaceDN w:val="0"/>
        <w:adjustRightInd w:val="0"/>
        <w:spacing w:after="240" w:line="240" w:lineRule="auto"/>
        <w:ind w:left="426" w:hanging="284"/>
        <w:jc w:val="both"/>
        <w:rPr>
          <w:rFonts w:ascii="Arial" w:hAnsi="Arial" w:cs="Arial"/>
          <w:sz w:val="24"/>
          <w:szCs w:val="24"/>
        </w:rPr>
      </w:pPr>
      <w:r w:rsidRPr="00872927">
        <w:rPr>
          <w:rFonts w:ascii="Arial" w:hAnsi="Arial" w:cs="Arial"/>
          <w:sz w:val="24"/>
          <w:szCs w:val="24"/>
        </w:rPr>
        <w:t xml:space="preserve">Inability to grow and develop the Trust culturally and commercially to enable its long term viability.  </w:t>
      </w:r>
    </w:p>
    <w:p w14:paraId="3A4AC7D6" w14:textId="77777777" w:rsidR="00D5584F" w:rsidRPr="00872927" w:rsidRDefault="00D5584F" w:rsidP="00D5584F">
      <w:pPr>
        <w:keepLines/>
        <w:widowControl w:val="0"/>
        <w:numPr>
          <w:ilvl w:val="0"/>
          <w:numId w:val="5"/>
        </w:numPr>
        <w:autoSpaceDE w:val="0"/>
        <w:autoSpaceDN w:val="0"/>
        <w:adjustRightInd w:val="0"/>
        <w:spacing w:after="240" w:line="240" w:lineRule="auto"/>
        <w:ind w:left="426" w:hanging="284"/>
        <w:jc w:val="both"/>
        <w:rPr>
          <w:rFonts w:ascii="Arial" w:hAnsi="Arial" w:cs="Arial"/>
          <w:sz w:val="24"/>
          <w:szCs w:val="24"/>
        </w:rPr>
      </w:pPr>
      <w:r w:rsidRPr="00872927">
        <w:rPr>
          <w:rFonts w:ascii="Arial" w:hAnsi="Arial" w:cs="Arial"/>
          <w:sz w:val="24"/>
          <w:szCs w:val="24"/>
        </w:rPr>
        <w:t>Loss of ability to deliver services and mission arising from u</w:t>
      </w:r>
      <w:r>
        <w:rPr>
          <w:rFonts w:ascii="Arial" w:hAnsi="Arial" w:cs="Arial"/>
          <w:sz w:val="24"/>
          <w:szCs w:val="24"/>
        </w:rPr>
        <w:t>nexpected business interruption, in particular Covid-19 fallout</w:t>
      </w:r>
      <w:r w:rsidR="00AB59BE">
        <w:rPr>
          <w:rFonts w:ascii="Arial" w:hAnsi="Arial" w:cs="Arial"/>
          <w:sz w:val="24"/>
          <w:szCs w:val="24"/>
        </w:rPr>
        <w:t>.</w:t>
      </w:r>
    </w:p>
    <w:p w14:paraId="61E13B86" w14:textId="77777777" w:rsidR="00D5584F" w:rsidRPr="00872927" w:rsidRDefault="00D5584F" w:rsidP="00D5584F">
      <w:pPr>
        <w:keepLines/>
        <w:widowControl w:val="0"/>
        <w:numPr>
          <w:ilvl w:val="0"/>
          <w:numId w:val="5"/>
        </w:numPr>
        <w:autoSpaceDE w:val="0"/>
        <w:autoSpaceDN w:val="0"/>
        <w:adjustRightInd w:val="0"/>
        <w:spacing w:after="240" w:line="240" w:lineRule="auto"/>
        <w:ind w:left="426" w:hanging="284"/>
        <w:jc w:val="both"/>
        <w:rPr>
          <w:rFonts w:ascii="Arial" w:hAnsi="Arial" w:cs="Arial"/>
          <w:sz w:val="24"/>
          <w:szCs w:val="24"/>
        </w:rPr>
      </w:pPr>
      <w:r w:rsidRPr="00872927">
        <w:rPr>
          <w:rFonts w:ascii="Arial" w:hAnsi="Arial" w:cs="Arial"/>
          <w:sz w:val="24"/>
          <w:szCs w:val="24"/>
        </w:rPr>
        <w:t>Financial and reputational damage caused by theft, fraud or poor governance.</w:t>
      </w:r>
    </w:p>
    <w:p w14:paraId="18B57B45" w14:textId="77777777" w:rsidR="00D5584F" w:rsidRPr="00872927" w:rsidRDefault="00D5584F" w:rsidP="00D5584F">
      <w:pPr>
        <w:keepLines/>
        <w:widowControl w:val="0"/>
        <w:numPr>
          <w:ilvl w:val="0"/>
          <w:numId w:val="5"/>
        </w:numPr>
        <w:autoSpaceDE w:val="0"/>
        <w:autoSpaceDN w:val="0"/>
        <w:adjustRightInd w:val="0"/>
        <w:spacing w:after="240" w:line="240" w:lineRule="auto"/>
        <w:ind w:left="426" w:hanging="284"/>
        <w:jc w:val="both"/>
        <w:rPr>
          <w:rFonts w:ascii="Arial" w:hAnsi="Arial" w:cs="Arial"/>
          <w:sz w:val="24"/>
          <w:szCs w:val="24"/>
        </w:rPr>
      </w:pPr>
      <w:r w:rsidRPr="00872927">
        <w:rPr>
          <w:rFonts w:ascii="Arial" w:hAnsi="Arial" w:cs="Arial"/>
          <w:sz w:val="24"/>
          <w:szCs w:val="24"/>
        </w:rPr>
        <w:t xml:space="preserve">Inability to </w:t>
      </w:r>
      <w:r>
        <w:rPr>
          <w:rFonts w:ascii="Arial" w:hAnsi="Arial" w:cs="Arial"/>
          <w:sz w:val="24"/>
          <w:szCs w:val="24"/>
        </w:rPr>
        <w:t>build and retain an appropriate accommodated, skilled and rewarded workforce</w:t>
      </w:r>
      <w:r w:rsidRPr="00872927">
        <w:rPr>
          <w:rFonts w:ascii="Arial" w:hAnsi="Arial" w:cs="Arial"/>
          <w:sz w:val="24"/>
          <w:szCs w:val="24"/>
        </w:rPr>
        <w:t>.</w:t>
      </w:r>
    </w:p>
    <w:p w14:paraId="0546B5A6" w14:textId="77777777" w:rsidR="00D5584F" w:rsidRPr="00872927" w:rsidRDefault="00D5584F" w:rsidP="00D5584F">
      <w:pPr>
        <w:keepLines/>
        <w:widowControl w:val="0"/>
        <w:autoSpaceDE w:val="0"/>
        <w:autoSpaceDN w:val="0"/>
        <w:adjustRightInd w:val="0"/>
        <w:spacing w:after="240" w:line="240" w:lineRule="auto"/>
        <w:jc w:val="both"/>
        <w:rPr>
          <w:rFonts w:ascii="Arial" w:hAnsi="Arial" w:cs="Arial"/>
          <w:sz w:val="24"/>
          <w:szCs w:val="24"/>
        </w:rPr>
      </w:pPr>
      <w:r w:rsidRPr="00872927">
        <w:rPr>
          <w:rFonts w:ascii="Arial" w:hAnsi="Arial" w:cs="Arial"/>
          <w:sz w:val="24"/>
          <w:szCs w:val="24"/>
        </w:rPr>
        <w:t>The group’s financial risk management objectives and policies are to:</w:t>
      </w:r>
    </w:p>
    <w:p w14:paraId="04B361E6" w14:textId="77777777" w:rsidR="00D5584F" w:rsidRPr="00872927" w:rsidRDefault="00D5584F" w:rsidP="00D5584F">
      <w:pPr>
        <w:keepLines/>
        <w:widowControl w:val="0"/>
        <w:numPr>
          <w:ilvl w:val="0"/>
          <w:numId w:val="5"/>
        </w:numPr>
        <w:autoSpaceDE w:val="0"/>
        <w:autoSpaceDN w:val="0"/>
        <w:adjustRightInd w:val="0"/>
        <w:spacing w:after="240" w:line="240" w:lineRule="auto"/>
        <w:ind w:left="426" w:hanging="284"/>
        <w:jc w:val="both"/>
        <w:rPr>
          <w:rFonts w:ascii="Arial" w:hAnsi="Arial" w:cs="Arial"/>
          <w:sz w:val="24"/>
          <w:szCs w:val="24"/>
        </w:rPr>
      </w:pPr>
      <w:r>
        <w:rPr>
          <w:rFonts w:ascii="Arial" w:hAnsi="Arial" w:cs="Arial"/>
          <w:sz w:val="24"/>
          <w:szCs w:val="24"/>
        </w:rPr>
        <w:t>Build and m</w:t>
      </w:r>
      <w:r w:rsidRPr="00872927">
        <w:rPr>
          <w:rFonts w:ascii="Arial" w:hAnsi="Arial" w:cs="Arial"/>
          <w:sz w:val="24"/>
          <w:szCs w:val="24"/>
        </w:rPr>
        <w:t xml:space="preserve">aintain a strong balance sheet so as to instil confidence of stakeholders and to sustain the future development of the business.  </w:t>
      </w:r>
    </w:p>
    <w:p w14:paraId="70BF57B2" w14:textId="77777777" w:rsidR="00D5584F" w:rsidRDefault="00D5584F" w:rsidP="00D5584F">
      <w:pPr>
        <w:keepLines/>
        <w:widowControl w:val="0"/>
        <w:numPr>
          <w:ilvl w:val="0"/>
          <w:numId w:val="5"/>
        </w:numPr>
        <w:autoSpaceDE w:val="0"/>
        <w:autoSpaceDN w:val="0"/>
        <w:adjustRightInd w:val="0"/>
        <w:spacing w:after="240" w:line="240" w:lineRule="auto"/>
        <w:ind w:left="426" w:hanging="284"/>
        <w:jc w:val="both"/>
        <w:rPr>
          <w:rFonts w:ascii="Arial" w:hAnsi="Arial" w:cs="Arial"/>
          <w:sz w:val="24"/>
          <w:szCs w:val="24"/>
        </w:rPr>
      </w:pPr>
      <w:r>
        <w:rPr>
          <w:rFonts w:ascii="Arial" w:hAnsi="Arial" w:cs="Arial"/>
          <w:sz w:val="24"/>
          <w:szCs w:val="24"/>
        </w:rPr>
        <w:t>Build and maintain a strategic reserve to enable the trust to operate and continue its core activities</w:t>
      </w:r>
      <w:r w:rsidR="00AB59BE">
        <w:rPr>
          <w:rFonts w:ascii="Arial" w:hAnsi="Arial" w:cs="Arial"/>
          <w:sz w:val="24"/>
          <w:szCs w:val="24"/>
        </w:rPr>
        <w:t>.</w:t>
      </w:r>
    </w:p>
    <w:p w14:paraId="779428C5" w14:textId="77777777" w:rsidR="00D5584F" w:rsidRPr="00872927" w:rsidRDefault="00D5584F" w:rsidP="00D5584F">
      <w:pPr>
        <w:keepLines/>
        <w:widowControl w:val="0"/>
        <w:numPr>
          <w:ilvl w:val="0"/>
          <w:numId w:val="5"/>
        </w:numPr>
        <w:autoSpaceDE w:val="0"/>
        <w:autoSpaceDN w:val="0"/>
        <w:adjustRightInd w:val="0"/>
        <w:spacing w:after="240" w:line="240" w:lineRule="auto"/>
        <w:ind w:left="426" w:hanging="284"/>
        <w:jc w:val="both"/>
        <w:rPr>
          <w:rFonts w:ascii="Arial" w:hAnsi="Arial" w:cs="Arial"/>
          <w:sz w:val="24"/>
          <w:szCs w:val="24"/>
        </w:rPr>
      </w:pPr>
      <w:r w:rsidRPr="00872927">
        <w:rPr>
          <w:rFonts w:ascii="Arial" w:hAnsi="Arial" w:cs="Arial"/>
          <w:sz w:val="24"/>
          <w:szCs w:val="24"/>
        </w:rPr>
        <w:t>Invest surplus funds where applicable so as to return a yield consistent with the Group’s risk appetite and ensuring sufficient liquidity to meet obligations as they fall due.</w:t>
      </w:r>
    </w:p>
    <w:p w14:paraId="09ECF6FF" w14:textId="77777777" w:rsidR="00D5584F" w:rsidRPr="00872927" w:rsidRDefault="00D5584F" w:rsidP="00D5584F">
      <w:pPr>
        <w:keepLines/>
        <w:widowControl w:val="0"/>
        <w:autoSpaceDE w:val="0"/>
        <w:autoSpaceDN w:val="0"/>
        <w:adjustRightInd w:val="0"/>
        <w:spacing w:after="240" w:line="240" w:lineRule="auto"/>
        <w:jc w:val="both"/>
        <w:rPr>
          <w:rFonts w:ascii="Arial" w:hAnsi="Arial" w:cs="Arial"/>
          <w:sz w:val="24"/>
          <w:szCs w:val="24"/>
        </w:rPr>
      </w:pPr>
      <w:r w:rsidRPr="00872927">
        <w:rPr>
          <w:rFonts w:ascii="Arial" w:hAnsi="Arial" w:cs="Arial"/>
          <w:sz w:val="24"/>
          <w:szCs w:val="24"/>
        </w:rPr>
        <w:t>The Trust currently has no material investments.</w:t>
      </w:r>
    </w:p>
    <w:p w14:paraId="62CC37A0" w14:textId="77777777" w:rsidR="00D5584F" w:rsidRPr="00872927" w:rsidRDefault="00D5584F" w:rsidP="00D5584F">
      <w:pPr>
        <w:keepLines/>
        <w:widowControl w:val="0"/>
        <w:autoSpaceDE w:val="0"/>
        <w:autoSpaceDN w:val="0"/>
        <w:adjustRightInd w:val="0"/>
        <w:spacing w:after="240" w:line="240" w:lineRule="auto"/>
        <w:jc w:val="both"/>
        <w:rPr>
          <w:rFonts w:ascii="Arial" w:hAnsi="Arial" w:cs="Arial"/>
          <w:b/>
          <w:i/>
          <w:sz w:val="24"/>
          <w:szCs w:val="24"/>
        </w:rPr>
      </w:pPr>
      <w:r w:rsidRPr="00872927">
        <w:rPr>
          <w:rFonts w:ascii="Arial" w:hAnsi="Arial" w:cs="Arial"/>
          <w:sz w:val="24"/>
          <w:szCs w:val="24"/>
        </w:rPr>
        <w:t>Liquidity risk is managed by carefully forecasting and monitoring the short</w:t>
      </w:r>
      <w:r w:rsidR="0024491A">
        <w:rPr>
          <w:rFonts w:ascii="Arial" w:hAnsi="Arial" w:cs="Arial"/>
          <w:sz w:val="24"/>
          <w:szCs w:val="24"/>
        </w:rPr>
        <w:t xml:space="preserve"> term </w:t>
      </w:r>
      <w:r w:rsidRPr="00872927">
        <w:rPr>
          <w:rFonts w:ascii="Arial" w:hAnsi="Arial" w:cs="Arial"/>
          <w:sz w:val="24"/>
          <w:szCs w:val="24"/>
        </w:rPr>
        <w:t>and long term cash flows and ensuring the Trust has sufficient reserves and liquid investments to cover foreseeable requirements.</w:t>
      </w:r>
    </w:p>
    <w:p w14:paraId="4F7EEEA8" w14:textId="77777777" w:rsidR="00D5584F" w:rsidRPr="00872927" w:rsidRDefault="00D5584F" w:rsidP="00D5584F">
      <w:pPr>
        <w:keepLines/>
        <w:widowControl w:val="0"/>
        <w:autoSpaceDE w:val="0"/>
        <w:autoSpaceDN w:val="0"/>
        <w:adjustRightInd w:val="0"/>
        <w:spacing w:after="240" w:line="240" w:lineRule="auto"/>
        <w:jc w:val="both"/>
        <w:rPr>
          <w:rFonts w:ascii="Arial" w:hAnsi="Arial" w:cs="Arial"/>
          <w:sz w:val="24"/>
          <w:szCs w:val="24"/>
        </w:rPr>
      </w:pPr>
      <w:r w:rsidRPr="00872927">
        <w:rPr>
          <w:rFonts w:ascii="Arial" w:hAnsi="Arial" w:cs="Arial"/>
          <w:sz w:val="24"/>
          <w:szCs w:val="24"/>
        </w:rPr>
        <w:t>Credit risk on amounts owed to the Trust by its customers is low. Credit risk also arises from cash deposits with banks, and only independently rated parties with a minimum rating of ‘</w:t>
      </w:r>
      <w:proofErr w:type="gramStart"/>
      <w:r w:rsidRPr="00872927">
        <w:rPr>
          <w:rFonts w:ascii="Arial" w:hAnsi="Arial" w:cs="Arial"/>
          <w:sz w:val="24"/>
          <w:szCs w:val="24"/>
        </w:rPr>
        <w:t>A</w:t>
      </w:r>
      <w:proofErr w:type="gramEnd"/>
      <w:r w:rsidRPr="00872927">
        <w:rPr>
          <w:rFonts w:ascii="Arial" w:hAnsi="Arial" w:cs="Arial"/>
          <w:sz w:val="24"/>
          <w:szCs w:val="24"/>
        </w:rPr>
        <w:t>’ are accepted.</w:t>
      </w:r>
    </w:p>
    <w:p w14:paraId="539694B2" w14:textId="77777777" w:rsidR="00D5584F" w:rsidRPr="00872927" w:rsidRDefault="00D5584F" w:rsidP="00D5584F">
      <w:pPr>
        <w:keepLines/>
        <w:widowControl w:val="0"/>
        <w:autoSpaceDE w:val="0"/>
        <w:autoSpaceDN w:val="0"/>
        <w:adjustRightInd w:val="0"/>
        <w:spacing w:after="240" w:line="240" w:lineRule="auto"/>
        <w:jc w:val="both"/>
        <w:rPr>
          <w:rFonts w:ascii="Arial" w:hAnsi="Arial" w:cs="Arial"/>
          <w:sz w:val="24"/>
          <w:szCs w:val="24"/>
        </w:rPr>
      </w:pPr>
      <w:r w:rsidRPr="00872927">
        <w:rPr>
          <w:rFonts w:ascii="Arial" w:hAnsi="Arial" w:cs="Arial"/>
          <w:sz w:val="24"/>
          <w:szCs w:val="24"/>
        </w:rPr>
        <w:t>Interest rate cash flow control risks are mitigated as the Trust is able to place surplus funds on short term deposits.</w:t>
      </w:r>
    </w:p>
    <w:p w14:paraId="52D35F8F" w14:textId="77777777" w:rsidR="00D5584F" w:rsidRPr="00872927" w:rsidRDefault="00D5584F" w:rsidP="00D5584F">
      <w:pPr>
        <w:keepLines/>
        <w:widowControl w:val="0"/>
        <w:autoSpaceDE w:val="0"/>
        <w:autoSpaceDN w:val="0"/>
        <w:adjustRightInd w:val="0"/>
        <w:spacing w:after="240" w:line="240" w:lineRule="auto"/>
        <w:jc w:val="both"/>
        <w:rPr>
          <w:rFonts w:ascii="Arial" w:hAnsi="Arial" w:cs="Arial"/>
          <w:sz w:val="24"/>
          <w:szCs w:val="24"/>
        </w:rPr>
      </w:pPr>
      <w:r w:rsidRPr="00872927">
        <w:rPr>
          <w:rFonts w:ascii="Arial" w:hAnsi="Arial" w:cs="Arial"/>
          <w:sz w:val="24"/>
          <w:szCs w:val="24"/>
        </w:rPr>
        <w:t>The group has to date financed the majority of its operations through its reserves and has not required significant external funding. Du</w:t>
      </w:r>
      <w:r>
        <w:rPr>
          <w:rFonts w:ascii="Arial" w:hAnsi="Arial" w:cs="Arial"/>
          <w:sz w:val="24"/>
          <w:szCs w:val="24"/>
        </w:rPr>
        <w:t xml:space="preserve">ring the year a new loan facility was </w:t>
      </w:r>
      <w:r w:rsidRPr="00872927">
        <w:rPr>
          <w:rFonts w:ascii="Arial" w:hAnsi="Arial" w:cs="Arial"/>
          <w:sz w:val="24"/>
          <w:szCs w:val="24"/>
        </w:rPr>
        <w:t>negotiated with the Trust’s principal bank, with £3m remaining drawn down at 31</w:t>
      </w:r>
      <w:r>
        <w:rPr>
          <w:rFonts w:ascii="Arial" w:hAnsi="Arial" w:cs="Arial"/>
          <w:sz w:val="24"/>
          <w:szCs w:val="24"/>
        </w:rPr>
        <w:t xml:space="preserve"> August 2020. The </w:t>
      </w:r>
      <w:r w:rsidRPr="00872927">
        <w:rPr>
          <w:rFonts w:ascii="Arial" w:hAnsi="Arial" w:cs="Arial"/>
          <w:sz w:val="24"/>
          <w:szCs w:val="24"/>
        </w:rPr>
        <w:t xml:space="preserve">balance of external funding is </w:t>
      </w:r>
      <w:r>
        <w:rPr>
          <w:rFonts w:ascii="Arial" w:hAnsi="Arial" w:cs="Arial"/>
          <w:sz w:val="24"/>
          <w:szCs w:val="24"/>
        </w:rPr>
        <w:t xml:space="preserve">held </w:t>
      </w:r>
      <w:r w:rsidRPr="00872927">
        <w:rPr>
          <w:rFonts w:ascii="Arial" w:hAnsi="Arial" w:cs="Arial"/>
          <w:sz w:val="24"/>
          <w:szCs w:val="24"/>
        </w:rPr>
        <w:t>in Forth Sector.</w:t>
      </w:r>
    </w:p>
    <w:p w14:paraId="1205C433" w14:textId="77777777" w:rsidR="00D5584F" w:rsidRPr="00872927" w:rsidRDefault="00D5584F" w:rsidP="00D5584F">
      <w:pPr>
        <w:keepLines/>
        <w:widowControl w:val="0"/>
        <w:autoSpaceDE w:val="0"/>
        <w:autoSpaceDN w:val="0"/>
        <w:adjustRightInd w:val="0"/>
        <w:spacing w:after="240" w:line="240" w:lineRule="auto"/>
        <w:jc w:val="both"/>
        <w:rPr>
          <w:rFonts w:ascii="Arial" w:hAnsi="Arial" w:cs="Arial"/>
          <w:sz w:val="24"/>
          <w:szCs w:val="24"/>
        </w:rPr>
      </w:pPr>
      <w:r w:rsidRPr="00872927">
        <w:rPr>
          <w:rFonts w:ascii="Arial" w:hAnsi="Arial" w:cs="Arial"/>
          <w:sz w:val="24"/>
          <w:szCs w:val="24"/>
        </w:rPr>
        <w:t xml:space="preserve">The group does have a small foreign exchange risk arising from investments in charities operating in Poland and Romania and the Trust’s international activities. However, this risk is not material and </w:t>
      </w:r>
      <w:r w:rsidR="0024491A">
        <w:rPr>
          <w:rFonts w:ascii="Arial" w:hAnsi="Arial" w:cs="Arial"/>
          <w:sz w:val="24"/>
          <w:szCs w:val="24"/>
        </w:rPr>
        <w:t>therefore</w:t>
      </w:r>
      <w:r w:rsidRPr="00872927">
        <w:rPr>
          <w:rFonts w:ascii="Arial" w:hAnsi="Arial" w:cs="Arial"/>
          <w:sz w:val="24"/>
          <w:szCs w:val="24"/>
        </w:rPr>
        <w:t xml:space="preserve"> has not been hedged.</w:t>
      </w:r>
    </w:p>
    <w:p w14:paraId="02448470" w14:textId="77777777" w:rsidR="0024491A" w:rsidRDefault="0024491A" w:rsidP="0024491A">
      <w:pPr>
        <w:keepLines/>
        <w:widowControl w:val="0"/>
        <w:autoSpaceDE w:val="0"/>
        <w:autoSpaceDN w:val="0"/>
        <w:adjustRightInd w:val="0"/>
        <w:spacing w:after="240" w:line="240" w:lineRule="auto"/>
        <w:jc w:val="both"/>
        <w:rPr>
          <w:rFonts w:ascii="Arial" w:hAnsi="Arial" w:cs="Arial"/>
          <w:b/>
          <w:i/>
          <w:sz w:val="24"/>
          <w:szCs w:val="24"/>
        </w:rPr>
      </w:pPr>
    </w:p>
    <w:p w14:paraId="1999811A" w14:textId="77777777" w:rsidR="0024491A" w:rsidRDefault="0024491A" w:rsidP="0024491A">
      <w:pPr>
        <w:keepLines/>
        <w:widowControl w:val="0"/>
        <w:autoSpaceDE w:val="0"/>
        <w:autoSpaceDN w:val="0"/>
        <w:adjustRightInd w:val="0"/>
        <w:spacing w:after="240" w:line="240" w:lineRule="auto"/>
        <w:jc w:val="both"/>
        <w:rPr>
          <w:rFonts w:ascii="Arial" w:hAnsi="Arial" w:cs="Arial"/>
          <w:b/>
          <w:i/>
          <w:sz w:val="24"/>
          <w:szCs w:val="24"/>
        </w:rPr>
      </w:pPr>
    </w:p>
    <w:p w14:paraId="30FA6FB5" w14:textId="77777777" w:rsidR="0024491A" w:rsidRPr="00872927" w:rsidRDefault="0024491A" w:rsidP="0024491A">
      <w:pPr>
        <w:keepLines/>
        <w:widowControl w:val="0"/>
        <w:autoSpaceDE w:val="0"/>
        <w:autoSpaceDN w:val="0"/>
        <w:adjustRightInd w:val="0"/>
        <w:spacing w:after="240" w:line="240" w:lineRule="auto"/>
        <w:jc w:val="both"/>
        <w:rPr>
          <w:rFonts w:ascii="Arial" w:hAnsi="Arial" w:cs="Arial"/>
          <w:b/>
          <w:i/>
          <w:sz w:val="24"/>
          <w:szCs w:val="24"/>
        </w:rPr>
      </w:pPr>
      <w:r w:rsidRPr="00872927">
        <w:rPr>
          <w:rFonts w:ascii="Arial" w:hAnsi="Arial" w:cs="Arial"/>
          <w:b/>
          <w:i/>
          <w:sz w:val="24"/>
          <w:szCs w:val="24"/>
        </w:rPr>
        <w:lastRenderedPageBreak/>
        <w:t xml:space="preserve">2. </w:t>
      </w:r>
      <w:r w:rsidRPr="00872927">
        <w:rPr>
          <w:rFonts w:ascii="Arial" w:hAnsi="Arial" w:cs="Arial"/>
          <w:b/>
          <w:i/>
          <w:sz w:val="24"/>
          <w:szCs w:val="24"/>
        </w:rPr>
        <w:tab/>
        <w:t>Financial review (continued)</w:t>
      </w:r>
    </w:p>
    <w:p w14:paraId="129C3225" w14:textId="77777777" w:rsidR="00D5584F" w:rsidRPr="00872927" w:rsidRDefault="00D5584F" w:rsidP="00C85B50">
      <w:pPr>
        <w:keepLines/>
        <w:widowControl w:val="0"/>
        <w:autoSpaceDE w:val="0"/>
        <w:autoSpaceDN w:val="0"/>
        <w:adjustRightInd w:val="0"/>
        <w:spacing w:after="240" w:line="240" w:lineRule="auto"/>
        <w:jc w:val="both"/>
        <w:rPr>
          <w:rFonts w:ascii="Arial" w:hAnsi="Arial" w:cs="Arial"/>
          <w:sz w:val="24"/>
          <w:szCs w:val="24"/>
        </w:rPr>
      </w:pPr>
      <w:r w:rsidRPr="00872927">
        <w:rPr>
          <w:rFonts w:ascii="Arial" w:hAnsi="Arial" w:cs="Arial"/>
          <w:sz w:val="24"/>
          <w:szCs w:val="24"/>
        </w:rPr>
        <w:t>While the group does have significant concentrations of debt due from the UK central and local Government, the risk is not considered to be significant because of the credit rating of the institutions.</w:t>
      </w:r>
    </w:p>
    <w:p w14:paraId="0D3C828C" w14:textId="77777777" w:rsidR="00D5584F" w:rsidRPr="00DE7253" w:rsidRDefault="00D5584F" w:rsidP="00D5584F">
      <w:pPr>
        <w:keepLines/>
        <w:widowControl w:val="0"/>
        <w:autoSpaceDE w:val="0"/>
        <w:autoSpaceDN w:val="0"/>
        <w:adjustRightInd w:val="0"/>
        <w:spacing w:after="240" w:line="240" w:lineRule="auto"/>
        <w:jc w:val="both"/>
        <w:rPr>
          <w:rFonts w:ascii="Arial" w:hAnsi="Arial" w:cs="Arial"/>
          <w:b/>
          <w:sz w:val="24"/>
          <w:szCs w:val="24"/>
        </w:rPr>
      </w:pPr>
      <w:r w:rsidRPr="00DE7253">
        <w:rPr>
          <w:rFonts w:ascii="Arial" w:hAnsi="Arial" w:cs="Arial"/>
          <w:b/>
          <w:sz w:val="24"/>
          <w:szCs w:val="24"/>
        </w:rPr>
        <w:t>Streamlined Energy and Carbon Reporting</w:t>
      </w:r>
    </w:p>
    <w:p w14:paraId="6568E4D0" w14:textId="77777777" w:rsidR="00D5584F" w:rsidRPr="00DE7253" w:rsidRDefault="00D5584F" w:rsidP="00D5584F">
      <w:pPr>
        <w:keepLines/>
        <w:widowControl w:val="0"/>
        <w:autoSpaceDE w:val="0"/>
        <w:autoSpaceDN w:val="0"/>
        <w:adjustRightInd w:val="0"/>
        <w:spacing w:after="240" w:line="240" w:lineRule="auto"/>
        <w:jc w:val="both"/>
        <w:rPr>
          <w:rFonts w:ascii="Arial" w:hAnsi="Arial" w:cs="Arial"/>
          <w:sz w:val="24"/>
          <w:szCs w:val="24"/>
        </w:rPr>
      </w:pPr>
      <w:r w:rsidRPr="00DE7253">
        <w:rPr>
          <w:rFonts w:ascii="Arial" w:hAnsi="Arial" w:cs="Arial"/>
          <w:sz w:val="24"/>
          <w:szCs w:val="24"/>
        </w:rPr>
        <w:t>The Shaw Trust has prepared a report that achieves compliance with the Streamlined Energy and Carbon Reporting (SECR) framework requirements.</w:t>
      </w:r>
    </w:p>
    <w:p w14:paraId="041EE2FF" w14:textId="77777777" w:rsidR="00D5584F" w:rsidRPr="00DE7253" w:rsidRDefault="00D5584F" w:rsidP="00D5584F">
      <w:pPr>
        <w:jc w:val="both"/>
        <w:rPr>
          <w:rFonts w:ascii="Arial" w:hAnsi="Arial" w:cs="Arial"/>
          <w:b/>
          <w:bCs/>
          <w:sz w:val="24"/>
          <w:szCs w:val="24"/>
        </w:rPr>
      </w:pPr>
      <w:r w:rsidRPr="00DE7253">
        <w:rPr>
          <w:rFonts w:ascii="Arial" w:hAnsi="Arial" w:cs="Arial"/>
          <w:b/>
          <w:bCs/>
          <w:sz w:val="24"/>
          <w:szCs w:val="24"/>
        </w:rPr>
        <w:t>Greenhouse Gas (GHG) Emissions</w:t>
      </w:r>
    </w:p>
    <w:p w14:paraId="2FF7058A" w14:textId="77777777" w:rsidR="00D5584F" w:rsidRPr="00DE7253" w:rsidRDefault="00D5584F" w:rsidP="00D5584F">
      <w:pPr>
        <w:spacing w:after="240" w:line="240" w:lineRule="auto"/>
        <w:jc w:val="both"/>
        <w:rPr>
          <w:rFonts w:ascii="Arial" w:hAnsi="Arial" w:cs="Arial"/>
          <w:sz w:val="24"/>
          <w:szCs w:val="24"/>
        </w:rPr>
      </w:pPr>
      <w:r w:rsidRPr="00DE7253">
        <w:rPr>
          <w:rFonts w:ascii="Arial" w:hAnsi="Arial" w:cs="Arial"/>
          <w:sz w:val="24"/>
          <w:szCs w:val="24"/>
        </w:rPr>
        <w:t xml:space="preserve">In line with the Greenhouse Gas Protocol (GHG) Corporate Accounting and Reporting Standard, </w:t>
      </w:r>
      <w:r>
        <w:rPr>
          <w:rFonts w:ascii="Arial" w:hAnsi="Arial" w:cs="Arial"/>
          <w:sz w:val="24"/>
          <w:szCs w:val="24"/>
        </w:rPr>
        <w:t>The</w:t>
      </w:r>
      <w:r w:rsidRPr="00DE7253">
        <w:rPr>
          <w:rFonts w:ascii="Arial" w:hAnsi="Arial" w:cs="Arial"/>
          <w:sz w:val="24"/>
          <w:szCs w:val="24"/>
        </w:rPr>
        <w:t xml:space="preserve"> Trust has been engaged in a process aimed at reducing our energy and greenhouse gas emissions. </w:t>
      </w:r>
    </w:p>
    <w:p w14:paraId="329C3BC0" w14:textId="77777777" w:rsidR="00D5584F" w:rsidRPr="00DE7253" w:rsidRDefault="00D5584F" w:rsidP="00D5584F">
      <w:pPr>
        <w:spacing w:after="240" w:line="240" w:lineRule="auto"/>
        <w:jc w:val="both"/>
        <w:rPr>
          <w:rFonts w:ascii="Arial" w:hAnsi="Arial" w:cs="Arial"/>
          <w:sz w:val="24"/>
          <w:szCs w:val="24"/>
        </w:rPr>
      </w:pPr>
      <w:r>
        <w:rPr>
          <w:rFonts w:ascii="Arial" w:hAnsi="Arial" w:cs="Arial"/>
          <w:sz w:val="24"/>
          <w:szCs w:val="24"/>
        </w:rPr>
        <w:t>The Trust</w:t>
      </w:r>
      <w:r w:rsidRPr="00DE7253">
        <w:rPr>
          <w:rFonts w:ascii="Arial" w:hAnsi="Arial" w:cs="Arial"/>
          <w:sz w:val="24"/>
          <w:szCs w:val="24"/>
        </w:rPr>
        <w:t xml:space="preserve"> currently maintain</w:t>
      </w:r>
      <w:r>
        <w:rPr>
          <w:rFonts w:ascii="Arial" w:hAnsi="Arial" w:cs="Arial"/>
          <w:sz w:val="24"/>
          <w:szCs w:val="24"/>
        </w:rPr>
        <w:t>s</w:t>
      </w:r>
      <w:r w:rsidRPr="00DE7253">
        <w:rPr>
          <w:rFonts w:ascii="Arial" w:hAnsi="Arial" w:cs="Arial"/>
          <w:sz w:val="24"/>
          <w:szCs w:val="24"/>
        </w:rPr>
        <w:t xml:space="preserve"> both scope 1 &amp; 2 emissions, which are generated from our premises (offices, accommodation, and schools), and transport, respectively. We maintain transport emissions from leased company cars and “grey fleet” (personal cars used for business purposes, where staff mileage has been reimbursed). </w:t>
      </w:r>
    </w:p>
    <w:p w14:paraId="2EAD0C91" w14:textId="77777777" w:rsidR="00D5584F" w:rsidRPr="00DE7253" w:rsidRDefault="00D5584F" w:rsidP="00D5584F">
      <w:pPr>
        <w:spacing w:after="240" w:line="240" w:lineRule="auto"/>
        <w:jc w:val="both"/>
        <w:rPr>
          <w:rFonts w:ascii="Arial" w:hAnsi="Arial" w:cs="Arial"/>
          <w:sz w:val="24"/>
          <w:szCs w:val="24"/>
        </w:rPr>
      </w:pPr>
      <w:r>
        <w:rPr>
          <w:rFonts w:ascii="Arial" w:hAnsi="Arial" w:cs="Arial"/>
          <w:sz w:val="24"/>
          <w:szCs w:val="24"/>
        </w:rPr>
        <w:t>The Trust</w:t>
      </w:r>
      <w:r w:rsidRPr="00DE7253">
        <w:rPr>
          <w:rFonts w:ascii="Arial" w:hAnsi="Arial" w:cs="Arial"/>
          <w:sz w:val="24"/>
          <w:szCs w:val="24"/>
        </w:rPr>
        <w:t xml:space="preserve"> is currently devising a strategy to reduce our carbon footprint significantly including:</w:t>
      </w:r>
    </w:p>
    <w:p w14:paraId="3FC7EC05" w14:textId="77777777" w:rsidR="00D5584F" w:rsidRPr="00DE7253" w:rsidRDefault="00D5584F" w:rsidP="00D5584F">
      <w:pPr>
        <w:keepLines/>
        <w:widowControl w:val="0"/>
        <w:numPr>
          <w:ilvl w:val="0"/>
          <w:numId w:val="5"/>
        </w:numPr>
        <w:autoSpaceDE w:val="0"/>
        <w:autoSpaceDN w:val="0"/>
        <w:adjustRightInd w:val="0"/>
        <w:spacing w:after="240" w:line="240" w:lineRule="auto"/>
        <w:ind w:left="426" w:hanging="284"/>
        <w:jc w:val="both"/>
        <w:rPr>
          <w:rFonts w:ascii="Arial" w:hAnsi="Arial" w:cs="Arial"/>
          <w:sz w:val="24"/>
          <w:szCs w:val="24"/>
        </w:rPr>
      </w:pPr>
      <w:r w:rsidRPr="00DE7253">
        <w:rPr>
          <w:rFonts w:ascii="Arial" w:hAnsi="Arial" w:cs="Arial"/>
          <w:sz w:val="24"/>
          <w:szCs w:val="24"/>
        </w:rPr>
        <w:t>Encouraging employees to purchase renewable technology cars i.e., hybrids,</w:t>
      </w:r>
    </w:p>
    <w:p w14:paraId="73B65162" w14:textId="77777777" w:rsidR="00D5584F" w:rsidRPr="00DE7253" w:rsidRDefault="00D5584F" w:rsidP="00D5584F">
      <w:pPr>
        <w:keepLines/>
        <w:widowControl w:val="0"/>
        <w:numPr>
          <w:ilvl w:val="0"/>
          <w:numId w:val="5"/>
        </w:numPr>
        <w:autoSpaceDE w:val="0"/>
        <w:autoSpaceDN w:val="0"/>
        <w:adjustRightInd w:val="0"/>
        <w:spacing w:after="240" w:line="240" w:lineRule="auto"/>
        <w:ind w:left="426" w:hanging="284"/>
        <w:jc w:val="both"/>
        <w:rPr>
          <w:rFonts w:ascii="Arial" w:hAnsi="Arial" w:cs="Arial"/>
          <w:sz w:val="24"/>
          <w:szCs w:val="24"/>
        </w:rPr>
      </w:pPr>
      <w:r w:rsidRPr="00DE7253">
        <w:rPr>
          <w:rFonts w:ascii="Arial" w:hAnsi="Arial" w:cs="Arial"/>
          <w:sz w:val="24"/>
          <w:szCs w:val="24"/>
        </w:rPr>
        <w:t>Purchasing energy efficient equipment where appropriate in our premises,</w:t>
      </w:r>
    </w:p>
    <w:p w14:paraId="345D0713" w14:textId="77777777" w:rsidR="00D5584F" w:rsidRPr="00DE7253" w:rsidRDefault="00D5584F" w:rsidP="00D5584F">
      <w:pPr>
        <w:keepLines/>
        <w:widowControl w:val="0"/>
        <w:numPr>
          <w:ilvl w:val="0"/>
          <w:numId w:val="5"/>
        </w:numPr>
        <w:autoSpaceDE w:val="0"/>
        <w:autoSpaceDN w:val="0"/>
        <w:adjustRightInd w:val="0"/>
        <w:spacing w:after="240" w:line="240" w:lineRule="auto"/>
        <w:ind w:left="426" w:hanging="284"/>
        <w:jc w:val="both"/>
        <w:rPr>
          <w:rFonts w:ascii="Arial" w:hAnsi="Arial" w:cs="Arial"/>
          <w:sz w:val="24"/>
          <w:szCs w:val="24"/>
        </w:rPr>
      </w:pPr>
      <w:r w:rsidRPr="00DE7253">
        <w:rPr>
          <w:rFonts w:ascii="Arial" w:hAnsi="Arial" w:cs="Arial"/>
          <w:sz w:val="24"/>
          <w:szCs w:val="24"/>
        </w:rPr>
        <w:t>Replacing HVAC systems with energy-efficient equipment where possible,</w:t>
      </w:r>
    </w:p>
    <w:p w14:paraId="6FE54216" w14:textId="77777777" w:rsidR="00D5584F" w:rsidRPr="00DE7253" w:rsidRDefault="00D5584F" w:rsidP="00D5584F">
      <w:pPr>
        <w:keepLines/>
        <w:widowControl w:val="0"/>
        <w:numPr>
          <w:ilvl w:val="0"/>
          <w:numId w:val="5"/>
        </w:numPr>
        <w:autoSpaceDE w:val="0"/>
        <w:autoSpaceDN w:val="0"/>
        <w:adjustRightInd w:val="0"/>
        <w:spacing w:after="240" w:line="240" w:lineRule="auto"/>
        <w:ind w:left="426" w:hanging="284"/>
        <w:jc w:val="both"/>
        <w:rPr>
          <w:rFonts w:ascii="Arial" w:hAnsi="Arial" w:cs="Arial"/>
          <w:sz w:val="24"/>
          <w:szCs w:val="24"/>
        </w:rPr>
      </w:pPr>
      <w:r w:rsidRPr="00DE7253">
        <w:rPr>
          <w:rFonts w:ascii="Arial" w:hAnsi="Arial" w:cs="Arial"/>
          <w:sz w:val="24"/>
          <w:szCs w:val="24"/>
        </w:rPr>
        <w:t>Adopting behavioural change measures where possible.</w:t>
      </w:r>
    </w:p>
    <w:p w14:paraId="49252C32" w14:textId="77777777" w:rsidR="00D5584F" w:rsidRPr="00DE7253" w:rsidRDefault="00D5584F" w:rsidP="00D5584F">
      <w:pPr>
        <w:pStyle w:val="NoSpacing"/>
        <w:jc w:val="both"/>
        <w:rPr>
          <w:rFonts w:ascii="Arial" w:hAnsi="Arial" w:cs="Arial"/>
          <w:sz w:val="24"/>
          <w:szCs w:val="24"/>
        </w:rPr>
      </w:pPr>
      <w:r w:rsidRPr="00DE7253">
        <w:rPr>
          <w:rFonts w:ascii="Arial" w:hAnsi="Arial" w:cs="Arial"/>
          <w:sz w:val="24"/>
          <w:szCs w:val="24"/>
        </w:rPr>
        <w:t>We have a longstanding commitment to tackling climate change. Our calculated carbon footprint for our current financial year is 4,626 tCO2e, whilst energy consumption was 20,747,565 kWh (20,747 MWh).</w:t>
      </w:r>
    </w:p>
    <w:p w14:paraId="321D4AB7" w14:textId="77777777" w:rsidR="00D5584F" w:rsidRPr="00DE7253" w:rsidRDefault="00D5584F" w:rsidP="00D5584F">
      <w:pPr>
        <w:pStyle w:val="NoSpacing"/>
        <w:jc w:val="both"/>
        <w:rPr>
          <w:rFonts w:ascii="Arial" w:hAnsi="Arial" w:cs="Arial"/>
          <w:sz w:val="24"/>
          <w:szCs w:val="24"/>
        </w:rPr>
      </w:pPr>
    </w:p>
    <w:p w14:paraId="28C80C13" w14:textId="77777777" w:rsidR="00D5584F" w:rsidRPr="00DE7253" w:rsidRDefault="00D5584F" w:rsidP="00D5584F">
      <w:pPr>
        <w:pStyle w:val="NoSpacing"/>
        <w:jc w:val="both"/>
        <w:rPr>
          <w:rFonts w:ascii="Arial" w:hAnsi="Arial" w:cs="Arial"/>
          <w:b/>
          <w:bCs/>
          <w:sz w:val="24"/>
          <w:szCs w:val="24"/>
          <w:u w:val="single"/>
        </w:rPr>
      </w:pPr>
      <w:r w:rsidRPr="00DE7253">
        <w:rPr>
          <w:rFonts w:ascii="Arial" w:hAnsi="Arial" w:cs="Arial"/>
          <w:b/>
          <w:bCs/>
          <w:sz w:val="24"/>
          <w:szCs w:val="24"/>
          <w:u w:val="single"/>
        </w:rPr>
        <w:t>Methodology</w:t>
      </w:r>
    </w:p>
    <w:p w14:paraId="1D83F438" w14:textId="77777777" w:rsidR="00D5584F" w:rsidRPr="00DE7253" w:rsidRDefault="00D5584F" w:rsidP="00D5584F">
      <w:pPr>
        <w:pStyle w:val="NoSpacing"/>
        <w:jc w:val="both"/>
        <w:rPr>
          <w:rFonts w:ascii="Arial" w:hAnsi="Arial" w:cs="Arial"/>
          <w:sz w:val="24"/>
          <w:szCs w:val="24"/>
        </w:rPr>
      </w:pPr>
    </w:p>
    <w:p w14:paraId="6A3CCE79" w14:textId="77777777" w:rsidR="00D5584F" w:rsidRPr="00DE7253" w:rsidRDefault="00D5584F" w:rsidP="00D5584F">
      <w:pPr>
        <w:pStyle w:val="NoSpacing"/>
        <w:jc w:val="both"/>
        <w:rPr>
          <w:rFonts w:ascii="Arial" w:hAnsi="Arial" w:cs="Arial"/>
          <w:sz w:val="24"/>
          <w:szCs w:val="24"/>
        </w:rPr>
      </w:pPr>
      <w:r w:rsidRPr="00DE7253">
        <w:rPr>
          <w:rFonts w:ascii="Arial" w:hAnsi="Arial" w:cs="Arial"/>
          <w:sz w:val="24"/>
          <w:szCs w:val="24"/>
        </w:rPr>
        <w:t xml:space="preserve">We have reported all of emission sources under the Companies Act 2006 (Strategic Report and Director’s Reports) Regulations 2013 as required. We have calculated and reported our emissions in line with the GHG Protocol Corporate Accounting and Reporting Standard (revised edition) and emission factors from the UK Government's GHG Conversion Factors for Company Reporting 2020 (reference “Introduction guidance”).  </w:t>
      </w:r>
    </w:p>
    <w:p w14:paraId="39C9F8C2" w14:textId="77777777" w:rsidR="00D5584F" w:rsidRPr="00DE7253" w:rsidRDefault="00D5584F" w:rsidP="00D5584F">
      <w:pPr>
        <w:pStyle w:val="NoSpacing"/>
        <w:jc w:val="both"/>
        <w:rPr>
          <w:rFonts w:ascii="Arial" w:hAnsi="Arial" w:cs="Arial"/>
          <w:sz w:val="24"/>
          <w:szCs w:val="24"/>
        </w:rPr>
      </w:pPr>
    </w:p>
    <w:p w14:paraId="14590D89" w14:textId="77777777" w:rsidR="00D5584F" w:rsidRPr="00DE7253" w:rsidRDefault="00D5584F" w:rsidP="00D5584F">
      <w:pPr>
        <w:pStyle w:val="NoSpacing"/>
        <w:jc w:val="both"/>
        <w:rPr>
          <w:rFonts w:ascii="Arial" w:hAnsi="Arial" w:cs="Arial"/>
          <w:sz w:val="24"/>
          <w:szCs w:val="24"/>
        </w:rPr>
      </w:pPr>
      <w:r w:rsidRPr="00DE7253">
        <w:rPr>
          <w:rFonts w:ascii="Arial" w:hAnsi="Arial" w:cs="Arial"/>
          <w:sz w:val="24"/>
          <w:szCs w:val="24"/>
        </w:rPr>
        <w:t xml:space="preserve">The reporting period is the financial year 2019/2020, the same as that covered by the Annual Report and Financial Statements. The boundaries of the GHG inventory are defined using the operational control approach. In general, the emissions reported are the same as those which would be reported based on a financial control boundary. </w:t>
      </w:r>
    </w:p>
    <w:p w14:paraId="3768F931" w14:textId="77777777" w:rsidR="00D5584F" w:rsidRPr="00DE7253" w:rsidRDefault="00D5584F" w:rsidP="00D5584F">
      <w:pPr>
        <w:pStyle w:val="NoSpacing"/>
        <w:jc w:val="both"/>
        <w:rPr>
          <w:rFonts w:ascii="Arial" w:hAnsi="Arial" w:cs="Arial"/>
          <w:sz w:val="24"/>
          <w:szCs w:val="24"/>
        </w:rPr>
      </w:pPr>
    </w:p>
    <w:p w14:paraId="512C9E06" w14:textId="77777777" w:rsidR="00D5584F" w:rsidRPr="00DE7253" w:rsidRDefault="00D5584F" w:rsidP="00D5584F">
      <w:pPr>
        <w:pStyle w:val="NoSpacing"/>
        <w:jc w:val="both"/>
        <w:rPr>
          <w:rFonts w:ascii="Arial" w:hAnsi="Arial" w:cs="Arial"/>
          <w:b/>
          <w:bCs/>
          <w:sz w:val="24"/>
          <w:szCs w:val="24"/>
          <w:u w:val="single"/>
        </w:rPr>
      </w:pPr>
      <w:r w:rsidRPr="00DE7253">
        <w:rPr>
          <w:rFonts w:ascii="Arial" w:hAnsi="Arial" w:cs="Arial"/>
          <w:b/>
          <w:bCs/>
          <w:sz w:val="24"/>
          <w:szCs w:val="24"/>
          <w:u w:val="single"/>
        </w:rPr>
        <w:t>2019/2020 Emissions</w:t>
      </w:r>
    </w:p>
    <w:p w14:paraId="37B72220" w14:textId="77777777" w:rsidR="00D5584F" w:rsidRPr="00DE7253" w:rsidRDefault="00D5584F" w:rsidP="00D5584F">
      <w:pPr>
        <w:pStyle w:val="NoSpacing"/>
        <w:jc w:val="both"/>
        <w:rPr>
          <w:rFonts w:ascii="Arial" w:hAnsi="Arial" w:cs="Arial"/>
          <w:sz w:val="24"/>
          <w:szCs w:val="24"/>
        </w:rPr>
      </w:pPr>
    </w:p>
    <w:p w14:paraId="07A4E638" w14:textId="77777777" w:rsidR="00D5584F" w:rsidRDefault="00D5584F" w:rsidP="00D5584F">
      <w:pPr>
        <w:pStyle w:val="NoSpacing"/>
        <w:jc w:val="both"/>
        <w:rPr>
          <w:rFonts w:ascii="Arial" w:hAnsi="Arial" w:cs="Arial"/>
          <w:sz w:val="24"/>
          <w:szCs w:val="24"/>
          <w:u w:val="single"/>
        </w:rPr>
      </w:pPr>
      <w:r w:rsidRPr="00DE7253">
        <w:rPr>
          <w:rFonts w:ascii="Arial" w:hAnsi="Arial" w:cs="Arial"/>
          <w:sz w:val="24"/>
          <w:szCs w:val="24"/>
          <w:u w:val="single"/>
        </w:rPr>
        <w:t>Scope 1 (natural gas)</w:t>
      </w:r>
    </w:p>
    <w:p w14:paraId="5C20957C" w14:textId="77777777" w:rsidR="00D5584F" w:rsidRPr="00DE7253" w:rsidRDefault="00D5584F" w:rsidP="00D5584F">
      <w:pPr>
        <w:pStyle w:val="NoSpacing"/>
        <w:jc w:val="both"/>
        <w:rPr>
          <w:rFonts w:ascii="Arial" w:hAnsi="Arial" w:cs="Arial"/>
          <w:sz w:val="24"/>
          <w:szCs w:val="24"/>
          <w:u w:val="single"/>
        </w:rPr>
      </w:pPr>
      <w:r w:rsidRPr="00DE7253">
        <w:rPr>
          <w:rFonts w:ascii="Arial" w:hAnsi="Arial" w:cs="Arial"/>
          <w:sz w:val="24"/>
          <w:szCs w:val="24"/>
          <w:u w:val="single"/>
        </w:rPr>
        <w:t>Tonnes CO2 equivalent (tCO2e)</w:t>
      </w:r>
    </w:p>
    <w:p w14:paraId="69139727" w14:textId="77777777" w:rsidR="00D5584F" w:rsidRPr="00DE7253" w:rsidRDefault="00D5584F" w:rsidP="00D5584F">
      <w:pPr>
        <w:pStyle w:val="NoSpacing"/>
        <w:jc w:val="both"/>
        <w:rPr>
          <w:rFonts w:ascii="Arial" w:hAnsi="Arial" w:cs="Arial"/>
          <w:sz w:val="24"/>
          <w:szCs w:val="24"/>
        </w:rPr>
      </w:pPr>
      <w:r w:rsidRPr="00DE7253">
        <w:rPr>
          <w:rFonts w:ascii="Arial" w:hAnsi="Arial" w:cs="Arial"/>
          <w:sz w:val="24"/>
          <w:szCs w:val="24"/>
        </w:rPr>
        <w:tab/>
      </w:r>
      <w:r w:rsidRPr="00DE7253">
        <w:rPr>
          <w:rFonts w:ascii="Arial" w:hAnsi="Arial" w:cs="Arial"/>
          <w:sz w:val="24"/>
          <w:szCs w:val="24"/>
        </w:rPr>
        <w:tab/>
      </w:r>
      <w:r w:rsidRPr="00DE7253">
        <w:rPr>
          <w:rFonts w:ascii="Arial" w:hAnsi="Arial" w:cs="Arial"/>
          <w:sz w:val="24"/>
          <w:szCs w:val="24"/>
        </w:rPr>
        <w:tab/>
      </w:r>
      <w:r w:rsidRPr="00DE7253">
        <w:rPr>
          <w:rFonts w:ascii="Arial" w:hAnsi="Arial" w:cs="Arial"/>
          <w:sz w:val="24"/>
          <w:szCs w:val="24"/>
        </w:rPr>
        <w:tab/>
      </w:r>
      <w:r w:rsidRPr="00DE7253">
        <w:rPr>
          <w:rFonts w:ascii="Arial" w:hAnsi="Arial" w:cs="Arial"/>
          <w:sz w:val="24"/>
          <w:szCs w:val="24"/>
        </w:rPr>
        <w:tab/>
        <w:t>2,783</w:t>
      </w:r>
    </w:p>
    <w:p w14:paraId="2F9A9C98" w14:textId="77777777" w:rsidR="00D5584F" w:rsidRDefault="00D5584F" w:rsidP="00D5584F">
      <w:pPr>
        <w:pStyle w:val="NoSpacing"/>
        <w:jc w:val="both"/>
        <w:rPr>
          <w:rFonts w:ascii="Arial" w:hAnsi="Arial" w:cs="Arial"/>
          <w:sz w:val="24"/>
          <w:szCs w:val="24"/>
          <w:u w:val="single"/>
        </w:rPr>
      </w:pPr>
      <w:r w:rsidRPr="00DE7253">
        <w:rPr>
          <w:rFonts w:ascii="Arial" w:hAnsi="Arial" w:cs="Arial"/>
          <w:sz w:val="24"/>
          <w:szCs w:val="24"/>
          <w:u w:val="single"/>
        </w:rPr>
        <w:t>Scope 2</w:t>
      </w:r>
      <w:r>
        <w:rPr>
          <w:rFonts w:ascii="Arial" w:hAnsi="Arial" w:cs="Arial"/>
          <w:sz w:val="24"/>
          <w:szCs w:val="24"/>
          <w:u w:val="single"/>
        </w:rPr>
        <w:t xml:space="preserve"> (electricity)</w:t>
      </w:r>
    </w:p>
    <w:p w14:paraId="59763C7F" w14:textId="77777777" w:rsidR="00D5584F" w:rsidRPr="00DE7253" w:rsidRDefault="00D5584F" w:rsidP="00D5584F">
      <w:pPr>
        <w:pStyle w:val="NoSpacing"/>
        <w:jc w:val="both"/>
        <w:rPr>
          <w:rFonts w:ascii="Arial" w:hAnsi="Arial" w:cs="Arial"/>
          <w:sz w:val="24"/>
          <w:szCs w:val="24"/>
          <w:u w:val="single"/>
        </w:rPr>
      </w:pPr>
      <w:r w:rsidRPr="00DE7253">
        <w:rPr>
          <w:rFonts w:ascii="Arial" w:hAnsi="Arial" w:cs="Arial"/>
          <w:sz w:val="24"/>
          <w:szCs w:val="24"/>
          <w:u w:val="single"/>
        </w:rPr>
        <w:t>Tonnes CO2 equivalent (tCO2e)</w:t>
      </w:r>
    </w:p>
    <w:p w14:paraId="27FBC6B4" w14:textId="77777777" w:rsidR="00D5584F" w:rsidRPr="00DE7253" w:rsidRDefault="00D5584F" w:rsidP="00D5584F">
      <w:pPr>
        <w:pStyle w:val="NoSpacing"/>
        <w:jc w:val="both"/>
        <w:rPr>
          <w:rFonts w:ascii="Arial" w:hAnsi="Arial" w:cs="Arial"/>
          <w:sz w:val="24"/>
          <w:szCs w:val="24"/>
        </w:rPr>
      </w:pPr>
      <w:r w:rsidRPr="00DE7253">
        <w:rPr>
          <w:rFonts w:ascii="Arial" w:hAnsi="Arial" w:cs="Arial"/>
          <w:sz w:val="24"/>
          <w:szCs w:val="24"/>
        </w:rPr>
        <w:tab/>
      </w:r>
      <w:r w:rsidRPr="00DE7253">
        <w:rPr>
          <w:rFonts w:ascii="Arial" w:hAnsi="Arial" w:cs="Arial"/>
          <w:sz w:val="24"/>
          <w:szCs w:val="24"/>
        </w:rPr>
        <w:tab/>
      </w:r>
      <w:r w:rsidRPr="00DE7253">
        <w:rPr>
          <w:rFonts w:ascii="Arial" w:hAnsi="Arial" w:cs="Arial"/>
          <w:sz w:val="24"/>
          <w:szCs w:val="24"/>
        </w:rPr>
        <w:tab/>
      </w:r>
      <w:r w:rsidRPr="00DE7253">
        <w:rPr>
          <w:rFonts w:ascii="Arial" w:hAnsi="Arial" w:cs="Arial"/>
          <w:sz w:val="24"/>
          <w:szCs w:val="24"/>
        </w:rPr>
        <w:tab/>
      </w:r>
      <w:r w:rsidRPr="00DE7253">
        <w:rPr>
          <w:rFonts w:ascii="Arial" w:hAnsi="Arial" w:cs="Arial"/>
          <w:sz w:val="24"/>
          <w:szCs w:val="24"/>
        </w:rPr>
        <w:tab/>
        <w:t>1,375</w:t>
      </w:r>
    </w:p>
    <w:p w14:paraId="0102B6D2" w14:textId="77777777" w:rsidR="00D5584F" w:rsidRDefault="00D5584F" w:rsidP="00D5584F">
      <w:pPr>
        <w:pStyle w:val="NoSpacing"/>
        <w:jc w:val="both"/>
        <w:rPr>
          <w:rFonts w:ascii="Arial" w:hAnsi="Arial" w:cs="Arial"/>
          <w:sz w:val="24"/>
          <w:szCs w:val="24"/>
          <w:u w:val="single"/>
        </w:rPr>
      </w:pPr>
      <w:r w:rsidRPr="00DE7253">
        <w:rPr>
          <w:rFonts w:ascii="Arial" w:hAnsi="Arial" w:cs="Arial"/>
          <w:sz w:val="24"/>
          <w:szCs w:val="24"/>
          <w:u w:val="single"/>
        </w:rPr>
        <w:t>Scope 1 (transport)</w:t>
      </w:r>
    </w:p>
    <w:p w14:paraId="602C3815" w14:textId="77777777" w:rsidR="00D5584F" w:rsidRPr="00DE7253" w:rsidRDefault="00D5584F" w:rsidP="00D5584F">
      <w:pPr>
        <w:pStyle w:val="NoSpacing"/>
        <w:jc w:val="both"/>
        <w:rPr>
          <w:rFonts w:ascii="Arial" w:hAnsi="Arial" w:cs="Arial"/>
          <w:sz w:val="24"/>
          <w:szCs w:val="24"/>
          <w:u w:val="single"/>
        </w:rPr>
      </w:pPr>
      <w:r w:rsidRPr="00DE7253">
        <w:rPr>
          <w:rFonts w:ascii="Arial" w:hAnsi="Arial" w:cs="Arial"/>
          <w:sz w:val="24"/>
          <w:szCs w:val="24"/>
          <w:u w:val="single"/>
        </w:rPr>
        <w:t>Tonnes CO2 equivalent (tCO2e)</w:t>
      </w:r>
    </w:p>
    <w:p w14:paraId="1B705466" w14:textId="77777777" w:rsidR="00D5584F" w:rsidRPr="00DE7253" w:rsidRDefault="00D5584F" w:rsidP="00D5584F">
      <w:pPr>
        <w:pStyle w:val="NoSpacing"/>
        <w:jc w:val="both"/>
        <w:rPr>
          <w:rFonts w:ascii="Arial" w:hAnsi="Arial" w:cs="Arial"/>
          <w:sz w:val="24"/>
          <w:szCs w:val="24"/>
        </w:rPr>
      </w:pPr>
      <w:r w:rsidRPr="00DE7253">
        <w:rPr>
          <w:rFonts w:ascii="Arial" w:hAnsi="Arial" w:cs="Arial"/>
          <w:sz w:val="24"/>
          <w:szCs w:val="24"/>
        </w:rPr>
        <w:tab/>
      </w:r>
      <w:r w:rsidRPr="00DE7253">
        <w:rPr>
          <w:rFonts w:ascii="Arial" w:hAnsi="Arial" w:cs="Arial"/>
          <w:sz w:val="24"/>
          <w:szCs w:val="24"/>
        </w:rPr>
        <w:tab/>
      </w:r>
      <w:r w:rsidRPr="00DE7253">
        <w:rPr>
          <w:rFonts w:ascii="Arial" w:hAnsi="Arial" w:cs="Arial"/>
          <w:sz w:val="24"/>
          <w:szCs w:val="24"/>
        </w:rPr>
        <w:tab/>
      </w:r>
      <w:r w:rsidRPr="00DE7253">
        <w:rPr>
          <w:rFonts w:ascii="Arial" w:hAnsi="Arial" w:cs="Arial"/>
          <w:sz w:val="24"/>
          <w:szCs w:val="24"/>
        </w:rPr>
        <w:tab/>
      </w:r>
      <w:r w:rsidRPr="00DE7253">
        <w:rPr>
          <w:rFonts w:ascii="Arial" w:hAnsi="Arial" w:cs="Arial"/>
          <w:sz w:val="24"/>
          <w:szCs w:val="24"/>
        </w:rPr>
        <w:tab/>
      </w:r>
      <w:r>
        <w:rPr>
          <w:rFonts w:ascii="Arial" w:hAnsi="Arial" w:cs="Arial"/>
          <w:sz w:val="24"/>
          <w:szCs w:val="24"/>
        </w:rPr>
        <w:t xml:space="preserve">   </w:t>
      </w:r>
      <w:r w:rsidRPr="00DE7253">
        <w:rPr>
          <w:rFonts w:ascii="Arial" w:hAnsi="Arial" w:cs="Arial"/>
          <w:sz w:val="24"/>
          <w:szCs w:val="24"/>
        </w:rPr>
        <w:t>468</w:t>
      </w:r>
    </w:p>
    <w:p w14:paraId="3F629908" w14:textId="77777777" w:rsidR="00D5584F" w:rsidRDefault="00D5584F" w:rsidP="00D5584F">
      <w:pPr>
        <w:pStyle w:val="NoSpacing"/>
        <w:jc w:val="both"/>
        <w:rPr>
          <w:rFonts w:ascii="Arial" w:hAnsi="Arial" w:cs="Arial"/>
          <w:sz w:val="24"/>
          <w:szCs w:val="24"/>
          <w:u w:val="single"/>
        </w:rPr>
      </w:pPr>
      <w:r w:rsidRPr="00DE7253">
        <w:rPr>
          <w:rFonts w:ascii="Arial" w:hAnsi="Arial" w:cs="Arial"/>
          <w:b/>
          <w:bCs/>
          <w:sz w:val="24"/>
          <w:szCs w:val="24"/>
        </w:rPr>
        <w:t>Total</w:t>
      </w:r>
      <w:r w:rsidRPr="00725E04">
        <w:rPr>
          <w:rFonts w:ascii="Arial" w:hAnsi="Arial" w:cs="Arial"/>
          <w:sz w:val="24"/>
          <w:szCs w:val="24"/>
          <w:u w:val="single"/>
        </w:rPr>
        <w:t xml:space="preserve"> </w:t>
      </w:r>
    </w:p>
    <w:p w14:paraId="4495A8CA" w14:textId="77777777" w:rsidR="00D5584F" w:rsidRPr="00DE7253" w:rsidRDefault="00D5584F" w:rsidP="00D5584F">
      <w:pPr>
        <w:pStyle w:val="NoSpacing"/>
        <w:jc w:val="both"/>
        <w:rPr>
          <w:rFonts w:ascii="Arial" w:hAnsi="Arial" w:cs="Arial"/>
          <w:sz w:val="24"/>
          <w:szCs w:val="24"/>
          <w:u w:val="single"/>
        </w:rPr>
      </w:pPr>
      <w:r w:rsidRPr="00DE7253">
        <w:rPr>
          <w:rFonts w:ascii="Arial" w:hAnsi="Arial" w:cs="Arial"/>
          <w:sz w:val="24"/>
          <w:szCs w:val="24"/>
          <w:u w:val="single"/>
        </w:rPr>
        <w:t>Tonnes CO2 equivalent (tCO2e)</w:t>
      </w:r>
    </w:p>
    <w:p w14:paraId="3C7921E7" w14:textId="77777777" w:rsidR="00D5584F" w:rsidRPr="00DE7253" w:rsidRDefault="00D5584F" w:rsidP="00D5584F">
      <w:pPr>
        <w:pStyle w:val="NoSpacing"/>
        <w:jc w:val="both"/>
        <w:rPr>
          <w:rFonts w:ascii="Arial" w:hAnsi="Arial" w:cs="Arial"/>
          <w:b/>
          <w:bCs/>
          <w:sz w:val="24"/>
          <w:szCs w:val="24"/>
        </w:rPr>
      </w:pP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sidRPr="00DE7253">
        <w:rPr>
          <w:rFonts w:ascii="Arial" w:hAnsi="Arial" w:cs="Arial"/>
          <w:b/>
          <w:bCs/>
          <w:sz w:val="24"/>
          <w:szCs w:val="24"/>
        </w:rPr>
        <w:tab/>
      </w:r>
      <w:r>
        <w:rPr>
          <w:rFonts w:ascii="Arial" w:hAnsi="Arial" w:cs="Arial"/>
          <w:b/>
          <w:bCs/>
          <w:sz w:val="24"/>
          <w:szCs w:val="24"/>
        </w:rPr>
        <w:tab/>
      </w:r>
      <w:r w:rsidRPr="00DE7253">
        <w:rPr>
          <w:rFonts w:ascii="Arial" w:hAnsi="Arial" w:cs="Arial"/>
          <w:b/>
          <w:bCs/>
          <w:sz w:val="24"/>
          <w:szCs w:val="24"/>
        </w:rPr>
        <w:t>4,626</w:t>
      </w:r>
    </w:p>
    <w:p w14:paraId="0E167090" w14:textId="77777777" w:rsidR="00D5584F" w:rsidRPr="00DE7253" w:rsidRDefault="00D5584F" w:rsidP="00D5584F">
      <w:pPr>
        <w:pStyle w:val="NoSpacing"/>
        <w:jc w:val="both"/>
        <w:rPr>
          <w:rFonts w:ascii="Arial" w:hAnsi="Arial" w:cs="Arial"/>
          <w:sz w:val="24"/>
          <w:szCs w:val="24"/>
        </w:rPr>
      </w:pPr>
    </w:p>
    <w:p w14:paraId="0DE90F65" w14:textId="77777777" w:rsidR="00D5584F" w:rsidRDefault="00D5584F" w:rsidP="00D5584F">
      <w:pPr>
        <w:pStyle w:val="NoSpacing"/>
        <w:jc w:val="both"/>
        <w:rPr>
          <w:rFonts w:ascii="Arial" w:hAnsi="Arial" w:cs="Arial"/>
          <w:b/>
          <w:bCs/>
          <w:sz w:val="24"/>
          <w:szCs w:val="24"/>
          <w:u w:val="single"/>
        </w:rPr>
      </w:pPr>
    </w:p>
    <w:p w14:paraId="41004951" w14:textId="77777777" w:rsidR="00D5584F" w:rsidRPr="00872927" w:rsidRDefault="00D5584F" w:rsidP="00D5584F">
      <w:pPr>
        <w:keepLines/>
        <w:widowControl w:val="0"/>
        <w:autoSpaceDE w:val="0"/>
        <w:autoSpaceDN w:val="0"/>
        <w:adjustRightInd w:val="0"/>
        <w:spacing w:after="240" w:line="240" w:lineRule="auto"/>
        <w:jc w:val="both"/>
        <w:rPr>
          <w:rFonts w:ascii="Arial" w:hAnsi="Arial" w:cs="Arial"/>
          <w:b/>
          <w:i/>
          <w:sz w:val="24"/>
          <w:szCs w:val="24"/>
        </w:rPr>
      </w:pPr>
      <w:r w:rsidRPr="00872927">
        <w:rPr>
          <w:rFonts w:ascii="Arial" w:hAnsi="Arial" w:cs="Arial"/>
          <w:b/>
          <w:i/>
          <w:sz w:val="24"/>
          <w:szCs w:val="24"/>
        </w:rPr>
        <w:lastRenderedPageBreak/>
        <w:t xml:space="preserve">2. </w:t>
      </w:r>
      <w:r w:rsidRPr="00872927">
        <w:rPr>
          <w:rFonts w:ascii="Arial" w:hAnsi="Arial" w:cs="Arial"/>
          <w:b/>
          <w:i/>
          <w:sz w:val="24"/>
          <w:szCs w:val="24"/>
        </w:rPr>
        <w:tab/>
        <w:t>Financial review (continued)</w:t>
      </w:r>
    </w:p>
    <w:p w14:paraId="43098809" w14:textId="77777777" w:rsidR="00D5584F" w:rsidRDefault="00D5584F" w:rsidP="00D5584F">
      <w:pPr>
        <w:pStyle w:val="NoSpacing"/>
        <w:jc w:val="both"/>
        <w:rPr>
          <w:rFonts w:ascii="Arial" w:hAnsi="Arial" w:cs="Arial"/>
          <w:b/>
          <w:bCs/>
          <w:sz w:val="24"/>
          <w:szCs w:val="24"/>
          <w:u w:val="single"/>
        </w:rPr>
      </w:pPr>
      <w:r w:rsidRPr="004324E7">
        <w:rPr>
          <w:rFonts w:ascii="Arial" w:hAnsi="Arial" w:cs="Arial"/>
          <w:b/>
          <w:bCs/>
          <w:sz w:val="24"/>
          <w:szCs w:val="24"/>
          <w:u w:val="single"/>
        </w:rPr>
        <w:t>Intensity Ratio</w:t>
      </w:r>
    </w:p>
    <w:p w14:paraId="5FB4926A" w14:textId="77777777" w:rsidR="00D5584F" w:rsidRPr="004324E7" w:rsidRDefault="00D5584F" w:rsidP="00D5584F">
      <w:pPr>
        <w:pStyle w:val="NoSpacing"/>
        <w:jc w:val="both"/>
        <w:rPr>
          <w:rFonts w:ascii="Arial" w:hAnsi="Arial" w:cs="Arial"/>
          <w:b/>
          <w:bCs/>
          <w:sz w:val="24"/>
          <w:szCs w:val="24"/>
          <w:u w:val="single"/>
        </w:rPr>
      </w:pPr>
    </w:p>
    <w:p w14:paraId="2D61E1D9" w14:textId="77777777" w:rsidR="00D5584F" w:rsidRDefault="00D5584F" w:rsidP="00D5584F">
      <w:pPr>
        <w:pStyle w:val="NoSpacing"/>
        <w:jc w:val="both"/>
        <w:rPr>
          <w:rFonts w:ascii="Arial" w:hAnsi="Arial" w:cs="Arial"/>
          <w:sz w:val="24"/>
          <w:szCs w:val="24"/>
        </w:rPr>
      </w:pPr>
      <w:r w:rsidRPr="00DE7253">
        <w:rPr>
          <w:rFonts w:ascii="Arial" w:hAnsi="Arial" w:cs="Arial"/>
          <w:sz w:val="24"/>
          <w:szCs w:val="24"/>
        </w:rPr>
        <w:t xml:space="preserve">Scope 1 and scope 2 carbon intensity metric </w:t>
      </w:r>
      <w:r>
        <w:rPr>
          <w:rFonts w:ascii="Arial" w:hAnsi="Arial" w:cs="Arial"/>
          <w:sz w:val="24"/>
          <w:szCs w:val="24"/>
        </w:rPr>
        <w:t>based on the number of clients (including pupils) supported by the Trust during the financial year:</w:t>
      </w:r>
    </w:p>
    <w:p w14:paraId="1F22068B" w14:textId="77777777" w:rsidR="00D5584F" w:rsidRPr="00DE7253" w:rsidRDefault="00D5584F" w:rsidP="00D5584F">
      <w:pPr>
        <w:pStyle w:val="NoSpacing"/>
        <w:jc w:val="both"/>
        <w:rPr>
          <w:rFonts w:ascii="Arial" w:hAnsi="Arial" w:cs="Arial"/>
          <w:sz w:val="24"/>
          <w:szCs w:val="24"/>
        </w:rPr>
      </w:pPr>
      <w:r>
        <w:rPr>
          <w:rFonts w:ascii="Arial" w:hAnsi="Arial" w:cs="Arial"/>
          <w:sz w:val="24"/>
          <w:szCs w:val="24"/>
        </w:rPr>
        <w:t xml:space="preserve">4,626 tCO2e / 292,000 clients </w:t>
      </w:r>
      <w:r w:rsidRPr="00DE7253">
        <w:rPr>
          <w:rFonts w:ascii="Arial" w:hAnsi="Arial" w:cs="Arial"/>
          <w:sz w:val="24"/>
          <w:szCs w:val="24"/>
        </w:rPr>
        <w:t xml:space="preserve">= </w:t>
      </w:r>
      <w:r>
        <w:rPr>
          <w:rFonts w:ascii="Arial" w:hAnsi="Arial" w:cs="Arial"/>
          <w:sz w:val="24"/>
          <w:szCs w:val="24"/>
        </w:rPr>
        <w:t>0.016 tCO2e per client</w:t>
      </w:r>
      <w:r w:rsidRPr="00DE7253">
        <w:rPr>
          <w:rFonts w:ascii="Arial" w:hAnsi="Arial" w:cs="Arial"/>
          <w:sz w:val="24"/>
          <w:szCs w:val="24"/>
        </w:rPr>
        <w:t xml:space="preserve">. </w:t>
      </w:r>
      <w:r w:rsidRPr="00DE7253">
        <w:rPr>
          <w:rFonts w:ascii="Arial" w:hAnsi="Arial" w:cs="Arial"/>
          <w:sz w:val="24"/>
          <w:szCs w:val="24"/>
        </w:rPr>
        <w:tab/>
        <w:t xml:space="preserve">  </w:t>
      </w:r>
    </w:p>
    <w:p w14:paraId="7761CBA0" w14:textId="77777777" w:rsidR="00D5584F" w:rsidRPr="00DE7253" w:rsidRDefault="00D5584F" w:rsidP="00D5584F">
      <w:pPr>
        <w:pStyle w:val="NoSpacing"/>
        <w:jc w:val="both"/>
        <w:rPr>
          <w:rFonts w:ascii="Arial" w:hAnsi="Arial" w:cs="Arial"/>
          <w:sz w:val="24"/>
          <w:szCs w:val="24"/>
        </w:rPr>
      </w:pPr>
    </w:p>
    <w:p w14:paraId="7DCD9DC0" w14:textId="77777777" w:rsidR="00D5584F" w:rsidRPr="00DE7253" w:rsidRDefault="00D5584F" w:rsidP="00D5584F">
      <w:pPr>
        <w:pStyle w:val="NoSpacing"/>
        <w:jc w:val="both"/>
        <w:rPr>
          <w:rFonts w:ascii="Arial" w:hAnsi="Arial" w:cs="Arial"/>
          <w:b/>
          <w:bCs/>
          <w:sz w:val="24"/>
          <w:szCs w:val="24"/>
          <w:u w:val="single"/>
        </w:rPr>
      </w:pPr>
      <w:r w:rsidRPr="00DE7253">
        <w:rPr>
          <w:rFonts w:ascii="Arial" w:hAnsi="Arial" w:cs="Arial"/>
          <w:b/>
          <w:bCs/>
          <w:sz w:val="24"/>
          <w:szCs w:val="24"/>
          <w:u w:val="single"/>
        </w:rPr>
        <w:t>Total Emissions</w:t>
      </w:r>
    </w:p>
    <w:p w14:paraId="5429CCDA" w14:textId="77777777" w:rsidR="00D5584F" w:rsidRPr="00DE7253" w:rsidRDefault="00D5584F" w:rsidP="00D5584F">
      <w:pPr>
        <w:pStyle w:val="NoSpacing"/>
        <w:jc w:val="both"/>
        <w:rPr>
          <w:rFonts w:ascii="Arial" w:hAnsi="Arial" w:cs="Arial"/>
          <w:sz w:val="24"/>
          <w:szCs w:val="24"/>
        </w:rPr>
      </w:pPr>
    </w:p>
    <w:p w14:paraId="62A4BC02" w14:textId="77777777" w:rsidR="00D5584F" w:rsidRDefault="00D5584F" w:rsidP="00D5584F">
      <w:pPr>
        <w:pStyle w:val="NoSpacing"/>
        <w:jc w:val="both"/>
        <w:rPr>
          <w:rFonts w:ascii="Arial" w:hAnsi="Arial" w:cs="Arial"/>
          <w:sz w:val="24"/>
          <w:szCs w:val="24"/>
          <w:u w:val="single"/>
        </w:rPr>
      </w:pPr>
      <w:r w:rsidRPr="00DE7253">
        <w:rPr>
          <w:rFonts w:ascii="Arial" w:hAnsi="Arial" w:cs="Arial"/>
          <w:sz w:val="24"/>
          <w:szCs w:val="24"/>
          <w:u w:val="single"/>
        </w:rPr>
        <w:t>Efficiency Measures Taken</w:t>
      </w:r>
    </w:p>
    <w:p w14:paraId="64CD7962" w14:textId="77777777" w:rsidR="00D5584F" w:rsidRPr="00DE7253" w:rsidRDefault="00D5584F" w:rsidP="00D5584F">
      <w:pPr>
        <w:pStyle w:val="NoSpacing"/>
        <w:jc w:val="both"/>
        <w:rPr>
          <w:rFonts w:ascii="Arial" w:hAnsi="Arial" w:cs="Arial"/>
          <w:sz w:val="24"/>
          <w:szCs w:val="24"/>
          <w:u w:val="single"/>
        </w:rPr>
      </w:pPr>
    </w:p>
    <w:p w14:paraId="39B68A94" w14:textId="77777777" w:rsidR="00D5584F" w:rsidRPr="00DE7253" w:rsidRDefault="00D5584F" w:rsidP="00D5584F">
      <w:pPr>
        <w:pStyle w:val="NoSpacing"/>
        <w:numPr>
          <w:ilvl w:val="0"/>
          <w:numId w:val="21"/>
        </w:numPr>
        <w:jc w:val="both"/>
        <w:rPr>
          <w:rFonts w:ascii="Arial" w:hAnsi="Arial" w:cs="Arial"/>
          <w:sz w:val="24"/>
          <w:szCs w:val="24"/>
        </w:rPr>
      </w:pPr>
      <w:r w:rsidRPr="00DE7253">
        <w:rPr>
          <w:rFonts w:ascii="Arial" w:hAnsi="Arial" w:cs="Arial"/>
          <w:sz w:val="24"/>
          <w:szCs w:val="24"/>
        </w:rPr>
        <w:t>Replaced aging premises equipment with energy-efficient products.</w:t>
      </w:r>
    </w:p>
    <w:p w14:paraId="2AEF31C6" w14:textId="77777777" w:rsidR="00D5584F" w:rsidRPr="00DE7253" w:rsidRDefault="00D5584F" w:rsidP="00D5584F">
      <w:pPr>
        <w:pStyle w:val="NoSpacing"/>
        <w:numPr>
          <w:ilvl w:val="0"/>
          <w:numId w:val="21"/>
        </w:numPr>
        <w:jc w:val="both"/>
        <w:rPr>
          <w:rFonts w:ascii="Arial" w:hAnsi="Arial" w:cs="Arial"/>
          <w:sz w:val="24"/>
          <w:szCs w:val="24"/>
        </w:rPr>
      </w:pPr>
      <w:r w:rsidRPr="00DE7253">
        <w:rPr>
          <w:rFonts w:ascii="Arial" w:hAnsi="Arial" w:cs="Arial"/>
          <w:sz w:val="24"/>
          <w:szCs w:val="24"/>
        </w:rPr>
        <w:t>Expanded video conferencing and online meetings (as opposed to F2F meetings).</w:t>
      </w:r>
    </w:p>
    <w:p w14:paraId="355542E3" w14:textId="77777777" w:rsidR="00D5584F" w:rsidRPr="00DE7253" w:rsidRDefault="00D5584F" w:rsidP="00D5584F">
      <w:pPr>
        <w:pStyle w:val="NoSpacing"/>
        <w:numPr>
          <w:ilvl w:val="0"/>
          <w:numId w:val="21"/>
        </w:numPr>
        <w:jc w:val="both"/>
        <w:rPr>
          <w:rFonts w:ascii="Arial" w:hAnsi="Arial" w:cs="Arial"/>
          <w:sz w:val="24"/>
          <w:szCs w:val="24"/>
        </w:rPr>
      </w:pPr>
      <w:r w:rsidRPr="00DE7253">
        <w:rPr>
          <w:rFonts w:ascii="Arial" w:hAnsi="Arial" w:cs="Arial"/>
          <w:sz w:val="24"/>
          <w:szCs w:val="24"/>
        </w:rPr>
        <w:t>Upgraded lighting portfolio to LED’s where possible.</w:t>
      </w:r>
    </w:p>
    <w:p w14:paraId="22F3BCA8" w14:textId="77777777" w:rsidR="00D5584F" w:rsidRPr="00DE7253" w:rsidRDefault="00D5584F" w:rsidP="00D5584F">
      <w:pPr>
        <w:pStyle w:val="NoSpacing"/>
        <w:jc w:val="both"/>
        <w:rPr>
          <w:rFonts w:ascii="Arial" w:hAnsi="Arial" w:cs="Arial"/>
          <w:sz w:val="24"/>
          <w:szCs w:val="24"/>
        </w:rPr>
      </w:pPr>
    </w:p>
    <w:p w14:paraId="7B9949BA" w14:textId="77777777" w:rsidR="00D5584F" w:rsidRDefault="00D5584F" w:rsidP="00D5584F">
      <w:pPr>
        <w:pStyle w:val="NoSpacing"/>
        <w:jc w:val="both"/>
        <w:rPr>
          <w:rFonts w:ascii="Arial" w:hAnsi="Arial" w:cs="Arial"/>
          <w:sz w:val="24"/>
          <w:szCs w:val="24"/>
          <w:u w:val="single"/>
        </w:rPr>
      </w:pPr>
      <w:r w:rsidRPr="00DE7253">
        <w:rPr>
          <w:rFonts w:ascii="Arial" w:hAnsi="Arial" w:cs="Arial"/>
          <w:sz w:val="24"/>
          <w:szCs w:val="24"/>
          <w:u w:val="single"/>
        </w:rPr>
        <w:t>Objectives for 2020/2021</w:t>
      </w:r>
    </w:p>
    <w:p w14:paraId="42AE5676" w14:textId="77777777" w:rsidR="00D5584F" w:rsidRPr="00DE7253" w:rsidRDefault="00D5584F" w:rsidP="00D5584F">
      <w:pPr>
        <w:pStyle w:val="NoSpacing"/>
        <w:jc w:val="both"/>
        <w:rPr>
          <w:rFonts w:ascii="Arial" w:hAnsi="Arial" w:cs="Arial"/>
          <w:sz w:val="24"/>
          <w:szCs w:val="24"/>
          <w:u w:val="single"/>
        </w:rPr>
      </w:pPr>
    </w:p>
    <w:p w14:paraId="3537CA4E" w14:textId="77777777" w:rsidR="00D5584F" w:rsidRPr="00DE7253" w:rsidRDefault="00D5584F" w:rsidP="00D5584F">
      <w:pPr>
        <w:pStyle w:val="NoSpacing"/>
        <w:numPr>
          <w:ilvl w:val="0"/>
          <w:numId w:val="22"/>
        </w:numPr>
        <w:jc w:val="both"/>
        <w:rPr>
          <w:rFonts w:ascii="Arial" w:hAnsi="Arial" w:cs="Arial"/>
          <w:sz w:val="24"/>
          <w:szCs w:val="24"/>
        </w:rPr>
      </w:pPr>
      <w:r w:rsidRPr="00DE7253">
        <w:rPr>
          <w:rFonts w:ascii="Arial" w:hAnsi="Arial" w:cs="Arial"/>
          <w:sz w:val="24"/>
          <w:szCs w:val="24"/>
        </w:rPr>
        <w:t>Reduce our baseline electricity and gas consumption year on year.</w:t>
      </w:r>
    </w:p>
    <w:p w14:paraId="3858D938" w14:textId="77777777" w:rsidR="00D5584F" w:rsidRPr="00DE7253" w:rsidRDefault="00D5584F" w:rsidP="00D5584F">
      <w:pPr>
        <w:pStyle w:val="NoSpacing"/>
        <w:numPr>
          <w:ilvl w:val="0"/>
          <w:numId w:val="22"/>
        </w:numPr>
        <w:jc w:val="both"/>
        <w:rPr>
          <w:rFonts w:ascii="Arial" w:hAnsi="Arial" w:cs="Arial"/>
          <w:sz w:val="24"/>
          <w:szCs w:val="24"/>
        </w:rPr>
      </w:pPr>
      <w:r w:rsidRPr="00DE7253">
        <w:rPr>
          <w:rFonts w:ascii="Arial" w:hAnsi="Arial" w:cs="Arial"/>
          <w:sz w:val="24"/>
          <w:szCs w:val="24"/>
        </w:rPr>
        <w:t>Continual review of existing equipment and company policies.</w:t>
      </w:r>
    </w:p>
    <w:p w14:paraId="43920CBD" w14:textId="77777777" w:rsidR="00D5584F" w:rsidRPr="00DE7253" w:rsidRDefault="00D5584F" w:rsidP="00D5584F">
      <w:pPr>
        <w:pStyle w:val="NoSpacing"/>
        <w:numPr>
          <w:ilvl w:val="0"/>
          <w:numId w:val="22"/>
        </w:numPr>
        <w:jc w:val="both"/>
        <w:rPr>
          <w:rFonts w:ascii="Arial" w:hAnsi="Arial" w:cs="Arial"/>
          <w:sz w:val="24"/>
          <w:szCs w:val="24"/>
        </w:rPr>
      </w:pPr>
      <w:r w:rsidRPr="00DE7253">
        <w:rPr>
          <w:rFonts w:ascii="Arial" w:hAnsi="Arial" w:cs="Arial"/>
          <w:sz w:val="24"/>
          <w:szCs w:val="24"/>
        </w:rPr>
        <w:t>Reviewing supply contracts to determine feasibility of renewable energy.</w:t>
      </w:r>
    </w:p>
    <w:p w14:paraId="54FF8EDE" w14:textId="77777777" w:rsidR="00D5584F" w:rsidRPr="00DE7253" w:rsidRDefault="00D5584F" w:rsidP="00D5584F">
      <w:pPr>
        <w:pStyle w:val="NoSpacing"/>
        <w:numPr>
          <w:ilvl w:val="0"/>
          <w:numId w:val="22"/>
        </w:numPr>
        <w:jc w:val="both"/>
        <w:rPr>
          <w:rFonts w:ascii="Arial" w:hAnsi="Arial" w:cs="Arial"/>
          <w:sz w:val="24"/>
          <w:szCs w:val="24"/>
        </w:rPr>
      </w:pPr>
      <w:r w:rsidRPr="00DE7253">
        <w:rPr>
          <w:rFonts w:ascii="Arial" w:hAnsi="Arial" w:cs="Arial"/>
          <w:sz w:val="24"/>
          <w:szCs w:val="24"/>
        </w:rPr>
        <w:t>Implementation and assessment of the Energy Savings Opportunity Scheme (ESOS) recommendations.</w:t>
      </w:r>
    </w:p>
    <w:p w14:paraId="6B18BD2D" w14:textId="77777777" w:rsidR="00D5584F" w:rsidRPr="00DE7253" w:rsidRDefault="00D5584F" w:rsidP="00D5584F">
      <w:pPr>
        <w:pStyle w:val="NoSpacing"/>
        <w:numPr>
          <w:ilvl w:val="0"/>
          <w:numId w:val="22"/>
        </w:numPr>
        <w:jc w:val="both"/>
        <w:rPr>
          <w:rFonts w:ascii="Arial" w:hAnsi="Arial" w:cs="Arial"/>
          <w:sz w:val="24"/>
          <w:szCs w:val="24"/>
        </w:rPr>
      </w:pPr>
      <w:r w:rsidRPr="00DE7253">
        <w:rPr>
          <w:rFonts w:ascii="Arial" w:hAnsi="Arial" w:cs="Arial"/>
          <w:sz w:val="24"/>
          <w:szCs w:val="24"/>
        </w:rPr>
        <w:t xml:space="preserve">Implementation of carbon reduction towards net zero. </w:t>
      </w:r>
    </w:p>
    <w:p w14:paraId="2F1E6215" w14:textId="77777777" w:rsidR="00D5584F" w:rsidRPr="00DE7253" w:rsidRDefault="00D5584F" w:rsidP="00D5584F">
      <w:pPr>
        <w:pStyle w:val="NoSpacing"/>
        <w:numPr>
          <w:ilvl w:val="0"/>
          <w:numId w:val="22"/>
        </w:numPr>
        <w:jc w:val="both"/>
        <w:rPr>
          <w:rFonts w:ascii="Arial" w:hAnsi="Arial" w:cs="Arial"/>
          <w:sz w:val="24"/>
          <w:szCs w:val="24"/>
        </w:rPr>
      </w:pPr>
      <w:r w:rsidRPr="00DE7253">
        <w:rPr>
          <w:rFonts w:ascii="Arial" w:hAnsi="Arial" w:cs="Arial"/>
          <w:sz w:val="24"/>
          <w:szCs w:val="24"/>
        </w:rPr>
        <w:t>Continue with our energy-savings programme.</w:t>
      </w:r>
    </w:p>
    <w:p w14:paraId="3BA5877C" w14:textId="77777777" w:rsidR="00D5584F" w:rsidRPr="00DE7253" w:rsidRDefault="00D5584F" w:rsidP="00D5584F">
      <w:pPr>
        <w:pStyle w:val="NoSpacing"/>
        <w:jc w:val="both"/>
        <w:rPr>
          <w:rFonts w:ascii="Arial" w:hAnsi="Arial" w:cs="Arial"/>
          <w:sz w:val="24"/>
          <w:szCs w:val="24"/>
        </w:rPr>
      </w:pPr>
    </w:p>
    <w:p w14:paraId="584B814D" w14:textId="77777777" w:rsidR="00D5584F" w:rsidRPr="00DE7253" w:rsidRDefault="00D5584F" w:rsidP="00D5584F">
      <w:pPr>
        <w:pStyle w:val="NoSpacing"/>
        <w:jc w:val="both"/>
        <w:rPr>
          <w:rFonts w:ascii="Arial" w:hAnsi="Arial" w:cs="Arial"/>
          <w:sz w:val="24"/>
          <w:szCs w:val="24"/>
        </w:rPr>
      </w:pPr>
      <w:r>
        <w:rPr>
          <w:rFonts w:ascii="Arial" w:hAnsi="Arial" w:cs="Arial"/>
          <w:sz w:val="24"/>
          <w:szCs w:val="24"/>
        </w:rPr>
        <w:t>The Trust</w:t>
      </w:r>
      <w:r w:rsidRPr="00DE7253">
        <w:rPr>
          <w:rFonts w:ascii="Arial" w:hAnsi="Arial" w:cs="Arial"/>
          <w:sz w:val="24"/>
          <w:szCs w:val="24"/>
        </w:rPr>
        <w:t xml:space="preserve"> will report on progress within our next set of financial </w:t>
      </w:r>
      <w:r w:rsidR="008679F3">
        <w:rPr>
          <w:rFonts w:ascii="Arial" w:hAnsi="Arial" w:cs="Arial"/>
          <w:sz w:val="24"/>
          <w:szCs w:val="24"/>
        </w:rPr>
        <w:t>statements</w:t>
      </w:r>
    </w:p>
    <w:p w14:paraId="63AC5E55" w14:textId="77777777" w:rsidR="00D5584F" w:rsidRDefault="00D5584F" w:rsidP="00D5584F">
      <w:pPr>
        <w:rPr>
          <w:rFonts w:ascii="Arial" w:hAnsi="Arial" w:cs="Arial"/>
          <w:b/>
          <w:sz w:val="24"/>
          <w:szCs w:val="24"/>
        </w:rPr>
      </w:pPr>
    </w:p>
    <w:p w14:paraId="66ABCA47" w14:textId="77777777" w:rsidR="00D5584F" w:rsidRDefault="00D5584F" w:rsidP="00D5584F">
      <w:pPr>
        <w:keepLines/>
        <w:widowControl w:val="0"/>
        <w:autoSpaceDE w:val="0"/>
        <w:autoSpaceDN w:val="0"/>
        <w:adjustRightInd w:val="0"/>
        <w:spacing w:after="240" w:line="240" w:lineRule="auto"/>
        <w:jc w:val="both"/>
        <w:rPr>
          <w:rFonts w:ascii="Arial" w:hAnsi="Arial" w:cs="Arial"/>
          <w:b/>
          <w:sz w:val="24"/>
          <w:szCs w:val="24"/>
        </w:rPr>
      </w:pPr>
    </w:p>
    <w:p w14:paraId="677BF91B" w14:textId="77777777" w:rsidR="00D5584F" w:rsidRDefault="00D5584F" w:rsidP="00D5584F">
      <w:pPr>
        <w:keepLines/>
        <w:widowControl w:val="0"/>
        <w:autoSpaceDE w:val="0"/>
        <w:autoSpaceDN w:val="0"/>
        <w:adjustRightInd w:val="0"/>
        <w:spacing w:after="240" w:line="240" w:lineRule="auto"/>
        <w:jc w:val="both"/>
        <w:rPr>
          <w:rFonts w:ascii="Arial" w:hAnsi="Arial" w:cs="Arial"/>
          <w:b/>
          <w:sz w:val="24"/>
          <w:szCs w:val="24"/>
        </w:rPr>
      </w:pPr>
    </w:p>
    <w:p w14:paraId="1A106F8E" w14:textId="77777777" w:rsidR="00D5584F" w:rsidRPr="00872927" w:rsidRDefault="00D5584F" w:rsidP="00D5584F">
      <w:pPr>
        <w:keepLines/>
        <w:widowControl w:val="0"/>
        <w:autoSpaceDE w:val="0"/>
        <w:autoSpaceDN w:val="0"/>
        <w:adjustRightInd w:val="0"/>
        <w:spacing w:after="240" w:line="240" w:lineRule="auto"/>
        <w:jc w:val="both"/>
        <w:rPr>
          <w:rFonts w:ascii="Arial" w:hAnsi="Arial" w:cs="Arial"/>
          <w:b/>
          <w:sz w:val="24"/>
          <w:szCs w:val="24"/>
        </w:rPr>
      </w:pPr>
      <w:r w:rsidRPr="00872927">
        <w:rPr>
          <w:rFonts w:ascii="Arial" w:hAnsi="Arial" w:cs="Arial"/>
          <w:b/>
          <w:sz w:val="24"/>
          <w:szCs w:val="24"/>
        </w:rPr>
        <w:t>Disabled employees</w:t>
      </w:r>
    </w:p>
    <w:p w14:paraId="03945FE6" w14:textId="77777777" w:rsidR="00D5584F" w:rsidRPr="00872927" w:rsidRDefault="00D5584F" w:rsidP="00D5584F">
      <w:pPr>
        <w:keepLines/>
        <w:widowControl w:val="0"/>
        <w:autoSpaceDE w:val="0"/>
        <w:autoSpaceDN w:val="0"/>
        <w:adjustRightInd w:val="0"/>
        <w:spacing w:after="240" w:line="240" w:lineRule="auto"/>
        <w:jc w:val="both"/>
        <w:rPr>
          <w:rFonts w:ascii="Arial" w:hAnsi="Arial" w:cs="Arial"/>
          <w:sz w:val="24"/>
          <w:szCs w:val="24"/>
        </w:rPr>
      </w:pPr>
      <w:r w:rsidRPr="00872927">
        <w:rPr>
          <w:rFonts w:ascii="Arial" w:hAnsi="Arial" w:cs="Arial"/>
          <w:sz w:val="24"/>
          <w:szCs w:val="24"/>
        </w:rPr>
        <w:t>The group is committed to employment policies, which follow best practice, based on equal opportunities for all employees, irrespective of age, religion, sex, race, colour, disability, sexuality or marital status. The group gives full and fair consideration to applications for employment from disabled persons, having regard to their particular aptitudes and abilities. To this end, the Trust was delighted to be awarded Disability Confident Leader Status in 2018.</w:t>
      </w:r>
    </w:p>
    <w:p w14:paraId="6E2FAEB4" w14:textId="77777777" w:rsidR="00D5584F" w:rsidRPr="00872927" w:rsidRDefault="00D5584F" w:rsidP="00D5584F">
      <w:pPr>
        <w:keepLines/>
        <w:widowControl w:val="0"/>
        <w:autoSpaceDE w:val="0"/>
        <w:autoSpaceDN w:val="0"/>
        <w:adjustRightInd w:val="0"/>
        <w:spacing w:after="240" w:line="240" w:lineRule="auto"/>
        <w:jc w:val="both"/>
        <w:rPr>
          <w:rFonts w:ascii="Arial" w:hAnsi="Arial" w:cs="Arial"/>
          <w:sz w:val="24"/>
          <w:szCs w:val="24"/>
        </w:rPr>
      </w:pPr>
      <w:r w:rsidRPr="00872927">
        <w:rPr>
          <w:rFonts w:ascii="Arial" w:hAnsi="Arial" w:cs="Arial"/>
          <w:sz w:val="24"/>
          <w:szCs w:val="24"/>
        </w:rPr>
        <w:t>Appropriate arrangements are made for the continued employment and training, career development and promotion of disabled persons employed by the group.</w:t>
      </w:r>
    </w:p>
    <w:p w14:paraId="364E196A" w14:textId="77777777" w:rsidR="00D5584F" w:rsidRPr="00872927" w:rsidRDefault="00D5584F" w:rsidP="00D5584F">
      <w:pPr>
        <w:keepLines/>
        <w:widowControl w:val="0"/>
        <w:spacing w:after="240" w:line="240" w:lineRule="auto"/>
        <w:jc w:val="both"/>
        <w:rPr>
          <w:rFonts w:ascii="Arial" w:hAnsi="Arial" w:cs="Arial"/>
          <w:sz w:val="24"/>
          <w:szCs w:val="24"/>
        </w:rPr>
      </w:pPr>
      <w:r w:rsidRPr="00872927">
        <w:rPr>
          <w:rFonts w:ascii="Arial" w:hAnsi="Arial" w:cs="Arial"/>
          <w:sz w:val="24"/>
          <w:szCs w:val="24"/>
        </w:rPr>
        <w:t>If members of staff become disabled the group continues employment, either in the same or an alternative position, with appropriate retraining being given if necessary.</w:t>
      </w:r>
    </w:p>
    <w:p w14:paraId="6D31D23E" w14:textId="77777777" w:rsidR="00D5584F" w:rsidRPr="00872927" w:rsidRDefault="00D5584F" w:rsidP="00D5584F">
      <w:pPr>
        <w:keepLines/>
        <w:widowControl w:val="0"/>
        <w:autoSpaceDE w:val="0"/>
        <w:autoSpaceDN w:val="0"/>
        <w:adjustRightInd w:val="0"/>
        <w:spacing w:after="240" w:line="240" w:lineRule="auto"/>
        <w:jc w:val="both"/>
        <w:rPr>
          <w:rFonts w:ascii="Arial" w:hAnsi="Arial" w:cs="Arial"/>
          <w:b/>
          <w:sz w:val="24"/>
          <w:szCs w:val="24"/>
        </w:rPr>
      </w:pPr>
      <w:r w:rsidRPr="00872927">
        <w:rPr>
          <w:rFonts w:ascii="Arial" w:hAnsi="Arial" w:cs="Arial"/>
          <w:b/>
          <w:sz w:val="24"/>
          <w:szCs w:val="24"/>
        </w:rPr>
        <w:t>Employee involvement</w:t>
      </w:r>
    </w:p>
    <w:p w14:paraId="2B5B9374" w14:textId="77777777" w:rsidR="00D5584F" w:rsidRPr="00872927" w:rsidRDefault="00D5584F" w:rsidP="00D5584F">
      <w:pPr>
        <w:keepLines/>
        <w:widowControl w:val="0"/>
        <w:autoSpaceDE w:val="0"/>
        <w:autoSpaceDN w:val="0"/>
        <w:adjustRightInd w:val="0"/>
        <w:spacing w:after="240" w:line="240" w:lineRule="auto"/>
        <w:jc w:val="both"/>
        <w:rPr>
          <w:rFonts w:ascii="Arial" w:hAnsi="Arial" w:cs="Arial"/>
          <w:sz w:val="24"/>
          <w:szCs w:val="24"/>
        </w:rPr>
      </w:pPr>
      <w:r w:rsidRPr="00872927">
        <w:rPr>
          <w:rFonts w:ascii="Arial" w:hAnsi="Arial" w:cs="Arial"/>
          <w:sz w:val="24"/>
          <w:szCs w:val="24"/>
        </w:rPr>
        <w:t>The group systematically provides employees with information on matters of concern to them, consulting them or their representatives regularly, so that their views can be taken into account when making decisions that are likely to affect their interests.</w:t>
      </w:r>
    </w:p>
    <w:p w14:paraId="73349796" w14:textId="77777777" w:rsidR="00D5584F" w:rsidRPr="00872927" w:rsidRDefault="00D5584F" w:rsidP="00D5584F">
      <w:pPr>
        <w:keepLines/>
        <w:widowControl w:val="0"/>
        <w:autoSpaceDE w:val="0"/>
        <w:autoSpaceDN w:val="0"/>
        <w:adjustRightInd w:val="0"/>
        <w:spacing w:after="240" w:line="240" w:lineRule="auto"/>
        <w:jc w:val="both"/>
        <w:rPr>
          <w:rFonts w:ascii="Arial" w:hAnsi="Arial" w:cs="Arial"/>
          <w:sz w:val="24"/>
          <w:szCs w:val="24"/>
        </w:rPr>
      </w:pPr>
      <w:r w:rsidRPr="00872927">
        <w:rPr>
          <w:rFonts w:ascii="Arial" w:hAnsi="Arial" w:cs="Arial"/>
          <w:sz w:val="24"/>
          <w:szCs w:val="24"/>
        </w:rPr>
        <w:t>Employee involvement in the group is encouraged, as achieving a common awareness on the part of all employees of the financial and economic factors affecting the group plays a major role in maintaining and growing its position.</w:t>
      </w:r>
    </w:p>
    <w:p w14:paraId="43A85C83" w14:textId="77777777" w:rsidR="00D5584F" w:rsidRDefault="00D5584F" w:rsidP="00D5584F">
      <w:pPr>
        <w:rPr>
          <w:rFonts w:ascii="Arial" w:hAnsi="Arial" w:cs="Arial"/>
          <w:b/>
          <w:sz w:val="24"/>
          <w:szCs w:val="24"/>
        </w:rPr>
      </w:pPr>
      <w:r w:rsidRPr="00872927">
        <w:rPr>
          <w:rFonts w:ascii="Arial" w:hAnsi="Arial" w:cs="Arial"/>
          <w:sz w:val="24"/>
          <w:szCs w:val="24"/>
        </w:rPr>
        <w:t>The group encourages the involvement of employees through a forum where employees are represented by elected colleagues on a regional basis who meet regularly with the Executive Management Team.</w:t>
      </w:r>
      <w:r>
        <w:rPr>
          <w:rFonts w:ascii="Arial" w:hAnsi="Arial" w:cs="Arial"/>
          <w:b/>
          <w:sz w:val="24"/>
          <w:szCs w:val="24"/>
        </w:rPr>
        <w:br w:type="page"/>
      </w:r>
    </w:p>
    <w:p w14:paraId="2CF1F3B8" w14:textId="77777777" w:rsidR="00D5584F" w:rsidRDefault="00D5584F" w:rsidP="00D5584F">
      <w:pPr>
        <w:keepLines/>
        <w:widowControl w:val="0"/>
        <w:autoSpaceDE w:val="0"/>
        <w:autoSpaceDN w:val="0"/>
        <w:adjustRightInd w:val="0"/>
        <w:spacing w:after="240" w:line="240" w:lineRule="auto"/>
        <w:jc w:val="both"/>
        <w:rPr>
          <w:rFonts w:ascii="Arial" w:hAnsi="Arial" w:cs="Arial"/>
          <w:b/>
          <w:i/>
          <w:sz w:val="24"/>
          <w:szCs w:val="24"/>
        </w:rPr>
      </w:pPr>
      <w:r w:rsidRPr="00872927">
        <w:rPr>
          <w:rFonts w:ascii="Arial" w:hAnsi="Arial" w:cs="Arial"/>
          <w:b/>
          <w:i/>
          <w:sz w:val="24"/>
          <w:szCs w:val="24"/>
        </w:rPr>
        <w:lastRenderedPageBreak/>
        <w:t xml:space="preserve">2. </w:t>
      </w:r>
      <w:r w:rsidRPr="00872927">
        <w:rPr>
          <w:rFonts w:ascii="Arial" w:hAnsi="Arial" w:cs="Arial"/>
          <w:b/>
          <w:i/>
          <w:sz w:val="24"/>
          <w:szCs w:val="24"/>
        </w:rPr>
        <w:tab/>
        <w:t>Financial review (continued)</w:t>
      </w:r>
    </w:p>
    <w:p w14:paraId="591FA36C" w14:textId="77777777" w:rsidR="00D5584F" w:rsidRPr="00D37A00" w:rsidRDefault="00D5584F" w:rsidP="00D5584F">
      <w:pPr>
        <w:keepLines/>
        <w:widowControl w:val="0"/>
        <w:autoSpaceDE w:val="0"/>
        <w:autoSpaceDN w:val="0"/>
        <w:adjustRightInd w:val="0"/>
        <w:spacing w:after="240" w:line="240" w:lineRule="auto"/>
        <w:jc w:val="both"/>
        <w:rPr>
          <w:rFonts w:ascii="Arial" w:hAnsi="Arial" w:cs="Arial"/>
          <w:b/>
          <w:i/>
          <w:sz w:val="24"/>
          <w:szCs w:val="24"/>
        </w:rPr>
      </w:pPr>
      <w:r w:rsidRPr="00872927">
        <w:rPr>
          <w:rFonts w:ascii="Arial" w:hAnsi="Arial" w:cs="Arial"/>
          <w:b/>
          <w:sz w:val="24"/>
          <w:szCs w:val="24"/>
        </w:rPr>
        <w:t>Directors’ indemnities</w:t>
      </w:r>
    </w:p>
    <w:p w14:paraId="2DCD4E50" w14:textId="77777777" w:rsidR="00D5584F" w:rsidRPr="00872927" w:rsidRDefault="00D5584F" w:rsidP="00D5584F">
      <w:pPr>
        <w:keepLines/>
        <w:widowControl w:val="0"/>
        <w:autoSpaceDE w:val="0"/>
        <w:autoSpaceDN w:val="0"/>
        <w:adjustRightInd w:val="0"/>
        <w:spacing w:after="240" w:line="240" w:lineRule="auto"/>
        <w:jc w:val="both"/>
        <w:rPr>
          <w:rFonts w:ascii="Arial" w:hAnsi="Arial" w:cs="Arial"/>
          <w:sz w:val="24"/>
          <w:szCs w:val="24"/>
        </w:rPr>
      </w:pPr>
      <w:r w:rsidRPr="00872927">
        <w:rPr>
          <w:rFonts w:ascii="Arial" w:hAnsi="Arial" w:cs="Arial"/>
          <w:sz w:val="24"/>
          <w:szCs w:val="24"/>
        </w:rPr>
        <w:t xml:space="preserve">As permitted by the Articles of Association, the Directors have the benefit of an indemnity which is a qualifying third party indemnity provision as defined by Section 234 of the Companies Act 2006. The indemnity was in force throughout the last financial </w:t>
      </w:r>
      <w:r w:rsidR="00022375">
        <w:rPr>
          <w:rFonts w:ascii="Arial" w:hAnsi="Arial" w:cs="Arial"/>
          <w:sz w:val="24"/>
          <w:szCs w:val="24"/>
        </w:rPr>
        <w:t>year</w:t>
      </w:r>
      <w:r w:rsidRPr="00872927">
        <w:rPr>
          <w:rFonts w:ascii="Arial" w:hAnsi="Arial" w:cs="Arial"/>
          <w:sz w:val="24"/>
          <w:szCs w:val="24"/>
        </w:rPr>
        <w:t xml:space="preserve"> and is currently in force. The Company also purchased and maintained throughout the financial </w:t>
      </w:r>
      <w:r w:rsidR="00022375">
        <w:rPr>
          <w:rFonts w:ascii="Arial" w:hAnsi="Arial" w:cs="Arial"/>
          <w:sz w:val="24"/>
          <w:szCs w:val="24"/>
        </w:rPr>
        <w:t>year</w:t>
      </w:r>
      <w:r w:rsidRPr="00872927">
        <w:rPr>
          <w:rFonts w:ascii="Arial" w:hAnsi="Arial" w:cs="Arial"/>
          <w:sz w:val="24"/>
          <w:szCs w:val="24"/>
        </w:rPr>
        <w:t xml:space="preserve"> Directors’ and Officers’ liability insurance in respect of itself and its Directors.</w:t>
      </w:r>
    </w:p>
    <w:p w14:paraId="38421201" w14:textId="77777777" w:rsidR="00D5584F" w:rsidRPr="00872927" w:rsidRDefault="00D5584F" w:rsidP="00D5584F">
      <w:pPr>
        <w:keepLines/>
        <w:widowControl w:val="0"/>
        <w:autoSpaceDE w:val="0"/>
        <w:autoSpaceDN w:val="0"/>
        <w:adjustRightInd w:val="0"/>
        <w:spacing w:after="240" w:line="240" w:lineRule="auto"/>
        <w:jc w:val="both"/>
        <w:rPr>
          <w:rFonts w:ascii="Arial" w:hAnsi="Arial" w:cs="Arial"/>
          <w:b/>
          <w:sz w:val="24"/>
          <w:szCs w:val="24"/>
        </w:rPr>
      </w:pPr>
      <w:r w:rsidRPr="00872927">
        <w:rPr>
          <w:rFonts w:ascii="Arial" w:hAnsi="Arial" w:cs="Arial"/>
          <w:b/>
          <w:sz w:val="24"/>
          <w:szCs w:val="24"/>
        </w:rPr>
        <w:t>Statement on going concern</w:t>
      </w:r>
    </w:p>
    <w:p w14:paraId="59B97A04" w14:textId="77777777" w:rsidR="00D5584F" w:rsidRPr="00872927" w:rsidRDefault="00D5584F" w:rsidP="00D5584F">
      <w:pPr>
        <w:keepLines/>
        <w:widowControl w:val="0"/>
        <w:autoSpaceDE w:val="0"/>
        <w:autoSpaceDN w:val="0"/>
        <w:adjustRightInd w:val="0"/>
        <w:spacing w:after="240" w:line="240" w:lineRule="auto"/>
        <w:jc w:val="both"/>
        <w:rPr>
          <w:rFonts w:ascii="Arial" w:hAnsi="Arial" w:cs="Arial"/>
          <w:sz w:val="24"/>
          <w:szCs w:val="24"/>
        </w:rPr>
      </w:pPr>
      <w:r w:rsidRPr="00872927">
        <w:rPr>
          <w:rFonts w:ascii="Arial" w:hAnsi="Arial" w:cs="Arial"/>
          <w:sz w:val="24"/>
          <w:szCs w:val="24"/>
        </w:rPr>
        <w:t>The Trust prepares a detailed annual budget and three-year business plan which indicates a positive cash position and return to operational profitability for the duration of the plan.  This plan has been approved by the Trustees and the Trust’s principal lenders</w:t>
      </w:r>
      <w:r w:rsidR="00711100">
        <w:rPr>
          <w:rFonts w:ascii="Arial" w:hAnsi="Arial" w:cs="Arial"/>
          <w:sz w:val="24"/>
          <w:szCs w:val="24"/>
        </w:rPr>
        <w:t>.</w:t>
      </w:r>
      <w:r w:rsidRPr="00872927">
        <w:rPr>
          <w:rFonts w:ascii="Arial" w:hAnsi="Arial" w:cs="Arial"/>
          <w:sz w:val="24"/>
          <w:szCs w:val="24"/>
        </w:rPr>
        <w:t xml:space="preserve">   </w:t>
      </w:r>
    </w:p>
    <w:p w14:paraId="3B8ADA7F" w14:textId="77777777" w:rsidR="00D5584F" w:rsidRPr="00872927" w:rsidRDefault="00D5584F" w:rsidP="00D5584F">
      <w:pPr>
        <w:keepLines/>
        <w:widowControl w:val="0"/>
        <w:autoSpaceDE w:val="0"/>
        <w:autoSpaceDN w:val="0"/>
        <w:adjustRightInd w:val="0"/>
        <w:spacing w:after="240" w:line="240" w:lineRule="auto"/>
        <w:jc w:val="both"/>
        <w:rPr>
          <w:rFonts w:ascii="Arial" w:hAnsi="Arial" w:cs="Arial"/>
          <w:sz w:val="24"/>
          <w:szCs w:val="24"/>
        </w:rPr>
      </w:pPr>
      <w:r w:rsidRPr="00872927">
        <w:rPr>
          <w:rFonts w:ascii="Arial" w:hAnsi="Arial" w:cs="Arial"/>
          <w:sz w:val="24"/>
          <w:szCs w:val="24"/>
        </w:rPr>
        <w:t xml:space="preserve">In light of recent events as a result of the Covid-19 pandemic </w:t>
      </w:r>
      <w:r w:rsidR="00711100">
        <w:rPr>
          <w:rFonts w:ascii="Arial" w:hAnsi="Arial" w:cs="Arial"/>
          <w:sz w:val="24"/>
          <w:szCs w:val="24"/>
        </w:rPr>
        <w:t>t</w:t>
      </w:r>
      <w:r w:rsidRPr="00872927">
        <w:rPr>
          <w:rFonts w:ascii="Arial" w:hAnsi="Arial" w:cs="Arial"/>
          <w:sz w:val="24"/>
          <w:szCs w:val="24"/>
        </w:rPr>
        <w:t xml:space="preserve">he Trust has performed extensive contingency planning and mitigated against the risks of a potential reduction in income as a result of closure of key offices and outlets.  This has been through renegotiating income streams from its major contracts, furloughing employees where there is no income stream currently present, and using Government initiatives, predominantly the deferral of PAYE and VAT, to aid liquidity and cash flow in the medium term. The asset divestment programme as detailed in the Business Plan was completed during the year, although with some delays due to Covid-19. The Trust’s principal funder has shown continued support during this crisis with renegotiation of a </w:t>
      </w:r>
      <w:r>
        <w:rPr>
          <w:rFonts w:ascii="Arial" w:hAnsi="Arial" w:cs="Arial"/>
          <w:sz w:val="24"/>
          <w:szCs w:val="24"/>
        </w:rPr>
        <w:t>Loan</w:t>
      </w:r>
      <w:r w:rsidRPr="00872927">
        <w:rPr>
          <w:rFonts w:ascii="Arial" w:hAnsi="Arial" w:cs="Arial"/>
          <w:sz w:val="24"/>
          <w:szCs w:val="24"/>
        </w:rPr>
        <w:t xml:space="preserve"> Facility. </w:t>
      </w:r>
    </w:p>
    <w:p w14:paraId="58ED1B51" w14:textId="77777777" w:rsidR="00D5584F" w:rsidRPr="00872927" w:rsidRDefault="00D5584F" w:rsidP="00D5584F">
      <w:pPr>
        <w:keepLines/>
        <w:widowControl w:val="0"/>
        <w:autoSpaceDE w:val="0"/>
        <w:autoSpaceDN w:val="0"/>
        <w:adjustRightInd w:val="0"/>
        <w:spacing w:after="240" w:line="240" w:lineRule="auto"/>
        <w:jc w:val="both"/>
        <w:rPr>
          <w:rFonts w:ascii="Arial" w:hAnsi="Arial" w:cs="Arial"/>
          <w:b/>
          <w:i/>
          <w:sz w:val="24"/>
          <w:szCs w:val="24"/>
        </w:rPr>
      </w:pPr>
      <w:r w:rsidRPr="00872927">
        <w:rPr>
          <w:rFonts w:ascii="Arial" w:hAnsi="Arial" w:cs="Arial"/>
          <w:sz w:val="24"/>
          <w:szCs w:val="24"/>
        </w:rPr>
        <w:t>Management continue to closely monitor the ongoing developments of Covid-19 and have modelled sensitiv</w:t>
      </w:r>
      <w:r>
        <w:rPr>
          <w:rFonts w:ascii="Arial" w:hAnsi="Arial" w:cs="Arial"/>
          <w:sz w:val="24"/>
          <w:szCs w:val="24"/>
        </w:rPr>
        <w:t>ity analysis on best</w:t>
      </w:r>
      <w:r w:rsidRPr="00872927">
        <w:rPr>
          <w:rFonts w:ascii="Arial" w:hAnsi="Arial" w:cs="Arial"/>
          <w:sz w:val="24"/>
          <w:szCs w:val="24"/>
        </w:rPr>
        <w:t>,</w:t>
      </w:r>
      <w:r>
        <w:rPr>
          <w:rFonts w:ascii="Arial" w:hAnsi="Arial" w:cs="Arial"/>
          <w:sz w:val="24"/>
          <w:szCs w:val="24"/>
        </w:rPr>
        <w:t xml:space="preserve"> mid and worst case scenarios</w:t>
      </w:r>
      <w:r w:rsidRPr="00872927">
        <w:rPr>
          <w:rFonts w:ascii="Arial" w:hAnsi="Arial" w:cs="Arial"/>
          <w:sz w:val="24"/>
          <w:szCs w:val="24"/>
        </w:rPr>
        <w:t xml:space="preserve">.  In all scenarios the Trust is projected to have sufficient liquid resources to meet its obligations as they fall due and to continue operations for at least 12 months from </w:t>
      </w:r>
      <w:r>
        <w:rPr>
          <w:rFonts w:ascii="Arial" w:hAnsi="Arial" w:cs="Arial"/>
          <w:sz w:val="24"/>
          <w:szCs w:val="24"/>
        </w:rPr>
        <w:t xml:space="preserve">the date of </w:t>
      </w:r>
      <w:r w:rsidRPr="00872927">
        <w:rPr>
          <w:rFonts w:ascii="Arial" w:hAnsi="Arial" w:cs="Arial"/>
          <w:sz w:val="24"/>
          <w:szCs w:val="24"/>
        </w:rPr>
        <w:t>approv</w:t>
      </w:r>
      <w:r>
        <w:rPr>
          <w:rFonts w:ascii="Arial" w:hAnsi="Arial" w:cs="Arial"/>
          <w:sz w:val="24"/>
          <w:szCs w:val="24"/>
        </w:rPr>
        <w:t>al of</w:t>
      </w:r>
      <w:r w:rsidRPr="00872927">
        <w:rPr>
          <w:rFonts w:ascii="Arial" w:hAnsi="Arial" w:cs="Arial"/>
          <w:sz w:val="24"/>
          <w:szCs w:val="24"/>
        </w:rPr>
        <w:t xml:space="preserve"> these financial statements.</w:t>
      </w:r>
    </w:p>
    <w:p w14:paraId="1B3DE2D2" w14:textId="77777777" w:rsidR="00D5584F" w:rsidRDefault="00D5584F" w:rsidP="00D5584F">
      <w:pPr>
        <w:keepLines/>
        <w:widowControl w:val="0"/>
        <w:autoSpaceDE w:val="0"/>
        <w:autoSpaceDN w:val="0"/>
        <w:adjustRightInd w:val="0"/>
        <w:spacing w:after="240" w:line="240" w:lineRule="auto"/>
        <w:jc w:val="both"/>
        <w:rPr>
          <w:rFonts w:ascii="Arial" w:hAnsi="Arial" w:cs="Arial"/>
          <w:sz w:val="24"/>
          <w:szCs w:val="24"/>
        </w:rPr>
      </w:pPr>
      <w:r w:rsidRPr="00872927">
        <w:rPr>
          <w:rFonts w:ascii="Arial" w:hAnsi="Arial" w:cs="Arial"/>
          <w:sz w:val="24"/>
          <w:szCs w:val="24"/>
        </w:rPr>
        <w:t>After reviewing the charity’s forecasts, sensitivity analysis and projections and its reserves, the Trustees have a reasonable expectation that the charity can manage these risks and has adequate resources to continue in operation for the foreseeable future. The charity therefore continues to adopt the going concern basis in preparing its financial statements.</w:t>
      </w:r>
    </w:p>
    <w:p w14:paraId="30335773" w14:textId="77777777" w:rsidR="00D5584F" w:rsidRPr="00D237F3" w:rsidRDefault="00D5584F" w:rsidP="00D5584F">
      <w:pPr>
        <w:keepLines/>
        <w:widowControl w:val="0"/>
        <w:autoSpaceDE w:val="0"/>
        <w:autoSpaceDN w:val="0"/>
        <w:adjustRightInd w:val="0"/>
        <w:spacing w:after="240" w:line="240" w:lineRule="auto"/>
        <w:jc w:val="both"/>
        <w:rPr>
          <w:rFonts w:ascii="Arial" w:hAnsi="Arial" w:cs="Arial"/>
          <w:sz w:val="24"/>
          <w:szCs w:val="24"/>
        </w:rPr>
      </w:pPr>
      <w:r>
        <w:rPr>
          <w:rFonts w:ascii="Arial" w:hAnsi="Arial" w:cs="Arial"/>
          <w:sz w:val="24"/>
          <w:szCs w:val="24"/>
        </w:rPr>
        <w:t xml:space="preserve">The </w:t>
      </w:r>
      <w:r w:rsidRPr="00872927">
        <w:rPr>
          <w:rFonts w:ascii="Arial" w:hAnsi="Arial" w:cs="Arial"/>
          <w:sz w:val="24"/>
          <w:szCs w:val="24"/>
        </w:rPr>
        <w:t xml:space="preserve">Trust has produced a </w:t>
      </w:r>
      <w:r>
        <w:rPr>
          <w:rFonts w:ascii="Arial" w:hAnsi="Arial" w:cs="Arial"/>
          <w:sz w:val="24"/>
          <w:szCs w:val="24"/>
        </w:rPr>
        <w:t xml:space="preserve">comprehensive </w:t>
      </w:r>
      <w:r w:rsidRPr="00872927">
        <w:rPr>
          <w:rFonts w:ascii="Arial" w:hAnsi="Arial" w:cs="Arial"/>
          <w:sz w:val="24"/>
          <w:szCs w:val="24"/>
        </w:rPr>
        <w:t xml:space="preserve">risk assessment framework and monitors and reports on this on a quarterly basis.  It continues to </w:t>
      </w:r>
      <w:r>
        <w:rPr>
          <w:rFonts w:ascii="Arial" w:hAnsi="Arial" w:cs="Arial"/>
          <w:sz w:val="24"/>
          <w:szCs w:val="24"/>
        </w:rPr>
        <w:t xml:space="preserve">drive performance and </w:t>
      </w:r>
      <w:r w:rsidRPr="00872927">
        <w:rPr>
          <w:rFonts w:ascii="Arial" w:hAnsi="Arial" w:cs="Arial"/>
          <w:sz w:val="24"/>
          <w:szCs w:val="24"/>
        </w:rPr>
        <w:t>look for further opportunities to develop</w:t>
      </w:r>
      <w:r>
        <w:rPr>
          <w:rFonts w:ascii="Arial" w:hAnsi="Arial" w:cs="Arial"/>
          <w:sz w:val="24"/>
          <w:szCs w:val="24"/>
        </w:rPr>
        <w:t>.  It</w:t>
      </w:r>
      <w:r w:rsidRPr="00872927">
        <w:rPr>
          <w:rFonts w:ascii="Arial" w:hAnsi="Arial" w:cs="Arial"/>
          <w:sz w:val="24"/>
          <w:szCs w:val="24"/>
        </w:rPr>
        <w:t xml:space="preserve"> seeks to mitigate any ongoing risk by</w:t>
      </w:r>
      <w:r>
        <w:rPr>
          <w:rFonts w:ascii="Arial" w:hAnsi="Arial" w:cs="Arial"/>
          <w:sz w:val="24"/>
          <w:szCs w:val="24"/>
        </w:rPr>
        <w:t xml:space="preserve"> ensuring </w:t>
      </w:r>
      <w:r w:rsidRPr="00D237F3">
        <w:rPr>
          <w:rFonts w:ascii="Arial" w:hAnsi="Arial" w:cs="Arial"/>
          <w:sz w:val="24"/>
          <w:szCs w:val="24"/>
        </w:rPr>
        <w:t xml:space="preserve">that </w:t>
      </w:r>
      <w:r>
        <w:rPr>
          <w:rFonts w:ascii="Arial" w:hAnsi="Arial" w:cs="Arial"/>
          <w:sz w:val="24"/>
          <w:szCs w:val="24"/>
        </w:rPr>
        <w:t>it</w:t>
      </w:r>
      <w:r w:rsidRPr="00D237F3">
        <w:rPr>
          <w:rFonts w:ascii="Arial" w:hAnsi="Arial" w:cs="Arial"/>
          <w:sz w:val="24"/>
          <w:szCs w:val="24"/>
        </w:rPr>
        <w:t xml:space="preserve"> continues to be lean and fit for purpose</w:t>
      </w:r>
      <w:r>
        <w:rPr>
          <w:rFonts w:ascii="Arial" w:hAnsi="Arial" w:cs="Arial"/>
          <w:sz w:val="24"/>
          <w:szCs w:val="24"/>
        </w:rPr>
        <w:t>,</w:t>
      </w:r>
      <w:r w:rsidRPr="00D237F3">
        <w:rPr>
          <w:rFonts w:ascii="Arial" w:hAnsi="Arial" w:cs="Arial"/>
          <w:sz w:val="24"/>
          <w:szCs w:val="24"/>
        </w:rPr>
        <w:t xml:space="preserve"> responds to the changing environments and markets in which it operates</w:t>
      </w:r>
      <w:r>
        <w:rPr>
          <w:rFonts w:ascii="Arial" w:hAnsi="Arial" w:cs="Arial"/>
          <w:sz w:val="24"/>
          <w:szCs w:val="24"/>
        </w:rPr>
        <w:t xml:space="preserve"> and continues to engage</w:t>
      </w:r>
      <w:r w:rsidRPr="00872927">
        <w:rPr>
          <w:rFonts w:ascii="Arial" w:hAnsi="Arial" w:cs="Arial"/>
          <w:sz w:val="24"/>
          <w:szCs w:val="24"/>
        </w:rPr>
        <w:t xml:space="preserve"> </w:t>
      </w:r>
      <w:r>
        <w:rPr>
          <w:rFonts w:ascii="Arial" w:hAnsi="Arial" w:cs="Arial"/>
          <w:sz w:val="24"/>
          <w:szCs w:val="24"/>
        </w:rPr>
        <w:t>with commissioners and clients.</w:t>
      </w:r>
    </w:p>
    <w:p w14:paraId="3CAEA35B" w14:textId="77777777" w:rsidR="00D5584F" w:rsidRPr="00872927" w:rsidRDefault="00D5584F" w:rsidP="00D5584F">
      <w:pPr>
        <w:autoSpaceDE w:val="0"/>
        <w:autoSpaceDN w:val="0"/>
        <w:adjustRightInd w:val="0"/>
        <w:spacing w:after="240" w:line="240" w:lineRule="auto"/>
        <w:rPr>
          <w:rFonts w:ascii="Arial" w:hAnsi="Arial" w:cs="Arial"/>
          <w:b/>
          <w:sz w:val="24"/>
          <w:szCs w:val="24"/>
        </w:rPr>
      </w:pPr>
    </w:p>
    <w:p w14:paraId="12BDA5F7" w14:textId="77777777" w:rsidR="00D5584F" w:rsidRPr="00872927" w:rsidRDefault="00D5584F" w:rsidP="00D5584F">
      <w:pPr>
        <w:autoSpaceDE w:val="0"/>
        <w:autoSpaceDN w:val="0"/>
        <w:adjustRightInd w:val="0"/>
        <w:spacing w:after="240" w:line="240" w:lineRule="auto"/>
        <w:rPr>
          <w:rFonts w:ascii="Arial" w:hAnsi="Arial" w:cs="Arial"/>
          <w:b/>
          <w:sz w:val="24"/>
          <w:szCs w:val="24"/>
        </w:rPr>
      </w:pPr>
    </w:p>
    <w:p w14:paraId="1094A849" w14:textId="77777777" w:rsidR="00D5584F" w:rsidRPr="00872927" w:rsidRDefault="00D5584F" w:rsidP="00D5584F">
      <w:pPr>
        <w:autoSpaceDE w:val="0"/>
        <w:autoSpaceDN w:val="0"/>
        <w:adjustRightInd w:val="0"/>
        <w:spacing w:after="240" w:line="240" w:lineRule="auto"/>
        <w:rPr>
          <w:rFonts w:ascii="Arial" w:hAnsi="Arial" w:cs="Arial"/>
          <w:b/>
          <w:sz w:val="24"/>
          <w:szCs w:val="24"/>
        </w:rPr>
      </w:pPr>
    </w:p>
    <w:p w14:paraId="3208AACC" w14:textId="77777777" w:rsidR="00D5584F" w:rsidRPr="00872927" w:rsidRDefault="00D5584F" w:rsidP="00D5584F">
      <w:pPr>
        <w:autoSpaceDE w:val="0"/>
        <w:autoSpaceDN w:val="0"/>
        <w:adjustRightInd w:val="0"/>
        <w:spacing w:after="240" w:line="240" w:lineRule="auto"/>
        <w:rPr>
          <w:rFonts w:ascii="Arial" w:hAnsi="Arial" w:cs="Arial"/>
          <w:b/>
          <w:sz w:val="24"/>
          <w:szCs w:val="24"/>
        </w:rPr>
      </w:pPr>
    </w:p>
    <w:p w14:paraId="118D2962" w14:textId="77777777" w:rsidR="00D5584F" w:rsidRPr="00872927" w:rsidRDefault="00D5584F" w:rsidP="00D5584F">
      <w:pPr>
        <w:autoSpaceDE w:val="0"/>
        <w:autoSpaceDN w:val="0"/>
        <w:adjustRightInd w:val="0"/>
        <w:spacing w:after="240" w:line="240" w:lineRule="auto"/>
        <w:rPr>
          <w:rFonts w:ascii="Arial" w:hAnsi="Arial" w:cs="Arial"/>
          <w:b/>
          <w:sz w:val="24"/>
          <w:szCs w:val="24"/>
        </w:rPr>
      </w:pPr>
    </w:p>
    <w:p w14:paraId="6F793CD6" w14:textId="77777777" w:rsidR="00D5584F" w:rsidRPr="00872927" w:rsidRDefault="00D5584F" w:rsidP="00D5584F">
      <w:pPr>
        <w:autoSpaceDE w:val="0"/>
        <w:autoSpaceDN w:val="0"/>
        <w:adjustRightInd w:val="0"/>
        <w:spacing w:after="240" w:line="240" w:lineRule="auto"/>
        <w:rPr>
          <w:rFonts w:ascii="Arial" w:hAnsi="Arial" w:cs="Arial"/>
          <w:b/>
          <w:sz w:val="24"/>
          <w:szCs w:val="24"/>
        </w:rPr>
      </w:pPr>
    </w:p>
    <w:p w14:paraId="191FCC57" w14:textId="77777777" w:rsidR="00D5584F" w:rsidRPr="00872927" w:rsidRDefault="00D5584F" w:rsidP="00D5584F">
      <w:pPr>
        <w:autoSpaceDE w:val="0"/>
        <w:autoSpaceDN w:val="0"/>
        <w:adjustRightInd w:val="0"/>
        <w:spacing w:after="240" w:line="240" w:lineRule="auto"/>
        <w:rPr>
          <w:rFonts w:ascii="Arial" w:hAnsi="Arial" w:cs="Arial"/>
          <w:b/>
          <w:sz w:val="24"/>
          <w:szCs w:val="24"/>
        </w:rPr>
        <w:sectPr w:rsidR="00D5584F" w:rsidRPr="00872927" w:rsidSect="00B1233C">
          <w:headerReference w:type="first" r:id="rId24"/>
          <w:footerReference w:type="first" r:id="rId25"/>
          <w:type w:val="continuous"/>
          <w:pgSz w:w="11906" w:h="16838"/>
          <w:pgMar w:top="1440" w:right="1440" w:bottom="1276" w:left="1440" w:header="708" w:footer="733" w:gutter="0"/>
          <w:cols w:num="2" w:space="408"/>
          <w:docGrid w:linePitch="360"/>
        </w:sectPr>
      </w:pPr>
    </w:p>
    <w:p w14:paraId="73EEDCFA" w14:textId="77777777" w:rsidR="00D5584F" w:rsidRPr="00872927" w:rsidRDefault="00D5584F" w:rsidP="00D5584F">
      <w:pPr>
        <w:rPr>
          <w:rFonts w:ascii="Arial" w:hAnsi="Arial" w:cs="Arial"/>
          <w:b/>
          <w:sz w:val="32"/>
          <w:szCs w:val="32"/>
        </w:rPr>
      </w:pPr>
      <w:r>
        <w:rPr>
          <w:rFonts w:ascii="Arial" w:hAnsi="Arial" w:cs="Arial"/>
          <w:b/>
          <w:sz w:val="32"/>
          <w:szCs w:val="32"/>
        </w:rPr>
        <w:br w:type="page"/>
      </w:r>
      <w:r w:rsidRPr="00872927">
        <w:rPr>
          <w:rFonts w:ascii="Arial" w:hAnsi="Arial" w:cs="Arial"/>
          <w:b/>
          <w:sz w:val="32"/>
          <w:szCs w:val="32"/>
        </w:rPr>
        <w:lastRenderedPageBreak/>
        <w:t>3.</w:t>
      </w:r>
      <w:r w:rsidRPr="00872927">
        <w:rPr>
          <w:rFonts w:ascii="Arial" w:hAnsi="Arial" w:cs="Arial"/>
          <w:b/>
          <w:sz w:val="32"/>
          <w:szCs w:val="32"/>
        </w:rPr>
        <w:tab/>
        <w:t>Statutory and administrative details of the charity, the Trustees and advisers</w:t>
      </w:r>
    </w:p>
    <w:tbl>
      <w:tblPr>
        <w:tblStyle w:val="TableGrid1"/>
        <w:tblW w:w="0" w:type="auto"/>
        <w:tblLook w:val="04A0" w:firstRow="1" w:lastRow="0" w:firstColumn="1" w:lastColumn="0" w:noHBand="0" w:noVBand="1"/>
      </w:tblPr>
      <w:tblGrid>
        <w:gridCol w:w="4508"/>
        <w:gridCol w:w="4508"/>
      </w:tblGrid>
      <w:tr w:rsidR="00D5584F" w:rsidRPr="00872927" w14:paraId="2D7A06A5" w14:textId="77777777" w:rsidTr="00DE75C9">
        <w:tc>
          <w:tcPr>
            <w:tcW w:w="4508" w:type="dxa"/>
            <w:tcBorders>
              <w:top w:val="nil"/>
              <w:left w:val="nil"/>
              <w:bottom w:val="nil"/>
              <w:right w:val="nil"/>
            </w:tcBorders>
          </w:tcPr>
          <w:p w14:paraId="2DA04594" w14:textId="77777777" w:rsidR="00D5584F" w:rsidRPr="00872927" w:rsidRDefault="00D5584F" w:rsidP="00DE75C9">
            <w:pPr>
              <w:autoSpaceDE w:val="0"/>
              <w:autoSpaceDN w:val="0"/>
              <w:adjustRightInd w:val="0"/>
              <w:rPr>
                <w:rFonts w:ascii="Arial" w:hAnsi="Arial" w:cs="Arial"/>
                <w:b/>
              </w:rPr>
            </w:pPr>
            <w:r w:rsidRPr="00872927">
              <w:rPr>
                <w:rFonts w:ascii="Arial" w:hAnsi="Arial" w:cs="Arial"/>
                <w:b/>
              </w:rPr>
              <w:t>President</w:t>
            </w:r>
          </w:p>
          <w:p w14:paraId="789A01D3" w14:textId="77777777" w:rsidR="00D5584F" w:rsidRPr="00872927" w:rsidRDefault="00D5584F" w:rsidP="00DE75C9">
            <w:pPr>
              <w:autoSpaceDE w:val="0"/>
              <w:autoSpaceDN w:val="0"/>
              <w:adjustRightInd w:val="0"/>
              <w:spacing w:after="240"/>
              <w:rPr>
                <w:rFonts w:ascii="Arial" w:hAnsi="Arial" w:cs="Arial"/>
              </w:rPr>
            </w:pPr>
            <w:r w:rsidRPr="00872927">
              <w:rPr>
                <w:rFonts w:ascii="Arial" w:hAnsi="Arial" w:cs="Arial"/>
              </w:rPr>
              <w:t xml:space="preserve">Tim </w:t>
            </w:r>
            <w:proofErr w:type="spellStart"/>
            <w:r w:rsidRPr="00872927">
              <w:rPr>
                <w:rFonts w:ascii="Arial" w:hAnsi="Arial" w:cs="Arial"/>
              </w:rPr>
              <w:t>Papé</w:t>
            </w:r>
            <w:proofErr w:type="spellEnd"/>
            <w:r w:rsidRPr="00872927">
              <w:rPr>
                <w:rFonts w:ascii="Arial" w:hAnsi="Arial" w:cs="Arial"/>
              </w:rPr>
              <w:t xml:space="preserve"> OBE, DL</w:t>
            </w:r>
          </w:p>
          <w:p w14:paraId="4744EB4C" w14:textId="77777777" w:rsidR="00D5584F" w:rsidRPr="00872927" w:rsidRDefault="00D5584F" w:rsidP="00DE75C9">
            <w:pPr>
              <w:autoSpaceDE w:val="0"/>
              <w:autoSpaceDN w:val="0"/>
              <w:adjustRightInd w:val="0"/>
              <w:rPr>
                <w:rFonts w:ascii="Arial" w:hAnsi="Arial" w:cs="Arial"/>
                <w:b/>
              </w:rPr>
            </w:pPr>
            <w:r w:rsidRPr="00872927">
              <w:rPr>
                <w:rFonts w:ascii="Arial" w:hAnsi="Arial" w:cs="Arial"/>
                <w:b/>
              </w:rPr>
              <w:t>Patrons</w:t>
            </w:r>
          </w:p>
          <w:p w14:paraId="3A038EF6" w14:textId="77777777" w:rsidR="00D5584F" w:rsidRPr="00872927" w:rsidRDefault="00D5584F" w:rsidP="00DE75C9">
            <w:pPr>
              <w:autoSpaceDE w:val="0"/>
              <w:autoSpaceDN w:val="0"/>
              <w:adjustRightInd w:val="0"/>
              <w:rPr>
                <w:rFonts w:ascii="Arial" w:hAnsi="Arial" w:cs="Arial"/>
              </w:rPr>
            </w:pPr>
            <w:r w:rsidRPr="00872927">
              <w:rPr>
                <w:rFonts w:ascii="Arial" w:hAnsi="Arial" w:cs="Arial"/>
              </w:rPr>
              <w:t>John Bush OBE, LL</w:t>
            </w:r>
          </w:p>
          <w:p w14:paraId="359050BB" w14:textId="77777777" w:rsidR="00D5584F" w:rsidRPr="00872927" w:rsidRDefault="00D5584F" w:rsidP="00DE75C9">
            <w:pPr>
              <w:autoSpaceDE w:val="0"/>
              <w:autoSpaceDN w:val="0"/>
              <w:adjustRightInd w:val="0"/>
              <w:rPr>
                <w:rFonts w:ascii="Arial" w:hAnsi="Arial" w:cs="Arial"/>
              </w:rPr>
            </w:pPr>
            <w:r w:rsidRPr="00872927">
              <w:rPr>
                <w:rFonts w:ascii="Arial" w:hAnsi="Arial" w:cs="Arial"/>
              </w:rPr>
              <w:t xml:space="preserve">Mark </w:t>
            </w:r>
            <w:proofErr w:type="spellStart"/>
            <w:r w:rsidRPr="00872927">
              <w:rPr>
                <w:rFonts w:ascii="Arial" w:hAnsi="Arial" w:cs="Arial"/>
              </w:rPr>
              <w:t>Daymond</w:t>
            </w:r>
            <w:proofErr w:type="spellEnd"/>
          </w:p>
          <w:p w14:paraId="7C75D5D8" w14:textId="77777777" w:rsidR="00D5584F" w:rsidRPr="00872927" w:rsidRDefault="0019232F" w:rsidP="00DE75C9">
            <w:pPr>
              <w:autoSpaceDE w:val="0"/>
              <w:autoSpaceDN w:val="0"/>
              <w:adjustRightInd w:val="0"/>
              <w:rPr>
                <w:rFonts w:ascii="Arial" w:hAnsi="Arial" w:cs="Arial"/>
              </w:rPr>
            </w:pPr>
            <w:r>
              <w:rPr>
                <w:rFonts w:ascii="Arial" w:hAnsi="Arial" w:cs="Arial"/>
              </w:rPr>
              <w:t xml:space="preserve">Dame Evelyn </w:t>
            </w:r>
            <w:proofErr w:type="spellStart"/>
            <w:r>
              <w:rPr>
                <w:rFonts w:ascii="Arial" w:hAnsi="Arial" w:cs="Arial"/>
              </w:rPr>
              <w:t>Glennie</w:t>
            </w:r>
            <w:proofErr w:type="spellEnd"/>
            <w:r>
              <w:rPr>
                <w:rFonts w:ascii="Arial" w:hAnsi="Arial" w:cs="Arial"/>
              </w:rPr>
              <w:t xml:space="preserve"> OBE</w:t>
            </w:r>
          </w:p>
          <w:p w14:paraId="4F99BD59" w14:textId="77777777" w:rsidR="00D5584F" w:rsidRPr="00872927" w:rsidRDefault="00D5584F" w:rsidP="00DE75C9">
            <w:pPr>
              <w:autoSpaceDE w:val="0"/>
              <w:autoSpaceDN w:val="0"/>
              <w:adjustRightInd w:val="0"/>
              <w:rPr>
                <w:rFonts w:ascii="Arial" w:hAnsi="Arial" w:cs="Arial"/>
              </w:rPr>
            </w:pPr>
            <w:r w:rsidRPr="00872927">
              <w:rPr>
                <w:rFonts w:ascii="Arial" w:hAnsi="Arial" w:cs="Arial"/>
              </w:rPr>
              <w:t>Baroness Kinnock</w:t>
            </w:r>
          </w:p>
          <w:p w14:paraId="5801DF2A" w14:textId="77777777" w:rsidR="00D5584F" w:rsidRPr="00872927" w:rsidRDefault="00D5584F" w:rsidP="00DE75C9">
            <w:pPr>
              <w:autoSpaceDE w:val="0"/>
              <w:autoSpaceDN w:val="0"/>
              <w:adjustRightInd w:val="0"/>
              <w:rPr>
                <w:rFonts w:ascii="Arial" w:hAnsi="Arial" w:cs="Arial"/>
              </w:rPr>
            </w:pPr>
            <w:r w:rsidRPr="00872927">
              <w:rPr>
                <w:rFonts w:ascii="Arial" w:hAnsi="Arial" w:cs="Arial"/>
              </w:rPr>
              <w:t xml:space="preserve">Professor Sir </w:t>
            </w:r>
            <w:proofErr w:type="spellStart"/>
            <w:r w:rsidRPr="00872927">
              <w:rPr>
                <w:rFonts w:ascii="Arial" w:hAnsi="Arial" w:cs="Arial"/>
              </w:rPr>
              <w:t>Mansel</w:t>
            </w:r>
            <w:proofErr w:type="spellEnd"/>
            <w:r w:rsidRPr="00872927">
              <w:rPr>
                <w:rFonts w:ascii="Arial" w:hAnsi="Arial" w:cs="Arial"/>
              </w:rPr>
              <w:t xml:space="preserve"> </w:t>
            </w:r>
            <w:proofErr w:type="spellStart"/>
            <w:r w:rsidRPr="00872927">
              <w:rPr>
                <w:rFonts w:ascii="Arial" w:hAnsi="Arial" w:cs="Arial"/>
              </w:rPr>
              <w:t>Aylward</w:t>
            </w:r>
            <w:proofErr w:type="spellEnd"/>
            <w:r w:rsidRPr="00872927">
              <w:rPr>
                <w:rFonts w:ascii="Arial" w:hAnsi="Arial" w:cs="Arial"/>
              </w:rPr>
              <w:t xml:space="preserve"> CB</w:t>
            </w:r>
          </w:p>
          <w:p w14:paraId="5ADB344F" w14:textId="77777777" w:rsidR="00D5584F" w:rsidRPr="00872927" w:rsidRDefault="00D5584F" w:rsidP="00DE75C9">
            <w:pPr>
              <w:autoSpaceDE w:val="0"/>
              <w:autoSpaceDN w:val="0"/>
              <w:adjustRightInd w:val="0"/>
              <w:rPr>
                <w:rFonts w:ascii="Arial" w:hAnsi="Arial" w:cs="Arial"/>
              </w:rPr>
            </w:pPr>
            <w:r w:rsidRPr="00872927">
              <w:rPr>
                <w:rFonts w:ascii="Arial" w:hAnsi="Arial" w:cs="Arial"/>
              </w:rPr>
              <w:t>Richard M Mansell-Jones</w:t>
            </w:r>
          </w:p>
          <w:p w14:paraId="2672A3AD" w14:textId="77777777" w:rsidR="00D5584F" w:rsidRPr="00872927" w:rsidRDefault="00D5584F" w:rsidP="00DE75C9">
            <w:pPr>
              <w:autoSpaceDE w:val="0"/>
              <w:autoSpaceDN w:val="0"/>
              <w:adjustRightInd w:val="0"/>
              <w:rPr>
                <w:rFonts w:ascii="Arial" w:hAnsi="Arial" w:cs="Arial"/>
              </w:rPr>
            </w:pPr>
            <w:proofErr w:type="spellStart"/>
            <w:r w:rsidRPr="00872927">
              <w:rPr>
                <w:rFonts w:ascii="Arial" w:hAnsi="Arial" w:cs="Arial"/>
              </w:rPr>
              <w:t>Rt</w:t>
            </w:r>
            <w:proofErr w:type="spellEnd"/>
            <w:r w:rsidRPr="00872927">
              <w:rPr>
                <w:rFonts w:ascii="Arial" w:hAnsi="Arial" w:cs="Arial"/>
              </w:rPr>
              <w:t xml:space="preserve"> Hon Sir Richard Needham</w:t>
            </w:r>
          </w:p>
          <w:p w14:paraId="16FDE9AF" w14:textId="77777777" w:rsidR="00D5584F" w:rsidRPr="00872927" w:rsidRDefault="00D5584F" w:rsidP="00DE75C9">
            <w:pPr>
              <w:autoSpaceDE w:val="0"/>
              <w:autoSpaceDN w:val="0"/>
              <w:adjustRightInd w:val="0"/>
              <w:rPr>
                <w:rFonts w:ascii="Arial" w:hAnsi="Arial" w:cs="Arial"/>
              </w:rPr>
            </w:pPr>
            <w:r w:rsidRPr="00872927">
              <w:rPr>
                <w:rFonts w:ascii="Arial" w:hAnsi="Arial" w:cs="Arial"/>
              </w:rPr>
              <w:t>Clive Richards OBE, DL</w:t>
            </w:r>
          </w:p>
          <w:p w14:paraId="25FA9D24" w14:textId="77777777" w:rsidR="00D5584F" w:rsidRPr="00872927" w:rsidRDefault="00D5584F" w:rsidP="00DE75C9">
            <w:pPr>
              <w:autoSpaceDE w:val="0"/>
              <w:autoSpaceDN w:val="0"/>
              <w:adjustRightInd w:val="0"/>
              <w:spacing w:after="240"/>
              <w:rPr>
                <w:rFonts w:ascii="Arial" w:hAnsi="Arial" w:cs="Arial"/>
              </w:rPr>
            </w:pPr>
            <w:r w:rsidRPr="00872927">
              <w:rPr>
                <w:rFonts w:ascii="Arial" w:hAnsi="Arial" w:cs="Arial"/>
              </w:rPr>
              <w:t xml:space="preserve">Oliver </w:t>
            </w:r>
            <w:proofErr w:type="spellStart"/>
            <w:r w:rsidRPr="00872927">
              <w:rPr>
                <w:rFonts w:ascii="Arial" w:hAnsi="Arial" w:cs="Arial"/>
              </w:rPr>
              <w:t>Stocken</w:t>
            </w:r>
            <w:proofErr w:type="spellEnd"/>
          </w:p>
          <w:p w14:paraId="1A6B3B42" w14:textId="77777777" w:rsidR="00D5584F" w:rsidRPr="00872927" w:rsidRDefault="00D5584F" w:rsidP="00DE75C9">
            <w:pPr>
              <w:autoSpaceDE w:val="0"/>
              <w:autoSpaceDN w:val="0"/>
              <w:adjustRightInd w:val="0"/>
              <w:rPr>
                <w:rFonts w:ascii="Arial" w:hAnsi="Arial" w:cs="Arial"/>
                <w:b/>
              </w:rPr>
            </w:pPr>
            <w:r w:rsidRPr="00872927">
              <w:rPr>
                <w:rFonts w:ascii="Arial" w:hAnsi="Arial" w:cs="Arial"/>
                <w:b/>
              </w:rPr>
              <w:t>Trustees</w:t>
            </w:r>
          </w:p>
          <w:p w14:paraId="1ECD09E7" w14:textId="77777777" w:rsidR="00D5584F" w:rsidRPr="00872927" w:rsidRDefault="00D5584F" w:rsidP="00DE75C9">
            <w:pPr>
              <w:autoSpaceDE w:val="0"/>
              <w:autoSpaceDN w:val="0"/>
              <w:adjustRightInd w:val="0"/>
              <w:rPr>
                <w:rFonts w:ascii="Arial" w:eastAsia="ZapfDingbatsITC" w:hAnsi="Arial" w:cs="Arial"/>
              </w:rPr>
            </w:pPr>
            <w:r w:rsidRPr="00872927">
              <w:rPr>
                <w:rFonts w:ascii="Arial" w:hAnsi="Arial" w:cs="Arial"/>
              </w:rPr>
              <w:t xml:space="preserve">Paul Baldwin * </w:t>
            </w:r>
            <w:r w:rsidRPr="00872927">
              <w:rPr>
                <w:rFonts w:ascii="Arial" w:eastAsia="ZapfDingbatsITC" w:hAnsi="Arial" w:cs="Arial"/>
              </w:rPr>
              <w:t>♦</w:t>
            </w:r>
          </w:p>
          <w:p w14:paraId="3B019BDD" w14:textId="77777777" w:rsidR="00D5584F" w:rsidRPr="00872927" w:rsidRDefault="00D5584F" w:rsidP="00DE75C9">
            <w:pPr>
              <w:autoSpaceDE w:val="0"/>
              <w:autoSpaceDN w:val="0"/>
              <w:adjustRightInd w:val="0"/>
              <w:rPr>
                <w:rFonts w:ascii="Arial" w:hAnsi="Arial" w:cs="Arial"/>
              </w:rPr>
            </w:pPr>
            <w:r w:rsidRPr="00872927">
              <w:rPr>
                <w:rFonts w:ascii="Arial" w:hAnsi="Arial" w:cs="Arial"/>
              </w:rPr>
              <w:t>Stephanie Cutler (resigned 16</w:t>
            </w:r>
            <w:r w:rsidRPr="00872927">
              <w:rPr>
                <w:rFonts w:ascii="Arial" w:hAnsi="Arial" w:cs="Arial"/>
                <w:vertAlign w:val="superscript"/>
              </w:rPr>
              <w:t>th</w:t>
            </w:r>
            <w:r w:rsidRPr="00872927">
              <w:rPr>
                <w:rFonts w:ascii="Arial" w:hAnsi="Arial" w:cs="Arial"/>
              </w:rPr>
              <w:t xml:space="preserve"> July 2020)</w:t>
            </w:r>
          </w:p>
          <w:p w14:paraId="47C548EC" w14:textId="77777777" w:rsidR="00D5584F" w:rsidRPr="00872927" w:rsidRDefault="004266E2" w:rsidP="00DE75C9">
            <w:pPr>
              <w:autoSpaceDE w:val="0"/>
              <w:autoSpaceDN w:val="0"/>
              <w:adjustRightInd w:val="0"/>
              <w:rPr>
                <w:rFonts w:ascii="Arial" w:hAnsi="Arial" w:cs="Arial"/>
              </w:rPr>
            </w:pPr>
            <w:r>
              <w:rPr>
                <w:rFonts w:ascii="Arial" w:hAnsi="Arial" w:cs="Arial"/>
              </w:rPr>
              <w:t>Chanelle Gra</w:t>
            </w:r>
            <w:r w:rsidR="00D5584F" w:rsidRPr="00872927">
              <w:rPr>
                <w:rFonts w:ascii="Arial" w:hAnsi="Arial" w:cs="Arial"/>
              </w:rPr>
              <w:t xml:space="preserve">y </w:t>
            </w:r>
            <w:r w:rsidRPr="00872927">
              <w:rPr>
                <w:rFonts w:ascii="Arial" w:eastAsia="ZapfDingbatsITC" w:hAnsi="Arial" w:cs="Arial"/>
              </w:rPr>
              <w:t>♦</w:t>
            </w:r>
          </w:p>
          <w:p w14:paraId="768B6531" w14:textId="77777777" w:rsidR="00D5584F" w:rsidRPr="00872927" w:rsidRDefault="00D5584F" w:rsidP="00DE75C9">
            <w:pPr>
              <w:autoSpaceDE w:val="0"/>
              <w:autoSpaceDN w:val="0"/>
              <w:adjustRightInd w:val="0"/>
              <w:rPr>
                <w:rFonts w:ascii="Arial" w:hAnsi="Arial" w:cs="Arial"/>
              </w:rPr>
            </w:pPr>
            <w:r w:rsidRPr="00872927">
              <w:rPr>
                <w:rFonts w:ascii="Arial" w:hAnsi="Arial" w:cs="Arial"/>
              </w:rPr>
              <w:t>Annamarie Hassall (</w:t>
            </w:r>
            <w:proofErr w:type="spellStart"/>
            <w:r w:rsidRPr="00872927">
              <w:rPr>
                <w:rFonts w:ascii="Arial" w:hAnsi="Arial" w:cs="Arial"/>
              </w:rPr>
              <w:t>Hiscox</w:t>
            </w:r>
            <w:proofErr w:type="spellEnd"/>
            <w:r w:rsidRPr="00872927">
              <w:rPr>
                <w:rFonts w:ascii="Arial" w:hAnsi="Arial" w:cs="Arial"/>
              </w:rPr>
              <w:t>) MBE</w:t>
            </w:r>
          </w:p>
          <w:p w14:paraId="5CB5F260" w14:textId="77777777" w:rsidR="00D5584F" w:rsidRPr="00872927" w:rsidRDefault="00D5584F" w:rsidP="00DE75C9">
            <w:pPr>
              <w:autoSpaceDE w:val="0"/>
              <w:autoSpaceDN w:val="0"/>
              <w:adjustRightInd w:val="0"/>
              <w:rPr>
                <w:rFonts w:ascii="Arial" w:hAnsi="Arial" w:cs="Arial"/>
              </w:rPr>
            </w:pPr>
            <w:r w:rsidRPr="00872927">
              <w:rPr>
                <w:rFonts w:ascii="Arial" w:hAnsi="Arial" w:cs="Arial"/>
              </w:rPr>
              <w:t>Mike Hawker *</w:t>
            </w:r>
          </w:p>
          <w:p w14:paraId="4B20242B" w14:textId="77777777" w:rsidR="00D5584F" w:rsidRPr="00872927" w:rsidRDefault="00D5584F" w:rsidP="00DE75C9">
            <w:pPr>
              <w:autoSpaceDE w:val="0"/>
              <w:autoSpaceDN w:val="0"/>
              <w:adjustRightInd w:val="0"/>
              <w:rPr>
                <w:rFonts w:ascii="Arial" w:eastAsia="ZapfDingbatsITC" w:hAnsi="Arial" w:cs="Arial"/>
              </w:rPr>
            </w:pPr>
            <w:r w:rsidRPr="00872927">
              <w:rPr>
                <w:rFonts w:ascii="Arial" w:hAnsi="Arial" w:cs="Arial"/>
              </w:rPr>
              <w:t xml:space="preserve">Peter Holmes </w:t>
            </w:r>
            <w:r w:rsidRPr="00872927">
              <w:rPr>
                <w:rFonts w:ascii="Arial" w:eastAsia="ZapfDingbatsITC" w:hAnsi="Arial" w:cs="Arial"/>
              </w:rPr>
              <w:sym w:font="Symbol" w:char="F0B7"/>
            </w:r>
          </w:p>
          <w:p w14:paraId="2B18508D" w14:textId="77777777" w:rsidR="00D5584F" w:rsidRPr="00872927" w:rsidRDefault="00D5584F" w:rsidP="00DE75C9">
            <w:pPr>
              <w:autoSpaceDE w:val="0"/>
              <w:autoSpaceDN w:val="0"/>
              <w:adjustRightInd w:val="0"/>
              <w:rPr>
                <w:rFonts w:ascii="Arial" w:hAnsi="Arial" w:cs="Arial"/>
              </w:rPr>
            </w:pPr>
            <w:r w:rsidRPr="00872927">
              <w:rPr>
                <w:rFonts w:ascii="Arial" w:hAnsi="Arial" w:cs="Arial"/>
              </w:rPr>
              <w:t xml:space="preserve">Paul McGee </w:t>
            </w:r>
          </w:p>
          <w:p w14:paraId="5ED6FD46" w14:textId="77777777" w:rsidR="00D5584F" w:rsidRPr="00872927" w:rsidRDefault="00D5584F" w:rsidP="00DE75C9">
            <w:pPr>
              <w:autoSpaceDE w:val="0"/>
              <w:autoSpaceDN w:val="0"/>
              <w:adjustRightInd w:val="0"/>
              <w:rPr>
                <w:rFonts w:ascii="Arial" w:hAnsi="Arial" w:cs="Arial"/>
              </w:rPr>
            </w:pPr>
            <w:r w:rsidRPr="00872927">
              <w:rPr>
                <w:rFonts w:ascii="Arial" w:hAnsi="Arial" w:cs="Arial"/>
              </w:rPr>
              <w:t xml:space="preserve">Jeremy Moore CB* </w:t>
            </w:r>
            <w:r w:rsidRPr="00872927">
              <w:rPr>
                <w:rFonts w:ascii="Arial" w:eastAsia="ZapfDingbatsITC" w:hAnsi="Arial" w:cs="Arial"/>
              </w:rPr>
              <w:sym w:font="Symbol" w:char="F0B7"/>
            </w:r>
          </w:p>
          <w:p w14:paraId="78BF4E47" w14:textId="77777777" w:rsidR="00D5584F" w:rsidRPr="00872927" w:rsidRDefault="00D5584F" w:rsidP="00DE75C9">
            <w:pPr>
              <w:autoSpaceDE w:val="0"/>
              <w:autoSpaceDN w:val="0"/>
              <w:adjustRightInd w:val="0"/>
              <w:rPr>
                <w:rFonts w:ascii="Arial" w:eastAsia="ZapfDingbatsITC" w:hAnsi="Arial" w:cs="Arial"/>
              </w:rPr>
            </w:pPr>
            <w:r w:rsidRPr="00872927">
              <w:rPr>
                <w:rFonts w:ascii="Arial" w:hAnsi="Arial" w:cs="Arial"/>
              </w:rPr>
              <w:t xml:space="preserve">John Norman </w:t>
            </w:r>
            <w:r w:rsidRPr="00872927">
              <w:rPr>
                <w:rFonts w:ascii="Arial" w:eastAsia="ZapfDingbatsITC" w:hAnsi="Arial" w:cs="Arial"/>
              </w:rPr>
              <w:t>♦</w:t>
            </w:r>
          </w:p>
          <w:p w14:paraId="5E2AF08E" w14:textId="77777777" w:rsidR="00D5584F" w:rsidRPr="00872927" w:rsidRDefault="00D5584F" w:rsidP="00DE75C9">
            <w:pPr>
              <w:autoSpaceDE w:val="0"/>
              <w:autoSpaceDN w:val="0"/>
              <w:adjustRightInd w:val="0"/>
              <w:rPr>
                <w:rFonts w:ascii="Arial" w:eastAsia="ZapfDingbatsITC" w:hAnsi="Arial" w:cs="Arial"/>
              </w:rPr>
            </w:pPr>
            <w:r w:rsidRPr="00872927">
              <w:rPr>
                <w:rFonts w:ascii="Arial" w:hAnsi="Arial" w:cs="Arial"/>
              </w:rPr>
              <w:t xml:space="preserve">Dr Mike Nussbaum </w:t>
            </w:r>
            <w:r w:rsidRPr="00872927">
              <w:rPr>
                <w:rFonts w:ascii="Arial" w:eastAsia="ZapfDingbatsITC" w:hAnsi="Arial" w:cs="Arial"/>
              </w:rPr>
              <w:t xml:space="preserve">♦ </w:t>
            </w:r>
            <w:r w:rsidRPr="00872927">
              <w:rPr>
                <w:rFonts w:ascii="Arial" w:eastAsia="ZapfDingbatsITC" w:hAnsi="Arial" w:cs="Arial"/>
              </w:rPr>
              <w:sym w:font="Symbol" w:char="F0B7"/>
            </w:r>
          </w:p>
          <w:p w14:paraId="305B4DAE" w14:textId="77777777" w:rsidR="00D5584F" w:rsidRPr="00872927" w:rsidRDefault="00D5584F" w:rsidP="00DE75C9">
            <w:pPr>
              <w:autoSpaceDE w:val="0"/>
              <w:autoSpaceDN w:val="0"/>
              <w:adjustRightInd w:val="0"/>
              <w:rPr>
                <w:rFonts w:ascii="Arial" w:hAnsi="Arial" w:cs="Arial"/>
              </w:rPr>
            </w:pPr>
            <w:r w:rsidRPr="00872927">
              <w:rPr>
                <w:rFonts w:ascii="Arial" w:hAnsi="Arial" w:cs="Arial"/>
              </w:rPr>
              <w:t xml:space="preserve">Marie-Claire O’Brien (resigned </w:t>
            </w:r>
            <w:r w:rsidR="00521805">
              <w:rPr>
                <w:rFonts w:ascii="Arial" w:hAnsi="Arial" w:cs="Arial"/>
              </w:rPr>
              <w:t>6th</w:t>
            </w:r>
            <w:r w:rsidR="00521805" w:rsidRPr="00872927">
              <w:rPr>
                <w:rFonts w:ascii="Arial" w:hAnsi="Arial" w:cs="Arial"/>
              </w:rPr>
              <w:t xml:space="preserve"> </w:t>
            </w:r>
            <w:r w:rsidRPr="00872927">
              <w:rPr>
                <w:rFonts w:ascii="Arial" w:hAnsi="Arial" w:cs="Arial"/>
              </w:rPr>
              <w:t>May 2020)</w:t>
            </w:r>
          </w:p>
          <w:p w14:paraId="39BFDABD" w14:textId="77777777" w:rsidR="00D5584F" w:rsidRPr="00872927" w:rsidRDefault="00D5584F" w:rsidP="00DE75C9">
            <w:pPr>
              <w:autoSpaceDE w:val="0"/>
              <w:autoSpaceDN w:val="0"/>
              <w:adjustRightInd w:val="0"/>
              <w:rPr>
                <w:rFonts w:ascii="Arial" w:hAnsi="Arial" w:cs="Arial"/>
              </w:rPr>
            </w:pPr>
            <w:r w:rsidRPr="00872927">
              <w:rPr>
                <w:rFonts w:ascii="Arial" w:hAnsi="Arial" w:cs="Arial"/>
              </w:rPr>
              <w:t xml:space="preserve">Sir Kenneth </w:t>
            </w:r>
            <w:proofErr w:type="spellStart"/>
            <w:r w:rsidRPr="00872927">
              <w:rPr>
                <w:rFonts w:ascii="Arial" w:hAnsi="Arial" w:cs="Arial"/>
              </w:rPr>
              <w:t>Olisa</w:t>
            </w:r>
            <w:proofErr w:type="spellEnd"/>
            <w:r w:rsidRPr="00872927">
              <w:rPr>
                <w:rFonts w:ascii="Arial" w:hAnsi="Arial" w:cs="Arial"/>
              </w:rPr>
              <w:t xml:space="preserve"> OBE, Chairman</w:t>
            </w:r>
          </w:p>
          <w:p w14:paraId="103745ED" w14:textId="77777777" w:rsidR="00D5584F" w:rsidRPr="00872927" w:rsidRDefault="00D5584F" w:rsidP="00DE75C9">
            <w:pPr>
              <w:autoSpaceDE w:val="0"/>
              <w:autoSpaceDN w:val="0"/>
              <w:adjustRightInd w:val="0"/>
              <w:rPr>
                <w:rFonts w:ascii="Arial" w:eastAsia="ZapfDingbatsITC" w:hAnsi="Arial" w:cs="Arial"/>
              </w:rPr>
            </w:pPr>
          </w:p>
          <w:p w14:paraId="33825098" w14:textId="77777777" w:rsidR="00D5584F" w:rsidRPr="00872927" w:rsidRDefault="00D5584F" w:rsidP="00DE75C9">
            <w:pPr>
              <w:autoSpaceDE w:val="0"/>
              <w:autoSpaceDN w:val="0"/>
              <w:adjustRightInd w:val="0"/>
              <w:rPr>
                <w:rFonts w:ascii="Arial" w:hAnsi="Arial" w:cs="Arial"/>
              </w:rPr>
            </w:pPr>
            <w:r w:rsidRPr="00872927">
              <w:rPr>
                <w:rFonts w:ascii="Arial" w:hAnsi="Arial" w:cs="Arial"/>
              </w:rPr>
              <w:t xml:space="preserve">* Member of the Audit </w:t>
            </w:r>
            <w:r w:rsidR="00C51D7C">
              <w:rPr>
                <w:rFonts w:ascii="Arial" w:hAnsi="Arial" w:cs="Arial"/>
              </w:rPr>
              <w:t xml:space="preserve">&amp; Risk </w:t>
            </w:r>
            <w:r w:rsidRPr="00872927">
              <w:rPr>
                <w:rFonts w:ascii="Arial" w:hAnsi="Arial" w:cs="Arial"/>
              </w:rPr>
              <w:t>Committee</w:t>
            </w:r>
          </w:p>
          <w:p w14:paraId="295A933D" w14:textId="77777777" w:rsidR="00D5584F" w:rsidRPr="00872927" w:rsidRDefault="00D5584F" w:rsidP="00DE75C9">
            <w:pPr>
              <w:autoSpaceDE w:val="0"/>
              <w:autoSpaceDN w:val="0"/>
              <w:adjustRightInd w:val="0"/>
              <w:rPr>
                <w:rFonts w:ascii="Arial" w:hAnsi="Arial" w:cs="Arial"/>
              </w:rPr>
            </w:pPr>
            <w:r w:rsidRPr="00872927">
              <w:rPr>
                <w:rFonts w:ascii="Arial" w:eastAsia="ZapfDingbatsITC" w:hAnsi="Arial" w:cs="Arial"/>
              </w:rPr>
              <w:t xml:space="preserve">♦ </w:t>
            </w:r>
            <w:r w:rsidRPr="00872927">
              <w:rPr>
                <w:rFonts w:ascii="Arial" w:hAnsi="Arial" w:cs="Arial"/>
              </w:rPr>
              <w:t>Member of the HR Committee</w:t>
            </w:r>
          </w:p>
          <w:p w14:paraId="12CF5199" w14:textId="77777777" w:rsidR="00D5584F" w:rsidRPr="00872927" w:rsidRDefault="00D5584F" w:rsidP="00DE75C9">
            <w:pPr>
              <w:autoSpaceDE w:val="0"/>
              <w:autoSpaceDN w:val="0"/>
              <w:adjustRightInd w:val="0"/>
              <w:spacing w:after="240"/>
              <w:rPr>
                <w:rFonts w:ascii="Arial" w:hAnsi="Arial" w:cs="Arial"/>
              </w:rPr>
            </w:pPr>
            <w:r w:rsidRPr="00872927">
              <w:rPr>
                <w:rFonts w:ascii="Arial" w:eastAsia="ZapfDingbatsITC" w:hAnsi="Arial" w:cs="Arial"/>
              </w:rPr>
              <w:sym w:font="Symbol" w:char="F0B7"/>
            </w:r>
            <w:r w:rsidRPr="00872927">
              <w:rPr>
                <w:rFonts w:ascii="Arial" w:eastAsia="ZapfDingbatsITC" w:hAnsi="Arial" w:cs="Arial" w:hint="eastAsia"/>
              </w:rPr>
              <w:t xml:space="preserve"> </w:t>
            </w:r>
            <w:r w:rsidRPr="00872927">
              <w:rPr>
                <w:rFonts w:ascii="Arial" w:hAnsi="Arial" w:cs="Arial"/>
              </w:rPr>
              <w:t xml:space="preserve">Member of the Performance and </w:t>
            </w:r>
            <w:r w:rsidR="004266E2">
              <w:rPr>
                <w:rFonts w:ascii="Arial" w:hAnsi="Arial" w:cs="Arial"/>
              </w:rPr>
              <w:t>Investment</w:t>
            </w:r>
            <w:r w:rsidRPr="00872927">
              <w:rPr>
                <w:rFonts w:ascii="Arial" w:hAnsi="Arial" w:cs="Arial"/>
              </w:rPr>
              <w:t xml:space="preserve"> Committee</w:t>
            </w:r>
          </w:p>
          <w:p w14:paraId="367A042B" w14:textId="77777777" w:rsidR="00D5584F" w:rsidRPr="00872927" w:rsidRDefault="00D5584F" w:rsidP="00DE75C9">
            <w:pPr>
              <w:autoSpaceDE w:val="0"/>
              <w:autoSpaceDN w:val="0"/>
              <w:adjustRightInd w:val="0"/>
              <w:rPr>
                <w:rFonts w:ascii="Arial" w:hAnsi="Arial" w:cs="Arial"/>
                <w:b/>
              </w:rPr>
            </w:pPr>
            <w:r w:rsidRPr="00872927">
              <w:rPr>
                <w:rFonts w:ascii="Arial" w:hAnsi="Arial" w:cs="Arial"/>
                <w:b/>
              </w:rPr>
              <w:t>Executive Management Team</w:t>
            </w:r>
          </w:p>
          <w:p w14:paraId="01FEB832" w14:textId="77777777" w:rsidR="00D5584F" w:rsidRPr="00872927" w:rsidRDefault="00D5584F" w:rsidP="00DE75C9">
            <w:pPr>
              <w:autoSpaceDE w:val="0"/>
              <w:autoSpaceDN w:val="0"/>
              <w:adjustRightInd w:val="0"/>
              <w:rPr>
                <w:rFonts w:ascii="Arial" w:hAnsi="Arial" w:cs="Arial"/>
              </w:rPr>
            </w:pPr>
            <w:r w:rsidRPr="00872927">
              <w:rPr>
                <w:rFonts w:ascii="Arial" w:hAnsi="Arial" w:cs="Arial"/>
              </w:rPr>
              <w:t>Chris Luck CB MBE</w:t>
            </w:r>
          </w:p>
          <w:p w14:paraId="23ED1016" w14:textId="77777777" w:rsidR="00D5584F" w:rsidRPr="00872927" w:rsidRDefault="00D5584F" w:rsidP="00DE75C9">
            <w:pPr>
              <w:autoSpaceDE w:val="0"/>
              <w:autoSpaceDN w:val="0"/>
              <w:adjustRightInd w:val="0"/>
              <w:spacing w:after="240"/>
              <w:rPr>
                <w:rFonts w:ascii="Arial" w:hAnsi="Arial" w:cs="Arial"/>
                <w:i/>
              </w:rPr>
            </w:pPr>
            <w:r w:rsidRPr="00872927">
              <w:rPr>
                <w:rFonts w:ascii="Arial" w:hAnsi="Arial" w:cs="Arial"/>
                <w:i/>
              </w:rPr>
              <w:t>Group Chief Executive Officer</w:t>
            </w:r>
          </w:p>
          <w:p w14:paraId="588EDF21" w14:textId="77777777" w:rsidR="00D5584F" w:rsidRPr="00872927" w:rsidRDefault="00D5584F" w:rsidP="00DE75C9">
            <w:pPr>
              <w:autoSpaceDE w:val="0"/>
              <w:autoSpaceDN w:val="0"/>
              <w:adjustRightInd w:val="0"/>
              <w:spacing w:after="240"/>
              <w:rPr>
                <w:rFonts w:ascii="Arial" w:hAnsi="Arial" w:cs="Arial"/>
                <w:i/>
                <w:iCs/>
              </w:rPr>
            </w:pPr>
            <w:r w:rsidRPr="00872927">
              <w:rPr>
                <w:rFonts w:ascii="Arial" w:hAnsi="Arial" w:cs="Arial"/>
              </w:rPr>
              <w:t>Jacqui Oughton</w:t>
            </w:r>
            <w:r w:rsidRPr="00872927">
              <w:rPr>
                <w:rFonts w:ascii="Arial" w:hAnsi="Arial" w:cs="Arial"/>
              </w:rPr>
              <w:br/>
            </w:r>
            <w:r w:rsidRPr="00872927">
              <w:rPr>
                <w:rFonts w:ascii="Arial" w:hAnsi="Arial" w:cs="Arial"/>
                <w:i/>
                <w:iCs/>
              </w:rPr>
              <w:t>Chief Operating Officer</w:t>
            </w:r>
          </w:p>
          <w:p w14:paraId="7C12DC3C" w14:textId="77777777" w:rsidR="00D5584F" w:rsidRPr="00872927" w:rsidRDefault="00D5584F" w:rsidP="00DE75C9">
            <w:pPr>
              <w:autoSpaceDE w:val="0"/>
              <w:autoSpaceDN w:val="0"/>
              <w:adjustRightInd w:val="0"/>
              <w:rPr>
                <w:rFonts w:ascii="Arial" w:hAnsi="Arial" w:cs="Arial"/>
                <w:i/>
                <w:iCs/>
              </w:rPr>
            </w:pPr>
            <w:r w:rsidRPr="00872927">
              <w:rPr>
                <w:rFonts w:ascii="Arial" w:hAnsi="Arial" w:cs="Arial"/>
              </w:rPr>
              <w:t>Stephen King</w:t>
            </w:r>
            <w:r w:rsidRPr="00872927">
              <w:rPr>
                <w:rFonts w:ascii="Arial" w:hAnsi="Arial" w:cs="Arial"/>
              </w:rPr>
              <w:br/>
            </w:r>
            <w:r w:rsidRPr="00872927">
              <w:rPr>
                <w:rFonts w:ascii="Arial" w:hAnsi="Arial" w:cs="Arial"/>
                <w:i/>
                <w:iCs/>
              </w:rPr>
              <w:t>Chief Financial Officer</w:t>
            </w:r>
          </w:p>
          <w:p w14:paraId="7A97F589" w14:textId="77777777" w:rsidR="00D5584F" w:rsidRPr="00872927" w:rsidRDefault="00D5584F" w:rsidP="00DE75C9">
            <w:pPr>
              <w:autoSpaceDE w:val="0"/>
              <w:autoSpaceDN w:val="0"/>
              <w:adjustRightInd w:val="0"/>
              <w:rPr>
                <w:rFonts w:ascii="Arial" w:hAnsi="Arial" w:cs="Arial"/>
                <w:i/>
                <w:iCs/>
              </w:rPr>
            </w:pPr>
          </w:p>
        </w:tc>
        <w:tc>
          <w:tcPr>
            <w:tcW w:w="4508" w:type="dxa"/>
            <w:tcBorders>
              <w:top w:val="nil"/>
              <w:left w:val="nil"/>
              <w:bottom w:val="nil"/>
              <w:right w:val="nil"/>
            </w:tcBorders>
          </w:tcPr>
          <w:p w14:paraId="32B37FD5" w14:textId="77777777" w:rsidR="00D5584F" w:rsidRPr="00872927" w:rsidRDefault="00D5584F" w:rsidP="00DE75C9">
            <w:pPr>
              <w:autoSpaceDE w:val="0"/>
              <w:autoSpaceDN w:val="0"/>
              <w:adjustRightInd w:val="0"/>
              <w:rPr>
                <w:rFonts w:ascii="Arial" w:hAnsi="Arial" w:cs="Arial"/>
              </w:rPr>
            </w:pPr>
            <w:r w:rsidRPr="00872927">
              <w:rPr>
                <w:rFonts w:ascii="Arial" w:hAnsi="Arial" w:cs="Arial"/>
              </w:rPr>
              <w:t>Richard Clifton</w:t>
            </w:r>
          </w:p>
          <w:p w14:paraId="2B3BD9FC" w14:textId="77777777" w:rsidR="00D5584F" w:rsidRPr="00872927" w:rsidRDefault="00D5584F" w:rsidP="00DE75C9">
            <w:pPr>
              <w:autoSpaceDE w:val="0"/>
              <w:autoSpaceDN w:val="0"/>
              <w:adjustRightInd w:val="0"/>
              <w:spacing w:after="240"/>
              <w:rPr>
                <w:rFonts w:ascii="Arial" w:hAnsi="Arial" w:cs="Arial"/>
                <w:i/>
                <w:iCs/>
              </w:rPr>
            </w:pPr>
            <w:r w:rsidRPr="00872927">
              <w:rPr>
                <w:rFonts w:ascii="Arial" w:hAnsi="Arial" w:cs="Arial"/>
                <w:i/>
                <w:iCs/>
              </w:rPr>
              <w:t>Chief Commercial Officer</w:t>
            </w:r>
          </w:p>
          <w:p w14:paraId="32265697" w14:textId="77777777" w:rsidR="00D5584F" w:rsidRPr="00872927" w:rsidRDefault="00D5584F" w:rsidP="00DE75C9">
            <w:pPr>
              <w:autoSpaceDE w:val="0"/>
              <w:autoSpaceDN w:val="0"/>
              <w:adjustRightInd w:val="0"/>
              <w:rPr>
                <w:rFonts w:ascii="Arial" w:hAnsi="Arial" w:cs="Arial"/>
              </w:rPr>
            </w:pPr>
            <w:r w:rsidRPr="00872927">
              <w:rPr>
                <w:rFonts w:ascii="Arial" w:hAnsi="Arial" w:cs="Arial"/>
              </w:rPr>
              <w:t>Mark Earl</w:t>
            </w:r>
          </w:p>
          <w:p w14:paraId="03D4A19F" w14:textId="77777777" w:rsidR="00D5584F" w:rsidRPr="00872927" w:rsidRDefault="00D5584F" w:rsidP="00DE75C9">
            <w:pPr>
              <w:autoSpaceDE w:val="0"/>
              <w:autoSpaceDN w:val="0"/>
              <w:adjustRightInd w:val="0"/>
              <w:rPr>
                <w:rFonts w:ascii="Arial" w:hAnsi="Arial" w:cs="Arial"/>
                <w:i/>
                <w:iCs/>
              </w:rPr>
            </w:pPr>
            <w:r w:rsidRPr="00872927">
              <w:rPr>
                <w:rFonts w:ascii="Arial" w:hAnsi="Arial" w:cs="Arial"/>
                <w:i/>
                <w:iCs/>
              </w:rPr>
              <w:t>Chief People Officer</w:t>
            </w:r>
          </w:p>
          <w:p w14:paraId="0F48FE2C" w14:textId="77777777" w:rsidR="00D5584F" w:rsidRPr="00872927" w:rsidRDefault="00D5584F" w:rsidP="00DE75C9">
            <w:pPr>
              <w:autoSpaceDE w:val="0"/>
              <w:autoSpaceDN w:val="0"/>
              <w:adjustRightInd w:val="0"/>
              <w:rPr>
                <w:rFonts w:ascii="Arial" w:hAnsi="Arial" w:cs="Arial"/>
              </w:rPr>
            </w:pPr>
          </w:p>
          <w:p w14:paraId="7E4B944E" w14:textId="77777777" w:rsidR="00D5584F" w:rsidRPr="00872927" w:rsidRDefault="00D5584F" w:rsidP="00DE75C9">
            <w:pPr>
              <w:autoSpaceDE w:val="0"/>
              <w:autoSpaceDN w:val="0"/>
              <w:adjustRightInd w:val="0"/>
              <w:rPr>
                <w:rFonts w:ascii="Arial" w:hAnsi="Arial" w:cs="Arial"/>
              </w:rPr>
            </w:pPr>
            <w:r w:rsidRPr="00872927">
              <w:rPr>
                <w:rFonts w:ascii="Arial" w:hAnsi="Arial" w:cs="Arial"/>
              </w:rPr>
              <w:t>Austin Hardie</w:t>
            </w:r>
          </w:p>
          <w:p w14:paraId="348568A0" w14:textId="77777777" w:rsidR="00D5584F" w:rsidRPr="00872927" w:rsidRDefault="00D5584F" w:rsidP="00DE75C9">
            <w:pPr>
              <w:autoSpaceDE w:val="0"/>
              <w:autoSpaceDN w:val="0"/>
              <w:adjustRightInd w:val="0"/>
              <w:rPr>
                <w:rFonts w:ascii="Arial" w:hAnsi="Arial" w:cs="Arial"/>
                <w:i/>
                <w:iCs/>
              </w:rPr>
            </w:pPr>
            <w:r w:rsidRPr="00872927">
              <w:rPr>
                <w:rFonts w:ascii="Arial" w:hAnsi="Arial" w:cs="Arial"/>
                <w:i/>
                <w:iCs/>
              </w:rPr>
              <w:t>Operational Managing Director – Employability</w:t>
            </w:r>
          </w:p>
          <w:p w14:paraId="7D0B985D" w14:textId="77777777" w:rsidR="00D5584F" w:rsidRPr="00872927" w:rsidRDefault="00D5584F" w:rsidP="00DE75C9">
            <w:pPr>
              <w:autoSpaceDE w:val="0"/>
              <w:autoSpaceDN w:val="0"/>
              <w:adjustRightInd w:val="0"/>
              <w:rPr>
                <w:rFonts w:ascii="Arial" w:hAnsi="Arial" w:cs="Arial"/>
              </w:rPr>
            </w:pPr>
            <w:r w:rsidRPr="00872927">
              <w:rPr>
                <w:rFonts w:ascii="Arial" w:hAnsi="Arial" w:cs="Arial"/>
              </w:rPr>
              <w:t>Jo Morgan</w:t>
            </w:r>
          </w:p>
          <w:p w14:paraId="40E12A9C" w14:textId="77777777" w:rsidR="00D5584F" w:rsidRPr="00872927" w:rsidRDefault="00D5584F" w:rsidP="00DE75C9">
            <w:pPr>
              <w:autoSpaceDE w:val="0"/>
              <w:autoSpaceDN w:val="0"/>
              <w:adjustRightInd w:val="0"/>
              <w:rPr>
                <w:rFonts w:ascii="Arial" w:hAnsi="Arial" w:cs="Arial"/>
                <w:i/>
                <w:iCs/>
              </w:rPr>
            </w:pPr>
            <w:r w:rsidRPr="00872927">
              <w:rPr>
                <w:rFonts w:ascii="Arial" w:hAnsi="Arial" w:cs="Arial"/>
                <w:i/>
                <w:iCs/>
              </w:rPr>
              <w:t>Chief Executive Officer – Shaw Education Trust</w:t>
            </w:r>
          </w:p>
          <w:p w14:paraId="192C8235" w14:textId="77777777" w:rsidR="00D5584F" w:rsidRPr="00872927" w:rsidRDefault="00D5584F" w:rsidP="00DE75C9">
            <w:pPr>
              <w:autoSpaceDE w:val="0"/>
              <w:autoSpaceDN w:val="0"/>
              <w:adjustRightInd w:val="0"/>
              <w:rPr>
                <w:rFonts w:ascii="Arial" w:hAnsi="Arial" w:cs="Arial"/>
              </w:rPr>
            </w:pPr>
            <w:r w:rsidRPr="00872927">
              <w:rPr>
                <w:rFonts w:ascii="Arial" w:hAnsi="Arial" w:cs="Arial"/>
              </w:rPr>
              <w:t>Victoria Blakeman</w:t>
            </w:r>
          </w:p>
          <w:p w14:paraId="5B8BF56E" w14:textId="77777777" w:rsidR="00D5584F" w:rsidRPr="00872927" w:rsidRDefault="00D5584F" w:rsidP="00DE75C9">
            <w:pPr>
              <w:autoSpaceDE w:val="0"/>
              <w:autoSpaceDN w:val="0"/>
              <w:adjustRightInd w:val="0"/>
              <w:rPr>
                <w:rFonts w:ascii="Arial" w:hAnsi="Arial" w:cs="Arial"/>
                <w:i/>
                <w:iCs/>
              </w:rPr>
            </w:pPr>
            <w:r w:rsidRPr="00872927">
              <w:rPr>
                <w:rFonts w:ascii="Arial" w:hAnsi="Arial" w:cs="Arial"/>
                <w:i/>
                <w:iCs/>
              </w:rPr>
              <w:t>Operational Managing Director – Justice, Community Health &amp; Wellbeing, Charitable Services and Enterprise</w:t>
            </w:r>
          </w:p>
          <w:p w14:paraId="2353766C" w14:textId="77777777" w:rsidR="00D5584F" w:rsidRPr="00872927" w:rsidRDefault="00D5584F" w:rsidP="00DE75C9">
            <w:pPr>
              <w:autoSpaceDE w:val="0"/>
              <w:autoSpaceDN w:val="0"/>
              <w:adjustRightInd w:val="0"/>
              <w:rPr>
                <w:rFonts w:ascii="Arial" w:hAnsi="Arial" w:cs="Arial"/>
              </w:rPr>
            </w:pPr>
            <w:r w:rsidRPr="00872927">
              <w:rPr>
                <w:rFonts w:ascii="Arial" w:hAnsi="Arial" w:cs="Arial"/>
              </w:rPr>
              <w:t>Andrew Thraves</w:t>
            </w:r>
          </w:p>
          <w:p w14:paraId="53F2D191" w14:textId="77777777" w:rsidR="00D5584F" w:rsidRPr="00872927" w:rsidRDefault="00D5584F" w:rsidP="00DE75C9">
            <w:pPr>
              <w:autoSpaceDE w:val="0"/>
              <w:autoSpaceDN w:val="0"/>
              <w:adjustRightInd w:val="0"/>
              <w:rPr>
                <w:rFonts w:ascii="Arial" w:hAnsi="Arial" w:cs="Arial"/>
                <w:i/>
                <w:iCs/>
              </w:rPr>
            </w:pPr>
            <w:r w:rsidRPr="00872927">
              <w:rPr>
                <w:rFonts w:ascii="Arial" w:hAnsi="Arial" w:cs="Arial"/>
                <w:i/>
                <w:iCs/>
              </w:rPr>
              <w:t>Managing Director – Optimus Education</w:t>
            </w:r>
          </w:p>
          <w:p w14:paraId="255E9AB1" w14:textId="77777777" w:rsidR="00D5584F" w:rsidRPr="00872927" w:rsidRDefault="00D5584F" w:rsidP="00DE75C9">
            <w:pPr>
              <w:autoSpaceDE w:val="0"/>
              <w:autoSpaceDN w:val="0"/>
              <w:adjustRightInd w:val="0"/>
              <w:rPr>
                <w:rFonts w:ascii="Arial" w:hAnsi="Arial" w:cs="Arial"/>
                <w:iCs/>
              </w:rPr>
            </w:pPr>
            <w:r w:rsidRPr="00872927">
              <w:rPr>
                <w:rFonts w:ascii="Arial" w:hAnsi="Arial" w:cs="Arial"/>
                <w:iCs/>
              </w:rPr>
              <w:t xml:space="preserve">Paul Cook </w:t>
            </w:r>
          </w:p>
          <w:p w14:paraId="39614B2C" w14:textId="77777777" w:rsidR="00D5584F" w:rsidRPr="00872927" w:rsidRDefault="00D5584F" w:rsidP="00DE75C9">
            <w:pPr>
              <w:autoSpaceDE w:val="0"/>
              <w:autoSpaceDN w:val="0"/>
              <w:adjustRightInd w:val="0"/>
              <w:spacing w:after="240"/>
              <w:rPr>
                <w:rFonts w:ascii="Arial" w:hAnsi="Arial" w:cs="Arial"/>
                <w:i/>
                <w:iCs/>
              </w:rPr>
            </w:pPr>
            <w:r w:rsidRPr="00872927">
              <w:rPr>
                <w:rFonts w:ascii="Arial" w:hAnsi="Arial" w:cs="Arial"/>
                <w:i/>
                <w:iCs/>
              </w:rPr>
              <w:t>Managing Director – Children’s Services</w:t>
            </w:r>
          </w:p>
          <w:p w14:paraId="648DACC6" w14:textId="77777777" w:rsidR="00D5584F" w:rsidRPr="00872927" w:rsidRDefault="00D5584F" w:rsidP="00DE75C9">
            <w:pPr>
              <w:autoSpaceDE w:val="0"/>
              <w:autoSpaceDN w:val="0"/>
              <w:adjustRightInd w:val="0"/>
              <w:rPr>
                <w:rFonts w:ascii="Arial" w:hAnsi="Arial" w:cs="Arial"/>
                <w:b/>
              </w:rPr>
            </w:pPr>
            <w:r w:rsidRPr="00872927">
              <w:rPr>
                <w:rFonts w:ascii="Arial" w:hAnsi="Arial" w:cs="Arial"/>
                <w:b/>
              </w:rPr>
              <w:t>Company Secretary</w:t>
            </w:r>
          </w:p>
          <w:p w14:paraId="2A2A274F" w14:textId="77777777" w:rsidR="00521805" w:rsidRDefault="00521805" w:rsidP="00161381">
            <w:pPr>
              <w:autoSpaceDE w:val="0"/>
              <w:autoSpaceDN w:val="0"/>
              <w:adjustRightInd w:val="0"/>
              <w:rPr>
                <w:rFonts w:ascii="Arial" w:hAnsi="Arial" w:cs="Arial"/>
              </w:rPr>
            </w:pPr>
            <w:r>
              <w:rPr>
                <w:rFonts w:ascii="Arial" w:hAnsi="Arial" w:cs="Arial"/>
              </w:rPr>
              <w:t>Stephen King (resigned 26</w:t>
            </w:r>
            <w:r w:rsidRPr="00161381">
              <w:rPr>
                <w:rFonts w:ascii="Arial" w:hAnsi="Arial" w:cs="Arial"/>
                <w:vertAlign w:val="superscript"/>
              </w:rPr>
              <w:t>th</w:t>
            </w:r>
            <w:r>
              <w:rPr>
                <w:rFonts w:ascii="Arial" w:hAnsi="Arial" w:cs="Arial"/>
              </w:rPr>
              <w:t xml:space="preserve"> January 2021)</w:t>
            </w:r>
          </w:p>
          <w:p w14:paraId="2E32D373" w14:textId="77777777" w:rsidR="00521805" w:rsidRPr="00872927" w:rsidRDefault="00521805" w:rsidP="00DE75C9">
            <w:pPr>
              <w:autoSpaceDE w:val="0"/>
              <w:autoSpaceDN w:val="0"/>
              <w:adjustRightInd w:val="0"/>
              <w:spacing w:after="240"/>
              <w:rPr>
                <w:rFonts w:ascii="Arial" w:hAnsi="Arial" w:cs="Arial"/>
              </w:rPr>
            </w:pPr>
            <w:r>
              <w:rPr>
                <w:rFonts w:ascii="Arial" w:hAnsi="Arial" w:cs="Arial"/>
              </w:rPr>
              <w:t>Carol Ann McKinley (appointed 26th January 2021</w:t>
            </w:r>
            <w:r w:rsidR="005B7DA2">
              <w:rPr>
                <w:rFonts w:ascii="Arial" w:hAnsi="Arial" w:cs="Arial"/>
              </w:rPr>
              <w:t>)</w:t>
            </w:r>
          </w:p>
          <w:p w14:paraId="6EE69CC5" w14:textId="77777777" w:rsidR="00D5584F" w:rsidRPr="00872927" w:rsidRDefault="00D5584F" w:rsidP="00DE75C9">
            <w:pPr>
              <w:autoSpaceDE w:val="0"/>
              <w:autoSpaceDN w:val="0"/>
              <w:adjustRightInd w:val="0"/>
              <w:rPr>
                <w:rFonts w:ascii="Arial" w:hAnsi="Arial" w:cs="Arial"/>
                <w:b/>
              </w:rPr>
            </w:pPr>
            <w:r w:rsidRPr="00872927">
              <w:rPr>
                <w:rFonts w:ascii="Arial" w:hAnsi="Arial" w:cs="Arial"/>
                <w:b/>
              </w:rPr>
              <w:t>Registered Office</w:t>
            </w:r>
          </w:p>
          <w:p w14:paraId="20192209" w14:textId="77777777" w:rsidR="00D5584F" w:rsidRPr="00872927" w:rsidRDefault="00D5584F" w:rsidP="00DE75C9">
            <w:pPr>
              <w:autoSpaceDE w:val="0"/>
              <w:autoSpaceDN w:val="0"/>
              <w:adjustRightInd w:val="0"/>
              <w:spacing w:after="240"/>
              <w:rPr>
                <w:rFonts w:ascii="Arial" w:hAnsi="Arial" w:cs="Arial"/>
              </w:rPr>
            </w:pPr>
            <w:r w:rsidRPr="00872927">
              <w:rPr>
                <w:rFonts w:ascii="Arial" w:hAnsi="Arial" w:cs="Arial"/>
              </w:rPr>
              <w:t>Black Country House, Rounds Green Road, Oldbury, West Midlands, B69 2DG</w:t>
            </w:r>
          </w:p>
          <w:p w14:paraId="7F3B7F78" w14:textId="77777777" w:rsidR="00D5584F" w:rsidRPr="00872927" w:rsidRDefault="00D5584F" w:rsidP="00DE75C9">
            <w:pPr>
              <w:autoSpaceDE w:val="0"/>
              <w:autoSpaceDN w:val="0"/>
              <w:adjustRightInd w:val="0"/>
              <w:rPr>
                <w:rFonts w:ascii="Arial" w:hAnsi="Arial" w:cs="Arial"/>
                <w:b/>
              </w:rPr>
            </w:pPr>
            <w:r w:rsidRPr="00872927">
              <w:rPr>
                <w:rFonts w:ascii="Arial" w:hAnsi="Arial" w:cs="Arial"/>
                <w:b/>
              </w:rPr>
              <w:t>Independent Auditors</w:t>
            </w:r>
          </w:p>
          <w:p w14:paraId="28961462" w14:textId="77777777" w:rsidR="00D5584F" w:rsidRPr="00872927" w:rsidRDefault="00D5584F" w:rsidP="00DE75C9">
            <w:pPr>
              <w:autoSpaceDE w:val="0"/>
              <w:autoSpaceDN w:val="0"/>
              <w:adjustRightInd w:val="0"/>
              <w:rPr>
                <w:rFonts w:ascii="Arial" w:hAnsi="Arial" w:cs="Arial"/>
              </w:rPr>
            </w:pPr>
            <w:r w:rsidRPr="00872927">
              <w:rPr>
                <w:rFonts w:ascii="Arial" w:hAnsi="Arial" w:cs="Arial"/>
              </w:rPr>
              <w:t>PricewaterhouseCoopers LLP</w:t>
            </w:r>
          </w:p>
          <w:p w14:paraId="2098BBC2" w14:textId="77777777" w:rsidR="00D5584F" w:rsidRPr="00872927" w:rsidRDefault="00D5584F" w:rsidP="00DE75C9">
            <w:pPr>
              <w:autoSpaceDE w:val="0"/>
              <w:autoSpaceDN w:val="0"/>
              <w:adjustRightInd w:val="0"/>
              <w:rPr>
                <w:rFonts w:ascii="Arial" w:hAnsi="Arial" w:cs="Arial"/>
              </w:rPr>
            </w:pPr>
            <w:r w:rsidRPr="00872927">
              <w:rPr>
                <w:rFonts w:ascii="Arial" w:hAnsi="Arial" w:cs="Arial"/>
              </w:rPr>
              <w:t>Chartered Accountants and Statutory Auditors</w:t>
            </w:r>
          </w:p>
          <w:p w14:paraId="1E67D83F" w14:textId="77777777" w:rsidR="00D5584F" w:rsidRPr="00872927" w:rsidRDefault="00D5584F" w:rsidP="00DE75C9">
            <w:pPr>
              <w:autoSpaceDE w:val="0"/>
              <w:autoSpaceDN w:val="0"/>
              <w:adjustRightInd w:val="0"/>
              <w:spacing w:after="240"/>
              <w:rPr>
                <w:rFonts w:ascii="Arial" w:hAnsi="Arial" w:cs="Arial"/>
              </w:rPr>
            </w:pPr>
            <w:r w:rsidRPr="00872927">
              <w:rPr>
                <w:rFonts w:ascii="Arial" w:hAnsi="Arial" w:cs="Arial"/>
              </w:rPr>
              <w:t>2 Glass Wharf, Bristol BS2 ORF</w:t>
            </w:r>
          </w:p>
          <w:p w14:paraId="10DFA967" w14:textId="77777777" w:rsidR="00D5584F" w:rsidRPr="00872927" w:rsidRDefault="00D5584F" w:rsidP="00DE75C9">
            <w:pPr>
              <w:autoSpaceDE w:val="0"/>
              <w:autoSpaceDN w:val="0"/>
              <w:adjustRightInd w:val="0"/>
              <w:rPr>
                <w:rFonts w:ascii="Arial" w:hAnsi="Arial" w:cs="Arial"/>
                <w:b/>
              </w:rPr>
            </w:pPr>
            <w:r w:rsidRPr="00872927">
              <w:rPr>
                <w:rFonts w:ascii="Arial" w:hAnsi="Arial" w:cs="Arial"/>
                <w:b/>
              </w:rPr>
              <w:t>Bankers</w:t>
            </w:r>
          </w:p>
          <w:p w14:paraId="6F7296F4" w14:textId="77777777" w:rsidR="00D5584F" w:rsidRPr="00872927" w:rsidRDefault="00D5584F" w:rsidP="00DE75C9">
            <w:pPr>
              <w:autoSpaceDE w:val="0"/>
              <w:autoSpaceDN w:val="0"/>
              <w:adjustRightInd w:val="0"/>
              <w:rPr>
                <w:rFonts w:ascii="Arial" w:hAnsi="Arial" w:cs="Arial"/>
              </w:rPr>
            </w:pPr>
            <w:r w:rsidRPr="00872927">
              <w:rPr>
                <w:rFonts w:ascii="Arial" w:hAnsi="Arial" w:cs="Arial"/>
              </w:rPr>
              <w:t>The Royal Bank of Scotland</w:t>
            </w:r>
          </w:p>
          <w:p w14:paraId="1A15F3DF" w14:textId="77777777" w:rsidR="00D5584F" w:rsidRPr="00872927" w:rsidRDefault="00D5584F" w:rsidP="00DE75C9">
            <w:pPr>
              <w:autoSpaceDE w:val="0"/>
              <w:autoSpaceDN w:val="0"/>
              <w:adjustRightInd w:val="0"/>
              <w:spacing w:after="240"/>
              <w:rPr>
                <w:rFonts w:ascii="Arial" w:hAnsi="Arial" w:cs="Arial"/>
              </w:rPr>
            </w:pPr>
            <w:r w:rsidRPr="00872927">
              <w:rPr>
                <w:rFonts w:ascii="Arial" w:hAnsi="Arial" w:cs="Arial"/>
              </w:rPr>
              <w:t>9th Floor, 280 Bishopsgate, London EC2M 4RB</w:t>
            </w:r>
          </w:p>
          <w:p w14:paraId="573974C6" w14:textId="77777777" w:rsidR="00D5584F" w:rsidRPr="00872927" w:rsidRDefault="00D5584F" w:rsidP="00DE75C9">
            <w:pPr>
              <w:autoSpaceDE w:val="0"/>
              <w:autoSpaceDN w:val="0"/>
              <w:adjustRightInd w:val="0"/>
              <w:rPr>
                <w:rFonts w:ascii="Arial" w:hAnsi="Arial" w:cs="Arial"/>
                <w:b/>
              </w:rPr>
            </w:pPr>
            <w:r w:rsidRPr="00872927">
              <w:rPr>
                <w:rFonts w:ascii="Arial" w:hAnsi="Arial" w:cs="Arial"/>
                <w:b/>
              </w:rPr>
              <w:t>Solicitors</w:t>
            </w:r>
          </w:p>
          <w:p w14:paraId="5241A3B3" w14:textId="77777777" w:rsidR="00D5584F" w:rsidRPr="00872927" w:rsidRDefault="00D5584F" w:rsidP="00DE75C9">
            <w:pPr>
              <w:autoSpaceDE w:val="0"/>
              <w:autoSpaceDN w:val="0"/>
              <w:adjustRightInd w:val="0"/>
              <w:rPr>
                <w:rFonts w:ascii="Arial" w:hAnsi="Arial" w:cs="Arial"/>
              </w:rPr>
            </w:pPr>
            <w:proofErr w:type="spellStart"/>
            <w:r w:rsidRPr="00872927">
              <w:rPr>
                <w:rFonts w:ascii="Arial" w:hAnsi="Arial" w:cs="Arial"/>
              </w:rPr>
              <w:t>Brabners</w:t>
            </w:r>
            <w:proofErr w:type="spellEnd"/>
            <w:r w:rsidRPr="00872927">
              <w:rPr>
                <w:rFonts w:ascii="Arial" w:hAnsi="Arial" w:cs="Arial"/>
              </w:rPr>
              <w:t xml:space="preserve"> LLP Solicitors</w:t>
            </w:r>
          </w:p>
          <w:p w14:paraId="3B31E6B7" w14:textId="77777777" w:rsidR="00D5584F" w:rsidRPr="00872927" w:rsidRDefault="00D5584F" w:rsidP="00DE75C9">
            <w:pPr>
              <w:autoSpaceDE w:val="0"/>
              <w:autoSpaceDN w:val="0"/>
              <w:adjustRightInd w:val="0"/>
              <w:spacing w:after="240"/>
              <w:rPr>
                <w:rFonts w:ascii="Arial" w:hAnsi="Arial" w:cs="Arial"/>
              </w:rPr>
            </w:pPr>
            <w:r w:rsidRPr="00872927">
              <w:rPr>
                <w:rFonts w:ascii="Arial" w:hAnsi="Arial" w:cs="Arial"/>
              </w:rPr>
              <w:t>55 King Street, Manchester M2 4LQ</w:t>
            </w:r>
          </w:p>
          <w:p w14:paraId="046CC869" w14:textId="77777777" w:rsidR="00D5584F" w:rsidRPr="00872927" w:rsidRDefault="00D5584F" w:rsidP="00DE75C9">
            <w:pPr>
              <w:autoSpaceDE w:val="0"/>
              <w:autoSpaceDN w:val="0"/>
              <w:adjustRightInd w:val="0"/>
              <w:spacing w:after="240"/>
              <w:rPr>
                <w:rFonts w:ascii="Arial" w:hAnsi="Arial" w:cs="Arial"/>
              </w:rPr>
            </w:pPr>
          </w:p>
          <w:p w14:paraId="5C511406" w14:textId="77777777" w:rsidR="00D5584F" w:rsidRPr="00872927" w:rsidRDefault="00D5584F" w:rsidP="00DE75C9">
            <w:pPr>
              <w:autoSpaceDE w:val="0"/>
              <w:autoSpaceDN w:val="0"/>
              <w:adjustRightInd w:val="0"/>
              <w:spacing w:after="240"/>
              <w:rPr>
                <w:rFonts w:ascii="Arial" w:hAnsi="Arial" w:cs="Arial"/>
              </w:rPr>
            </w:pPr>
          </w:p>
        </w:tc>
      </w:tr>
      <w:tr w:rsidR="00D5584F" w:rsidRPr="00872927" w14:paraId="78A67F5B" w14:textId="77777777" w:rsidTr="00DE75C9">
        <w:tc>
          <w:tcPr>
            <w:tcW w:w="9016" w:type="dxa"/>
            <w:gridSpan w:val="2"/>
            <w:tcBorders>
              <w:top w:val="nil"/>
              <w:left w:val="nil"/>
              <w:bottom w:val="nil"/>
              <w:right w:val="nil"/>
            </w:tcBorders>
          </w:tcPr>
          <w:p w14:paraId="3D5DA0F6" w14:textId="77777777" w:rsidR="00D5584F" w:rsidRPr="00872927" w:rsidRDefault="00D5584F" w:rsidP="00DE75C9">
            <w:pPr>
              <w:autoSpaceDE w:val="0"/>
              <w:autoSpaceDN w:val="0"/>
              <w:adjustRightInd w:val="0"/>
              <w:rPr>
                <w:rFonts w:ascii="Arial" w:hAnsi="Arial" w:cs="Arial"/>
                <w:sz w:val="16"/>
                <w:szCs w:val="16"/>
              </w:rPr>
            </w:pPr>
            <w:r w:rsidRPr="00872927">
              <w:rPr>
                <w:rFonts w:ascii="Arial" w:hAnsi="Arial" w:cs="Arial"/>
                <w:sz w:val="16"/>
                <w:szCs w:val="16"/>
              </w:rPr>
              <w:t>A Company Limited by Guarantee Registered Number 01744121</w:t>
            </w:r>
          </w:p>
          <w:p w14:paraId="4BF4DFF9" w14:textId="77777777" w:rsidR="00D5584F" w:rsidRPr="00872927" w:rsidRDefault="00D5584F" w:rsidP="00DE75C9">
            <w:pPr>
              <w:autoSpaceDE w:val="0"/>
              <w:autoSpaceDN w:val="0"/>
              <w:adjustRightInd w:val="0"/>
              <w:rPr>
                <w:rFonts w:ascii="Arial" w:hAnsi="Arial" w:cs="Arial"/>
                <w:sz w:val="16"/>
                <w:szCs w:val="16"/>
              </w:rPr>
            </w:pPr>
            <w:r w:rsidRPr="00872927">
              <w:rPr>
                <w:rFonts w:ascii="Arial" w:hAnsi="Arial" w:cs="Arial"/>
                <w:sz w:val="16"/>
                <w:szCs w:val="16"/>
              </w:rPr>
              <w:t>Registered Charity Number in England &amp; Wales 287785</w:t>
            </w:r>
          </w:p>
          <w:p w14:paraId="0C412ECC" w14:textId="77777777" w:rsidR="00D5584F" w:rsidRPr="00872927" w:rsidRDefault="00D5584F" w:rsidP="00DE75C9">
            <w:pPr>
              <w:autoSpaceDE w:val="0"/>
              <w:autoSpaceDN w:val="0"/>
              <w:adjustRightInd w:val="0"/>
              <w:rPr>
                <w:rFonts w:ascii="Arial" w:hAnsi="Arial" w:cs="Arial"/>
                <w:sz w:val="16"/>
                <w:szCs w:val="16"/>
              </w:rPr>
            </w:pPr>
            <w:r w:rsidRPr="00872927">
              <w:rPr>
                <w:rFonts w:ascii="Arial" w:hAnsi="Arial" w:cs="Arial"/>
                <w:sz w:val="16"/>
                <w:szCs w:val="16"/>
              </w:rPr>
              <w:t>Registered Charity Number in Scotland SC039856</w:t>
            </w:r>
          </w:p>
          <w:p w14:paraId="3BAD0BB2" w14:textId="77777777" w:rsidR="00D5584F" w:rsidRPr="00872927" w:rsidRDefault="00D5584F" w:rsidP="00DE75C9">
            <w:pPr>
              <w:autoSpaceDE w:val="0"/>
              <w:autoSpaceDN w:val="0"/>
              <w:adjustRightInd w:val="0"/>
              <w:rPr>
                <w:rFonts w:ascii="Arial" w:hAnsi="Arial" w:cs="Arial"/>
                <w:sz w:val="16"/>
                <w:szCs w:val="16"/>
              </w:rPr>
            </w:pPr>
            <w:r w:rsidRPr="00872927">
              <w:rPr>
                <w:rFonts w:ascii="Arial" w:hAnsi="Arial" w:cs="Arial"/>
                <w:sz w:val="16"/>
                <w:szCs w:val="16"/>
              </w:rPr>
              <w:t>The Shaw Trust Limited is a private company limited by guarantee without share capital and incorporated in England.</w:t>
            </w:r>
          </w:p>
        </w:tc>
      </w:tr>
    </w:tbl>
    <w:p w14:paraId="2670C224" w14:textId="77777777" w:rsidR="00D5584F" w:rsidRPr="00872927" w:rsidRDefault="00D5584F" w:rsidP="00D5584F">
      <w:pPr>
        <w:autoSpaceDE w:val="0"/>
        <w:autoSpaceDN w:val="0"/>
        <w:adjustRightInd w:val="0"/>
        <w:spacing w:after="240" w:line="240" w:lineRule="auto"/>
        <w:rPr>
          <w:rFonts w:ascii="Arial" w:hAnsi="Arial" w:cs="Arial"/>
          <w:sz w:val="32"/>
          <w:szCs w:val="32"/>
        </w:rPr>
        <w:sectPr w:rsidR="00D5584F" w:rsidRPr="00872927" w:rsidSect="00295D10">
          <w:type w:val="continuous"/>
          <w:pgSz w:w="11906" w:h="16838"/>
          <w:pgMar w:top="1440" w:right="1440" w:bottom="1276" w:left="1440" w:header="708" w:footer="708" w:gutter="0"/>
          <w:cols w:space="708"/>
          <w:docGrid w:linePitch="360"/>
        </w:sectPr>
      </w:pPr>
    </w:p>
    <w:p w14:paraId="4ED4B120" w14:textId="77777777" w:rsidR="00D5584F" w:rsidRPr="00872927" w:rsidRDefault="00D5584F" w:rsidP="00D5584F">
      <w:pPr>
        <w:autoSpaceDE w:val="0"/>
        <w:autoSpaceDN w:val="0"/>
        <w:adjustRightInd w:val="0"/>
        <w:spacing w:after="240" w:line="240" w:lineRule="auto"/>
        <w:rPr>
          <w:rFonts w:ascii="Arial" w:hAnsi="Arial" w:cs="Arial"/>
          <w:sz w:val="23"/>
          <w:szCs w:val="23"/>
        </w:rPr>
        <w:sectPr w:rsidR="00D5584F" w:rsidRPr="00872927" w:rsidSect="001E6F81">
          <w:type w:val="continuous"/>
          <w:pgSz w:w="11906" w:h="16838"/>
          <w:pgMar w:top="1440" w:right="1440" w:bottom="1440" w:left="1440" w:header="708" w:footer="708" w:gutter="0"/>
          <w:cols w:num="2" w:space="295"/>
          <w:docGrid w:linePitch="360"/>
        </w:sectPr>
      </w:pPr>
    </w:p>
    <w:p w14:paraId="509BEE7E" w14:textId="77777777" w:rsidR="00D5584F" w:rsidRPr="00872927" w:rsidRDefault="00D5584F" w:rsidP="00D5584F">
      <w:pPr>
        <w:spacing w:after="240" w:line="240" w:lineRule="auto"/>
        <w:rPr>
          <w:rFonts w:ascii="Arial" w:hAnsi="Arial" w:cs="Arial"/>
          <w:b/>
          <w:sz w:val="24"/>
          <w:szCs w:val="24"/>
          <w:highlight w:val="yellow"/>
        </w:rPr>
        <w:sectPr w:rsidR="00D5584F" w:rsidRPr="00872927" w:rsidSect="0052100B">
          <w:type w:val="continuous"/>
          <w:pgSz w:w="11906" w:h="16838"/>
          <w:pgMar w:top="1440" w:right="1440" w:bottom="1440" w:left="1440" w:header="708" w:footer="708" w:gutter="0"/>
          <w:cols w:space="708"/>
          <w:docGrid w:linePitch="360"/>
        </w:sectPr>
      </w:pPr>
    </w:p>
    <w:p w14:paraId="091937C3" w14:textId="77777777" w:rsidR="00D5584F" w:rsidRPr="00161381" w:rsidRDefault="00D5584F" w:rsidP="00161381">
      <w:pPr>
        <w:pStyle w:val="ListParagraph"/>
        <w:keepLines/>
        <w:widowControl w:val="0"/>
        <w:numPr>
          <w:ilvl w:val="0"/>
          <w:numId w:val="24"/>
        </w:numPr>
        <w:spacing w:after="240" w:line="240" w:lineRule="auto"/>
        <w:rPr>
          <w:rFonts w:ascii="Arial" w:hAnsi="Arial" w:cs="Arial"/>
          <w:b/>
          <w:sz w:val="32"/>
          <w:szCs w:val="32"/>
        </w:rPr>
      </w:pPr>
      <w:r w:rsidRPr="00161381">
        <w:rPr>
          <w:rFonts w:ascii="Arial" w:hAnsi="Arial" w:cs="Arial"/>
          <w:b/>
          <w:sz w:val="32"/>
          <w:szCs w:val="32"/>
        </w:rPr>
        <w:lastRenderedPageBreak/>
        <w:t>Statement of Trustees’ responsibilities</w:t>
      </w:r>
    </w:p>
    <w:p w14:paraId="277CDB1B" w14:textId="77777777" w:rsidR="00D5584F" w:rsidRPr="00872927" w:rsidRDefault="00D5584F" w:rsidP="00D5584F">
      <w:pPr>
        <w:keepLines/>
        <w:widowControl w:val="0"/>
        <w:spacing w:after="240" w:line="240" w:lineRule="auto"/>
        <w:ind w:left="720"/>
        <w:contextualSpacing/>
        <w:rPr>
          <w:rFonts w:ascii="Arial" w:hAnsi="Arial" w:cs="Arial"/>
          <w:b/>
          <w:sz w:val="32"/>
          <w:szCs w:val="32"/>
        </w:rPr>
      </w:pPr>
    </w:p>
    <w:p w14:paraId="7BEE552D" w14:textId="77777777" w:rsidR="00D5584F" w:rsidRPr="00872927" w:rsidRDefault="00D5584F" w:rsidP="00D5584F">
      <w:pPr>
        <w:keepLines/>
        <w:widowControl w:val="0"/>
        <w:autoSpaceDE w:val="0"/>
        <w:autoSpaceDN w:val="0"/>
        <w:adjustRightInd w:val="0"/>
        <w:spacing w:after="240" w:line="240" w:lineRule="auto"/>
        <w:rPr>
          <w:rFonts w:ascii="Arial" w:hAnsi="Arial" w:cs="Arial"/>
          <w:sz w:val="32"/>
          <w:szCs w:val="32"/>
        </w:rPr>
        <w:sectPr w:rsidR="00D5584F" w:rsidRPr="00872927" w:rsidSect="00BA4E7F">
          <w:type w:val="continuous"/>
          <w:pgSz w:w="11906" w:h="16838"/>
          <w:pgMar w:top="1440" w:right="1440" w:bottom="1440" w:left="1440" w:header="708" w:footer="708" w:gutter="0"/>
          <w:cols w:space="708"/>
          <w:docGrid w:linePitch="360"/>
        </w:sectPr>
      </w:pPr>
    </w:p>
    <w:p w14:paraId="01468C4C" w14:textId="77777777" w:rsidR="00D5584F" w:rsidRPr="00872927" w:rsidRDefault="00D5584F" w:rsidP="00D5584F">
      <w:pPr>
        <w:keepLines/>
        <w:widowControl w:val="0"/>
        <w:autoSpaceDE w:val="0"/>
        <w:autoSpaceDN w:val="0"/>
        <w:adjustRightInd w:val="0"/>
        <w:spacing w:after="240" w:line="240" w:lineRule="auto"/>
        <w:jc w:val="both"/>
        <w:rPr>
          <w:rFonts w:ascii="Arial" w:hAnsi="Arial" w:cs="Arial"/>
          <w:sz w:val="24"/>
          <w:szCs w:val="24"/>
        </w:rPr>
      </w:pPr>
      <w:r w:rsidRPr="00872927">
        <w:rPr>
          <w:rFonts w:ascii="Arial" w:hAnsi="Arial" w:cs="Arial"/>
          <w:sz w:val="24"/>
          <w:szCs w:val="24"/>
        </w:rPr>
        <w:t>The Trustees (who are also directors of The Shaw Trust Limited for the purposes of company law) are responsible for preparing the Trustees’ Annual Report (including the Strategic Report) and the financial statements in accordance with applicable law and regulation.</w:t>
      </w:r>
    </w:p>
    <w:p w14:paraId="0A80F749" w14:textId="77777777" w:rsidR="00D5584F" w:rsidRPr="00872927" w:rsidRDefault="00D5584F" w:rsidP="00D5584F">
      <w:pPr>
        <w:keepLines/>
        <w:widowControl w:val="0"/>
        <w:autoSpaceDE w:val="0"/>
        <w:autoSpaceDN w:val="0"/>
        <w:adjustRightInd w:val="0"/>
        <w:spacing w:after="240" w:line="240" w:lineRule="auto"/>
        <w:jc w:val="both"/>
        <w:rPr>
          <w:rFonts w:ascii="Arial" w:hAnsi="Arial" w:cs="Arial"/>
          <w:sz w:val="24"/>
          <w:szCs w:val="24"/>
        </w:rPr>
      </w:pPr>
      <w:r w:rsidRPr="00872927">
        <w:rPr>
          <w:rFonts w:ascii="Arial" w:hAnsi="Arial" w:cs="Arial"/>
          <w:sz w:val="24"/>
          <w:szCs w:val="24"/>
        </w:rPr>
        <w:t>Company law requires the trustees to prepare financial statements for each financial year. Under that law the trustees have prepared the financial statements in accordance with United Kingdom Accounting Standards, comprising FRS 102 “The Financial Reporting Standard applicable in the UK and Republic of Ireland”, and applicable law (United Kingdom Generally Accepted Accounting Practice). Under company law the trustees must not approve the financial statements unless they are satisfied that they give a true and fair view of the state of the affairs of the charitable company and the group and of the incoming resources and application of resources, including the income and expenditure, of the charitable group for that period. In preparing these financial statements, the trustees are required to:</w:t>
      </w:r>
    </w:p>
    <w:p w14:paraId="109B5D6D" w14:textId="77777777" w:rsidR="00D5584F" w:rsidRPr="00872927" w:rsidRDefault="00D5584F" w:rsidP="00D5584F">
      <w:pPr>
        <w:keepLines/>
        <w:widowControl w:val="0"/>
        <w:numPr>
          <w:ilvl w:val="0"/>
          <w:numId w:val="5"/>
        </w:numPr>
        <w:autoSpaceDE w:val="0"/>
        <w:autoSpaceDN w:val="0"/>
        <w:adjustRightInd w:val="0"/>
        <w:spacing w:after="0" w:line="240" w:lineRule="auto"/>
        <w:ind w:left="426" w:hanging="284"/>
        <w:jc w:val="both"/>
        <w:rPr>
          <w:rFonts w:ascii="Arial" w:hAnsi="Arial" w:cs="Arial"/>
          <w:sz w:val="24"/>
          <w:szCs w:val="24"/>
        </w:rPr>
      </w:pPr>
      <w:r w:rsidRPr="00872927">
        <w:rPr>
          <w:rFonts w:ascii="Arial" w:hAnsi="Arial" w:cs="Arial"/>
          <w:sz w:val="24"/>
          <w:szCs w:val="24"/>
        </w:rPr>
        <w:t>select suitable accounting policies and then apply them consistently;</w:t>
      </w:r>
    </w:p>
    <w:p w14:paraId="335BDC87" w14:textId="77777777" w:rsidR="00D5584F" w:rsidRPr="00872927" w:rsidRDefault="00D5584F" w:rsidP="00D5584F">
      <w:pPr>
        <w:keepLines/>
        <w:widowControl w:val="0"/>
        <w:numPr>
          <w:ilvl w:val="0"/>
          <w:numId w:val="5"/>
        </w:numPr>
        <w:autoSpaceDE w:val="0"/>
        <w:autoSpaceDN w:val="0"/>
        <w:adjustRightInd w:val="0"/>
        <w:spacing w:after="0" w:line="240" w:lineRule="auto"/>
        <w:ind w:left="426" w:hanging="284"/>
        <w:jc w:val="both"/>
        <w:rPr>
          <w:rFonts w:ascii="Arial" w:hAnsi="Arial" w:cs="Arial"/>
          <w:sz w:val="24"/>
          <w:szCs w:val="24"/>
        </w:rPr>
      </w:pPr>
      <w:r w:rsidRPr="00872927">
        <w:rPr>
          <w:rFonts w:ascii="Arial" w:hAnsi="Arial" w:cs="Arial"/>
          <w:sz w:val="24"/>
          <w:szCs w:val="24"/>
        </w:rPr>
        <w:t>observe the methods and principles in the Statement of Recommended Practice: Accounting and Reporting by Charities (2015);</w:t>
      </w:r>
    </w:p>
    <w:p w14:paraId="6627F288" w14:textId="77777777" w:rsidR="00D5584F" w:rsidRPr="00872927" w:rsidRDefault="00D5584F" w:rsidP="00D5584F">
      <w:pPr>
        <w:keepLines/>
        <w:widowControl w:val="0"/>
        <w:numPr>
          <w:ilvl w:val="0"/>
          <w:numId w:val="5"/>
        </w:numPr>
        <w:autoSpaceDE w:val="0"/>
        <w:autoSpaceDN w:val="0"/>
        <w:adjustRightInd w:val="0"/>
        <w:spacing w:after="0" w:line="240" w:lineRule="auto"/>
        <w:ind w:left="426" w:hanging="284"/>
        <w:jc w:val="both"/>
        <w:rPr>
          <w:rFonts w:ascii="Arial" w:hAnsi="Arial" w:cs="Arial"/>
          <w:sz w:val="24"/>
          <w:szCs w:val="24"/>
        </w:rPr>
      </w:pPr>
      <w:r w:rsidRPr="00872927">
        <w:rPr>
          <w:rFonts w:ascii="Arial" w:hAnsi="Arial" w:cs="Arial"/>
          <w:sz w:val="24"/>
          <w:szCs w:val="24"/>
        </w:rPr>
        <w:t>make judgments and estimates that are reasonable and prudent;</w:t>
      </w:r>
    </w:p>
    <w:p w14:paraId="2590388B" w14:textId="77777777" w:rsidR="00D5584F" w:rsidRPr="00872927" w:rsidRDefault="00D5584F" w:rsidP="00D5584F">
      <w:pPr>
        <w:keepLines/>
        <w:widowControl w:val="0"/>
        <w:numPr>
          <w:ilvl w:val="0"/>
          <w:numId w:val="5"/>
        </w:numPr>
        <w:autoSpaceDE w:val="0"/>
        <w:autoSpaceDN w:val="0"/>
        <w:adjustRightInd w:val="0"/>
        <w:spacing w:after="0" w:line="240" w:lineRule="auto"/>
        <w:ind w:left="426" w:hanging="284"/>
        <w:jc w:val="both"/>
        <w:rPr>
          <w:rFonts w:ascii="Arial" w:hAnsi="Arial" w:cs="Arial"/>
          <w:sz w:val="24"/>
          <w:szCs w:val="24"/>
        </w:rPr>
      </w:pPr>
      <w:r w:rsidRPr="00872927">
        <w:rPr>
          <w:rFonts w:ascii="Arial" w:hAnsi="Arial" w:cs="Arial"/>
          <w:sz w:val="24"/>
          <w:szCs w:val="24"/>
        </w:rPr>
        <w:t>state whether applicable UK Accounting Standards, comprising FRS 102, have been followed, subject to any material departures disclosed and explained in the financial statements; and</w:t>
      </w:r>
    </w:p>
    <w:p w14:paraId="28D5E24C" w14:textId="77777777" w:rsidR="00D5584F" w:rsidRPr="00872927" w:rsidRDefault="00D5584F" w:rsidP="00D5584F">
      <w:pPr>
        <w:keepLines/>
        <w:widowControl w:val="0"/>
        <w:numPr>
          <w:ilvl w:val="0"/>
          <w:numId w:val="5"/>
        </w:numPr>
        <w:autoSpaceDE w:val="0"/>
        <w:autoSpaceDN w:val="0"/>
        <w:adjustRightInd w:val="0"/>
        <w:spacing w:after="240" w:line="240" w:lineRule="auto"/>
        <w:ind w:left="426" w:hanging="284"/>
        <w:jc w:val="both"/>
        <w:rPr>
          <w:rFonts w:ascii="Arial" w:hAnsi="Arial" w:cs="Arial"/>
          <w:sz w:val="24"/>
          <w:szCs w:val="24"/>
        </w:rPr>
      </w:pPr>
      <w:proofErr w:type="gramStart"/>
      <w:r w:rsidRPr="00872927">
        <w:rPr>
          <w:rFonts w:ascii="Arial" w:hAnsi="Arial" w:cs="Arial"/>
          <w:sz w:val="24"/>
          <w:szCs w:val="24"/>
        </w:rPr>
        <w:t>prepare</w:t>
      </w:r>
      <w:proofErr w:type="gramEnd"/>
      <w:r w:rsidRPr="00872927">
        <w:rPr>
          <w:rFonts w:ascii="Arial" w:hAnsi="Arial" w:cs="Arial"/>
          <w:sz w:val="24"/>
          <w:szCs w:val="24"/>
        </w:rPr>
        <w:t xml:space="preserve"> the financial statements on the going concern basis unless it is inappropriate to presume that the charitable company will continue in business.  </w:t>
      </w:r>
    </w:p>
    <w:p w14:paraId="3057411F" w14:textId="77777777" w:rsidR="00D5584F" w:rsidRPr="00872927" w:rsidRDefault="00D5584F" w:rsidP="00D5584F">
      <w:pPr>
        <w:keepLines/>
        <w:widowControl w:val="0"/>
        <w:autoSpaceDE w:val="0"/>
        <w:autoSpaceDN w:val="0"/>
        <w:adjustRightInd w:val="0"/>
        <w:spacing w:after="240" w:line="240" w:lineRule="auto"/>
        <w:jc w:val="both"/>
        <w:rPr>
          <w:rFonts w:ascii="Arial" w:hAnsi="Arial" w:cs="Arial"/>
          <w:sz w:val="24"/>
          <w:szCs w:val="24"/>
        </w:rPr>
      </w:pPr>
      <w:r w:rsidRPr="00872927">
        <w:rPr>
          <w:rFonts w:ascii="Arial" w:hAnsi="Arial" w:cs="Arial"/>
          <w:sz w:val="24"/>
          <w:szCs w:val="24"/>
        </w:rPr>
        <w:t>The Trustees are responsible for keeping adequate accounting records that are sufficient to show and explain the charitable company’s transactions and disclose with reasonable accuracy at any time the financial position of the charitable company and the group and enable them to ensure that the financial statements comply with the Companies Act 2006, the Charities and Trustee Investment (Scotland) Act 2005 and the Charities Accounts (Scotland) Regulations 2006 (as amended). They are also responsible for safeguarding the assets of the charitable company and the group and hence for taking reasonable steps for the prevention and detection of fraud and other irregularities.</w:t>
      </w:r>
    </w:p>
    <w:p w14:paraId="1E6A0EFE" w14:textId="77777777" w:rsidR="00D5584F" w:rsidRPr="00872927" w:rsidRDefault="00D5584F" w:rsidP="00D5584F">
      <w:pPr>
        <w:keepLines/>
        <w:widowControl w:val="0"/>
        <w:autoSpaceDE w:val="0"/>
        <w:autoSpaceDN w:val="0"/>
        <w:adjustRightInd w:val="0"/>
        <w:spacing w:after="240" w:line="240" w:lineRule="auto"/>
        <w:jc w:val="both"/>
        <w:rPr>
          <w:rFonts w:ascii="Arial" w:hAnsi="Arial" w:cs="Arial"/>
          <w:b/>
          <w:sz w:val="24"/>
          <w:szCs w:val="24"/>
        </w:rPr>
      </w:pPr>
      <w:r w:rsidRPr="00872927">
        <w:rPr>
          <w:rFonts w:ascii="Arial" w:hAnsi="Arial" w:cs="Arial"/>
          <w:sz w:val="24"/>
          <w:szCs w:val="24"/>
        </w:rPr>
        <w:t>The Trustees are responsible for the maintenance and integrity of the charitable company’s website. Legislation in the United Kingdom governing the preparation and dissemination of financial statements may differ from legislation in other jurisdictions.</w:t>
      </w:r>
      <w:r w:rsidRPr="00872927">
        <w:rPr>
          <w:rFonts w:ascii="Arial" w:hAnsi="Arial" w:cs="Arial"/>
          <w:b/>
          <w:sz w:val="24"/>
          <w:szCs w:val="24"/>
        </w:rPr>
        <w:br w:type="page"/>
      </w:r>
    </w:p>
    <w:p w14:paraId="65CDD9BF" w14:textId="77777777" w:rsidR="00D5584F" w:rsidRPr="00872927" w:rsidRDefault="00D5584F" w:rsidP="00D5584F">
      <w:pPr>
        <w:keepLines/>
        <w:widowControl w:val="0"/>
        <w:tabs>
          <w:tab w:val="left" w:pos="567"/>
        </w:tabs>
        <w:spacing w:after="240" w:line="240" w:lineRule="auto"/>
        <w:ind w:left="567" w:hanging="567"/>
        <w:jc w:val="both"/>
        <w:rPr>
          <w:rFonts w:ascii="Arial" w:hAnsi="Arial" w:cs="Arial"/>
          <w:b/>
          <w:i/>
          <w:sz w:val="24"/>
          <w:szCs w:val="24"/>
        </w:rPr>
      </w:pPr>
      <w:r w:rsidRPr="00872927">
        <w:rPr>
          <w:rFonts w:ascii="Arial" w:hAnsi="Arial" w:cs="Arial"/>
          <w:b/>
          <w:i/>
          <w:sz w:val="24"/>
          <w:szCs w:val="24"/>
        </w:rPr>
        <w:lastRenderedPageBreak/>
        <w:t xml:space="preserve">4. </w:t>
      </w:r>
      <w:r w:rsidRPr="00872927">
        <w:rPr>
          <w:rFonts w:ascii="Arial" w:hAnsi="Arial" w:cs="Arial"/>
          <w:b/>
          <w:i/>
          <w:sz w:val="24"/>
          <w:szCs w:val="24"/>
        </w:rPr>
        <w:tab/>
        <w:t>Statement of Trustees’ responsibilities (continued)</w:t>
      </w:r>
    </w:p>
    <w:p w14:paraId="25276C6C" w14:textId="77777777" w:rsidR="00D5584F" w:rsidRPr="00872927" w:rsidRDefault="00D5584F" w:rsidP="00D5584F">
      <w:pPr>
        <w:keepLines/>
        <w:widowControl w:val="0"/>
        <w:autoSpaceDE w:val="0"/>
        <w:autoSpaceDN w:val="0"/>
        <w:adjustRightInd w:val="0"/>
        <w:spacing w:after="240" w:line="240" w:lineRule="auto"/>
        <w:jc w:val="both"/>
        <w:rPr>
          <w:rFonts w:ascii="Arial" w:hAnsi="Arial" w:cs="Arial"/>
          <w:b/>
          <w:sz w:val="24"/>
          <w:szCs w:val="24"/>
        </w:rPr>
      </w:pPr>
      <w:r w:rsidRPr="00872927">
        <w:rPr>
          <w:rFonts w:ascii="Arial" w:hAnsi="Arial" w:cs="Arial"/>
          <w:b/>
          <w:sz w:val="24"/>
          <w:szCs w:val="24"/>
        </w:rPr>
        <w:t xml:space="preserve">Disclosure of information to auditors </w:t>
      </w:r>
    </w:p>
    <w:p w14:paraId="7477449F" w14:textId="77777777" w:rsidR="00D5584F" w:rsidRPr="00872927" w:rsidRDefault="00D5584F" w:rsidP="00D5584F">
      <w:pPr>
        <w:keepLines/>
        <w:widowControl w:val="0"/>
        <w:autoSpaceDE w:val="0"/>
        <w:autoSpaceDN w:val="0"/>
        <w:adjustRightInd w:val="0"/>
        <w:spacing w:after="240" w:line="240" w:lineRule="auto"/>
        <w:jc w:val="both"/>
        <w:rPr>
          <w:rFonts w:ascii="Arial" w:hAnsi="Arial" w:cs="Arial"/>
          <w:sz w:val="24"/>
          <w:szCs w:val="24"/>
        </w:rPr>
      </w:pPr>
      <w:r w:rsidRPr="00872927">
        <w:rPr>
          <w:rFonts w:ascii="Arial" w:hAnsi="Arial" w:cs="Arial"/>
          <w:sz w:val="24"/>
          <w:szCs w:val="24"/>
        </w:rPr>
        <w:t>In so far as the Trustees are aware:</w:t>
      </w:r>
    </w:p>
    <w:p w14:paraId="1E907C5A" w14:textId="77777777" w:rsidR="00D5584F" w:rsidRPr="00872927" w:rsidRDefault="00D5584F" w:rsidP="00D5584F">
      <w:pPr>
        <w:keepLines/>
        <w:widowControl w:val="0"/>
        <w:numPr>
          <w:ilvl w:val="0"/>
          <w:numId w:val="6"/>
        </w:numPr>
        <w:autoSpaceDE w:val="0"/>
        <w:autoSpaceDN w:val="0"/>
        <w:adjustRightInd w:val="0"/>
        <w:spacing w:after="0" w:line="240" w:lineRule="auto"/>
        <w:ind w:hanging="578"/>
        <w:jc w:val="both"/>
        <w:rPr>
          <w:rFonts w:ascii="Arial" w:hAnsi="Arial" w:cs="Arial"/>
          <w:sz w:val="24"/>
          <w:szCs w:val="24"/>
        </w:rPr>
      </w:pPr>
      <w:r w:rsidRPr="00872927">
        <w:rPr>
          <w:rFonts w:ascii="Arial" w:hAnsi="Arial" w:cs="Arial"/>
          <w:sz w:val="24"/>
          <w:szCs w:val="24"/>
        </w:rPr>
        <w:t>there is no relevant audit information of which the charitable company’s auditor is unaware; and</w:t>
      </w:r>
    </w:p>
    <w:p w14:paraId="27FF5473" w14:textId="77777777" w:rsidR="00D5584F" w:rsidRPr="00872927" w:rsidRDefault="00D5584F" w:rsidP="00D5584F">
      <w:pPr>
        <w:keepLines/>
        <w:widowControl w:val="0"/>
        <w:numPr>
          <w:ilvl w:val="0"/>
          <w:numId w:val="6"/>
        </w:numPr>
        <w:autoSpaceDE w:val="0"/>
        <w:autoSpaceDN w:val="0"/>
        <w:adjustRightInd w:val="0"/>
        <w:spacing w:after="240" w:line="240" w:lineRule="auto"/>
        <w:ind w:hanging="578"/>
        <w:jc w:val="both"/>
        <w:rPr>
          <w:rFonts w:ascii="Arial" w:hAnsi="Arial" w:cs="Arial"/>
          <w:sz w:val="24"/>
          <w:szCs w:val="24"/>
        </w:rPr>
      </w:pPr>
      <w:proofErr w:type="gramStart"/>
      <w:r w:rsidRPr="00872927">
        <w:rPr>
          <w:rFonts w:ascii="Arial" w:hAnsi="Arial" w:cs="Arial"/>
          <w:sz w:val="24"/>
          <w:szCs w:val="24"/>
        </w:rPr>
        <w:t>the</w:t>
      </w:r>
      <w:proofErr w:type="gramEnd"/>
      <w:r w:rsidRPr="00872927">
        <w:rPr>
          <w:rFonts w:ascii="Arial" w:hAnsi="Arial" w:cs="Arial"/>
          <w:sz w:val="24"/>
          <w:szCs w:val="24"/>
        </w:rPr>
        <w:t xml:space="preserve"> trustees have taken all the steps that they ought to have taken as a trustee in order to make them aware of any relevant audit information and to establish that the charitable company’s auditor is aware of that information.</w:t>
      </w:r>
    </w:p>
    <w:p w14:paraId="09578BC2" w14:textId="77777777" w:rsidR="00D5584F" w:rsidRPr="00872927" w:rsidRDefault="00D5584F" w:rsidP="00D5584F">
      <w:pPr>
        <w:keepLines/>
        <w:widowControl w:val="0"/>
        <w:autoSpaceDE w:val="0"/>
        <w:autoSpaceDN w:val="0"/>
        <w:adjustRightInd w:val="0"/>
        <w:spacing w:after="240" w:line="240" w:lineRule="auto"/>
        <w:jc w:val="both"/>
        <w:rPr>
          <w:rFonts w:ascii="Arial" w:hAnsi="Arial" w:cs="Arial"/>
          <w:b/>
          <w:sz w:val="24"/>
          <w:szCs w:val="24"/>
        </w:rPr>
      </w:pPr>
      <w:r w:rsidRPr="00872927">
        <w:rPr>
          <w:rFonts w:ascii="Arial" w:hAnsi="Arial" w:cs="Arial"/>
          <w:b/>
          <w:sz w:val="24"/>
          <w:szCs w:val="24"/>
        </w:rPr>
        <w:t xml:space="preserve">Independent auditors </w:t>
      </w:r>
    </w:p>
    <w:p w14:paraId="7E994BFE" w14:textId="77777777" w:rsidR="00D5584F" w:rsidRPr="00872927" w:rsidRDefault="00F73D92" w:rsidP="00D5584F">
      <w:pPr>
        <w:keepLines/>
        <w:widowControl w:val="0"/>
        <w:autoSpaceDE w:val="0"/>
        <w:autoSpaceDN w:val="0"/>
        <w:adjustRightInd w:val="0"/>
        <w:spacing w:after="240" w:line="240" w:lineRule="auto"/>
        <w:jc w:val="both"/>
        <w:rPr>
          <w:rFonts w:ascii="Arial" w:hAnsi="Arial" w:cs="Arial"/>
          <w:sz w:val="24"/>
          <w:szCs w:val="24"/>
        </w:rPr>
      </w:pPr>
      <w:r>
        <w:rPr>
          <w:rFonts w:ascii="Arial" w:hAnsi="Arial" w:cs="Arial"/>
          <w:sz w:val="24"/>
          <w:szCs w:val="24"/>
        </w:rPr>
        <w:t xml:space="preserve">In line with best practice Shaw Trust </w:t>
      </w:r>
      <w:r w:rsidR="00437A75">
        <w:rPr>
          <w:rFonts w:ascii="Arial" w:hAnsi="Arial" w:cs="Arial"/>
          <w:sz w:val="24"/>
          <w:szCs w:val="24"/>
        </w:rPr>
        <w:t xml:space="preserve">Limited </w:t>
      </w:r>
      <w:r>
        <w:rPr>
          <w:rFonts w:ascii="Arial" w:hAnsi="Arial" w:cs="Arial"/>
          <w:sz w:val="24"/>
          <w:szCs w:val="24"/>
        </w:rPr>
        <w:t>are currently undertaking a procurement exercise in relation to the appointment of external auditors.  Once this process has completed a resolution proposing the most appropriate audit company as auditor of the Trust will be put to the members</w:t>
      </w:r>
      <w:r w:rsidR="00D5584F" w:rsidRPr="005E47C9">
        <w:rPr>
          <w:rFonts w:ascii="Arial" w:hAnsi="Arial" w:cs="Arial"/>
          <w:sz w:val="24"/>
          <w:szCs w:val="24"/>
        </w:rPr>
        <w:t>.</w:t>
      </w:r>
    </w:p>
    <w:p w14:paraId="5A054A28" w14:textId="77777777" w:rsidR="00D5584F" w:rsidRPr="00872927" w:rsidRDefault="00D5584F" w:rsidP="00D5584F">
      <w:pPr>
        <w:keepLines/>
        <w:widowControl w:val="0"/>
        <w:autoSpaceDE w:val="0"/>
        <w:autoSpaceDN w:val="0"/>
        <w:adjustRightInd w:val="0"/>
        <w:spacing w:after="240" w:line="240" w:lineRule="auto"/>
        <w:jc w:val="both"/>
        <w:rPr>
          <w:rFonts w:ascii="Arial" w:hAnsi="Arial" w:cs="Arial"/>
          <w:sz w:val="24"/>
          <w:szCs w:val="24"/>
        </w:rPr>
      </w:pPr>
      <w:r w:rsidRPr="00872927">
        <w:rPr>
          <w:rFonts w:ascii="Arial" w:hAnsi="Arial" w:cs="Arial"/>
          <w:sz w:val="24"/>
          <w:szCs w:val="24"/>
        </w:rPr>
        <w:t>The Trustees are responsible for the maintenance and integrity of the corporate and financial information included on the charitable company’s website. Legislation in the United Kingdom governing the preparation and dissemination of financial statements may differ from legislation in other jurisdictions.</w:t>
      </w:r>
    </w:p>
    <w:p w14:paraId="17FAB62D" w14:textId="77777777" w:rsidR="00D5584F" w:rsidRPr="00872927" w:rsidRDefault="00D5584F" w:rsidP="00D5584F">
      <w:pPr>
        <w:keepLines/>
        <w:widowControl w:val="0"/>
        <w:autoSpaceDE w:val="0"/>
        <w:autoSpaceDN w:val="0"/>
        <w:adjustRightInd w:val="0"/>
        <w:spacing w:after="240" w:line="240" w:lineRule="auto"/>
        <w:jc w:val="both"/>
        <w:rPr>
          <w:rFonts w:ascii="Arial" w:hAnsi="Arial" w:cs="Arial"/>
          <w:sz w:val="24"/>
          <w:szCs w:val="24"/>
        </w:rPr>
      </w:pPr>
      <w:r w:rsidRPr="00872927">
        <w:rPr>
          <w:rFonts w:ascii="Arial" w:hAnsi="Arial" w:cs="Arial"/>
          <w:sz w:val="24"/>
          <w:szCs w:val="24"/>
        </w:rPr>
        <w:t>The Trustees confirm that they have complied with the duty in Section 17 of the Charities Act 2011 to have due regard to the public benefit guidance published by the Charity Commission.</w:t>
      </w:r>
    </w:p>
    <w:p w14:paraId="082BA76E" w14:textId="77777777" w:rsidR="00D5584F" w:rsidRPr="00872927" w:rsidRDefault="00D5584F" w:rsidP="00D5584F">
      <w:pPr>
        <w:keepLines/>
        <w:widowControl w:val="0"/>
        <w:autoSpaceDE w:val="0"/>
        <w:autoSpaceDN w:val="0"/>
        <w:adjustRightInd w:val="0"/>
        <w:spacing w:after="240" w:line="240" w:lineRule="auto"/>
        <w:jc w:val="both"/>
        <w:rPr>
          <w:rFonts w:ascii="Arial" w:hAnsi="Arial" w:cs="Arial"/>
          <w:sz w:val="24"/>
          <w:szCs w:val="24"/>
        </w:rPr>
        <w:sectPr w:rsidR="00D5584F" w:rsidRPr="00872927" w:rsidSect="00BA4E7F">
          <w:type w:val="continuous"/>
          <w:pgSz w:w="11906" w:h="16838"/>
          <w:pgMar w:top="1440" w:right="1440" w:bottom="1440" w:left="1440" w:header="708" w:footer="708" w:gutter="0"/>
          <w:cols w:num="2" w:space="708"/>
          <w:docGrid w:linePitch="360"/>
        </w:sectPr>
      </w:pPr>
    </w:p>
    <w:p w14:paraId="0DC2DA97" w14:textId="77777777" w:rsidR="00D5584F" w:rsidRPr="00872927" w:rsidRDefault="00D5584F" w:rsidP="00D5584F">
      <w:pPr>
        <w:keepLines/>
        <w:widowControl w:val="0"/>
        <w:tabs>
          <w:tab w:val="left" w:pos="567"/>
        </w:tabs>
        <w:autoSpaceDE w:val="0"/>
        <w:autoSpaceDN w:val="0"/>
        <w:adjustRightInd w:val="0"/>
        <w:spacing w:after="240" w:line="240" w:lineRule="auto"/>
        <w:ind w:right="-236"/>
        <w:jc w:val="both"/>
        <w:rPr>
          <w:rFonts w:ascii="Arial" w:hAnsi="Arial" w:cs="Arial"/>
          <w:b/>
          <w:sz w:val="32"/>
          <w:szCs w:val="32"/>
        </w:rPr>
      </w:pPr>
      <w:r w:rsidRPr="00872927">
        <w:rPr>
          <w:rFonts w:ascii="Arial" w:hAnsi="Arial" w:cs="Arial"/>
          <w:b/>
          <w:sz w:val="32"/>
          <w:szCs w:val="32"/>
        </w:rPr>
        <w:lastRenderedPageBreak/>
        <w:t xml:space="preserve">5. </w:t>
      </w:r>
      <w:r w:rsidRPr="00872927">
        <w:rPr>
          <w:rFonts w:ascii="Arial" w:hAnsi="Arial" w:cs="Arial"/>
          <w:b/>
          <w:sz w:val="32"/>
          <w:szCs w:val="32"/>
        </w:rPr>
        <w:tab/>
        <w:t>Section 172(1) Statement</w:t>
      </w:r>
    </w:p>
    <w:p w14:paraId="07488C1B" w14:textId="77777777" w:rsidR="00D5584F" w:rsidRPr="00872927" w:rsidRDefault="00D5584F" w:rsidP="00D5584F">
      <w:pPr>
        <w:keepLines/>
        <w:widowControl w:val="0"/>
        <w:autoSpaceDE w:val="0"/>
        <w:autoSpaceDN w:val="0"/>
        <w:adjustRightInd w:val="0"/>
        <w:spacing w:after="240" w:line="240" w:lineRule="auto"/>
        <w:jc w:val="both"/>
        <w:rPr>
          <w:rFonts w:ascii="Arial" w:hAnsi="Arial" w:cs="Arial"/>
          <w:sz w:val="24"/>
          <w:szCs w:val="24"/>
        </w:rPr>
      </w:pPr>
      <w:r w:rsidRPr="00872927">
        <w:rPr>
          <w:rFonts w:ascii="Arial" w:hAnsi="Arial" w:cs="Arial"/>
          <w:sz w:val="24"/>
          <w:szCs w:val="24"/>
        </w:rPr>
        <w:t>General confirmation of Trustees and Directors’ duties:</w:t>
      </w:r>
    </w:p>
    <w:p w14:paraId="05339299" w14:textId="77777777" w:rsidR="00D5584F" w:rsidRPr="00872927" w:rsidRDefault="00D5584F" w:rsidP="00D5584F">
      <w:pPr>
        <w:keepLines/>
        <w:widowControl w:val="0"/>
        <w:autoSpaceDE w:val="0"/>
        <w:autoSpaceDN w:val="0"/>
        <w:adjustRightInd w:val="0"/>
        <w:spacing w:after="240" w:line="240" w:lineRule="auto"/>
        <w:jc w:val="both"/>
        <w:rPr>
          <w:rFonts w:ascii="Arial" w:hAnsi="Arial" w:cs="Arial"/>
          <w:sz w:val="24"/>
          <w:szCs w:val="24"/>
        </w:rPr>
      </w:pPr>
      <w:r w:rsidRPr="00872927">
        <w:rPr>
          <w:rFonts w:ascii="Arial" w:hAnsi="Arial" w:cs="Arial"/>
          <w:sz w:val="24"/>
          <w:szCs w:val="24"/>
        </w:rPr>
        <w:t xml:space="preserve">The Trust’s Board has a clear framework for determining the matters within its remit and has approved Terms of Reference for the matters delegated to its Committees. Certain financial and strategic thresholds have been determined to identify matters requiring Board consideration and approval. </w:t>
      </w:r>
    </w:p>
    <w:p w14:paraId="268BA032" w14:textId="77777777" w:rsidR="00D5584F" w:rsidRPr="00872927" w:rsidRDefault="00D5584F" w:rsidP="00D5584F">
      <w:pPr>
        <w:keepLines/>
        <w:widowControl w:val="0"/>
        <w:autoSpaceDE w:val="0"/>
        <w:autoSpaceDN w:val="0"/>
        <w:adjustRightInd w:val="0"/>
        <w:spacing w:after="240" w:line="240" w:lineRule="auto"/>
        <w:jc w:val="both"/>
        <w:rPr>
          <w:rFonts w:ascii="Arial" w:hAnsi="Arial" w:cs="Arial"/>
          <w:i/>
          <w:sz w:val="24"/>
          <w:szCs w:val="24"/>
        </w:rPr>
      </w:pPr>
      <w:proofErr w:type="gramStart"/>
      <w:r w:rsidRPr="00872927">
        <w:rPr>
          <w:rFonts w:ascii="Arial" w:hAnsi="Arial" w:cs="Arial"/>
          <w:i/>
          <w:sz w:val="24"/>
          <w:szCs w:val="24"/>
        </w:rPr>
        <w:t>S172(</w:t>
      </w:r>
      <w:proofErr w:type="gramEnd"/>
      <w:r w:rsidRPr="00872927">
        <w:rPr>
          <w:rFonts w:ascii="Arial" w:hAnsi="Arial" w:cs="Arial"/>
          <w:i/>
          <w:sz w:val="24"/>
          <w:szCs w:val="24"/>
        </w:rPr>
        <w:t>1) (A) “The likely consequences of any decision in the long term”</w:t>
      </w:r>
    </w:p>
    <w:p w14:paraId="558D62DF" w14:textId="77777777" w:rsidR="00D5584F" w:rsidRPr="00872927" w:rsidRDefault="00D5584F" w:rsidP="00D5584F">
      <w:pPr>
        <w:keepLines/>
        <w:widowControl w:val="0"/>
        <w:autoSpaceDE w:val="0"/>
        <w:autoSpaceDN w:val="0"/>
        <w:adjustRightInd w:val="0"/>
        <w:spacing w:after="240" w:line="240" w:lineRule="auto"/>
        <w:jc w:val="both"/>
        <w:rPr>
          <w:rFonts w:ascii="Arial" w:hAnsi="Arial" w:cs="Arial"/>
          <w:sz w:val="24"/>
          <w:szCs w:val="24"/>
        </w:rPr>
      </w:pPr>
      <w:r w:rsidRPr="00872927">
        <w:rPr>
          <w:rFonts w:ascii="Arial" w:hAnsi="Arial" w:cs="Arial"/>
          <w:sz w:val="24"/>
          <w:szCs w:val="24"/>
        </w:rPr>
        <w:t>The Directors completely understand the importance of Charity and long term impact of its decision on beneficiaries and communities. The Board has developed proper strategies and process to follow for any decision which can have long term impacts.</w:t>
      </w:r>
    </w:p>
    <w:p w14:paraId="2C16F482" w14:textId="77777777" w:rsidR="00D5584F" w:rsidRPr="00872927" w:rsidRDefault="00D5584F" w:rsidP="00D5584F">
      <w:pPr>
        <w:keepLines/>
        <w:widowControl w:val="0"/>
        <w:autoSpaceDE w:val="0"/>
        <w:autoSpaceDN w:val="0"/>
        <w:adjustRightInd w:val="0"/>
        <w:spacing w:after="240" w:line="240" w:lineRule="auto"/>
        <w:jc w:val="both"/>
        <w:rPr>
          <w:rFonts w:ascii="Arial" w:hAnsi="Arial" w:cs="Arial"/>
          <w:i/>
          <w:sz w:val="24"/>
          <w:szCs w:val="24"/>
        </w:rPr>
      </w:pPr>
      <w:proofErr w:type="gramStart"/>
      <w:r w:rsidRPr="00872927">
        <w:rPr>
          <w:rFonts w:ascii="Arial" w:hAnsi="Arial" w:cs="Arial"/>
          <w:i/>
          <w:sz w:val="24"/>
          <w:szCs w:val="24"/>
        </w:rPr>
        <w:t>S172(</w:t>
      </w:r>
      <w:proofErr w:type="gramEnd"/>
      <w:r w:rsidRPr="00872927">
        <w:rPr>
          <w:rFonts w:ascii="Arial" w:hAnsi="Arial" w:cs="Arial"/>
          <w:i/>
          <w:sz w:val="24"/>
          <w:szCs w:val="24"/>
        </w:rPr>
        <w:t>1) (B) “The interests of the company’s employees”</w:t>
      </w:r>
    </w:p>
    <w:p w14:paraId="07AEDD7F" w14:textId="77777777" w:rsidR="00D5584F" w:rsidRPr="00872927" w:rsidRDefault="00D5584F" w:rsidP="00D5584F">
      <w:pPr>
        <w:keepLines/>
        <w:widowControl w:val="0"/>
        <w:autoSpaceDE w:val="0"/>
        <w:autoSpaceDN w:val="0"/>
        <w:adjustRightInd w:val="0"/>
        <w:spacing w:after="240" w:line="240" w:lineRule="auto"/>
        <w:jc w:val="both"/>
        <w:rPr>
          <w:rFonts w:ascii="Arial" w:hAnsi="Arial" w:cs="Arial"/>
          <w:sz w:val="24"/>
          <w:szCs w:val="24"/>
        </w:rPr>
      </w:pPr>
      <w:r w:rsidRPr="00872927">
        <w:rPr>
          <w:rFonts w:ascii="Arial" w:hAnsi="Arial" w:cs="Arial"/>
          <w:sz w:val="24"/>
          <w:szCs w:val="24"/>
        </w:rPr>
        <w:t xml:space="preserve">The Directors recognise that Shaw Trust </w:t>
      </w:r>
      <w:r w:rsidR="00437A75">
        <w:rPr>
          <w:rFonts w:ascii="Arial" w:hAnsi="Arial" w:cs="Arial"/>
          <w:sz w:val="24"/>
          <w:szCs w:val="24"/>
        </w:rPr>
        <w:t xml:space="preserve">Limited </w:t>
      </w:r>
      <w:r w:rsidRPr="00872927">
        <w:rPr>
          <w:rFonts w:ascii="Arial" w:hAnsi="Arial" w:cs="Arial"/>
          <w:sz w:val="24"/>
          <w:szCs w:val="24"/>
        </w:rPr>
        <w:t xml:space="preserve">employees are fundamental and core to our business and delivery of our strategic ambitions. The success of our business depends on attracting, retaining and motivating employees. From ensuring that we remain a responsible employer, from pay and benefits to our health, safety and workplace environment, the Directors factor the implications of decisions on employees and the wider workforce, where relevant and feasible. </w:t>
      </w:r>
    </w:p>
    <w:p w14:paraId="5A740270" w14:textId="77777777" w:rsidR="00D5584F" w:rsidRPr="00872927" w:rsidRDefault="00D5584F" w:rsidP="00D5584F">
      <w:pPr>
        <w:spacing w:after="240" w:line="240" w:lineRule="auto"/>
        <w:jc w:val="both"/>
        <w:rPr>
          <w:rFonts w:ascii="Arial" w:hAnsi="Arial" w:cs="Arial"/>
          <w:i/>
          <w:sz w:val="32"/>
          <w:szCs w:val="32"/>
        </w:rPr>
      </w:pPr>
      <w:r w:rsidRPr="00872927">
        <w:rPr>
          <w:rFonts w:ascii="Arial" w:hAnsi="Arial" w:cs="Arial"/>
          <w:i/>
          <w:sz w:val="24"/>
          <w:szCs w:val="24"/>
        </w:rPr>
        <w:br w:type="column"/>
      </w:r>
    </w:p>
    <w:p w14:paraId="2F8E7075" w14:textId="77777777" w:rsidR="00D5584F" w:rsidRPr="00872927" w:rsidRDefault="00D5584F" w:rsidP="00D5584F">
      <w:pPr>
        <w:jc w:val="both"/>
        <w:rPr>
          <w:rFonts w:ascii="Arial" w:hAnsi="Arial" w:cs="Arial"/>
          <w:i/>
          <w:sz w:val="24"/>
          <w:szCs w:val="24"/>
        </w:rPr>
      </w:pPr>
      <w:proofErr w:type="gramStart"/>
      <w:r w:rsidRPr="00872927">
        <w:rPr>
          <w:rFonts w:ascii="Arial" w:hAnsi="Arial" w:cs="Arial"/>
          <w:i/>
          <w:sz w:val="24"/>
          <w:szCs w:val="24"/>
        </w:rPr>
        <w:t>S172(</w:t>
      </w:r>
      <w:proofErr w:type="gramEnd"/>
      <w:r w:rsidRPr="00872927">
        <w:rPr>
          <w:rFonts w:ascii="Arial" w:hAnsi="Arial" w:cs="Arial"/>
          <w:i/>
          <w:sz w:val="24"/>
          <w:szCs w:val="24"/>
        </w:rPr>
        <w:t>1) (C) “The need to foster the company’s business relationships with suppliers, customers and others”</w:t>
      </w:r>
    </w:p>
    <w:p w14:paraId="067D1651" w14:textId="77777777" w:rsidR="00D5584F" w:rsidRPr="00872927" w:rsidRDefault="00D5584F" w:rsidP="00D5584F">
      <w:pPr>
        <w:keepLines/>
        <w:widowControl w:val="0"/>
        <w:autoSpaceDE w:val="0"/>
        <w:autoSpaceDN w:val="0"/>
        <w:adjustRightInd w:val="0"/>
        <w:spacing w:after="240" w:line="240" w:lineRule="auto"/>
        <w:jc w:val="both"/>
        <w:rPr>
          <w:rFonts w:ascii="Arial" w:hAnsi="Arial" w:cs="Arial"/>
          <w:sz w:val="24"/>
          <w:szCs w:val="24"/>
        </w:rPr>
      </w:pPr>
      <w:r w:rsidRPr="00872927">
        <w:rPr>
          <w:rFonts w:ascii="Arial" w:hAnsi="Arial" w:cs="Arial"/>
          <w:sz w:val="24"/>
          <w:szCs w:val="24"/>
        </w:rPr>
        <w:t xml:space="preserve">Delivering our strategy requires strong mutually beneficial relationships with suppliers, customers, governments and commissioners. Shaw Trust </w:t>
      </w:r>
      <w:r w:rsidR="00437A75">
        <w:rPr>
          <w:rFonts w:ascii="Arial" w:hAnsi="Arial" w:cs="Arial"/>
          <w:sz w:val="24"/>
          <w:szCs w:val="24"/>
        </w:rPr>
        <w:t xml:space="preserve">Limited </w:t>
      </w:r>
      <w:r w:rsidRPr="00872927">
        <w:rPr>
          <w:rFonts w:ascii="Arial" w:hAnsi="Arial" w:cs="Arial"/>
          <w:sz w:val="24"/>
          <w:szCs w:val="24"/>
        </w:rPr>
        <w:t xml:space="preserve">seeks the promotion and application of certain general principles in such relationships. The Trust supports the government strategy to support SMEs via doing business with them and paying promptly. The Trust recognises the importance of its supply chain partners to deliver its targets and archives strategic goals. Certain rules and procedures have been developed to maintain the good relationship with them.  </w:t>
      </w:r>
    </w:p>
    <w:p w14:paraId="07CDE4CA" w14:textId="77777777" w:rsidR="00D5584F" w:rsidRPr="00872927" w:rsidRDefault="00D5584F" w:rsidP="00D5584F">
      <w:pPr>
        <w:keepLines/>
        <w:widowControl w:val="0"/>
        <w:autoSpaceDE w:val="0"/>
        <w:autoSpaceDN w:val="0"/>
        <w:adjustRightInd w:val="0"/>
        <w:spacing w:after="240" w:line="240" w:lineRule="auto"/>
        <w:jc w:val="both"/>
        <w:rPr>
          <w:rFonts w:ascii="Arial" w:hAnsi="Arial" w:cs="Arial"/>
          <w:sz w:val="24"/>
          <w:szCs w:val="24"/>
        </w:rPr>
      </w:pPr>
      <w:r w:rsidRPr="00872927">
        <w:rPr>
          <w:rFonts w:ascii="Arial" w:hAnsi="Arial" w:cs="Arial"/>
          <w:sz w:val="24"/>
          <w:szCs w:val="24"/>
        </w:rPr>
        <w:t xml:space="preserve">Moreover, the Directors receive information updates on a variety of topics that indicate and inform how these stakeholders have been engaged. </w:t>
      </w:r>
    </w:p>
    <w:p w14:paraId="00CED82D" w14:textId="77777777" w:rsidR="00D5584F" w:rsidRPr="00872927" w:rsidRDefault="00D5584F" w:rsidP="00D5584F">
      <w:pPr>
        <w:keepLines/>
        <w:widowControl w:val="0"/>
        <w:autoSpaceDE w:val="0"/>
        <w:autoSpaceDN w:val="0"/>
        <w:adjustRightInd w:val="0"/>
        <w:spacing w:after="240" w:line="240" w:lineRule="auto"/>
        <w:jc w:val="both"/>
        <w:rPr>
          <w:rFonts w:ascii="Arial" w:hAnsi="Arial" w:cs="Arial"/>
          <w:i/>
          <w:sz w:val="24"/>
          <w:szCs w:val="24"/>
        </w:rPr>
      </w:pPr>
      <w:proofErr w:type="gramStart"/>
      <w:r w:rsidRPr="00872927">
        <w:rPr>
          <w:rFonts w:ascii="Arial" w:hAnsi="Arial" w:cs="Arial"/>
          <w:i/>
          <w:sz w:val="24"/>
          <w:szCs w:val="24"/>
        </w:rPr>
        <w:t>S172(</w:t>
      </w:r>
      <w:proofErr w:type="gramEnd"/>
      <w:r w:rsidRPr="00872927">
        <w:rPr>
          <w:rFonts w:ascii="Arial" w:hAnsi="Arial" w:cs="Arial"/>
          <w:i/>
          <w:sz w:val="24"/>
          <w:szCs w:val="24"/>
        </w:rPr>
        <w:t>1) (D) “The impact of the company’s operations on the community and the environment”</w:t>
      </w:r>
    </w:p>
    <w:p w14:paraId="1A47F211" w14:textId="77777777" w:rsidR="00D5584F" w:rsidRPr="00872927" w:rsidRDefault="00D5584F" w:rsidP="00D5584F">
      <w:pPr>
        <w:keepLines/>
        <w:widowControl w:val="0"/>
        <w:autoSpaceDE w:val="0"/>
        <w:autoSpaceDN w:val="0"/>
        <w:adjustRightInd w:val="0"/>
        <w:spacing w:after="240" w:line="240" w:lineRule="auto"/>
        <w:jc w:val="both"/>
        <w:rPr>
          <w:rFonts w:ascii="Arial" w:hAnsi="Arial" w:cs="Arial"/>
          <w:sz w:val="24"/>
          <w:szCs w:val="24"/>
        </w:rPr>
      </w:pPr>
      <w:r w:rsidRPr="00872927">
        <w:rPr>
          <w:rFonts w:ascii="Arial" w:hAnsi="Arial" w:cs="Arial"/>
          <w:sz w:val="24"/>
          <w:szCs w:val="24"/>
        </w:rPr>
        <w:t>The Board receives information on these topics to both provide relevant information for specific Board decisions e.g. working from home, green energy and carbon footprint policies.</w:t>
      </w:r>
    </w:p>
    <w:p w14:paraId="551E4719" w14:textId="77777777" w:rsidR="00D5584F" w:rsidRPr="00872927" w:rsidRDefault="00D5584F" w:rsidP="00D5584F">
      <w:pPr>
        <w:jc w:val="both"/>
        <w:rPr>
          <w:rFonts w:ascii="Arial" w:hAnsi="Arial" w:cs="Arial"/>
          <w:i/>
          <w:sz w:val="24"/>
          <w:szCs w:val="24"/>
        </w:rPr>
      </w:pPr>
      <w:r w:rsidRPr="00872927">
        <w:rPr>
          <w:rFonts w:ascii="Arial" w:hAnsi="Arial" w:cs="Arial"/>
          <w:i/>
          <w:sz w:val="24"/>
          <w:szCs w:val="24"/>
        </w:rPr>
        <w:br w:type="page"/>
      </w:r>
    </w:p>
    <w:p w14:paraId="059A7605" w14:textId="77777777" w:rsidR="00D5584F" w:rsidRPr="00872927" w:rsidRDefault="00D5584F" w:rsidP="00D5584F">
      <w:pPr>
        <w:keepLines/>
        <w:widowControl w:val="0"/>
        <w:tabs>
          <w:tab w:val="left" w:pos="567"/>
        </w:tabs>
        <w:autoSpaceDE w:val="0"/>
        <w:autoSpaceDN w:val="0"/>
        <w:adjustRightInd w:val="0"/>
        <w:spacing w:after="240" w:line="240" w:lineRule="auto"/>
        <w:ind w:left="567" w:hanging="567"/>
        <w:jc w:val="both"/>
        <w:rPr>
          <w:rFonts w:ascii="Arial" w:hAnsi="Arial" w:cs="Arial"/>
          <w:b/>
          <w:i/>
          <w:sz w:val="24"/>
          <w:szCs w:val="24"/>
        </w:rPr>
      </w:pPr>
      <w:r w:rsidRPr="00872927">
        <w:rPr>
          <w:rFonts w:ascii="Arial" w:hAnsi="Arial" w:cs="Arial"/>
          <w:b/>
          <w:i/>
          <w:sz w:val="24"/>
          <w:szCs w:val="24"/>
        </w:rPr>
        <w:lastRenderedPageBreak/>
        <w:t xml:space="preserve">5. </w:t>
      </w:r>
      <w:r w:rsidRPr="00872927">
        <w:rPr>
          <w:rFonts w:ascii="Arial" w:hAnsi="Arial" w:cs="Arial"/>
          <w:b/>
          <w:i/>
          <w:sz w:val="24"/>
          <w:szCs w:val="24"/>
        </w:rPr>
        <w:tab/>
        <w:t xml:space="preserve">Section 172(1) Statement (continued) </w:t>
      </w:r>
    </w:p>
    <w:p w14:paraId="11AE5737" w14:textId="77777777" w:rsidR="00D5584F" w:rsidRPr="00872927" w:rsidRDefault="00D5584F" w:rsidP="00D5584F">
      <w:pPr>
        <w:keepLines/>
        <w:widowControl w:val="0"/>
        <w:autoSpaceDE w:val="0"/>
        <w:autoSpaceDN w:val="0"/>
        <w:adjustRightInd w:val="0"/>
        <w:spacing w:after="240" w:line="240" w:lineRule="auto"/>
        <w:jc w:val="both"/>
        <w:rPr>
          <w:rFonts w:ascii="Arial" w:hAnsi="Arial" w:cs="Arial"/>
          <w:i/>
          <w:sz w:val="24"/>
          <w:szCs w:val="24"/>
        </w:rPr>
      </w:pPr>
      <w:proofErr w:type="gramStart"/>
      <w:r w:rsidRPr="00872927">
        <w:rPr>
          <w:rFonts w:ascii="Arial" w:hAnsi="Arial" w:cs="Arial"/>
          <w:i/>
          <w:sz w:val="24"/>
          <w:szCs w:val="24"/>
        </w:rPr>
        <w:t>S172(</w:t>
      </w:r>
      <w:proofErr w:type="gramEnd"/>
      <w:r w:rsidRPr="00872927">
        <w:rPr>
          <w:rFonts w:ascii="Arial" w:hAnsi="Arial" w:cs="Arial"/>
          <w:i/>
          <w:sz w:val="24"/>
          <w:szCs w:val="24"/>
        </w:rPr>
        <w:t>1) (E) “The desirability of the company maintaining a reputation for high standards of business conduct”</w:t>
      </w:r>
    </w:p>
    <w:p w14:paraId="685491B3" w14:textId="77777777" w:rsidR="00D5584F" w:rsidRPr="00872927" w:rsidRDefault="00D5584F" w:rsidP="00D5584F">
      <w:pPr>
        <w:keepLines/>
        <w:widowControl w:val="0"/>
        <w:autoSpaceDE w:val="0"/>
        <w:autoSpaceDN w:val="0"/>
        <w:adjustRightInd w:val="0"/>
        <w:spacing w:after="240" w:line="240" w:lineRule="auto"/>
        <w:jc w:val="both"/>
        <w:rPr>
          <w:rFonts w:ascii="Arial" w:hAnsi="Arial" w:cs="Arial"/>
          <w:sz w:val="24"/>
          <w:szCs w:val="24"/>
        </w:rPr>
      </w:pPr>
      <w:r w:rsidRPr="00872927">
        <w:rPr>
          <w:rFonts w:ascii="Arial" w:hAnsi="Arial" w:cs="Arial"/>
          <w:sz w:val="24"/>
          <w:szCs w:val="24"/>
        </w:rPr>
        <w:t>The Board periodically reviews and approves clear frameworks to ensure that its high standards are maintained both within its businesses and the business relationships we maintain. This, complemented by the ways the Board is informed and monitors compliance with relevant governance standards, help assure its decisions are taken.</w:t>
      </w:r>
    </w:p>
    <w:p w14:paraId="0F666D20" w14:textId="77777777" w:rsidR="00D5584F" w:rsidRPr="00872927" w:rsidRDefault="00D5584F" w:rsidP="00D5584F">
      <w:pPr>
        <w:keepLines/>
        <w:widowControl w:val="0"/>
        <w:autoSpaceDE w:val="0"/>
        <w:autoSpaceDN w:val="0"/>
        <w:adjustRightInd w:val="0"/>
        <w:spacing w:after="240" w:line="240" w:lineRule="auto"/>
        <w:jc w:val="both"/>
        <w:rPr>
          <w:rFonts w:ascii="Arial" w:hAnsi="Arial" w:cs="Arial"/>
          <w:sz w:val="24"/>
          <w:szCs w:val="24"/>
        </w:rPr>
      </w:pPr>
    </w:p>
    <w:p w14:paraId="67752A15" w14:textId="77777777" w:rsidR="00D5584F" w:rsidRPr="00872927" w:rsidRDefault="00D5584F" w:rsidP="00D5584F">
      <w:pPr>
        <w:keepLines/>
        <w:widowControl w:val="0"/>
        <w:autoSpaceDE w:val="0"/>
        <w:autoSpaceDN w:val="0"/>
        <w:adjustRightInd w:val="0"/>
        <w:spacing w:after="240" w:line="240" w:lineRule="auto"/>
        <w:jc w:val="both"/>
        <w:rPr>
          <w:rFonts w:ascii="Arial" w:hAnsi="Arial" w:cs="Arial"/>
          <w:sz w:val="24"/>
          <w:szCs w:val="24"/>
        </w:rPr>
      </w:pPr>
    </w:p>
    <w:p w14:paraId="14DC5015" w14:textId="77777777" w:rsidR="00D5584F" w:rsidRPr="00872927" w:rsidRDefault="00D5584F" w:rsidP="00161381">
      <w:pPr>
        <w:keepLines/>
        <w:widowControl w:val="0"/>
        <w:autoSpaceDE w:val="0"/>
        <w:autoSpaceDN w:val="0"/>
        <w:adjustRightInd w:val="0"/>
        <w:spacing w:after="240" w:line="240" w:lineRule="auto"/>
        <w:rPr>
          <w:rFonts w:ascii="Arial" w:hAnsi="Arial" w:cs="Arial"/>
          <w:sz w:val="24"/>
          <w:szCs w:val="24"/>
        </w:rPr>
      </w:pPr>
      <w:r w:rsidRPr="00872927">
        <w:rPr>
          <w:rFonts w:ascii="Arial" w:hAnsi="Arial" w:cs="Arial"/>
          <w:sz w:val="24"/>
          <w:szCs w:val="24"/>
        </w:rPr>
        <w:t xml:space="preserve"> </w:t>
      </w:r>
      <w:r w:rsidRPr="00872927">
        <w:rPr>
          <w:rFonts w:ascii="Arial" w:hAnsi="Arial" w:cs="Arial"/>
          <w:sz w:val="24"/>
          <w:szCs w:val="24"/>
        </w:rPr>
        <w:br/>
      </w:r>
      <w:r w:rsidRPr="00872927">
        <w:rPr>
          <w:rFonts w:ascii="Arial" w:hAnsi="Arial" w:cs="Arial"/>
          <w:sz w:val="24"/>
          <w:szCs w:val="24"/>
        </w:rPr>
        <w:br/>
      </w:r>
      <w:r w:rsidRPr="00872927">
        <w:rPr>
          <w:rFonts w:ascii="Arial" w:hAnsi="Arial" w:cs="Arial"/>
          <w:sz w:val="24"/>
          <w:szCs w:val="24"/>
        </w:rPr>
        <w:br/>
        <w:t xml:space="preserve">Sir Kenneth </w:t>
      </w:r>
      <w:proofErr w:type="spellStart"/>
      <w:r w:rsidRPr="00872927">
        <w:rPr>
          <w:rFonts w:ascii="Arial" w:hAnsi="Arial" w:cs="Arial"/>
          <w:sz w:val="24"/>
          <w:szCs w:val="24"/>
        </w:rPr>
        <w:t>Olisa</w:t>
      </w:r>
      <w:proofErr w:type="spellEnd"/>
      <w:r w:rsidRPr="00872927">
        <w:rPr>
          <w:rFonts w:ascii="Arial" w:hAnsi="Arial" w:cs="Arial"/>
          <w:sz w:val="24"/>
          <w:szCs w:val="24"/>
        </w:rPr>
        <w:t>, Chairman</w:t>
      </w:r>
      <w:r w:rsidRPr="00872927">
        <w:rPr>
          <w:rFonts w:ascii="Arial" w:hAnsi="Arial" w:cs="Arial"/>
          <w:sz w:val="24"/>
          <w:szCs w:val="24"/>
        </w:rPr>
        <w:br/>
        <w:t>26th J</w:t>
      </w:r>
      <w:r w:rsidRPr="000552F3">
        <w:rPr>
          <w:rFonts w:ascii="Arial" w:hAnsi="Arial" w:cs="Arial"/>
          <w:sz w:val="24"/>
          <w:szCs w:val="24"/>
        </w:rPr>
        <w:t>anuary</w:t>
      </w:r>
      <w:r>
        <w:rPr>
          <w:rFonts w:ascii="Arial" w:hAnsi="Arial" w:cs="Arial"/>
          <w:sz w:val="24"/>
          <w:szCs w:val="24"/>
        </w:rPr>
        <w:t>, 2021</w:t>
      </w:r>
    </w:p>
    <w:p w14:paraId="62F8F10C" w14:textId="77777777" w:rsidR="00D5584F" w:rsidRPr="00872927" w:rsidRDefault="00D5584F" w:rsidP="00D5584F">
      <w:pPr>
        <w:keepLines/>
        <w:widowControl w:val="0"/>
        <w:autoSpaceDE w:val="0"/>
        <w:autoSpaceDN w:val="0"/>
        <w:adjustRightInd w:val="0"/>
        <w:spacing w:after="240" w:line="240" w:lineRule="auto"/>
        <w:jc w:val="both"/>
        <w:rPr>
          <w:rFonts w:ascii="Arial" w:hAnsi="Arial" w:cs="Arial"/>
          <w:sz w:val="24"/>
          <w:szCs w:val="24"/>
        </w:rPr>
      </w:pPr>
    </w:p>
    <w:p w14:paraId="034434C7" w14:textId="77777777" w:rsidR="00D5584F" w:rsidRPr="00872927" w:rsidRDefault="00D5584F" w:rsidP="00D5584F">
      <w:pPr>
        <w:keepLines/>
        <w:widowControl w:val="0"/>
        <w:autoSpaceDE w:val="0"/>
        <w:autoSpaceDN w:val="0"/>
        <w:adjustRightInd w:val="0"/>
        <w:spacing w:after="240" w:line="240" w:lineRule="auto"/>
        <w:jc w:val="both"/>
        <w:rPr>
          <w:rFonts w:ascii="Arial" w:hAnsi="Arial" w:cs="Arial"/>
          <w:sz w:val="24"/>
          <w:szCs w:val="24"/>
        </w:rPr>
      </w:pPr>
    </w:p>
    <w:p w14:paraId="6AA95A7B" w14:textId="77777777" w:rsidR="00D5584F" w:rsidRPr="00872927" w:rsidRDefault="00D5584F" w:rsidP="00D5584F">
      <w:pPr>
        <w:keepLines/>
        <w:widowControl w:val="0"/>
        <w:autoSpaceDE w:val="0"/>
        <w:autoSpaceDN w:val="0"/>
        <w:adjustRightInd w:val="0"/>
        <w:spacing w:after="240" w:line="240" w:lineRule="auto"/>
        <w:jc w:val="both"/>
        <w:rPr>
          <w:rFonts w:ascii="Arial" w:hAnsi="Arial" w:cs="Arial"/>
          <w:sz w:val="24"/>
          <w:szCs w:val="24"/>
        </w:rPr>
      </w:pPr>
    </w:p>
    <w:p w14:paraId="7E01169F" w14:textId="77777777" w:rsidR="00D5584F" w:rsidRPr="00872927" w:rsidRDefault="00D5584F" w:rsidP="00D5584F">
      <w:pPr>
        <w:keepLines/>
        <w:widowControl w:val="0"/>
        <w:autoSpaceDE w:val="0"/>
        <w:autoSpaceDN w:val="0"/>
        <w:adjustRightInd w:val="0"/>
        <w:spacing w:after="240" w:line="240" w:lineRule="auto"/>
        <w:jc w:val="both"/>
        <w:rPr>
          <w:rFonts w:ascii="Arial" w:hAnsi="Arial" w:cs="Arial"/>
          <w:sz w:val="24"/>
          <w:szCs w:val="24"/>
        </w:rPr>
      </w:pPr>
    </w:p>
    <w:p w14:paraId="0ACDBEDC" w14:textId="77777777" w:rsidR="00D5584F" w:rsidRPr="00872927" w:rsidRDefault="00D5584F" w:rsidP="00D5584F">
      <w:pPr>
        <w:keepLines/>
        <w:widowControl w:val="0"/>
        <w:autoSpaceDE w:val="0"/>
        <w:autoSpaceDN w:val="0"/>
        <w:adjustRightInd w:val="0"/>
        <w:spacing w:after="240" w:line="240" w:lineRule="auto"/>
        <w:jc w:val="both"/>
        <w:rPr>
          <w:rFonts w:ascii="Arial" w:hAnsi="Arial" w:cs="Arial"/>
          <w:sz w:val="24"/>
          <w:szCs w:val="24"/>
        </w:rPr>
      </w:pPr>
    </w:p>
    <w:p w14:paraId="121FC362" w14:textId="77777777" w:rsidR="00D5584F" w:rsidRPr="00872927" w:rsidRDefault="00D5584F" w:rsidP="00D5584F">
      <w:pPr>
        <w:keepLines/>
        <w:widowControl w:val="0"/>
        <w:autoSpaceDE w:val="0"/>
        <w:autoSpaceDN w:val="0"/>
        <w:adjustRightInd w:val="0"/>
        <w:spacing w:after="240" w:line="240" w:lineRule="auto"/>
        <w:jc w:val="both"/>
        <w:rPr>
          <w:rFonts w:ascii="Arial" w:hAnsi="Arial" w:cs="Arial"/>
          <w:sz w:val="24"/>
          <w:szCs w:val="24"/>
        </w:rPr>
      </w:pPr>
    </w:p>
    <w:p w14:paraId="679748B0" w14:textId="77777777" w:rsidR="00D5584F" w:rsidRPr="00872927" w:rsidRDefault="00D5584F" w:rsidP="00D5584F">
      <w:pPr>
        <w:keepLines/>
        <w:widowControl w:val="0"/>
        <w:autoSpaceDE w:val="0"/>
        <w:autoSpaceDN w:val="0"/>
        <w:adjustRightInd w:val="0"/>
        <w:spacing w:after="240" w:line="240" w:lineRule="auto"/>
        <w:jc w:val="both"/>
        <w:rPr>
          <w:rFonts w:ascii="Arial" w:hAnsi="Arial" w:cs="Arial"/>
          <w:sz w:val="24"/>
          <w:szCs w:val="24"/>
        </w:rPr>
      </w:pPr>
    </w:p>
    <w:p w14:paraId="31CC69B8" w14:textId="77777777" w:rsidR="00D5584F" w:rsidRPr="00872927" w:rsidRDefault="00D5584F" w:rsidP="00D5584F">
      <w:pPr>
        <w:keepLines/>
        <w:widowControl w:val="0"/>
        <w:autoSpaceDE w:val="0"/>
        <w:autoSpaceDN w:val="0"/>
        <w:adjustRightInd w:val="0"/>
        <w:spacing w:after="240" w:line="240" w:lineRule="auto"/>
        <w:jc w:val="both"/>
        <w:rPr>
          <w:rFonts w:ascii="Arial" w:hAnsi="Arial" w:cs="Arial"/>
          <w:sz w:val="24"/>
          <w:szCs w:val="24"/>
        </w:rPr>
      </w:pPr>
    </w:p>
    <w:p w14:paraId="0A009343" w14:textId="77777777" w:rsidR="00D5584F" w:rsidRPr="00872927" w:rsidRDefault="00D5584F" w:rsidP="00D5584F">
      <w:pPr>
        <w:keepLines/>
        <w:widowControl w:val="0"/>
        <w:autoSpaceDE w:val="0"/>
        <w:autoSpaceDN w:val="0"/>
        <w:adjustRightInd w:val="0"/>
        <w:spacing w:after="240" w:line="240" w:lineRule="auto"/>
        <w:jc w:val="both"/>
        <w:rPr>
          <w:rFonts w:ascii="Arial" w:hAnsi="Arial" w:cs="Arial"/>
          <w:sz w:val="24"/>
          <w:szCs w:val="24"/>
        </w:rPr>
      </w:pPr>
    </w:p>
    <w:p w14:paraId="531E1588" w14:textId="77777777" w:rsidR="00D5584F" w:rsidRPr="00872927" w:rsidRDefault="00D5584F" w:rsidP="00D5584F">
      <w:pPr>
        <w:keepLines/>
        <w:widowControl w:val="0"/>
        <w:autoSpaceDE w:val="0"/>
        <w:autoSpaceDN w:val="0"/>
        <w:adjustRightInd w:val="0"/>
        <w:spacing w:after="240" w:line="240" w:lineRule="auto"/>
        <w:jc w:val="both"/>
        <w:rPr>
          <w:rFonts w:ascii="Arial" w:hAnsi="Arial" w:cs="Arial"/>
          <w:sz w:val="24"/>
          <w:szCs w:val="24"/>
        </w:rPr>
      </w:pPr>
    </w:p>
    <w:p w14:paraId="442CD1FB" w14:textId="77777777" w:rsidR="00D5584F" w:rsidRPr="00872927" w:rsidRDefault="00D5584F" w:rsidP="00D5584F">
      <w:pPr>
        <w:keepLines/>
        <w:widowControl w:val="0"/>
        <w:autoSpaceDE w:val="0"/>
        <w:autoSpaceDN w:val="0"/>
        <w:adjustRightInd w:val="0"/>
        <w:spacing w:after="240" w:line="240" w:lineRule="auto"/>
        <w:jc w:val="both"/>
        <w:rPr>
          <w:rFonts w:ascii="Arial" w:hAnsi="Arial" w:cs="Arial"/>
          <w:sz w:val="24"/>
          <w:szCs w:val="24"/>
        </w:rPr>
      </w:pPr>
    </w:p>
    <w:p w14:paraId="06806048" w14:textId="77777777" w:rsidR="00D5584F" w:rsidRPr="00872927" w:rsidRDefault="00D5584F" w:rsidP="00D5584F">
      <w:pPr>
        <w:keepLines/>
        <w:widowControl w:val="0"/>
        <w:autoSpaceDE w:val="0"/>
        <w:autoSpaceDN w:val="0"/>
        <w:adjustRightInd w:val="0"/>
        <w:spacing w:after="240" w:line="240" w:lineRule="auto"/>
        <w:jc w:val="both"/>
        <w:rPr>
          <w:rFonts w:ascii="Arial" w:hAnsi="Arial" w:cs="Arial"/>
          <w:sz w:val="24"/>
          <w:szCs w:val="24"/>
        </w:rPr>
      </w:pPr>
    </w:p>
    <w:p w14:paraId="05FA5252" w14:textId="77777777" w:rsidR="00D5584F" w:rsidRPr="00872927" w:rsidRDefault="00D5584F" w:rsidP="00D5584F">
      <w:pPr>
        <w:keepLines/>
        <w:widowControl w:val="0"/>
        <w:autoSpaceDE w:val="0"/>
        <w:autoSpaceDN w:val="0"/>
        <w:adjustRightInd w:val="0"/>
        <w:spacing w:after="240" w:line="240" w:lineRule="auto"/>
        <w:jc w:val="both"/>
        <w:rPr>
          <w:rFonts w:ascii="Arial" w:hAnsi="Arial" w:cs="Arial"/>
          <w:sz w:val="24"/>
          <w:szCs w:val="24"/>
        </w:rPr>
      </w:pPr>
    </w:p>
    <w:p w14:paraId="6F34D50D" w14:textId="77777777" w:rsidR="00D5584F" w:rsidRPr="00872927" w:rsidRDefault="00D5584F" w:rsidP="00D5584F">
      <w:pPr>
        <w:keepLines/>
        <w:widowControl w:val="0"/>
        <w:autoSpaceDE w:val="0"/>
        <w:autoSpaceDN w:val="0"/>
        <w:adjustRightInd w:val="0"/>
        <w:spacing w:after="240" w:line="240" w:lineRule="auto"/>
        <w:jc w:val="both"/>
        <w:rPr>
          <w:rFonts w:ascii="Arial" w:hAnsi="Arial" w:cs="Arial"/>
          <w:sz w:val="24"/>
          <w:szCs w:val="24"/>
        </w:rPr>
      </w:pPr>
    </w:p>
    <w:p w14:paraId="58DE3594" w14:textId="77777777" w:rsidR="00D5584F" w:rsidRPr="00872927" w:rsidRDefault="00D5584F" w:rsidP="00D5584F">
      <w:pPr>
        <w:keepLines/>
        <w:widowControl w:val="0"/>
        <w:autoSpaceDE w:val="0"/>
        <w:autoSpaceDN w:val="0"/>
        <w:adjustRightInd w:val="0"/>
        <w:spacing w:after="240" w:line="240" w:lineRule="auto"/>
        <w:jc w:val="both"/>
        <w:rPr>
          <w:rFonts w:ascii="Arial" w:hAnsi="Arial" w:cs="Arial"/>
          <w:b/>
          <w:sz w:val="24"/>
          <w:szCs w:val="24"/>
          <w:highlight w:val="yellow"/>
        </w:rPr>
        <w:sectPr w:rsidR="00D5584F" w:rsidRPr="00872927" w:rsidSect="001105A4">
          <w:pgSz w:w="11906" w:h="16838"/>
          <w:pgMar w:top="1440" w:right="1440" w:bottom="1440" w:left="1440" w:header="708" w:footer="708" w:gutter="0"/>
          <w:cols w:num="2" w:space="708"/>
          <w:docGrid w:linePitch="360"/>
        </w:sectPr>
      </w:pPr>
    </w:p>
    <w:p w14:paraId="5FBA514B" w14:textId="77777777" w:rsidR="00D5584F" w:rsidRPr="00872927" w:rsidRDefault="00D5584F" w:rsidP="00D5584F">
      <w:pPr>
        <w:keepLines/>
        <w:widowControl w:val="0"/>
        <w:autoSpaceDE w:val="0"/>
        <w:autoSpaceDN w:val="0"/>
        <w:adjustRightInd w:val="0"/>
        <w:spacing w:after="240" w:line="240" w:lineRule="auto"/>
        <w:rPr>
          <w:rFonts w:ascii="Arial" w:hAnsi="Arial" w:cs="Arial"/>
          <w:b/>
          <w:sz w:val="24"/>
          <w:szCs w:val="24"/>
        </w:rPr>
        <w:sectPr w:rsidR="00D5584F" w:rsidRPr="00872927" w:rsidSect="00BA4E7F">
          <w:type w:val="continuous"/>
          <w:pgSz w:w="11906" w:h="16838"/>
          <w:pgMar w:top="1440" w:right="1440" w:bottom="1440" w:left="1440" w:header="708" w:footer="708" w:gutter="0"/>
          <w:cols w:space="708"/>
          <w:docGrid w:linePitch="360"/>
        </w:sectPr>
      </w:pPr>
    </w:p>
    <w:p w14:paraId="09CDA4FB" w14:textId="77777777" w:rsidR="00D5584F" w:rsidRPr="00872927" w:rsidRDefault="00D5584F" w:rsidP="00D5584F">
      <w:pPr>
        <w:widowControl w:val="0"/>
        <w:autoSpaceDE w:val="0"/>
        <w:autoSpaceDN w:val="0"/>
        <w:adjustRightInd w:val="0"/>
        <w:spacing w:after="0" w:line="240" w:lineRule="auto"/>
        <w:rPr>
          <w:rFonts w:ascii="Arial" w:eastAsia="Times New Roman" w:hAnsi="Arial" w:cs="Arial"/>
          <w:sz w:val="24"/>
          <w:szCs w:val="24"/>
          <w:lang w:eastAsia="en-GB"/>
        </w:rPr>
      </w:pPr>
    </w:p>
    <w:p w14:paraId="313EF8E4" w14:textId="77777777" w:rsidR="002E0F29" w:rsidRDefault="002E0F29" w:rsidP="002E0F29">
      <w:pPr>
        <w:keepLines/>
        <w:widowControl w:val="0"/>
        <w:autoSpaceDE w:val="0"/>
        <w:autoSpaceDN w:val="0"/>
        <w:adjustRightInd w:val="0"/>
        <w:spacing w:after="240" w:line="240" w:lineRule="auto"/>
        <w:rPr>
          <w:rFonts w:ascii="Arial" w:hAnsi="Arial" w:cs="Arial"/>
          <w:b/>
          <w:sz w:val="24"/>
          <w:szCs w:val="24"/>
        </w:rPr>
      </w:pPr>
      <w:bookmarkStart w:id="1" w:name="Paragraph_365"/>
    </w:p>
    <w:p w14:paraId="57DF1626" w14:textId="77777777" w:rsidR="002E0F29" w:rsidRDefault="002E0F29" w:rsidP="002E0F29">
      <w:pPr>
        <w:keepLines/>
        <w:widowControl w:val="0"/>
        <w:autoSpaceDE w:val="0"/>
        <w:autoSpaceDN w:val="0"/>
        <w:adjustRightInd w:val="0"/>
        <w:spacing w:after="240" w:line="240" w:lineRule="auto"/>
        <w:rPr>
          <w:rFonts w:ascii="Arial" w:hAnsi="Arial" w:cs="Arial"/>
          <w:b/>
          <w:sz w:val="24"/>
          <w:szCs w:val="24"/>
        </w:rPr>
      </w:pPr>
    </w:p>
    <w:p w14:paraId="2461890C" w14:textId="77777777" w:rsidR="002E0F29" w:rsidRDefault="002E0F29" w:rsidP="002E0F29">
      <w:pPr>
        <w:keepLines/>
        <w:widowControl w:val="0"/>
        <w:autoSpaceDE w:val="0"/>
        <w:autoSpaceDN w:val="0"/>
        <w:adjustRightInd w:val="0"/>
        <w:spacing w:after="240" w:line="240" w:lineRule="auto"/>
        <w:rPr>
          <w:rFonts w:ascii="Arial" w:hAnsi="Arial" w:cs="Arial"/>
          <w:b/>
          <w:sz w:val="24"/>
          <w:szCs w:val="24"/>
        </w:rPr>
      </w:pPr>
    </w:p>
    <w:p w14:paraId="4CD351A6" w14:textId="77777777" w:rsidR="002E0F29" w:rsidRDefault="002E0F29" w:rsidP="002E0F29">
      <w:pPr>
        <w:keepLines/>
        <w:widowControl w:val="0"/>
        <w:autoSpaceDE w:val="0"/>
        <w:autoSpaceDN w:val="0"/>
        <w:adjustRightInd w:val="0"/>
        <w:spacing w:after="240" w:line="240" w:lineRule="auto"/>
        <w:rPr>
          <w:rFonts w:ascii="Arial" w:hAnsi="Arial" w:cs="Arial"/>
          <w:b/>
          <w:sz w:val="24"/>
          <w:szCs w:val="24"/>
        </w:rPr>
      </w:pPr>
    </w:p>
    <w:p w14:paraId="61F0214C" w14:textId="77777777" w:rsidR="002E0F29" w:rsidRDefault="002E0F29" w:rsidP="002E0F29">
      <w:pPr>
        <w:keepLines/>
        <w:widowControl w:val="0"/>
        <w:autoSpaceDE w:val="0"/>
        <w:autoSpaceDN w:val="0"/>
        <w:adjustRightInd w:val="0"/>
        <w:spacing w:after="240" w:line="240" w:lineRule="auto"/>
        <w:rPr>
          <w:rFonts w:ascii="Arial" w:hAnsi="Arial" w:cs="Arial"/>
          <w:b/>
          <w:sz w:val="24"/>
          <w:szCs w:val="24"/>
        </w:rPr>
      </w:pPr>
    </w:p>
    <w:p w14:paraId="543A5233" w14:textId="77777777" w:rsidR="002E0F29" w:rsidRDefault="002E0F29" w:rsidP="002E0F29">
      <w:pPr>
        <w:keepLines/>
        <w:widowControl w:val="0"/>
        <w:autoSpaceDE w:val="0"/>
        <w:autoSpaceDN w:val="0"/>
        <w:adjustRightInd w:val="0"/>
        <w:spacing w:after="240" w:line="240" w:lineRule="auto"/>
        <w:rPr>
          <w:rFonts w:ascii="Arial" w:hAnsi="Arial" w:cs="Arial"/>
          <w:b/>
          <w:sz w:val="24"/>
          <w:szCs w:val="24"/>
        </w:rPr>
      </w:pPr>
    </w:p>
    <w:p w14:paraId="5C705674" w14:textId="77777777" w:rsidR="002E0F29" w:rsidRPr="00872927" w:rsidRDefault="002E0F29" w:rsidP="002E0F29">
      <w:pPr>
        <w:keepLines/>
        <w:widowControl w:val="0"/>
        <w:autoSpaceDE w:val="0"/>
        <w:autoSpaceDN w:val="0"/>
        <w:adjustRightInd w:val="0"/>
        <w:spacing w:after="240" w:line="240" w:lineRule="auto"/>
        <w:rPr>
          <w:rFonts w:ascii="Arial" w:hAnsi="Arial" w:cs="Arial"/>
          <w:b/>
          <w:sz w:val="24"/>
          <w:szCs w:val="24"/>
        </w:rPr>
        <w:sectPr w:rsidR="002E0F29" w:rsidRPr="00872927" w:rsidSect="00BA4E7F">
          <w:type w:val="continuous"/>
          <w:pgSz w:w="11906" w:h="16838"/>
          <w:pgMar w:top="1440" w:right="1440" w:bottom="1440" w:left="1440" w:header="708" w:footer="708" w:gutter="0"/>
          <w:cols w:space="708"/>
          <w:docGrid w:linePitch="360"/>
        </w:sectPr>
      </w:pPr>
    </w:p>
    <w:p w14:paraId="5CB17781" w14:textId="77777777" w:rsidR="002E0F29" w:rsidRPr="00872927" w:rsidRDefault="002E0F29" w:rsidP="002E0F29">
      <w:pPr>
        <w:widowControl w:val="0"/>
        <w:autoSpaceDE w:val="0"/>
        <w:autoSpaceDN w:val="0"/>
        <w:adjustRightInd w:val="0"/>
        <w:spacing w:after="0" w:line="240" w:lineRule="auto"/>
        <w:rPr>
          <w:rFonts w:ascii="Arial" w:eastAsia="Times New Roman" w:hAnsi="Arial" w:cs="Arial"/>
          <w:sz w:val="24"/>
          <w:szCs w:val="24"/>
          <w:lang w:eastAsia="en-GB"/>
        </w:rPr>
      </w:pPr>
    </w:p>
    <w:p w14:paraId="1F428820" w14:textId="77777777" w:rsidR="002E0F29" w:rsidRPr="00005528" w:rsidRDefault="002E0F29" w:rsidP="002E0F29">
      <w:pPr>
        <w:pStyle w:val="ReportTitle"/>
        <w:rPr>
          <w:b w:val="0"/>
          <w:i w:val="0"/>
        </w:rPr>
      </w:pPr>
      <w:r w:rsidRPr="0075254F">
        <w:lastRenderedPageBreak/>
        <w:t xml:space="preserve">Independent auditors’ report to the </w:t>
      </w:r>
      <w:r>
        <w:t>members and trustees</w:t>
      </w:r>
      <w:r w:rsidRPr="0075254F">
        <w:t xml:space="preserve"> of </w:t>
      </w:r>
      <w:r>
        <w:t>The Shaw Trust Limited</w:t>
      </w:r>
    </w:p>
    <w:p w14:paraId="566CFB8E" w14:textId="77777777" w:rsidR="002E0F29" w:rsidRDefault="002E0F29" w:rsidP="002E0F29">
      <w:pPr>
        <w:pStyle w:val="Heading1First"/>
      </w:pPr>
      <w:r>
        <w:t>Report on the audit of the financial statements</w:t>
      </w:r>
    </w:p>
    <w:p w14:paraId="2DFB5ED0" w14:textId="77777777" w:rsidR="002E0F29" w:rsidRPr="00161381" w:rsidRDefault="002E0F29" w:rsidP="002E0F29">
      <w:pPr>
        <w:pStyle w:val="Heading2"/>
        <w:pBdr>
          <w:top w:val="single" w:sz="8" w:space="3" w:color="A32020"/>
        </w:pBdr>
        <w:rPr>
          <w:rFonts w:ascii="Arial" w:eastAsiaTheme="majorEastAsia" w:hAnsi="Arial" w:cs="Arial"/>
          <w:bCs/>
          <w:color w:val="A32020"/>
          <w:sz w:val="24"/>
          <w:szCs w:val="24"/>
          <w:lang w:eastAsia="en-US"/>
        </w:rPr>
      </w:pPr>
      <w:r w:rsidRPr="00161381">
        <w:rPr>
          <w:rFonts w:ascii="Arial" w:eastAsiaTheme="majorEastAsia" w:hAnsi="Arial" w:cs="Arial"/>
          <w:bCs/>
          <w:color w:val="A32020"/>
          <w:sz w:val="24"/>
          <w:szCs w:val="24"/>
          <w:lang w:eastAsia="en-US"/>
        </w:rPr>
        <w:t>Opinion</w:t>
      </w:r>
    </w:p>
    <w:p w14:paraId="1F711E71" w14:textId="77777777" w:rsidR="002E0F29" w:rsidRPr="00161381" w:rsidRDefault="002E0F29" w:rsidP="002E0F29">
      <w:pPr>
        <w:pStyle w:val="BodyText"/>
        <w:rPr>
          <w:rFonts w:ascii="Arial" w:hAnsi="Arial" w:cs="Arial"/>
          <w:sz w:val="24"/>
          <w:szCs w:val="24"/>
        </w:rPr>
      </w:pPr>
      <w:r w:rsidRPr="00161381">
        <w:rPr>
          <w:rFonts w:ascii="Arial" w:hAnsi="Arial" w:cs="Arial"/>
          <w:sz w:val="24"/>
          <w:szCs w:val="24"/>
        </w:rPr>
        <w:t>In our opinion, The Shaw Trust Limited’s group financial statements and parent charitable company financial statements (the financial statements”):</w:t>
      </w:r>
    </w:p>
    <w:p w14:paraId="51A99676" w14:textId="77777777" w:rsidR="002E0F29" w:rsidRPr="00161381" w:rsidRDefault="002E0F29" w:rsidP="002E0F29">
      <w:pPr>
        <w:pStyle w:val="ListBullet"/>
        <w:ind w:left="714" w:hanging="357"/>
        <w:rPr>
          <w:rFonts w:ascii="Arial" w:hAnsi="Arial" w:cs="Arial"/>
          <w:sz w:val="24"/>
          <w:szCs w:val="24"/>
        </w:rPr>
      </w:pPr>
      <w:r w:rsidRPr="00161381">
        <w:rPr>
          <w:rFonts w:ascii="Arial" w:hAnsi="Arial" w:cs="Arial"/>
          <w:sz w:val="24"/>
          <w:szCs w:val="24"/>
        </w:rPr>
        <w:t>give a true and fair view of the state of the group’s and of the parent</w:t>
      </w:r>
      <w:r w:rsidRPr="00161381">
        <w:rPr>
          <w:rStyle w:val="EndnoteReference"/>
          <w:rFonts w:ascii="Arial" w:hAnsi="Arial" w:cs="Arial"/>
          <w:color w:val="FF0000"/>
          <w:sz w:val="24"/>
          <w:szCs w:val="24"/>
        </w:rPr>
        <w:t xml:space="preserve"> </w:t>
      </w:r>
      <w:r w:rsidRPr="00161381">
        <w:rPr>
          <w:rFonts w:ascii="Arial" w:hAnsi="Arial" w:cs="Arial"/>
          <w:sz w:val="24"/>
          <w:szCs w:val="24"/>
        </w:rPr>
        <w:t>charitable company’s affairs as at 31 August 2020 and of the group’s and parent charitable company’s incoming resources and application of resources, including its income and expenditure, and of the group’s cash flows, for the year then ended;</w:t>
      </w:r>
    </w:p>
    <w:p w14:paraId="71FE1CA8" w14:textId="77777777" w:rsidR="002E0F29" w:rsidRPr="00161381" w:rsidRDefault="002E0F29" w:rsidP="002E0F29">
      <w:pPr>
        <w:pStyle w:val="ListBullet"/>
        <w:ind w:left="714" w:hanging="357"/>
        <w:rPr>
          <w:rFonts w:ascii="Arial" w:hAnsi="Arial" w:cs="Arial"/>
          <w:sz w:val="24"/>
          <w:szCs w:val="24"/>
        </w:rPr>
      </w:pPr>
      <w:r w:rsidRPr="00161381">
        <w:rPr>
          <w:rFonts w:ascii="Arial" w:hAnsi="Arial" w:cs="Arial"/>
          <w:sz w:val="24"/>
          <w:szCs w:val="24"/>
        </w:rPr>
        <w:t>have been properly prepared in accordance with United Kingdom Generally Accepted Accounting Practice (United Kingdom Accounting Standards, comprising FRS 102 “The Financial Reporting Standard applicable in the UK and Republic of Ireland”, and applicable law); and</w:t>
      </w:r>
    </w:p>
    <w:p w14:paraId="3C9E5989" w14:textId="77777777" w:rsidR="002E0F29" w:rsidRPr="00161381" w:rsidRDefault="002E0F29" w:rsidP="002E0F29">
      <w:pPr>
        <w:pStyle w:val="ListBullet"/>
        <w:ind w:left="714" w:hanging="357"/>
        <w:rPr>
          <w:rFonts w:ascii="Arial" w:hAnsi="Arial" w:cs="Arial"/>
          <w:sz w:val="24"/>
          <w:szCs w:val="24"/>
        </w:rPr>
      </w:pPr>
      <w:proofErr w:type="gramStart"/>
      <w:r w:rsidRPr="00161381">
        <w:rPr>
          <w:rFonts w:ascii="Arial" w:hAnsi="Arial" w:cs="Arial"/>
          <w:sz w:val="24"/>
          <w:szCs w:val="24"/>
        </w:rPr>
        <w:t>have</w:t>
      </w:r>
      <w:proofErr w:type="gramEnd"/>
      <w:r w:rsidRPr="00161381">
        <w:rPr>
          <w:rFonts w:ascii="Arial" w:hAnsi="Arial" w:cs="Arial"/>
          <w:sz w:val="24"/>
          <w:szCs w:val="24"/>
        </w:rPr>
        <w:t xml:space="preserve"> been prepared in accordance</w:t>
      </w:r>
      <w:bookmarkStart w:id="2" w:name="Paragraph_291"/>
      <w:r w:rsidRPr="00161381">
        <w:rPr>
          <w:rFonts w:ascii="Arial" w:hAnsi="Arial" w:cs="Arial"/>
          <w:sz w:val="24"/>
          <w:szCs w:val="24"/>
        </w:rPr>
        <w:t xml:space="preserve"> with the requirements of the Companies Act 2006, the Charities and Trustee Investment (Scotland) Act 2005 and regulations 6 and 8 of the Charities Accounts (Scotland) Regulations 2006 (as amended).</w:t>
      </w:r>
    </w:p>
    <w:p w14:paraId="21DDA407" w14:textId="77777777" w:rsidR="002E0F29" w:rsidRPr="00161381" w:rsidRDefault="002E0F29" w:rsidP="002E0F29">
      <w:pPr>
        <w:pStyle w:val="ListBullet"/>
        <w:numPr>
          <w:ilvl w:val="0"/>
          <w:numId w:val="0"/>
        </w:numPr>
        <w:rPr>
          <w:rFonts w:ascii="Arial" w:hAnsi="Arial" w:cs="Arial"/>
          <w:sz w:val="24"/>
          <w:szCs w:val="24"/>
        </w:rPr>
      </w:pPr>
      <w:bookmarkStart w:id="3" w:name="Paragraph_790"/>
      <w:bookmarkStart w:id="4" w:name="Paragraph_31"/>
      <w:r w:rsidRPr="00161381">
        <w:rPr>
          <w:rFonts w:ascii="Arial" w:hAnsi="Arial" w:cs="Arial"/>
          <w:sz w:val="24"/>
          <w:szCs w:val="24"/>
        </w:rPr>
        <w:t>We have audited the financial statements, included within the Trustees Annual Report and Financial statements for the year ended 31 August 2020 (the “Annual Report”), which comprise: the Group and Company Balance Sheets as at 31 August 2020; the Group statement of financial activities and the Group statement of cash flows for the year then ended; the Principal accounting policies; and the notes to the financial statements.</w:t>
      </w:r>
      <w:bookmarkEnd w:id="3"/>
    </w:p>
    <w:p w14:paraId="4EEA706A" w14:textId="77777777" w:rsidR="002E0F29" w:rsidRPr="00161381" w:rsidRDefault="002E0F29" w:rsidP="002E0F29">
      <w:pPr>
        <w:pStyle w:val="Heading2"/>
        <w:pBdr>
          <w:top w:val="single" w:sz="8" w:space="3" w:color="A32020"/>
        </w:pBdr>
        <w:rPr>
          <w:rFonts w:ascii="Arial" w:eastAsiaTheme="majorEastAsia" w:hAnsi="Arial" w:cs="Arial"/>
          <w:bCs/>
          <w:color w:val="A32020"/>
          <w:sz w:val="24"/>
          <w:szCs w:val="24"/>
          <w:lang w:eastAsia="en-US"/>
        </w:rPr>
      </w:pPr>
      <w:bookmarkStart w:id="5" w:name="Paragraph_46"/>
      <w:bookmarkEnd w:id="2"/>
      <w:bookmarkEnd w:id="4"/>
      <w:r w:rsidRPr="00161381">
        <w:rPr>
          <w:rFonts w:ascii="Arial" w:eastAsiaTheme="majorEastAsia" w:hAnsi="Arial" w:cs="Arial"/>
          <w:bCs/>
          <w:color w:val="A32020"/>
          <w:sz w:val="24"/>
          <w:szCs w:val="24"/>
          <w:lang w:eastAsia="en-US"/>
        </w:rPr>
        <w:t>Basis for opinion</w:t>
      </w:r>
      <w:bookmarkEnd w:id="5"/>
    </w:p>
    <w:p w14:paraId="12E7847A" w14:textId="77777777" w:rsidR="002E0F29" w:rsidRPr="00161381" w:rsidRDefault="002E0F29" w:rsidP="002E0F29">
      <w:pPr>
        <w:pStyle w:val="BodyText"/>
        <w:rPr>
          <w:rFonts w:ascii="Arial" w:hAnsi="Arial" w:cs="Arial"/>
          <w:sz w:val="24"/>
          <w:szCs w:val="24"/>
        </w:rPr>
      </w:pPr>
      <w:bookmarkStart w:id="6" w:name="Paragraph_50"/>
      <w:r w:rsidRPr="00161381">
        <w:rPr>
          <w:rFonts w:ascii="Arial" w:hAnsi="Arial" w:cs="Arial"/>
          <w:sz w:val="24"/>
          <w:szCs w:val="24"/>
        </w:rPr>
        <w:t>We conducted our audit in accordance with International Standards on Auditing (UK) (“ISAs (UK)”) and applicable law. Our responsibilities under ISAs (UK) are further described in the Auditors’ responsibilities for the audit of the financial statements section of our report. We believe that the audit evidence we have obtained is sufficient and appropriate to provide a basis for our opinion.</w:t>
      </w:r>
      <w:bookmarkEnd w:id="6"/>
    </w:p>
    <w:p w14:paraId="56D1FA5C" w14:textId="77777777" w:rsidR="002E0F29" w:rsidRPr="00161381" w:rsidRDefault="002E0F29" w:rsidP="002E0F29">
      <w:pPr>
        <w:pStyle w:val="Heading3"/>
        <w:rPr>
          <w:rFonts w:ascii="Arial" w:hAnsi="Arial" w:cs="Arial"/>
          <w:sz w:val="24"/>
          <w:szCs w:val="24"/>
        </w:rPr>
      </w:pPr>
      <w:r w:rsidRPr="00161381">
        <w:rPr>
          <w:rFonts w:ascii="Arial" w:eastAsiaTheme="majorEastAsia" w:hAnsi="Arial" w:cs="Arial"/>
          <w:bCs/>
          <w:color w:val="A32020"/>
          <w:sz w:val="24"/>
          <w:szCs w:val="24"/>
          <w:lang w:eastAsia="en-US"/>
        </w:rPr>
        <w:t xml:space="preserve">Independence </w:t>
      </w:r>
    </w:p>
    <w:p w14:paraId="507E848C" w14:textId="77777777" w:rsidR="002E0F29" w:rsidRDefault="002E0F29" w:rsidP="002E0F29">
      <w:pPr>
        <w:pStyle w:val="BodyText"/>
        <w:rPr>
          <w:rFonts w:ascii="Arial" w:hAnsi="Arial" w:cs="Arial"/>
          <w:sz w:val="24"/>
          <w:szCs w:val="24"/>
        </w:rPr>
      </w:pPr>
      <w:bookmarkStart w:id="7" w:name="Paragraph_53"/>
      <w:r w:rsidRPr="00161381">
        <w:rPr>
          <w:rFonts w:ascii="Arial" w:hAnsi="Arial" w:cs="Arial"/>
          <w:sz w:val="24"/>
          <w:szCs w:val="24"/>
        </w:rPr>
        <w:t>We remained independent of the charitable company in accordance with the ethical requirements that are relevant to our audit of the financial statements in the UK, which includes the FRC’s Ethical Standard and we have fulfilled our other ethical responsibilities in accordance with these requirements.</w:t>
      </w:r>
      <w:bookmarkEnd w:id="7"/>
    </w:p>
    <w:p w14:paraId="20AFC2A2" w14:textId="77777777" w:rsidR="00665501" w:rsidRPr="00161381" w:rsidRDefault="00665501" w:rsidP="002E0F29">
      <w:pPr>
        <w:pStyle w:val="BodyText"/>
        <w:rPr>
          <w:rFonts w:ascii="Arial" w:hAnsi="Arial" w:cs="Arial"/>
          <w:sz w:val="24"/>
          <w:szCs w:val="24"/>
        </w:rPr>
      </w:pPr>
    </w:p>
    <w:p w14:paraId="11CA772D" w14:textId="77777777" w:rsidR="002E0F29" w:rsidRPr="00161381" w:rsidRDefault="002E0F29" w:rsidP="002E0F29">
      <w:pPr>
        <w:pStyle w:val="Heading2"/>
        <w:pBdr>
          <w:top w:val="single" w:sz="8" w:space="3" w:color="A32020"/>
        </w:pBdr>
        <w:rPr>
          <w:rFonts w:ascii="Arial" w:eastAsiaTheme="majorEastAsia" w:hAnsi="Arial" w:cs="Arial"/>
          <w:bCs/>
          <w:color w:val="A32020"/>
          <w:sz w:val="24"/>
          <w:szCs w:val="24"/>
          <w:lang w:eastAsia="en-US"/>
        </w:rPr>
      </w:pPr>
      <w:bookmarkStart w:id="8" w:name="Paragraph_181"/>
      <w:r w:rsidRPr="00161381">
        <w:rPr>
          <w:rFonts w:ascii="Arial" w:eastAsiaTheme="majorEastAsia" w:hAnsi="Arial" w:cs="Arial"/>
          <w:bCs/>
          <w:color w:val="A32020"/>
          <w:sz w:val="24"/>
          <w:szCs w:val="24"/>
          <w:lang w:eastAsia="en-US"/>
        </w:rPr>
        <w:t>Conclusions relating to going concern</w:t>
      </w:r>
      <w:bookmarkEnd w:id="8"/>
    </w:p>
    <w:p w14:paraId="1F4AC747" w14:textId="77777777" w:rsidR="002E0F29" w:rsidRPr="00161381" w:rsidRDefault="002E0F29" w:rsidP="002E0F29">
      <w:pPr>
        <w:pStyle w:val="BodyText"/>
        <w:rPr>
          <w:rFonts w:ascii="Arial" w:hAnsi="Arial" w:cs="Arial"/>
          <w:sz w:val="24"/>
          <w:szCs w:val="24"/>
        </w:rPr>
      </w:pPr>
      <w:bookmarkStart w:id="9" w:name="Paragraph_183"/>
      <w:r w:rsidRPr="00161381">
        <w:rPr>
          <w:rFonts w:ascii="Arial" w:hAnsi="Arial" w:cs="Arial"/>
          <w:sz w:val="24"/>
          <w:szCs w:val="24"/>
        </w:rPr>
        <w:t xml:space="preserve">We have nothing to report in respect of the following matters in relation to which ISAs (UK) require us to report to you when: </w:t>
      </w:r>
      <w:bookmarkEnd w:id="9"/>
    </w:p>
    <w:p w14:paraId="12CB9EAD" w14:textId="77777777" w:rsidR="002E0F29" w:rsidRPr="00161381" w:rsidRDefault="002E0F29" w:rsidP="002E0F29">
      <w:pPr>
        <w:pStyle w:val="ListBullet"/>
        <w:rPr>
          <w:rFonts w:ascii="Arial" w:hAnsi="Arial" w:cs="Arial"/>
          <w:sz w:val="24"/>
          <w:szCs w:val="24"/>
        </w:rPr>
      </w:pPr>
      <w:bookmarkStart w:id="10" w:name="Paragraph_184"/>
      <w:r w:rsidRPr="00161381">
        <w:rPr>
          <w:rFonts w:ascii="Arial" w:hAnsi="Arial" w:cs="Arial"/>
          <w:sz w:val="24"/>
          <w:szCs w:val="24"/>
        </w:rPr>
        <w:t>the trustees’ use of the going concern basis of accounting in the preparation of the financial statements is not appropriate; or</w:t>
      </w:r>
      <w:bookmarkEnd w:id="10"/>
    </w:p>
    <w:p w14:paraId="289308F3" w14:textId="77777777" w:rsidR="002E0F29" w:rsidRPr="00161381" w:rsidRDefault="002E0F29" w:rsidP="002E0F29">
      <w:pPr>
        <w:pStyle w:val="ListBullet"/>
        <w:rPr>
          <w:rFonts w:ascii="Arial" w:hAnsi="Arial" w:cs="Arial"/>
          <w:sz w:val="24"/>
          <w:szCs w:val="24"/>
        </w:rPr>
      </w:pPr>
      <w:bookmarkStart w:id="11" w:name="Paragraph_186"/>
      <w:proofErr w:type="gramStart"/>
      <w:r w:rsidRPr="00161381">
        <w:rPr>
          <w:rFonts w:ascii="Arial" w:hAnsi="Arial" w:cs="Arial"/>
          <w:sz w:val="24"/>
          <w:szCs w:val="24"/>
        </w:rPr>
        <w:lastRenderedPageBreak/>
        <w:t>the</w:t>
      </w:r>
      <w:proofErr w:type="gramEnd"/>
      <w:r w:rsidRPr="00161381">
        <w:rPr>
          <w:rFonts w:ascii="Arial" w:hAnsi="Arial" w:cs="Arial"/>
          <w:sz w:val="24"/>
          <w:szCs w:val="24"/>
        </w:rPr>
        <w:t xml:space="preserve"> trustees have not disclosed in the financial statements any identified material uncertainties that may cast significant doubt about the group’s and parent charitable company’s ability to continue to adopt the going concern basis of accounting for a period of at least twelve months from the date when the financial statements are authorised for issue.</w:t>
      </w:r>
      <w:bookmarkEnd w:id="11"/>
    </w:p>
    <w:p w14:paraId="2BCB0B4D" w14:textId="77777777" w:rsidR="002E0F29" w:rsidRDefault="002E0F29" w:rsidP="002E0F29">
      <w:pPr>
        <w:pStyle w:val="BodyText"/>
        <w:rPr>
          <w:rFonts w:ascii="Arial" w:hAnsi="Arial" w:cs="Arial"/>
          <w:sz w:val="24"/>
          <w:szCs w:val="24"/>
        </w:rPr>
      </w:pPr>
      <w:bookmarkStart w:id="12" w:name="Paragraph_187"/>
      <w:r w:rsidRPr="00161381">
        <w:rPr>
          <w:rFonts w:ascii="Arial" w:hAnsi="Arial" w:cs="Arial"/>
          <w:sz w:val="24"/>
          <w:szCs w:val="24"/>
        </w:rPr>
        <w:t>However, because not all future events or conditions can be predicted, this statement is not a guarantee as to the group’s and parent charitable company’s ability to continue as a going concern.</w:t>
      </w:r>
      <w:bookmarkEnd w:id="12"/>
    </w:p>
    <w:p w14:paraId="277D4538" w14:textId="77777777" w:rsidR="00665501" w:rsidRPr="00161381" w:rsidRDefault="00665501" w:rsidP="002E0F29">
      <w:pPr>
        <w:pStyle w:val="BodyText"/>
        <w:rPr>
          <w:rFonts w:ascii="Arial" w:hAnsi="Arial" w:cs="Arial"/>
          <w:sz w:val="24"/>
          <w:szCs w:val="24"/>
        </w:rPr>
      </w:pPr>
    </w:p>
    <w:p w14:paraId="0BD52A52" w14:textId="77777777" w:rsidR="002E0F29" w:rsidRPr="00161381" w:rsidRDefault="002E0F29" w:rsidP="002E0F29">
      <w:pPr>
        <w:pStyle w:val="Heading2"/>
        <w:pBdr>
          <w:top w:val="single" w:sz="8" w:space="3" w:color="A32020"/>
        </w:pBdr>
        <w:rPr>
          <w:rFonts w:ascii="Arial" w:eastAsiaTheme="majorEastAsia" w:hAnsi="Arial" w:cs="Arial"/>
          <w:bCs/>
          <w:color w:val="A32020"/>
          <w:sz w:val="24"/>
          <w:szCs w:val="24"/>
          <w:lang w:eastAsia="en-US"/>
        </w:rPr>
      </w:pPr>
      <w:bookmarkStart w:id="13" w:name="Paragraph_9"/>
      <w:r w:rsidRPr="00161381">
        <w:rPr>
          <w:rFonts w:ascii="Arial" w:eastAsiaTheme="majorEastAsia" w:hAnsi="Arial" w:cs="Arial"/>
          <w:bCs/>
          <w:color w:val="A32020"/>
          <w:sz w:val="24"/>
          <w:szCs w:val="24"/>
          <w:lang w:eastAsia="en-US"/>
        </w:rPr>
        <w:t xml:space="preserve">Reporting on other information </w:t>
      </w:r>
      <w:bookmarkEnd w:id="13"/>
    </w:p>
    <w:p w14:paraId="0BC54F61" w14:textId="77777777" w:rsidR="002E0F29" w:rsidRPr="00161381" w:rsidRDefault="002E0F29" w:rsidP="002E0F29">
      <w:pPr>
        <w:pStyle w:val="BodyText"/>
        <w:rPr>
          <w:rFonts w:ascii="Arial" w:hAnsi="Arial" w:cs="Arial"/>
          <w:sz w:val="24"/>
          <w:szCs w:val="24"/>
        </w:rPr>
      </w:pPr>
      <w:bookmarkStart w:id="14" w:name="Paragraph_192"/>
      <w:r w:rsidRPr="00161381">
        <w:rPr>
          <w:rFonts w:ascii="Arial" w:hAnsi="Arial" w:cs="Arial"/>
          <w:sz w:val="24"/>
          <w:szCs w:val="24"/>
        </w:rPr>
        <w:t xml:space="preserve">The other information comprises all of the information in the Annual Report other than the financial statements and our auditors’ report thereon. The trustees are responsible for the other information. Our opinion on the financial statements does not cover the other information and, accordingly, we do not express an audit opinion or, except to the extent otherwise explicitly stated in this report, any form of assurance thereon. </w:t>
      </w:r>
      <w:bookmarkEnd w:id="14"/>
    </w:p>
    <w:p w14:paraId="2B82E992" w14:textId="77777777" w:rsidR="002E0F29" w:rsidRPr="00161381" w:rsidRDefault="002E0F29" w:rsidP="002E0F29">
      <w:pPr>
        <w:pStyle w:val="BodyText"/>
        <w:rPr>
          <w:rFonts w:ascii="Arial" w:hAnsi="Arial" w:cs="Arial"/>
          <w:sz w:val="24"/>
          <w:szCs w:val="24"/>
        </w:rPr>
      </w:pPr>
      <w:bookmarkStart w:id="15" w:name="Paragraph_194"/>
      <w:r w:rsidRPr="00161381">
        <w:rPr>
          <w:rFonts w:ascii="Arial" w:hAnsi="Arial" w:cs="Arial"/>
          <w:sz w:val="24"/>
          <w:szCs w:val="24"/>
        </w:rPr>
        <w:t>In connection with our audit of the financial statements, our responsibility is to read the other information and, in doing so, consider whether the other information is materially inconsistent with the financial statements or our knowledge obtained in the audit, or otherwise appears to be materially misstated. If we identify an apparent material inconsistency or material misstatement, we are required to perform procedures to conclude whether there is a material misstatement of the financial statements or a material misstatement of the other information. If, based on the work we have performed, we conclude that there is a material misstatement of this other information, we are required to report that fact. We have nothing to report based on these responsibilities.</w:t>
      </w:r>
      <w:bookmarkEnd w:id="15"/>
    </w:p>
    <w:p w14:paraId="58475BC2" w14:textId="77777777" w:rsidR="002E0F29" w:rsidRPr="00161381" w:rsidRDefault="002E0F29" w:rsidP="002E0F29">
      <w:pPr>
        <w:pStyle w:val="BodyText"/>
        <w:rPr>
          <w:rFonts w:ascii="Arial" w:hAnsi="Arial" w:cs="Arial"/>
          <w:sz w:val="24"/>
          <w:szCs w:val="24"/>
        </w:rPr>
      </w:pPr>
      <w:bookmarkStart w:id="16" w:name="Paragraph_830"/>
      <w:bookmarkStart w:id="17" w:name="Paragraph_26"/>
      <w:r w:rsidRPr="00161381">
        <w:rPr>
          <w:rFonts w:ascii="Arial" w:hAnsi="Arial" w:cs="Arial"/>
          <w:sz w:val="24"/>
          <w:szCs w:val="24"/>
        </w:rPr>
        <w:t xml:space="preserve">With respect to the Strategic Report and Trustees’ Annual Report, we also considered whether the disclosures required by the UK Companies Act 2006 have been included.  </w:t>
      </w:r>
      <w:bookmarkEnd w:id="16"/>
    </w:p>
    <w:p w14:paraId="4497F386" w14:textId="77777777" w:rsidR="002E0F29" w:rsidRPr="00161381" w:rsidRDefault="002E0F29" w:rsidP="002E0F29">
      <w:pPr>
        <w:pStyle w:val="BodyText"/>
        <w:rPr>
          <w:rFonts w:ascii="Arial" w:hAnsi="Arial" w:cs="Arial"/>
          <w:sz w:val="24"/>
          <w:szCs w:val="24"/>
        </w:rPr>
      </w:pPr>
      <w:r w:rsidRPr="00161381">
        <w:rPr>
          <w:rFonts w:ascii="Arial" w:hAnsi="Arial" w:cs="Arial"/>
          <w:sz w:val="24"/>
          <w:szCs w:val="24"/>
        </w:rPr>
        <w:t>Based on the responsibilities described above and our work undertaken in the course of the audit, ISAs (UK) require us also to report certain opinions and matters as described below.</w:t>
      </w:r>
      <w:bookmarkEnd w:id="17"/>
    </w:p>
    <w:p w14:paraId="1466318D" w14:textId="77777777" w:rsidR="002E0F29" w:rsidRPr="00161381" w:rsidRDefault="002E0F29" w:rsidP="002E0F29">
      <w:pPr>
        <w:pStyle w:val="Heading3"/>
        <w:rPr>
          <w:rFonts w:ascii="Arial" w:eastAsiaTheme="majorEastAsia" w:hAnsi="Arial" w:cs="Arial"/>
          <w:bCs/>
          <w:color w:val="A32020"/>
          <w:sz w:val="24"/>
          <w:szCs w:val="24"/>
          <w:lang w:eastAsia="en-US"/>
        </w:rPr>
      </w:pPr>
      <w:r w:rsidRPr="00161381">
        <w:rPr>
          <w:rFonts w:ascii="Arial" w:eastAsiaTheme="majorEastAsia" w:hAnsi="Arial" w:cs="Arial"/>
          <w:bCs/>
          <w:color w:val="A32020"/>
          <w:sz w:val="24"/>
          <w:szCs w:val="24"/>
          <w:lang w:eastAsia="en-US"/>
        </w:rPr>
        <w:t>Strategic Report and Trustees’ Annual Report</w:t>
      </w:r>
      <w:r w:rsidRPr="00161381">
        <w:rPr>
          <w:rStyle w:val="EndnoteReference"/>
          <w:rFonts w:ascii="Arial" w:hAnsi="Arial" w:cs="Arial"/>
          <w:color w:val="FF0000"/>
          <w:sz w:val="24"/>
          <w:szCs w:val="24"/>
        </w:rPr>
        <w:t xml:space="preserve"> </w:t>
      </w:r>
    </w:p>
    <w:p w14:paraId="2F87A7D8" w14:textId="77777777" w:rsidR="002E0F29" w:rsidRPr="00161381" w:rsidRDefault="002E0F29" w:rsidP="002E0F29">
      <w:pPr>
        <w:pStyle w:val="BodyText"/>
        <w:rPr>
          <w:rFonts w:ascii="Arial" w:hAnsi="Arial" w:cs="Arial"/>
          <w:sz w:val="24"/>
          <w:szCs w:val="24"/>
        </w:rPr>
      </w:pPr>
      <w:r w:rsidRPr="00161381">
        <w:rPr>
          <w:rFonts w:ascii="Arial" w:hAnsi="Arial" w:cs="Arial"/>
          <w:sz w:val="24"/>
          <w:szCs w:val="24"/>
        </w:rPr>
        <w:t>In our opinion, based on the work undertaken in the course of the audit the information given in the Trustees’ Annual Report, including the Strategic Report, for the financial year for which the financial statements are prepared is consistent with the financial statements; and the Strategic Report and the Trustees’ Annual Report</w:t>
      </w:r>
      <w:r w:rsidRPr="00161381">
        <w:rPr>
          <w:rFonts w:ascii="Arial" w:hAnsi="Arial" w:cs="Arial"/>
          <w:b/>
          <w:color w:val="FF0000"/>
          <w:sz w:val="24"/>
          <w:szCs w:val="24"/>
        </w:rPr>
        <w:t xml:space="preserve"> </w:t>
      </w:r>
      <w:r w:rsidRPr="00161381">
        <w:rPr>
          <w:rFonts w:ascii="Arial" w:hAnsi="Arial" w:cs="Arial"/>
          <w:sz w:val="24"/>
          <w:szCs w:val="24"/>
        </w:rPr>
        <w:t>have been prepared in accordance with applicable legal requirements.</w:t>
      </w:r>
    </w:p>
    <w:p w14:paraId="023ED719" w14:textId="77777777" w:rsidR="002E0F29" w:rsidRDefault="002E0F29" w:rsidP="002E0F29">
      <w:pPr>
        <w:pStyle w:val="BodyText"/>
        <w:rPr>
          <w:rFonts w:ascii="Arial" w:hAnsi="Arial" w:cs="Arial"/>
          <w:sz w:val="24"/>
          <w:szCs w:val="24"/>
        </w:rPr>
      </w:pPr>
      <w:r w:rsidRPr="00161381">
        <w:rPr>
          <w:rFonts w:ascii="Arial" w:hAnsi="Arial" w:cs="Arial"/>
          <w:sz w:val="24"/>
          <w:szCs w:val="24"/>
        </w:rPr>
        <w:t>In addition, in light of the knowledge and understanding of the group and parent charitable company and its environment obtained in the course of the audit, we are required to report if we have identified any material misstatements in the Strategic Report and the Trustees’ Annual Report. We have nothing to report in this respect.</w:t>
      </w:r>
    </w:p>
    <w:p w14:paraId="3FCE9474" w14:textId="77777777" w:rsidR="00665501" w:rsidRDefault="00665501" w:rsidP="002E0F29">
      <w:pPr>
        <w:pStyle w:val="BodyText"/>
        <w:rPr>
          <w:rFonts w:ascii="Arial" w:hAnsi="Arial" w:cs="Arial"/>
          <w:sz w:val="24"/>
          <w:szCs w:val="24"/>
        </w:rPr>
      </w:pPr>
    </w:p>
    <w:p w14:paraId="7321ECB9" w14:textId="77777777" w:rsidR="00665501" w:rsidRPr="00161381" w:rsidRDefault="00665501" w:rsidP="002E0F29">
      <w:pPr>
        <w:pStyle w:val="BodyText"/>
        <w:rPr>
          <w:rFonts w:ascii="Arial" w:hAnsi="Arial" w:cs="Arial"/>
          <w:sz w:val="24"/>
          <w:szCs w:val="24"/>
        </w:rPr>
      </w:pPr>
    </w:p>
    <w:p w14:paraId="77836A18" w14:textId="77777777" w:rsidR="002E0F29" w:rsidRPr="00161381" w:rsidRDefault="002E0F29" w:rsidP="002E0F29">
      <w:pPr>
        <w:pStyle w:val="Heading2"/>
        <w:pBdr>
          <w:top w:val="single" w:sz="8" w:space="3" w:color="A32020"/>
        </w:pBdr>
        <w:rPr>
          <w:rFonts w:ascii="Arial" w:eastAsiaTheme="majorEastAsia" w:hAnsi="Arial" w:cs="Arial"/>
          <w:bCs/>
          <w:color w:val="A32020"/>
          <w:sz w:val="24"/>
          <w:szCs w:val="24"/>
          <w:lang w:eastAsia="en-US"/>
        </w:rPr>
      </w:pPr>
      <w:r w:rsidRPr="00161381">
        <w:rPr>
          <w:rFonts w:ascii="Arial" w:eastAsiaTheme="majorEastAsia" w:hAnsi="Arial" w:cs="Arial"/>
          <w:bCs/>
          <w:color w:val="A32020"/>
          <w:sz w:val="24"/>
          <w:szCs w:val="24"/>
          <w:lang w:eastAsia="en-US"/>
        </w:rPr>
        <w:lastRenderedPageBreak/>
        <w:t>Responsibilities for the financial statements and the audit</w:t>
      </w:r>
    </w:p>
    <w:p w14:paraId="078A0259" w14:textId="77777777" w:rsidR="002E0F29" w:rsidRPr="00161381" w:rsidRDefault="002E0F29" w:rsidP="002E0F29">
      <w:pPr>
        <w:pStyle w:val="Heading3"/>
        <w:rPr>
          <w:rFonts w:ascii="Arial" w:eastAsiaTheme="majorEastAsia" w:hAnsi="Arial" w:cs="Arial"/>
          <w:bCs/>
          <w:color w:val="A32020"/>
          <w:sz w:val="24"/>
          <w:szCs w:val="24"/>
          <w:lang w:eastAsia="en-US"/>
        </w:rPr>
      </w:pPr>
      <w:bookmarkStart w:id="18" w:name="Paragraph_267"/>
      <w:r w:rsidRPr="00161381">
        <w:rPr>
          <w:rFonts w:ascii="Arial" w:eastAsiaTheme="majorEastAsia" w:hAnsi="Arial" w:cs="Arial"/>
          <w:bCs/>
          <w:color w:val="A32020"/>
          <w:sz w:val="24"/>
          <w:szCs w:val="24"/>
          <w:lang w:eastAsia="en-US"/>
        </w:rPr>
        <w:t>Responsibilities of the trustees for the financial statements</w:t>
      </w:r>
      <w:bookmarkEnd w:id="18"/>
    </w:p>
    <w:p w14:paraId="5488CBE6" w14:textId="77777777" w:rsidR="002E0F29" w:rsidRPr="00161381" w:rsidRDefault="002E0F29" w:rsidP="002E0F29">
      <w:pPr>
        <w:pStyle w:val="BodyText"/>
        <w:rPr>
          <w:rFonts w:ascii="Arial" w:hAnsi="Arial" w:cs="Arial"/>
          <w:sz w:val="24"/>
          <w:szCs w:val="24"/>
        </w:rPr>
      </w:pPr>
      <w:bookmarkStart w:id="19" w:name="Paragraph_268"/>
      <w:r w:rsidRPr="00161381">
        <w:rPr>
          <w:rFonts w:ascii="Arial" w:hAnsi="Arial" w:cs="Arial"/>
          <w:sz w:val="24"/>
          <w:szCs w:val="24"/>
        </w:rPr>
        <w:t>As explained more fully in the Statement of Trustees’ responsibilities set out on page 27, the trustees are responsible for the preparation of the financial statements in accordance with the applicable framework and for being satisfied that they give a true and fair view. The trustees are also responsible for such internal control as they determine is necessary to enable the preparation of financial statements that are free from material misstatement, whether due to fraud or error.</w:t>
      </w:r>
      <w:bookmarkEnd w:id="19"/>
    </w:p>
    <w:p w14:paraId="1F031FE8" w14:textId="77777777" w:rsidR="002E0F29" w:rsidRPr="00161381" w:rsidRDefault="002E0F29" w:rsidP="002E0F29">
      <w:pPr>
        <w:pStyle w:val="BodyText"/>
        <w:rPr>
          <w:rFonts w:ascii="Arial" w:hAnsi="Arial" w:cs="Arial"/>
          <w:sz w:val="24"/>
          <w:szCs w:val="24"/>
        </w:rPr>
      </w:pPr>
      <w:bookmarkStart w:id="20" w:name="Paragraph_269"/>
      <w:r w:rsidRPr="00161381">
        <w:rPr>
          <w:rFonts w:ascii="Arial" w:hAnsi="Arial" w:cs="Arial"/>
          <w:sz w:val="24"/>
          <w:szCs w:val="24"/>
        </w:rPr>
        <w:t>In preparing the financial statements, the trustees are responsible for assessing the group’s and parent charitable company’s ability to continue as a going concern, disclosing as applicable, matters related to going concern and using the going concern basis of accounting unless the trustees either intend to liquidate the group and parent charitable company or to cease operations, or have no realistic alternative but to do so.</w:t>
      </w:r>
      <w:bookmarkEnd w:id="20"/>
    </w:p>
    <w:p w14:paraId="55EBC997" w14:textId="77777777" w:rsidR="002E0F29" w:rsidRPr="00161381" w:rsidRDefault="002E0F29" w:rsidP="002E0F29">
      <w:pPr>
        <w:pStyle w:val="Heading3"/>
        <w:rPr>
          <w:rFonts w:ascii="Arial" w:eastAsiaTheme="majorEastAsia" w:hAnsi="Arial" w:cs="Arial"/>
          <w:bCs/>
          <w:color w:val="A32020"/>
          <w:sz w:val="24"/>
          <w:szCs w:val="24"/>
          <w:lang w:eastAsia="en-US"/>
        </w:rPr>
      </w:pPr>
      <w:bookmarkStart w:id="21" w:name="Paragraph_270"/>
      <w:r w:rsidRPr="00161381">
        <w:rPr>
          <w:rFonts w:ascii="Arial" w:eastAsiaTheme="majorEastAsia" w:hAnsi="Arial" w:cs="Arial"/>
          <w:bCs/>
          <w:color w:val="A32020"/>
          <w:sz w:val="24"/>
          <w:szCs w:val="24"/>
          <w:lang w:eastAsia="en-US"/>
        </w:rPr>
        <w:t>Auditors’ responsibilities for the audit of the financial statements</w:t>
      </w:r>
      <w:bookmarkEnd w:id="21"/>
    </w:p>
    <w:p w14:paraId="51A19C8B" w14:textId="77777777" w:rsidR="002E0F29" w:rsidRPr="00161381" w:rsidRDefault="002E0F29" w:rsidP="002E0F29">
      <w:pPr>
        <w:pStyle w:val="BodyText"/>
        <w:rPr>
          <w:rFonts w:ascii="Arial" w:hAnsi="Arial" w:cs="Arial"/>
          <w:sz w:val="24"/>
          <w:szCs w:val="24"/>
        </w:rPr>
      </w:pPr>
      <w:bookmarkStart w:id="22" w:name="Paragraph_271"/>
      <w:r w:rsidRPr="00161381">
        <w:rPr>
          <w:rFonts w:ascii="Arial" w:hAnsi="Arial" w:cs="Arial"/>
          <w:sz w:val="24"/>
          <w:szCs w:val="24"/>
        </w:rPr>
        <w:t>We have been appointed as auditors under section 44(1) of the Charities and Trustee Investment (Scotland) Act 2005 and under the Companies Act 2006 and report in accordance with the Acts and relevant regulations made or having effect thereunder.</w:t>
      </w:r>
    </w:p>
    <w:p w14:paraId="3FFF4F8C" w14:textId="77777777" w:rsidR="002E0F29" w:rsidRPr="00161381" w:rsidRDefault="002E0F29" w:rsidP="002E0F29">
      <w:pPr>
        <w:pStyle w:val="BodyText"/>
        <w:rPr>
          <w:rFonts w:ascii="Arial" w:hAnsi="Arial" w:cs="Arial"/>
          <w:sz w:val="24"/>
          <w:szCs w:val="24"/>
        </w:rPr>
      </w:pPr>
      <w:r w:rsidRPr="00161381">
        <w:rPr>
          <w:rFonts w:ascii="Arial" w:hAnsi="Arial" w:cs="Arial"/>
          <w:sz w:val="24"/>
          <w:szCs w:val="24"/>
        </w:rPr>
        <w:t xml:space="preserve">Our objectives are to obtain reasonable assurance about whether the financial statements as a whole are free from material misstatement, whether due to fraud or error, and to issue an auditors’ report that includes our opinion. Reasonable assurance is a high level of assurance, but is not a guarantee that an audit conducted in accordance with ISAs (UK) will always detect a material misstatement when it exists. Misstatements can arise from fraud or error and are considered material if, individually or in the aggregate, they could reasonably be expected to influence the economic decisions of users taken on the basis of these financial statements. </w:t>
      </w:r>
      <w:bookmarkEnd w:id="22"/>
    </w:p>
    <w:p w14:paraId="409B798A" w14:textId="77777777" w:rsidR="002E0F29" w:rsidRPr="00161381" w:rsidRDefault="002E0F29" w:rsidP="002E0F29">
      <w:pPr>
        <w:pStyle w:val="BodyText"/>
        <w:rPr>
          <w:rFonts w:ascii="Arial" w:hAnsi="Arial" w:cs="Arial"/>
          <w:sz w:val="24"/>
          <w:szCs w:val="24"/>
        </w:rPr>
      </w:pPr>
      <w:bookmarkStart w:id="23" w:name="Paragraph_272"/>
      <w:r w:rsidRPr="00161381">
        <w:rPr>
          <w:rFonts w:ascii="Arial" w:hAnsi="Arial" w:cs="Arial"/>
          <w:sz w:val="24"/>
          <w:szCs w:val="24"/>
        </w:rPr>
        <w:t>A further description of our responsibilities for the audit of the financial statements is located on the Financial Reporting Council’s website at: www.frc.org.uk/auditorsresponsibilities. This description forms part of our auditors’ report.</w:t>
      </w:r>
      <w:bookmarkEnd w:id="23"/>
    </w:p>
    <w:p w14:paraId="27926825" w14:textId="77777777" w:rsidR="002E0F29" w:rsidRPr="00161381" w:rsidRDefault="002E0F29" w:rsidP="002E0F29">
      <w:pPr>
        <w:pStyle w:val="Heading3"/>
        <w:rPr>
          <w:rFonts w:ascii="Arial" w:eastAsiaTheme="majorEastAsia" w:hAnsi="Arial" w:cs="Arial"/>
          <w:bCs/>
          <w:color w:val="A32020"/>
          <w:sz w:val="24"/>
          <w:szCs w:val="24"/>
          <w:lang w:eastAsia="en-US"/>
        </w:rPr>
      </w:pPr>
      <w:bookmarkStart w:id="24" w:name="Paragraph_274"/>
      <w:r w:rsidRPr="00161381">
        <w:rPr>
          <w:rFonts w:ascii="Arial" w:eastAsiaTheme="majorEastAsia" w:hAnsi="Arial" w:cs="Arial"/>
          <w:bCs/>
          <w:color w:val="A32020"/>
          <w:sz w:val="24"/>
          <w:szCs w:val="24"/>
          <w:lang w:eastAsia="en-US"/>
        </w:rPr>
        <w:t>Use of this report</w:t>
      </w:r>
      <w:bookmarkEnd w:id="24"/>
    </w:p>
    <w:p w14:paraId="36B21215" w14:textId="77777777" w:rsidR="002E0F29" w:rsidRDefault="002E0F29" w:rsidP="002E0F29">
      <w:pPr>
        <w:pStyle w:val="BodyText"/>
        <w:rPr>
          <w:rFonts w:ascii="Arial" w:hAnsi="Arial" w:cs="Arial"/>
          <w:sz w:val="24"/>
          <w:szCs w:val="24"/>
        </w:rPr>
      </w:pPr>
      <w:bookmarkStart w:id="25" w:name="Paragraph_278"/>
      <w:r w:rsidRPr="00161381">
        <w:rPr>
          <w:rFonts w:ascii="Arial" w:hAnsi="Arial" w:cs="Arial"/>
          <w:sz w:val="24"/>
          <w:szCs w:val="24"/>
        </w:rPr>
        <w:t xml:space="preserve">This report, including the opinions, has been prepared for and only for the charity’s members and trustees as a body in accordance with </w:t>
      </w:r>
      <w:r w:rsidRPr="00161381">
        <w:rPr>
          <w:rFonts w:ascii="Arial" w:eastAsia="Arial" w:hAnsi="Arial" w:cs="Arial"/>
          <w:bCs/>
          <w:sz w:val="24"/>
          <w:szCs w:val="24"/>
        </w:rPr>
        <w:t>section 44(1</w:t>
      </w:r>
      <w:proofErr w:type="gramStart"/>
      <w:r w:rsidRPr="00161381">
        <w:rPr>
          <w:rFonts w:ascii="Arial" w:eastAsia="Arial" w:hAnsi="Arial" w:cs="Arial"/>
          <w:bCs/>
          <w:sz w:val="24"/>
          <w:szCs w:val="24"/>
        </w:rPr>
        <w:t>)(</w:t>
      </w:r>
      <w:proofErr w:type="gramEnd"/>
      <w:r w:rsidRPr="00161381">
        <w:rPr>
          <w:rFonts w:ascii="Arial" w:eastAsia="Arial" w:hAnsi="Arial" w:cs="Arial"/>
          <w:bCs/>
          <w:sz w:val="24"/>
          <w:szCs w:val="24"/>
        </w:rPr>
        <w:t>c) of the Charities and Trustee Investment (Scotland) Act 2005 and the Companies Act 2006 and regulations made under those Acts (regulation 10 of the Charities Accounts (Scotland) Regulations 2006 (as amended)</w:t>
      </w:r>
      <w:r w:rsidRPr="00161381">
        <w:rPr>
          <w:rFonts w:ascii="Arial" w:hAnsi="Arial" w:cs="Arial"/>
          <w:bCs/>
          <w:sz w:val="24"/>
          <w:szCs w:val="24"/>
        </w:rPr>
        <w:t xml:space="preserve"> and </w:t>
      </w:r>
      <w:r w:rsidRPr="00161381">
        <w:rPr>
          <w:rFonts w:ascii="Arial" w:hAnsi="Arial" w:cs="Arial"/>
          <w:sz w:val="24"/>
          <w:szCs w:val="24"/>
        </w:rPr>
        <w:t>Chapter 3 of Part 16 of the Companies Act 2006) and for no other purpose. We do not, in giving these opinions, accept or assume responsibility for any other purpose or to any other person to whom this report is shown or into whose hands it may come save where expressly agreed by our prior consent in writing.</w:t>
      </w:r>
      <w:bookmarkEnd w:id="25"/>
    </w:p>
    <w:p w14:paraId="686C83C5" w14:textId="77777777" w:rsidR="00665501" w:rsidRDefault="00665501" w:rsidP="002E0F29">
      <w:pPr>
        <w:pStyle w:val="BodyText"/>
        <w:rPr>
          <w:rFonts w:ascii="Arial" w:hAnsi="Arial" w:cs="Arial"/>
          <w:sz w:val="24"/>
          <w:szCs w:val="24"/>
        </w:rPr>
      </w:pPr>
    </w:p>
    <w:p w14:paraId="26081C19" w14:textId="77777777" w:rsidR="00665501" w:rsidRDefault="00665501" w:rsidP="002E0F29">
      <w:pPr>
        <w:pStyle w:val="BodyText"/>
        <w:rPr>
          <w:rFonts w:ascii="Arial" w:hAnsi="Arial" w:cs="Arial"/>
          <w:sz w:val="24"/>
          <w:szCs w:val="24"/>
        </w:rPr>
      </w:pPr>
    </w:p>
    <w:p w14:paraId="202AA468" w14:textId="77777777" w:rsidR="00665501" w:rsidRDefault="00665501" w:rsidP="002E0F29">
      <w:pPr>
        <w:pStyle w:val="BodyText"/>
        <w:rPr>
          <w:rFonts w:ascii="Arial" w:hAnsi="Arial" w:cs="Arial"/>
          <w:sz w:val="24"/>
          <w:szCs w:val="24"/>
        </w:rPr>
      </w:pPr>
    </w:p>
    <w:p w14:paraId="1EF1DB89" w14:textId="77777777" w:rsidR="00665501" w:rsidRPr="00161381" w:rsidRDefault="00665501" w:rsidP="002E0F29">
      <w:pPr>
        <w:pStyle w:val="BodyText"/>
        <w:rPr>
          <w:rFonts w:ascii="Arial" w:hAnsi="Arial" w:cs="Arial"/>
          <w:sz w:val="24"/>
          <w:szCs w:val="24"/>
        </w:rPr>
      </w:pPr>
    </w:p>
    <w:p w14:paraId="3F7FE1A0" w14:textId="77777777" w:rsidR="002E0F29" w:rsidRPr="00C85B50" w:rsidRDefault="002E0F29" w:rsidP="002E0F29">
      <w:pPr>
        <w:pStyle w:val="Heading1"/>
        <w:pBdr>
          <w:top w:val="single" w:sz="8" w:space="6" w:color="A32020"/>
        </w:pBdr>
        <w:rPr>
          <w:rFonts w:ascii="Arial" w:hAnsi="Arial" w:cs="Arial"/>
          <w:b/>
          <w:color w:val="auto"/>
          <w:sz w:val="28"/>
          <w:szCs w:val="28"/>
        </w:rPr>
      </w:pPr>
      <w:bookmarkStart w:id="26" w:name="Paragraph_283"/>
      <w:r w:rsidRPr="00C85B50">
        <w:rPr>
          <w:rFonts w:ascii="Arial" w:hAnsi="Arial" w:cs="Arial"/>
          <w:b/>
          <w:color w:val="auto"/>
          <w:sz w:val="28"/>
          <w:szCs w:val="28"/>
        </w:rPr>
        <w:lastRenderedPageBreak/>
        <w:t>Other required reporting</w:t>
      </w:r>
      <w:bookmarkEnd w:id="26"/>
    </w:p>
    <w:p w14:paraId="27FF7C36" w14:textId="77777777" w:rsidR="002E0F29" w:rsidRPr="00161381" w:rsidRDefault="002E0F29" w:rsidP="002E0F29">
      <w:pPr>
        <w:pStyle w:val="Heading2"/>
        <w:pBdr>
          <w:top w:val="single" w:sz="8" w:space="3" w:color="A32020"/>
        </w:pBdr>
        <w:rPr>
          <w:rFonts w:ascii="Arial" w:eastAsiaTheme="majorEastAsia" w:hAnsi="Arial" w:cs="Arial"/>
          <w:bCs/>
          <w:color w:val="A32020"/>
          <w:sz w:val="24"/>
          <w:szCs w:val="24"/>
          <w:lang w:eastAsia="en-US"/>
        </w:rPr>
      </w:pPr>
      <w:bookmarkStart w:id="27" w:name="Paragraph_286"/>
      <w:bookmarkStart w:id="28" w:name="Paragraph_315"/>
      <w:r w:rsidRPr="00161381">
        <w:rPr>
          <w:rFonts w:ascii="Arial" w:eastAsiaTheme="majorEastAsia" w:hAnsi="Arial" w:cs="Arial"/>
          <w:bCs/>
          <w:color w:val="A32020"/>
          <w:sz w:val="24"/>
          <w:szCs w:val="24"/>
          <w:lang w:eastAsia="en-US"/>
        </w:rPr>
        <w:t>Matters on which we are required to report by exception</w:t>
      </w:r>
      <w:bookmarkEnd w:id="27"/>
    </w:p>
    <w:p w14:paraId="0F4CE93B" w14:textId="77777777" w:rsidR="002E0F29" w:rsidRPr="00161381" w:rsidRDefault="002E0F29" w:rsidP="002E0F29">
      <w:pPr>
        <w:pStyle w:val="BodyText"/>
        <w:rPr>
          <w:rFonts w:ascii="Arial" w:hAnsi="Arial" w:cs="Arial"/>
          <w:sz w:val="24"/>
          <w:szCs w:val="24"/>
        </w:rPr>
      </w:pPr>
      <w:r w:rsidRPr="00161381">
        <w:rPr>
          <w:rFonts w:ascii="Arial" w:hAnsi="Arial" w:cs="Arial"/>
          <w:sz w:val="24"/>
          <w:szCs w:val="24"/>
        </w:rPr>
        <w:t>Under the Companies Act 2006 and the Charities Accounts (Scotland) Regulations 2006 (as amended) we are required to report to you if, in our opinion:</w:t>
      </w:r>
    </w:p>
    <w:p w14:paraId="149C2619" w14:textId="77777777" w:rsidR="002E0F29" w:rsidRPr="00161381" w:rsidRDefault="002E0F29" w:rsidP="002E0F29">
      <w:pPr>
        <w:pStyle w:val="ListBullet"/>
        <w:rPr>
          <w:rFonts w:ascii="Arial" w:hAnsi="Arial" w:cs="Arial"/>
          <w:sz w:val="24"/>
          <w:szCs w:val="24"/>
        </w:rPr>
      </w:pPr>
      <w:r w:rsidRPr="00161381">
        <w:rPr>
          <w:rFonts w:ascii="Arial" w:hAnsi="Arial" w:cs="Arial"/>
          <w:sz w:val="24"/>
          <w:szCs w:val="24"/>
        </w:rPr>
        <w:t>we have not received all the information and explanations we require for our audit; or</w:t>
      </w:r>
    </w:p>
    <w:p w14:paraId="456E4042" w14:textId="77777777" w:rsidR="002E0F29" w:rsidRPr="00161381" w:rsidRDefault="002E0F29" w:rsidP="002E0F29">
      <w:pPr>
        <w:pStyle w:val="ListBullet"/>
        <w:rPr>
          <w:rFonts w:ascii="Arial" w:hAnsi="Arial" w:cs="Arial"/>
          <w:sz w:val="24"/>
          <w:szCs w:val="24"/>
        </w:rPr>
      </w:pPr>
      <w:r w:rsidRPr="00161381">
        <w:rPr>
          <w:rFonts w:ascii="Arial" w:hAnsi="Arial" w:cs="Arial"/>
          <w:sz w:val="24"/>
          <w:szCs w:val="24"/>
        </w:rPr>
        <w:t>adequate and proper accounting records have not been kept by the parent charitable company; or</w:t>
      </w:r>
    </w:p>
    <w:p w14:paraId="31A40024" w14:textId="77777777" w:rsidR="002E0F29" w:rsidRPr="00161381" w:rsidRDefault="002E0F29" w:rsidP="002E0F29">
      <w:pPr>
        <w:pStyle w:val="ListBullet"/>
        <w:rPr>
          <w:rFonts w:ascii="Arial" w:hAnsi="Arial" w:cs="Arial"/>
          <w:sz w:val="24"/>
          <w:szCs w:val="24"/>
        </w:rPr>
      </w:pPr>
      <w:bookmarkStart w:id="29" w:name="Paragraph_309"/>
      <w:r w:rsidRPr="00161381">
        <w:rPr>
          <w:rFonts w:ascii="Arial" w:hAnsi="Arial" w:cs="Arial"/>
          <w:sz w:val="24"/>
          <w:szCs w:val="24"/>
        </w:rPr>
        <w:t>certain disclosures of trustees’ remuneration specified by law are not made; or</w:t>
      </w:r>
      <w:bookmarkEnd w:id="29"/>
    </w:p>
    <w:p w14:paraId="7BA62896" w14:textId="77777777" w:rsidR="002E0F29" w:rsidRPr="00161381" w:rsidRDefault="002E0F29" w:rsidP="002E0F29">
      <w:pPr>
        <w:pStyle w:val="ListBullet"/>
        <w:rPr>
          <w:rFonts w:ascii="Arial" w:hAnsi="Arial" w:cs="Arial"/>
          <w:sz w:val="24"/>
          <w:szCs w:val="24"/>
        </w:rPr>
      </w:pPr>
      <w:proofErr w:type="gramStart"/>
      <w:r w:rsidRPr="00161381">
        <w:rPr>
          <w:rFonts w:ascii="Arial" w:hAnsi="Arial" w:cs="Arial"/>
          <w:sz w:val="24"/>
          <w:szCs w:val="24"/>
        </w:rPr>
        <w:t>the</w:t>
      </w:r>
      <w:proofErr w:type="gramEnd"/>
      <w:r w:rsidRPr="00161381">
        <w:rPr>
          <w:rFonts w:ascii="Arial" w:hAnsi="Arial" w:cs="Arial"/>
          <w:sz w:val="24"/>
          <w:szCs w:val="24"/>
        </w:rPr>
        <w:t xml:space="preserve"> parent charitable company financial statements are not in agreement with the accounting records and returns.</w:t>
      </w:r>
    </w:p>
    <w:p w14:paraId="306FF595" w14:textId="77777777" w:rsidR="002E0F29" w:rsidRPr="00161381" w:rsidRDefault="002E0F29" w:rsidP="002E0F29">
      <w:pPr>
        <w:pStyle w:val="BodyText"/>
        <w:rPr>
          <w:rFonts w:ascii="Arial" w:hAnsi="Arial" w:cs="Arial"/>
          <w:sz w:val="24"/>
          <w:szCs w:val="24"/>
        </w:rPr>
      </w:pPr>
      <w:r w:rsidRPr="00161381">
        <w:rPr>
          <w:rFonts w:ascii="Arial" w:hAnsi="Arial" w:cs="Arial"/>
          <w:sz w:val="24"/>
          <w:szCs w:val="24"/>
        </w:rPr>
        <w:t>We have no exceptions to report arising from this responsibility.</w:t>
      </w:r>
    </w:p>
    <w:p w14:paraId="522D2EF8" w14:textId="77777777" w:rsidR="002E0F29" w:rsidRPr="00161381" w:rsidRDefault="002E0F29" w:rsidP="002E0F29">
      <w:pPr>
        <w:pStyle w:val="BodyText"/>
        <w:rPr>
          <w:rFonts w:ascii="Arial" w:hAnsi="Arial" w:cs="Arial"/>
          <w:sz w:val="24"/>
          <w:szCs w:val="24"/>
        </w:rPr>
      </w:pPr>
    </w:p>
    <w:p w14:paraId="2A6FB1C4" w14:textId="77777777" w:rsidR="002E0F29" w:rsidRPr="00161381" w:rsidRDefault="002E0F29" w:rsidP="002E0F29">
      <w:pPr>
        <w:pStyle w:val="SignatureBefore"/>
        <w:rPr>
          <w:rFonts w:ascii="Arial" w:hAnsi="Arial" w:cs="Arial"/>
          <w:sz w:val="24"/>
          <w:szCs w:val="24"/>
        </w:rPr>
      </w:pPr>
      <w:bookmarkStart w:id="30" w:name="Paragraph_817"/>
      <w:bookmarkEnd w:id="28"/>
      <w:r w:rsidRPr="00161381">
        <w:rPr>
          <w:rFonts w:ascii="Arial" w:hAnsi="Arial" w:cs="Arial"/>
          <w:sz w:val="24"/>
          <w:szCs w:val="24"/>
        </w:rPr>
        <w:t>Colin Bates (Senior Statutory Auditor)</w:t>
      </w:r>
      <w:bookmarkEnd w:id="30"/>
    </w:p>
    <w:p w14:paraId="1A038598" w14:textId="77777777" w:rsidR="002E0F29" w:rsidRPr="00161381" w:rsidRDefault="002E0F29" w:rsidP="002E0F29">
      <w:pPr>
        <w:pStyle w:val="BodySingle"/>
        <w:rPr>
          <w:rFonts w:ascii="Arial" w:hAnsi="Arial" w:cs="Arial"/>
          <w:sz w:val="24"/>
          <w:szCs w:val="24"/>
        </w:rPr>
      </w:pPr>
      <w:bookmarkStart w:id="31" w:name="Paragraph_818"/>
      <w:proofErr w:type="gramStart"/>
      <w:r w:rsidRPr="00161381">
        <w:rPr>
          <w:rFonts w:ascii="Arial" w:hAnsi="Arial" w:cs="Arial"/>
          <w:sz w:val="24"/>
          <w:szCs w:val="24"/>
        </w:rPr>
        <w:t>for</w:t>
      </w:r>
      <w:proofErr w:type="gramEnd"/>
      <w:r w:rsidRPr="00161381">
        <w:rPr>
          <w:rFonts w:ascii="Arial" w:hAnsi="Arial" w:cs="Arial"/>
          <w:sz w:val="24"/>
          <w:szCs w:val="24"/>
        </w:rPr>
        <w:t xml:space="preserve"> and on behalf of PricewaterhouseCoopers LLP</w:t>
      </w:r>
      <w:bookmarkEnd w:id="31"/>
    </w:p>
    <w:p w14:paraId="1428E672" w14:textId="77777777" w:rsidR="002E0F29" w:rsidRPr="00161381" w:rsidRDefault="002E0F29" w:rsidP="002E0F29">
      <w:pPr>
        <w:pStyle w:val="BodySingle"/>
        <w:rPr>
          <w:rFonts w:ascii="Arial" w:hAnsi="Arial" w:cs="Arial"/>
          <w:sz w:val="24"/>
          <w:szCs w:val="24"/>
        </w:rPr>
      </w:pPr>
      <w:bookmarkStart w:id="32" w:name="Paragraph_820"/>
      <w:r w:rsidRPr="00161381">
        <w:rPr>
          <w:rFonts w:ascii="Arial" w:hAnsi="Arial" w:cs="Arial"/>
          <w:sz w:val="24"/>
          <w:szCs w:val="24"/>
        </w:rPr>
        <w:t>Chartered Accountants and Statutory Auditors</w:t>
      </w:r>
      <w:bookmarkEnd w:id="32"/>
    </w:p>
    <w:p w14:paraId="001D6F2C" w14:textId="77777777" w:rsidR="002E0F29" w:rsidRPr="00161381" w:rsidRDefault="002E0F29" w:rsidP="002E0F29">
      <w:pPr>
        <w:pStyle w:val="BodySingle"/>
        <w:rPr>
          <w:rFonts w:ascii="Arial" w:hAnsi="Arial" w:cs="Arial"/>
          <w:sz w:val="24"/>
          <w:szCs w:val="24"/>
        </w:rPr>
      </w:pPr>
      <w:bookmarkStart w:id="33" w:name="Paragraph_821"/>
      <w:r w:rsidRPr="00161381">
        <w:rPr>
          <w:rFonts w:ascii="Arial" w:hAnsi="Arial" w:cs="Arial"/>
          <w:sz w:val="24"/>
          <w:szCs w:val="24"/>
        </w:rPr>
        <w:t>Bristol</w:t>
      </w:r>
      <w:bookmarkEnd w:id="33"/>
    </w:p>
    <w:p w14:paraId="043E909A" w14:textId="01D4D58B" w:rsidR="00C929F7" w:rsidRPr="00161381" w:rsidRDefault="00ED4314" w:rsidP="002E0F29">
      <w:pPr>
        <w:pStyle w:val="BodyText"/>
        <w:rPr>
          <w:rFonts w:ascii="Arial" w:hAnsi="Arial" w:cs="Arial"/>
          <w:sz w:val="24"/>
          <w:szCs w:val="24"/>
        </w:rPr>
      </w:pPr>
      <w:bookmarkStart w:id="34" w:name="Paragraph_822"/>
      <w:r>
        <w:rPr>
          <w:rFonts w:ascii="Arial" w:hAnsi="Arial" w:cs="Arial"/>
          <w:sz w:val="24"/>
          <w:szCs w:val="24"/>
        </w:rPr>
        <w:t>2</w:t>
      </w:r>
      <w:r w:rsidR="00FD39CF">
        <w:rPr>
          <w:rFonts w:ascii="Arial" w:hAnsi="Arial" w:cs="Arial"/>
          <w:sz w:val="24"/>
          <w:szCs w:val="24"/>
        </w:rPr>
        <w:t>6</w:t>
      </w:r>
      <w:r w:rsidRPr="00ED4314">
        <w:rPr>
          <w:rFonts w:ascii="Arial" w:hAnsi="Arial" w:cs="Arial"/>
          <w:sz w:val="24"/>
          <w:szCs w:val="24"/>
          <w:vertAlign w:val="superscript"/>
        </w:rPr>
        <w:t>th</w:t>
      </w:r>
      <w:r>
        <w:rPr>
          <w:rFonts w:ascii="Arial" w:hAnsi="Arial" w:cs="Arial"/>
          <w:sz w:val="24"/>
          <w:szCs w:val="24"/>
        </w:rPr>
        <w:t xml:space="preserve"> </w:t>
      </w:r>
      <w:r w:rsidR="002E0F29" w:rsidRPr="00161381">
        <w:rPr>
          <w:rFonts w:ascii="Arial" w:hAnsi="Arial" w:cs="Arial"/>
          <w:sz w:val="24"/>
          <w:szCs w:val="24"/>
        </w:rPr>
        <w:t>March 2021</w:t>
      </w:r>
      <w:bookmarkEnd w:id="34"/>
    </w:p>
    <w:p w14:paraId="6F3E1E77" w14:textId="77777777" w:rsidR="00C929F7" w:rsidRDefault="00C929F7" w:rsidP="00C929F7">
      <w:pPr>
        <w:widowControl w:val="0"/>
        <w:autoSpaceDE w:val="0"/>
        <w:autoSpaceDN w:val="0"/>
        <w:adjustRightInd w:val="0"/>
        <w:spacing w:after="0"/>
        <w:rPr>
          <w:sz w:val="18"/>
        </w:rPr>
      </w:pPr>
      <w:r w:rsidRPr="00171449" w:rsidDel="00E5069F">
        <w:rPr>
          <w:b/>
          <w:color w:val="FF0000"/>
        </w:rPr>
        <w:t xml:space="preserve"> </w:t>
      </w:r>
      <w:bookmarkEnd w:id="1"/>
    </w:p>
    <w:p w14:paraId="3D239E1F" w14:textId="77777777" w:rsidR="0025163D" w:rsidRPr="00ED24B0" w:rsidRDefault="0025163D" w:rsidP="0025163D">
      <w:pPr>
        <w:widowControl w:val="0"/>
        <w:autoSpaceDE w:val="0"/>
        <w:autoSpaceDN w:val="0"/>
        <w:adjustRightInd w:val="0"/>
        <w:spacing w:after="0" w:line="240" w:lineRule="auto"/>
        <w:rPr>
          <w:rFonts w:ascii="Arial" w:eastAsia="Times New Roman" w:hAnsi="Arial" w:cs="Arial"/>
          <w:sz w:val="24"/>
          <w:szCs w:val="24"/>
          <w:lang w:eastAsia="en-GB"/>
        </w:rPr>
      </w:pPr>
      <w:r w:rsidRPr="00ED24B0">
        <w:rPr>
          <w:rFonts w:ascii="Arial" w:eastAsia="Times New Roman" w:hAnsi="Arial" w:cs="Arial"/>
          <w:b/>
          <w:color w:val="FF0000"/>
          <w:sz w:val="24"/>
          <w:szCs w:val="24"/>
          <w:lang w:eastAsia="en-GB"/>
        </w:rPr>
        <w:t xml:space="preserve"> </w:t>
      </w:r>
    </w:p>
    <w:p w14:paraId="1A75EBB2" w14:textId="77777777" w:rsidR="0025163D" w:rsidRPr="00ED24B0" w:rsidRDefault="0025163D" w:rsidP="0025163D">
      <w:pPr>
        <w:widowControl w:val="0"/>
        <w:autoSpaceDE w:val="0"/>
        <w:autoSpaceDN w:val="0"/>
        <w:adjustRightInd w:val="0"/>
        <w:spacing w:after="0" w:line="240" w:lineRule="auto"/>
        <w:rPr>
          <w:rFonts w:ascii="Arial" w:eastAsia="Times New Roman" w:hAnsi="Arial" w:cs="Arial"/>
          <w:sz w:val="24"/>
          <w:szCs w:val="24"/>
          <w:lang w:eastAsia="en-GB"/>
        </w:rPr>
      </w:pPr>
    </w:p>
    <w:p w14:paraId="38DFDCBD" w14:textId="77777777" w:rsidR="00156C19" w:rsidRDefault="00156C19" w:rsidP="008B1BDF">
      <w:pPr>
        <w:tabs>
          <w:tab w:val="left" w:pos="567"/>
        </w:tabs>
        <w:autoSpaceDE w:val="0"/>
        <w:autoSpaceDN w:val="0"/>
        <w:adjustRightInd w:val="0"/>
        <w:spacing w:after="240" w:line="240" w:lineRule="auto"/>
        <w:rPr>
          <w:rFonts w:ascii="Arial" w:hAnsi="Arial" w:cs="Arial"/>
          <w:b/>
          <w:sz w:val="32"/>
          <w:szCs w:val="32"/>
        </w:rPr>
      </w:pPr>
    </w:p>
    <w:p w14:paraId="7F2406AA" w14:textId="77777777" w:rsidR="00156C19" w:rsidRDefault="00156C19" w:rsidP="008B1BDF">
      <w:pPr>
        <w:tabs>
          <w:tab w:val="left" w:pos="567"/>
        </w:tabs>
        <w:autoSpaceDE w:val="0"/>
        <w:autoSpaceDN w:val="0"/>
        <w:adjustRightInd w:val="0"/>
        <w:spacing w:after="240" w:line="240" w:lineRule="auto"/>
        <w:rPr>
          <w:rFonts w:ascii="Arial" w:hAnsi="Arial" w:cs="Arial"/>
          <w:b/>
          <w:sz w:val="32"/>
          <w:szCs w:val="32"/>
        </w:rPr>
      </w:pPr>
    </w:p>
    <w:p w14:paraId="242096F4" w14:textId="77777777" w:rsidR="00156C19" w:rsidRDefault="00156C19" w:rsidP="008B1BDF">
      <w:pPr>
        <w:tabs>
          <w:tab w:val="left" w:pos="567"/>
        </w:tabs>
        <w:autoSpaceDE w:val="0"/>
        <w:autoSpaceDN w:val="0"/>
        <w:adjustRightInd w:val="0"/>
        <w:spacing w:after="240" w:line="240" w:lineRule="auto"/>
        <w:rPr>
          <w:rFonts w:ascii="Arial" w:hAnsi="Arial" w:cs="Arial"/>
          <w:b/>
          <w:sz w:val="32"/>
          <w:szCs w:val="32"/>
        </w:rPr>
      </w:pPr>
    </w:p>
    <w:p w14:paraId="114BD766" w14:textId="77777777" w:rsidR="002E0F29" w:rsidRDefault="002E0F29" w:rsidP="008B1BDF">
      <w:pPr>
        <w:tabs>
          <w:tab w:val="left" w:pos="567"/>
        </w:tabs>
        <w:autoSpaceDE w:val="0"/>
        <w:autoSpaceDN w:val="0"/>
        <w:adjustRightInd w:val="0"/>
        <w:spacing w:after="240" w:line="240" w:lineRule="auto"/>
        <w:rPr>
          <w:rFonts w:ascii="Arial" w:hAnsi="Arial" w:cs="Arial"/>
          <w:b/>
          <w:sz w:val="32"/>
          <w:szCs w:val="32"/>
        </w:rPr>
      </w:pPr>
    </w:p>
    <w:p w14:paraId="259325D8" w14:textId="77777777" w:rsidR="002E0F29" w:rsidRDefault="002E0F29" w:rsidP="008B1BDF">
      <w:pPr>
        <w:tabs>
          <w:tab w:val="left" w:pos="567"/>
        </w:tabs>
        <w:autoSpaceDE w:val="0"/>
        <w:autoSpaceDN w:val="0"/>
        <w:adjustRightInd w:val="0"/>
        <w:spacing w:after="240" w:line="240" w:lineRule="auto"/>
        <w:rPr>
          <w:rFonts w:ascii="Arial" w:hAnsi="Arial" w:cs="Arial"/>
          <w:b/>
          <w:sz w:val="32"/>
          <w:szCs w:val="32"/>
        </w:rPr>
      </w:pPr>
    </w:p>
    <w:p w14:paraId="191F9561" w14:textId="77777777" w:rsidR="002E0F29" w:rsidRDefault="002E0F29" w:rsidP="008B1BDF">
      <w:pPr>
        <w:tabs>
          <w:tab w:val="left" w:pos="567"/>
        </w:tabs>
        <w:autoSpaceDE w:val="0"/>
        <w:autoSpaceDN w:val="0"/>
        <w:adjustRightInd w:val="0"/>
        <w:spacing w:after="240" w:line="240" w:lineRule="auto"/>
        <w:rPr>
          <w:rFonts w:ascii="Arial" w:hAnsi="Arial" w:cs="Arial"/>
          <w:b/>
          <w:sz w:val="32"/>
          <w:szCs w:val="32"/>
        </w:rPr>
      </w:pPr>
    </w:p>
    <w:p w14:paraId="6BB26FC5" w14:textId="77777777" w:rsidR="002E0F29" w:rsidRDefault="002E0F29" w:rsidP="008B1BDF">
      <w:pPr>
        <w:tabs>
          <w:tab w:val="left" w:pos="567"/>
        </w:tabs>
        <w:autoSpaceDE w:val="0"/>
        <w:autoSpaceDN w:val="0"/>
        <w:adjustRightInd w:val="0"/>
        <w:spacing w:after="240" w:line="240" w:lineRule="auto"/>
        <w:rPr>
          <w:rFonts w:ascii="Arial" w:hAnsi="Arial" w:cs="Arial"/>
          <w:b/>
          <w:sz w:val="32"/>
          <w:szCs w:val="32"/>
        </w:rPr>
      </w:pPr>
    </w:p>
    <w:p w14:paraId="3776C7FC" w14:textId="77777777" w:rsidR="002E0F29" w:rsidRDefault="002E0F29" w:rsidP="008B1BDF">
      <w:pPr>
        <w:tabs>
          <w:tab w:val="left" w:pos="567"/>
        </w:tabs>
        <w:autoSpaceDE w:val="0"/>
        <w:autoSpaceDN w:val="0"/>
        <w:adjustRightInd w:val="0"/>
        <w:spacing w:after="240" w:line="240" w:lineRule="auto"/>
        <w:rPr>
          <w:rFonts w:ascii="Arial" w:hAnsi="Arial" w:cs="Arial"/>
          <w:b/>
          <w:sz w:val="32"/>
          <w:szCs w:val="32"/>
        </w:rPr>
      </w:pPr>
    </w:p>
    <w:p w14:paraId="62E2EC48" w14:textId="77777777" w:rsidR="002E0F29" w:rsidRDefault="002E0F29" w:rsidP="008B1BDF">
      <w:pPr>
        <w:tabs>
          <w:tab w:val="left" w:pos="567"/>
        </w:tabs>
        <w:autoSpaceDE w:val="0"/>
        <w:autoSpaceDN w:val="0"/>
        <w:adjustRightInd w:val="0"/>
        <w:spacing w:after="240" w:line="240" w:lineRule="auto"/>
        <w:rPr>
          <w:rFonts w:ascii="Arial" w:hAnsi="Arial" w:cs="Arial"/>
          <w:b/>
          <w:sz w:val="32"/>
          <w:szCs w:val="32"/>
        </w:rPr>
      </w:pPr>
    </w:p>
    <w:p w14:paraId="368F68EA" w14:textId="77777777" w:rsidR="002E0F29" w:rsidRDefault="002E0F29" w:rsidP="008B1BDF">
      <w:pPr>
        <w:tabs>
          <w:tab w:val="left" w:pos="567"/>
        </w:tabs>
        <w:autoSpaceDE w:val="0"/>
        <w:autoSpaceDN w:val="0"/>
        <w:adjustRightInd w:val="0"/>
        <w:spacing w:after="240" w:line="240" w:lineRule="auto"/>
        <w:rPr>
          <w:rFonts w:ascii="Arial" w:hAnsi="Arial" w:cs="Arial"/>
          <w:b/>
          <w:sz w:val="32"/>
          <w:szCs w:val="32"/>
        </w:rPr>
      </w:pPr>
    </w:p>
    <w:p w14:paraId="36B89BEB" w14:textId="77777777" w:rsidR="006712EC" w:rsidRPr="008B1BDF" w:rsidRDefault="006712EC" w:rsidP="008B1BDF">
      <w:pPr>
        <w:tabs>
          <w:tab w:val="left" w:pos="567"/>
        </w:tabs>
        <w:autoSpaceDE w:val="0"/>
        <w:autoSpaceDN w:val="0"/>
        <w:adjustRightInd w:val="0"/>
        <w:spacing w:after="240" w:line="240" w:lineRule="auto"/>
        <w:rPr>
          <w:rFonts w:ascii="Arial" w:hAnsi="Arial" w:cs="Arial"/>
          <w:b/>
          <w:sz w:val="32"/>
          <w:szCs w:val="32"/>
        </w:rPr>
      </w:pPr>
      <w:r w:rsidRPr="008B1BDF">
        <w:rPr>
          <w:rFonts w:ascii="Arial" w:hAnsi="Arial" w:cs="Arial"/>
          <w:b/>
          <w:sz w:val="32"/>
          <w:szCs w:val="32"/>
        </w:rPr>
        <w:lastRenderedPageBreak/>
        <w:t xml:space="preserve">The Shaw Trust Limited Group statement of financial </w:t>
      </w:r>
      <w:r w:rsidR="008B1BDF">
        <w:rPr>
          <w:rFonts w:ascii="Arial" w:hAnsi="Arial" w:cs="Arial"/>
          <w:b/>
          <w:sz w:val="32"/>
          <w:szCs w:val="32"/>
        </w:rPr>
        <w:t>a</w:t>
      </w:r>
      <w:r w:rsidRPr="008B1BDF">
        <w:rPr>
          <w:rFonts w:ascii="Arial" w:hAnsi="Arial" w:cs="Arial"/>
          <w:b/>
          <w:sz w:val="32"/>
          <w:szCs w:val="32"/>
        </w:rPr>
        <w:t xml:space="preserve">ctivities </w:t>
      </w:r>
    </w:p>
    <w:p w14:paraId="63426813" w14:textId="77777777" w:rsidR="0042045E" w:rsidRPr="00EF5C39" w:rsidRDefault="00211724" w:rsidP="00336B16">
      <w:pPr>
        <w:autoSpaceDE w:val="0"/>
        <w:autoSpaceDN w:val="0"/>
        <w:adjustRightInd w:val="0"/>
        <w:spacing w:after="240" w:line="240" w:lineRule="auto"/>
        <w:ind w:right="-567"/>
        <w:rPr>
          <w:rFonts w:ascii="Arial" w:hAnsi="Arial" w:cs="Arial"/>
          <w:b/>
          <w:sz w:val="24"/>
          <w:szCs w:val="24"/>
        </w:rPr>
      </w:pPr>
      <w:r w:rsidRPr="00EF5C39">
        <w:rPr>
          <w:rFonts w:ascii="Arial" w:hAnsi="Arial" w:cs="Arial"/>
          <w:b/>
          <w:sz w:val="24"/>
          <w:szCs w:val="24"/>
        </w:rPr>
        <w:t>F</w:t>
      </w:r>
      <w:r w:rsidR="00041132" w:rsidRPr="00EF5C39">
        <w:rPr>
          <w:rFonts w:ascii="Arial" w:hAnsi="Arial" w:cs="Arial"/>
          <w:b/>
          <w:sz w:val="24"/>
          <w:szCs w:val="24"/>
        </w:rPr>
        <w:t xml:space="preserve">or the year ended 31 August </w:t>
      </w:r>
      <w:r w:rsidR="0037645F" w:rsidRPr="00EF5C39">
        <w:rPr>
          <w:rFonts w:ascii="Arial" w:hAnsi="Arial" w:cs="Arial"/>
          <w:b/>
          <w:sz w:val="24"/>
          <w:szCs w:val="24"/>
        </w:rPr>
        <w:t>2020</w:t>
      </w:r>
      <w:r w:rsidR="0042045E" w:rsidRPr="00EF5C39">
        <w:rPr>
          <w:rFonts w:ascii="Arial" w:hAnsi="Arial" w:cs="Arial"/>
          <w:b/>
          <w:sz w:val="24"/>
          <w:szCs w:val="24"/>
        </w:rPr>
        <w:t xml:space="preserve"> </w:t>
      </w:r>
    </w:p>
    <w:tbl>
      <w:tblPr>
        <w:tblW w:w="0" w:type="auto"/>
        <w:tblLayout w:type="fixed"/>
        <w:tblLook w:val="04A0" w:firstRow="1" w:lastRow="0" w:firstColumn="1" w:lastColumn="0" w:noHBand="0" w:noVBand="1"/>
      </w:tblPr>
      <w:tblGrid>
        <w:gridCol w:w="3114"/>
        <w:gridCol w:w="714"/>
        <w:gridCol w:w="1298"/>
        <w:gridCol w:w="1298"/>
        <w:gridCol w:w="1298"/>
        <w:gridCol w:w="1299"/>
      </w:tblGrid>
      <w:tr w:rsidR="00AD726D" w:rsidRPr="00691ECF" w14:paraId="56E58E69" w14:textId="77777777" w:rsidTr="006647C2">
        <w:trPr>
          <w:cantSplit/>
        </w:trPr>
        <w:tc>
          <w:tcPr>
            <w:tcW w:w="3114" w:type="dxa"/>
            <w:shd w:val="clear" w:color="auto" w:fill="auto"/>
            <w:noWrap/>
            <w:hideMark/>
          </w:tcPr>
          <w:p w14:paraId="059F9BB7" w14:textId="77777777" w:rsidR="00AD726D" w:rsidRPr="00336B16" w:rsidRDefault="00AD726D" w:rsidP="005B39D0">
            <w:pPr>
              <w:spacing w:before="40" w:after="40" w:line="240" w:lineRule="auto"/>
              <w:rPr>
                <w:rFonts w:ascii="Arial" w:eastAsia="Times New Roman" w:hAnsi="Arial" w:cs="Arial"/>
                <w:b/>
                <w:sz w:val="19"/>
                <w:szCs w:val="19"/>
                <w:lang w:eastAsia="en-GB"/>
              </w:rPr>
            </w:pPr>
          </w:p>
        </w:tc>
        <w:tc>
          <w:tcPr>
            <w:tcW w:w="714" w:type="dxa"/>
            <w:shd w:val="clear" w:color="auto" w:fill="auto"/>
            <w:noWrap/>
            <w:hideMark/>
          </w:tcPr>
          <w:p w14:paraId="572563CA" w14:textId="77777777" w:rsidR="00AD726D" w:rsidRPr="00336B16" w:rsidRDefault="00AD726D" w:rsidP="005B39D0">
            <w:pPr>
              <w:spacing w:before="40" w:after="40" w:line="240" w:lineRule="auto"/>
              <w:rPr>
                <w:rFonts w:ascii="Arial" w:eastAsia="Times New Roman" w:hAnsi="Arial" w:cs="Arial"/>
                <w:b/>
                <w:sz w:val="19"/>
                <w:szCs w:val="19"/>
                <w:lang w:eastAsia="en-GB"/>
              </w:rPr>
            </w:pPr>
            <w:r w:rsidRPr="00336B16">
              <w:rPr>
                <w:rFonts w:ascii="Arial" w:eastAsia="Times New Roman" w:hAnsi="Arial" w:cs="Arial"/>
                <w:b/>
                <w:sz w:val="19"/>
                <w:szCs w:val="19"/>
                <w:lang w:eastAsia="en-GB"/>
              </w:rPr>
              <w:t>Note</w:t>
            </w:r>
          </w:p>
        </w:tc>
        <w:tc>
          <w:tcPr>
            <w:tcW w:w="1298" w:type="dxa"/>
            <w:tcBorders>
              <w:bottom w:val="single" w:sz="4" w:space="0" w:color="auto"/>
            </w:tcBorders>
            <w:shd w:val="clear" w:color="auto" w:fill="auto"/>
            <w:noWrap/>
            <w:hideMark/>
          </w:tcPr>
          <w:p w14:paraId="507231F2" w14:textId="77777777" w:rsidR="0088736E" w:rsidRDefault="00AD726D" w:rsidP="006647C2">
            <w:pPr>
              <w:tabs>
                <w:tab w:val="right" w:pos="851"/>
              </w:tabs>
              <w:spacing w:before="40" w:after="40" w:line="240" w:lineRule="auto"/>
              <w:jc w:val="right"/>
              <w:rPr>
                <w:rFonts w:ascii="Arial" w:eastAsia="Times New Roman" w:hAnsi="Arial" w:cs="Arial"/>
                <w:sz w:val="19"/>
                <w:szCs w:val="19"/>
                <w:lang w:eastAsia="en-GB"/>
              </w:rPr>
            </w:pPr>
            <w:r w:rsidRPr="00336B16">
              <w:rPr>
                <w:rFonts w:ascii="Arial" w:eastAsia="Times New Roman" w:hAnsi="Arial" w:cs="Arial"/>
                <w:sz w:val="19"/>
                <w:szCs w:val="19"/>
                <w:lang w:eastAsia="en-GB"/>
              </w:rPr>
              <w:t>Unrestricted</w:t>
            </w:r>
            <w:r w:rsidRPr="00AC604A">
              <w:rPr>
                <w:rFonts w:ascii="Arial" w:eastAsia="Times New Roman" w:hAnsi="Arial" w:cs="Arial"/>
                <w:sz w:val="19"/>
                <w:szCs w:val="19"/>
                <w:lang w:eastAsia="en-GB"/>
              </w:rPr>
              <w:br/>
              <w:t>Funds</w:t>
            </w:r>
            <w:r w:rsidRPr="00AC604A">
              <w:rPr>
                <w:rFonts w:ascii="Arial" w:eastAsia="Times New Roman" w:hAnsi="Arial" w:cs="Arial"/>
                <w:sz w:val="19"/>
                <w:szCs w:val="19"/>
                <w:lang w:eastAsia="en-GB"/>
              </w:rPr>
              <w:br/>
            </w:r>
          </w:p>
          <w:p w14:paraId="47F2EA87" w14:textId="77777777" w:rsidR="00AD726D" w:rsidRPr="00336B16" w:rsidRDefault="00AD726D" w:rsidP="006647C2">
            <w:pPr>
              <w:tabs>
                <w:tab w:val="right" w:pos="851"/>
              </w:tabs>
              <w:spacing w:before="40" w:after="40" w:line="240" w:lineRule="auto"/>
              <w:jc w:val="right"/>
              <w:rPr>
                <w:rFonts w:ascii="Arial" w:eastAsia="Times New Roman" w:hAnsi="Arial" w:cs="Arial"/>
                <w:sz w:val="19"/>
                <w:szCs w:val="19"/>
                <w:lang w:eastAsia="en-GB"/>
              </w:rPr>
            </w:pPr>
            <w:r w:rsidRPr="00AC604A">
              <w:rPr>
                <w:rFonts w:ascii="Arial" w:eastAsia="Times New Roman" w:hAnsi="Arial" w:cs="Arial"/>
                <w:sz w:val="19"/>
                <w:szCs w:val="19"/>
                <w:lang w:eastAsia="en-GB"/>
              </w:rPr>
              <w:t>£’000</w:t>
            </w:r>
          </w:p>
        </w:tc>
        <w:tc>
          <w:tcPr>
            <w:tcW w:w="1298" w:type="dxa"/>
            <w:tcBorders>
              <w:bottom w:val="single" w:sz="4" w:space="0" w:color="auto"/>
            </w:tcBorders>
            <w:shd w:val="clear" w:color="auto" w:fill="auto"/>
            <w:noWrap/>
            <w:hideMark/>
          </w:tcPr>
          <w:p w14:paraId="4D1C202C" w14:textId="77777777" w:rsidR="0088736E" w:rsidRDefault="00AD726D" w:rsidP="006647C2">
            <w:pPr>
              <w:tabs>
                <w:tab w:val="right" w:pos="851"/>
              </w:tabs>
              <w:spacing w:before="40" w:after="40" w:line="240" w:lineRule="auto"/>
              <w:jc w:val="right"/>
              <w:rPr>
                <w:rFonts w:ascii="Arial" w:eastAsia="Times New Roman" w:hAnsi="Arial" w:cs="Arial"/>
                <w:sz w:val="19"/>
                <w:szCs w:val="19"/>
                <w:lang w:eastAsia="en-GB"/>
              </w:rPr>
            </w:pPr>
            <w:r w:rsidRPr="00AC604A">
              <w:rPr>
                <w:rFonts w:ascii="Arial" w:eastAsia="Times New Roman" w:hAnsi="Arial" w:cs="Arial"/>
                <w:sz w:val="19"/>
                <w:szCs w:val="19"/>
                <w:lang w:eastAsia="en-GB"/>
              </w:rPr>
              <w:t>Restricted Funds</w:t>
            </w:r>
            <w:r w:rsidRPr="00AC604A">
              <w:rPr>
                <w:rFonts w:ascii="Arial" w:eastAsia="Times New Roman" w:hAnsi="Arial" w:cs="Arial"/>
                <w:sz w:val="19"/>
                <w:szCs w:val="19"/>
                <w:lang w:eastAsia="en-GB"/>
              </w:rPr>
              <w:br/>
            </w:r>
          </w:p>
          <w:p w14:paraId="4B0B1DBD" w14:textId="77777777" w:rsidR="00AD726D" w:rsidRPr="00336B16" w:rsidRDefault="00AD726D" w:rsidP="006647C2">
            <w:pPr>
              <w:tabs>
                <w:tab w:val="right" w:pos="851"/>
              </w:tabs>
              <w:spacing w:before="40" w:after="40" w:line="240" w:lineRule="auto"/>
              <w:jc w:val="right"/>
              <w:rPr>
                <w:rFonts w:ascii="Arial" w:eastAsia="Times New Roman" w:hAnsi="Arial" w:cs="Arial"/>
                <w:sz w:val="19"/>
                <w:szCs w:val="19"/>
                <w:lang w:eastAsia="en-GB"/>
              </w:rPr>
            </w:pPr>
            <w:r w:rsidRPr="00AC604A">
              <w:rPr>
                <w:rFonts w:ascii="Arial" w:eastAsia="Times New Roman" w:hAnsi="Arial" w:cs="Arial"/>
                <w:sz w:val="19"/>
                <w:szCs w:val="19"/>
                <w:lang w:eastAsia="en-GB"/>
              </w:rPr>
              <w:t>£’000</w:t>
            </w:r>
          </w:p>
        </w:tc>
        <w:tc>
          <w:tcPr>
            <w:tcW w:w="1298" w:type="dxa"/>
            <w:tcBorders>
              <w:bottom w:val="single" w:sz="4" w:space="0" w:color="auto"/>
            </w:tcBorders>
            <w:shd w:val="clear" w:color="auto" w:fill="auto"/>
            <w:noWrap/>
            <w:hideMark/>
          </w:tcPr>
          <w:p w14:paraId="0480A8C4" w14:textId="77777777" w:rsidR="0088736E" w:rsidRDefault="0088736E" w:rsidP="006647C2">
            <w:pPr>
              <w:tabs>
                <w:tab w:val="right" w:pos="851"/>
              </w:tabs>
              <w:spacing w:before="40" w:after="40" w:line="240" w:lineRule="auto"/>
              <w:jc w:val="right"/>
              <w:rPr>
                <w:rFonts w:ascii="Arial" w:eastAsia="Times New Roman" w:hAnsi="Arial" w:cs="Arial"/>
                <w:b/>
                <w:bCs/>
                <w:sz w:val="19"/>
                <w:szCs w:val="19"/>
                <w:lang w:eastAsia="en-GB"/>
              </w:rPr>
            </w:pPr>
            <w:r>
              <w:rPr>
                <w:rFonts w:ascii="Arial" w:eastAsia="Times New Roman" w:hAnsi="Arial" w:cs="Arial"/>
                <w:b/>
                <w:bCs/>
                <w:sz w:val="19"/>
                <w:szCs w:val="19"/>
                <w:lang w:eastAsia="en-GB"/>
              </w:rPr>
              <w:t xml:space="preserve">Year ended 31 August </w:t>
            </w:r>
            <w:r w:rsidR="0037645F">
              <w:rPr>
                <w:rFonts w:ascii="Arial" w:eastAsia="Times New Roman" w:hAnsi="Arial" w:cs="Arial"/>
                <w:b/>
                <w:bCs/>
                <w:sz w:val="19"/>
                <w:szCs w:val="19"/>
                <w:lang w:eastAsia="en-GB"/>
              </w:rPr>
              <w:t>2020</w:t>
            </w:r>
          </w:p>
          <w:p w14:paraId="56D71728" w14:textId="77777777" w:rsidR="00AD726D" w:rsidRPr="00336B16" w:rsidRDefault="00AD726D" w:rsidP="006647C2">
            <w:pPr>
              <w:tabs>
                <w:tab w:val="right" w:pos="851"/>
              </w:tabs>
              <w:spacing w:before="40" w:after="40" w:line="240" w:lineRule="auto"/>
              <w:jc w:val="right"/>
              <w:rPr>
                <w:rFonts w:ascii="Arial" w:eastAsia="Times New Roman" w:hAnsi="Arial" w:cs="Arial"/>
                <w:b/>
                <w:bCs/>
                <w:sz w:val="19"/>
                <w:szCs w:val="19"/>
                <w:lang w:eastAsia="en-GB"/>
              </w:rPr>
            </w:pPr>
            <w:r w:rsidRPr="00AC604A">
              <w:rPr>
                <w:rFonts w:ascii="Arial" w:eastAsia="Times New Roman" w:hAnsi="Arial" w:cs="Arial"/>
                <w:b/>
                <w:bCs/>
                <w:sz w:val="19"/>
                <w:szCs w:val="19"/>
                <w:lang w:eastAsia="en-GB"/>
              </w:rPr>
              <w:t>£’000</w:t>
            </w:r>
          </w:p>
        </w:tc>
        <w:tc>
          <w:tcPr>
            <w:tcW w:w="1299" w:type="dxa"/>
            <w:tcBorders>
              <w:bottom w:val="single" w:sz="4" w:space="0" w:color="auto"/>
            </w:tcBorders>
            <w:shd w:val="clear" w:color="auto" w:fill="auto"/>
            <w:noWrap/>
            <w:hideMark/>
          </w:tcPr>
          <w:p w14:paraId="14A03CF7" w14:textId="77777777" w:rsidR="003C5076" w:rsidRPr="003C5076" w:rsidRDefault="00255CE0" w:rsidP="006647C2">
            <w:pPr>
              <w:tabs>
                <w:tab w:val="right" w:pos="851"/>
              </w:tabs>
              <w:spacing w:before="40" w:after="40" w:line="240" w:lineRule="auto"/>
              <w:jc w:val="right"/>
              <w:rPr>
                <w:rFonts w:ascii="Arial" w:eastAsia="Times New Roman" w:hAnsi="Arial" w:cs="Arial"/>
                <w:sz w:val="19"/>
                <w:szCs w:val="19"/>
                <w:lang w:eastAsia="en-GB"/>
              </w:rPr>
            </w:pPr>
            <w:r>
              <w:rPr>
                <w:rFonts w:ascii="Arial" w:eastAsia="Times New Roman" w:hAnsi="Arial" w:cs="Arial"/>
                <w:sz w:val="19"/>
                <w:szCs w:val="19"/>
                <w:lang w:eastAsia="en-GB"/>
              </w:rPr>
              <w:t>Year ended</w:t>
            </w:r>
            <w:r w:rsidR="003C5076" w:rsidRPr="003C5076">
              <w:rPr>
                <w:rFonts w:ascii="Arial" w:eastAsia="Times New Roman" w:hAnsi="Arial" w:cs="Arial"/>
                <w:sz w:val="19"/>
                <w:szCs w:val="19"/>
                <w:lang w:eastAsia="en-GB"/>
              </w:rPr>
              <w:t xml:space="preserve"> 31 August</w:t>
            </w:r>
          </w:p>
          <w:p w14:paraId="624F84A1" w14:textId="77777777" w:rsidR="00FE64E5" w:rsidRDefault="0037645F" w:rsidP="006647C2">
            <w:pPr>
              <w:tabs>
                <w:tab w:val="right" w:pos="851"/>
              </w:tabs>
              <w:spacing w:before="40" w:after="40" w:line="240" w:lineRule="auto"/>
              <w:jc w:val="right"/>
              <w:rPr>
                <w:rFonts w:ascii="Arial" w:eastAsia="Times New Roman" w:hAnsi="Arial" w:cs="Arial"/>
                <w:sz w:val="19"/>
                <w:szCs w:val="19"/>
                <w:lang w:eastAsia="en-GB"/>
              </w:rPr>
            </w:pPr>
            <w:r>
              <w:rPr>
                <w:rFonts w:ascii="Arial" w:eastAsia="Times New Roman" w:hAnsi="Arial" w:cs="Arial"/>
                <w:sz w:val="19"/>
                <w:szCs w:val="19"/>
                <w:lang w:eastAsia="en-GB"/>
              </w:rPr>
              <w:t>2019</w:t>
            </w:r>
          </w:p>
          <w:p w14:paraId="1F9FF779" w14:textId="77777777" w:rsidR="00AD726D" w:rsidRPr="00336B16" w:rsidRDefault="003C5076" w:rsidP="006647C2">
            <w:pPr>
              <w:tabs>
                <w:tab w:val="right" w:pos="851"/>
              </w:tabs>
              <w:spacing w:before="40" w:after="40" w:line="240" w:lineRule="auto"/>
              <w:jc w:val="right"/>
              <w:rPr>
                <w:rFonts w:ascii="Arial" w:eastAsia="Times New Roman" w:hAnsi="Arial" w:cs="Arial"/>
                <w:sz w:val="19"/>
                <w:szCs w:val="19"/>
                <w:lang w:eastAsia="en-GB"/>
              </w:rPr>
            </w:pPr>
            <w:r w:rsidRPr="003C5076">
              <w:rPr>
                <w:rFonts w:ascii="Arial" w:eastAsia="Times New Roman" w:hAnsi="Arial" w:cs="Arial"/>
                <w:sz w:val="19"/>
                <w:szCs w:val="19"/>
                <w:lang w:eastAsia="en-GB"/>
              </w:rPr>
              <w:t>£'000</w:t>
            </w:r>
          </w:p>
        </w:tc>
      </w:tr>
      <w:tr w:rsidR="00AD726D" w:rsidRPr="00691ECF" w14:paraId="66300A96" w14:textId="77777777" w:rsidTr="006647C2">
        <w:trPr>
          <w:cantSplit/>
        </w:trPr>
        <w:tc>
          <w:tcPr>
            <w:tcW w:w="3114" w:type="dxa"/>
            <w:shd w:val="clear" w:color="auto" w:fill="auto"/>
            <w:noWrap/>
          </w:tcPr>
          <w:p w14:paraId="3F95277D" w14:textId="77777777" w:rsidR="00AD726D" w:rsidRPr="00AC604A" w:rsidRDefault="00AD726D" w:rsidP="005B39D0">
            <w:pPr>
              <w:spacing w:before="40" w:after="40" w:line="240" w:lineRule="auto"/>
              <w:rPr>
                <w:rFonts w:ascii="Arial" w:eastAsia="Times New Roman" w:hAnsi="Arial" w:cs="Arial"/>
                <w:b/>
                <w:sz w:val="19"/>
                <w:szCs w:val="19"/>
                <w:lang w:eastAsia="en-GB"/>
              </w:rPr>
            </w:pPr>
            <w:r w:rsidRPr="00AC604A">
              <w:rPr>
                <w:rFonts w:ascii="Arial" w:eastAsia="Times New Roman" w:hAnsi="Arial" w:cs="Arial"/>
                <w:b/>
                <w:sz w:val="19"/>
                <w:szCs w:val="19"/>
                <w:lang w:eastAsia="en-GB"/>
              </w:rPr>
              <w:t>Income and endowments from:</w:t>
            </w:r>
          </w:p>
        </w:tc>
        <w:tc>
          <w:tcPr>
            <w:tcW w:w="714" w:type="dxa"/>
            <w:shd w:val="clear" w:color="auto" w:fill="auto"/>
            <w:noWrap/>
          </w:tcPr>
          <w:p w14:paraId="5818BBFA" w14:textId="77777777" w:rsidR="00AD726D" w:rsidRPr="00AC604A" w:rsidRDefault="00AD726D" w:rsidP="005B39D0">
            <w:pPr>
              <w:spacing w:before="40" w:after="40" w:line="240" w:lineRule="auto"/>
              <w:rPr>
                <w:rFonts w:ascii="Arial" w:eastAsia="Times New Roman" w:hAnsi="Arial" w:cs="Arial"/>
                <w:sz w:val="19"/>
                <w:szCs w:val="19"/>
                <w:lang w:eastAsia="en-GB"/>
              </w:rPr>
            </w:pPr>
          </w:p>
        </w:tc>
        <w:tc>
          <w:tcPr>
            <w:tcW w:w="1298" w:type="dxa"/>
            <w:tcBorders>
              <w:top w:val="single" w:sz="4" w:space="0" w:color="auto"/>
            </w:tcBorders>
            <w:shd w:val="clear" w:color="auto" w:fill="auto"/>
            <w:noWrap/>
          </w:tcPr>
          <w:p w14:paraId="47F0504B" w14:textId="77777777" w:rsidR="00AD726D" w:rsidRPr="00AC604A" w:rsidRDefault="00AD726D" w:rsidP="005709DD">
            <w:pPr>
              <w:tabs>
                <w:tab w:val="right" w:pos="851"/>
              </w:tabs>
              <w:spacing w:before="40" w:after="40" w:line="240" w:lineRule="auto"/>
              <w:jc w:val="right"/>
              <w:rPr>
                <w:rFonts w:ascii="Arial" w:eastAsia="Times New Roman" w:hAnsi="Arial" w:cs="Arial"/>
                <w:sz w:val="19"/>
                <w:szCs w:val="19"/>
                <w:lang w:eastAsia="en-GB"/>
              </w:rPr>
            </w:pPr>
          </w:p>
        </w:tc>
        <w:tc>
          <w:tcPr>
            <w:tcW w:w="1298" w:type="dxa"/>
            <w:tcBorders>
              <w:top w:val="single" w:sz="4" w:space="0" w:color="auto"/>
            </w:tcBorders>
            <w:shd w:val="clear" w:color="auto" w:fill="auto"/>
            <w:noWrap/>
          </w:tcPr>
          <w:p w14:paraId="69452B5B" w14:textId="77777777" w:rsidR="00AD726D" w:rsidRPr="00AC604A" w:rsidRDefault="00AD726D" w:rsidP="005709DD">
            <w:pPr>
              <w:tabs>
                <w:tab w:val="right" w:pos="851"/>
              </w:tabs>
              <w:spacing w:before="40" w:after="40" w:line="240" w:lineRule="auto"/>
              <w:jc w:val="right"/>
              <w:rPr>
                <w:rFonts w:ascii="Arial" w:eastAsia="Times New Roman" w:hAnsi="Arial" w:cs="Arial"/>
                <w:sz w:val="19"/>
                <w:szCs w:val="19"/>
                <w:lang w:eastAsia="en-GB"/>
              </w:rPr>
            </w:pPr>
          </w:p>
        </w:tc>
        <w:tc>
          <w:tcPr>
            <w:tcW w:w="1298" w:type="dxa"/>
            <w:tcBorders>
              <w:top w:val="single" w:sz="4" w:space="0" w:color="auto"/>
            </w:tcBorders>
            <w:shd w:val="clear" w:color="auto" w:fill="auto"/>
            <w:noWrap/>
          </w:tcPr>
          <w:p w14:paraId="1D9D214B" w14:textId="77777777" w:rsidR="00AD726D" w:rsidRPr="00AC604A" w:rsidRDefault="00AD726D" w:rsidP="005709DD">
            <w:pPr>
              <w:tabs>
                <w:tab w:val="right" w:pos="851"/>
              </w:tabs>
              <w:spacing w:before="40" w:after="40" w:line="240" w:lineRule="auto"/>
              <w:jc w:val="right"/>
              <w:rPr>
                <w:rFonts w:ascii="Arial" w:eastAsia="Times New Roman" w:hAnsi="Arial" w:cs="Arial"/>
                <w:b/>
                <w:bCs/>
                <w:sz w:val="19"/>
                <w:szCs w:val="19"/>
                <w:lang w:eastAsia="en-GB"/>
              </w:rPr>
            </w:pPr>
          </w:p>
        </w:tc>
        <w:tc>
          <w:tcPr>
            <w:tcW w:w="1299" w:type="dxa"/>
            <w:tcBorders>
              <w:top w:val="single" w:sz="4" w:space="0" w:color="auto"/>
            </w:tcBorders>
            <w:shd w:val="clear" w:color="auto" w:fill="auto"/>
            <w:noWrap/>
          </w:tcPr>
          <w:p w14:paraId="30130EEB" w14:textId="77777777" w:rsidR="00AD726D" w:rsidRPr="00AC604A" w:rsidRDefault="00AD726D" w:rsidP="005709DD">
            <w:pPr>
              <w:tabs>
                <w:tab w:val="right" w:pos="851"/>
              </w:tabs>
              <w:spacing w:before="40" w:after="40" w:line="240" w:lineRule="auto"/>
              <w:jc w:val="right"/>
              <w:rPr>
                <w:rFonts w:ascii="Arial" w:eastAsia="Times New Roman" w:hAnsi="Arial" w:cs="Arial"/>
                <w:sz w:val="19"/>
                <w:szCs w:val="19"/>
                <w:lang w:eastAsia="en-GB"/>
              </w:rPr>
            </w:pPr>
          </w:p>
        </w:tc>
      </w:tr>
      <w:tr w:rsidR="00FE64E5" w:rsidRPr="00FE64E5" w14:paraId="57990635" w14:textId="77777777" w:rsidTr="006647C2">
        <w:trPr>
          <w:cantSplit/>
        </w:trPr>
        <w:tc>
          <w:tcPr>
            <w:tcW w:w="3114" w:type="dxa"/>
            <w:shd w:val="clear" w:color="auto" w:fill="auto"/>
            <w:noWrap/>
            <w:hideMark/>
          </w:tcPr>
          <w:p w14:paraId="5C1305B1" w14:textId="77777777" w:rsidR="00FE64E5" w:rsidRPr="00543D10" w:rsidRDefault="00FE64E5" w:rsidP="00FE64E5">
            <w:pPr>
              <w:spacing w:before="40" w:after="40" w:line="240" w:lineRule="auto"/>
              <w:rPr>
                <w:rFonts w:ascii="Arial" w:eastAsia="Times New Roman" w:hAnsi="Arial" w:cs="Arial"/>
                <w:sz w:val="19"/>
                <w:szCs w:val="19"/>
                <w:lang w:eastAsia="en-GB"/>
              </w:rPr>
            </w:pPr>
            <w:r w:rsidRPr="00543D10">
              <w:rPr>
                <w:rFonts w:ascii="Arial" w:eastAsia="Times New Roman" w:hAnsi="Arial" w:cs="Arial"/>
                <w:sz w:val="19"/>
                <w:szCs w:val="19"/>
                <w:lang w:eastAsia="en-GB"/>
              </w:rPr>
              <w:t>Donations and Legacies</w:t>
            </w:r>
          </w:p>
        </w:tc>
        <w:tc>
          <w:tcPr>
            <w:tcW w:w="714" w:type="dxa"/>
            <w:shd w:val="clear" w:color="auto" w:fill="auto"/>
            <w:noWrap/>
            <w:hideMark/>
          </w:tcPr>
          <w:p w14:paraId="60CE320A" w14:textId="77777777" w:rsidR="00FE64E5" w:rsidRPr="00543D10" w:rsidRDefault="00FE64E5" w:rsidP="00FE64E5">
            <w:pPr>
              <w:spacing w:before="40" w:after="40" w:line="240" w:lineRule="auto"/>
              <w:rPr>
                <w:rFonts w:ascii="Arial" w:eastAsia="Times New Roman" w:hAnsi="Arial" w:cs="Arial"/>
                <w:sz w:val="19"/>
                <w:szCs w:val="19"/>
                <w:lang w:eastAsia="en-GB"/>
              </w:rPr>
            </w:pPr>
          </w:p>
        </w:tc>
        <w:tc>
          <w:tcPr>
            <w:tcW w:w="1298" w:type="dxa"/>
            <w:shd w:val="clear" w:color="auto" w:fill="auto"/>
            <w:noWrap/>
          </w:tcPr>
          <w:p w14:paraId="61628232" w14:textId="77777777" w:rsidR="00FE64E5" w:rsidRPr="00543D10" w:rsidRDefault="00175AF1">
            <w:pPr>
              <w:tabs>
                <w:tab w:val="right" w:pos="851"/>
              </w:tabs>
              <w:spacing w:before="40" w:after="40" w:line="240" w:lineRule="auto"/>
              <w:jc w:val="right"/>
              <w:rPr>
                <w:rFonts w:ascii="Arial" w:eastAsia="Times New Roman" w:hAnsi="Arial" w:cs="Arial"/>
                <w:sz w:val="19"/>
                <w:szCs w:val="19"/>
                <w:lang w:eastAsia="en-GB"/>
              </w:rPr>
            </w:pPr>
            <w:r>
              <w:rPr>
                <w:rFonts w:ascii="Arial" w:eastAsia="Times New Roman" w:hAnsi="Arial" w:cs="Arial"/>
                <w:sz w:val="19"/>
                <w:szCs w:val="19"/>
                <w:lang w:eastAsia="en-GB"/>
              </w:rPr>
              <w:t>49</w:t>
            </w:r>
          </w:p>
        </w:tc>
        <w:tc>
          <w:tcPr>
            <w:tcW w:w="1298" w:type="dxa"/>
            <w:shd w:val="clear" w:color="auto" w:fill="auto"/>
            <w:noWrap/>
          </w:tcPr>
          <w:p w14:paraId="1B29ACD4" w14:textId="77777777" w:rsidR="00FE64E5" w:rsidRPr="00543D10" w:rsidRDefault="00175AF1" w:rsidP="00FE64E5">
            <w:pPr>
              <w:tabs>
                <w:tab w:val="right" w:pos="851"/>
              </w:tabs>
              <w:spacing w:before="40" w:after="40" w:line="240" w:lineRule="auto"/>
              <w:jc w:val="right"/>
              <w:rPr>
                <w:rFonts w:ascii="Arial" w:eastAsia="Times New Roman" w:hAnsi="Arial" w:cs="Arial"/>
                <w:sz w:val="19"/>
                <w:szCs w:val="19"/>
                <w:lang w:eastAsia="en-GB"/>
              </w:rPr>
            </w:pPr>
            <w:r>
              <w:rPr>
                <w:rFonts w:ascii="Arial" w:eastAsia="Times New Roman" w:hAnsi="Arial" w:cs="Arial"/>
                <w:sz w:val="19"/>
                <w:szCs w:val="19"/>
                <w:lang w:eastAsia="en-GB"/>
              </w:rPr>
              <w:t>25,352</w:t>
            </w:r>
          </w:p>
        </w:tc>
        <w:tc>
          <w:tcPr>
            <w:tcW w:w="1298" w:type="dxa"/>
            <w:shd w:val="clear" w:color="auto" w:fill="auto"/>
            <w:noWrap/>
          </w:tcPr>
          <w:p w14:paraId="28D813BD" w14:textId="77777777" w:rsidR="00FE64E5" w:rsidRPr="00543D10" w:rsidRDefault="00674252" w:rsidP="00FE64E5">
            <w:pPr>
              <w:tabs>
                <w:tab w:val="right" w:pos="851"/>
              </w:tabs>
              <w:spacing w:before="40" w:after="40" w:line="240" w:lineRule="auto"/>
              <w:jc w:val="right"/>
              <w:rPr>
                <w:rFonts w:ascii="Arial" w:eastAsia="Times New Roman" w:hAnsi="Arial" w:cs="Arial"/>
                <w:b/>
                <w:bCs/>
                <w:sz w:val="19"/>
                <w:szCs w:val="19"/>
                <w:lang w:eastAsia="en-GB"/>
              </w:rPr>
            </w:pPr>
            <w:r>
              <w:rPr>
                <w:rFonts w:ascii="Arial" w:eastAsia="Times New Roman" w:hAnsi="Arial" w:cs="Arial"/>
                <w:b/>
                <w:bCs/>
                <w:sz w:val="19"/>
                <w:szCs w:val="19"/>
                <w:lang w:eastAsia="en-GB"/>
              </w:rPr>
              <w:t>25,40</w:t>
            </w:r>
            <w:r w:rsidR="00360590">
              <w:rPr>
                <w:rFonts w:ascii="Arial" w:eastAsia="Times New Roman" w:hAnsi="Arial" w:cs="Arial"/>
                <w:b/>
                <w:bCs/>
                <w:sz w:val="19"/>
                <w:szCs w:val="19"/>
                <w:lang w:eastAsia="en-GB"/>
              </w:rPr>
              <w:t>1</w:t>
            </w:r>
          </w:p>
        </w:tc>
        <w:tc>
          <w:tcPr>
            <w:tcW w:w="1299" w:type="dxa"/>
            <w:shd w:val="clear" w:color="auto" w:fill="auto"/>
            <w:noWrap/>
            <w:hideMark/>
          </w:tcPr>
          <w:p w14:paraId="047A0185" w14:textId="77777777" w:rsidR="00FE64E5" w:rsidRPr="00FE64E5" w:rsidRDefault="00FE64E5" w:rsidP="00FE64E5">
            <w:pPr>
              <w:tabs>
                <w:tab w:val="right" w:pos="851"/>
              </w:tabs>
              <w:spacing w:before="40" w:after="40" w:line="240" w:lineRule="auto"/>
              <w:jc w:val="right"/>
              <w:rPr>
                <w:rFonts w:ascii="Arial" w:eastAsia="Times New Roman" w:hAnsi="Arial" w:cs="Arial"/>
                <w:sz w:val="19"/>
                <w:szCs w:val="19"/>
                <w:lang w:eastAsia="en-GB"/>
              </w:rPr>
            </w:pPr>
            <w:r w:rsidRPr="00FE64E5">
              <w:rPr>
                <w:rFonts w:ascii="Arial" w:eastAsia="Times New Roman" w:hAnsi="Arial" w:cs="Arial"/>
                <w:bCs/>
                <w:sz w:val="19"/>
                <w:szCs w:val="19"/>
                <w:lang w:eastAsia="en-GB"/>
              </w:rPr>
              <w:tab/>
              <w:t>3,689</w:t>
            </w:r>
          </w:p>
        </w:tc>
      </w:tr>
      <w:tr w:rsidR="00FE64E5" w:rsidRPr="00FE64E5" w14:paraId="2FAD9872" w14:textId="77777777" w:rsidTr="006647C2">
        <w:trPr>
          <w:cantSplit/>
        </w:trPr>
        <w:tc>
          <w:tcPr>
            <w:tcW w:w="3114" w:type="dxa"/>
            <w:shd w:val="clear" w:color="auto" w:fill="auto"/>
            <w:noWrap/>
            <w:hideMark/>
          </w:tcPr>
          <w:p w14:paraId="2490169E" w14:textId="77777777" w:rsidR="00FE64E5" w:rsidRPr="00543D10" w:rsidRDefault="00FE64E5" w:rsidP="00FE64E5">
            <w:pPr>
              <w:spacing w:before="40" w:after="40" w:line="240" w:lineRule="auto"/>
              <w:rPr>
                <w:rFonts w:ascii="Arial" w:eastAsia="Times New Roman" w:hAnsi="Arial" w:cs="Arial"/>
                <w:sz w:val="19"/>
                <w:szCs w:val="19"/>
                <w:lang w:eastAsia="en-GB"/>
              </w:rPr>
            </w:pPr>
            <w:r w:rsidRPr="00543D10">
              <w:rPr>
                <w:rFonts w:ascii="Arial" w:eastAsia="Times New Roman" w:hAnsi="Arial" w:cs="Arial"/>
                <w:sz w:val="19"/>
                <w:szCs w:val="19"/>
                <w:lang w:eastAsia="en-GB"/>
              </w:rPr>
              <w:t>Charitable activities</w:t>
            </w:r>
          </w:p>
        </w:tc>
        <w:tc>
          <w:tcPr>
            <w:tcW w:w="714" w:type="dxa"/>
            <w:shd w:val="clear" w:color="auto" w:fill="auto"/>
            <w:noWrap/>
            <w:hideMark/>
          </w:tcPr>
          <w:p w14:paraId="46C06C70" w14:textId="77777777" w:rsidR="00FE64E5" w:rsidRPr="00543D10" w:rsidRDefault="00FE64E5" w:rsidP="00FE64E5">
            <w:pPr>
              <w:spacing w:before="40" w:after="40" w:line="240" w:lineRule="auto"/>
              <w:rPr>
                <w:rFonts w:ascii="Arial" w:eastAsia="Times New Roman" w:hAnsi="Arial" w:cs="Arial"/>
                <w:sz w:val="19"/>
                <w:szCs w:val="19"/>
                <w:lang w:eastAsia="en-GB"/>
              </w:rPr>
            </w:pPr>
          </w:p>
        </w:tc>
        <w:tc>
          <w:tcPr>
            <w:tcW w:w="1298" w:type="dxa"/>
            <w:shd w:val="clear" w:color="auto" w:fill="auto"/>
            <w:noWrap/>
          </w:tcPr>
          <w:p w14:paraId="5F0CD1A3" w14:textId="77777777" w:rsidR="00FE64E5" w:rsidRPr="00543D10" w:rsidRDefault="00175AF1">
            <w:pPr>
              <w:tabs>
                <w:tab w:val="right" w:pos="851"/>
              </w:tabs>
              <w:spacing w:before="40" w:after="40" w:line="240" w:lineRule="auto"/>
              <w:jc w:val="right"/>
              <w:rPr>
                <w:rFonts w:ascii="Arial" w:eastAsia="Times New Roman" w:hAnsi="Arial" w:cs="Arial"/>
                <w:sz w:val="19"/>
                <w:szCs w:val="19"/>
                <w:lang w:eastAsia="en-GB"/>
              </w:rPr>
            </w:pPr>
            <w:r>
              <w:rPr>
                <w:rFonts w:ascii="Arial" w:eastAsia="Times New Roman" w:hAnsi="Arial" w:cs="Arial"/>
                <w:sz w:val="19"/>
                <w:szCs w:val="19"/>
                <w:lang w:eastAsia="en-GB"/>
              </w:rPr>
              <w:t>116,179</w:t>
            </w:r>
          </w:p>
        </w:tc>
        <w:tc>
          <w:tcPr>
            <w:tcW w:w="1298" w:type="dxa"/>
            <w:shd w:val="clear" w:color="auto" w:fill="auto"/>
            <w:noWrap/>
          </w:tcPr>
          <w:p w14:paraId="09D348F6" w14:textId="77777777" w:rsidR="00FE64E5" w:rsidRPr="00543D10" w:rsidRDefault="00175AF1" w:rsidP="00FE64E5">
            <w:pPr>
              <w:tabs>
                <w:tab w:val="right" w:pos="851"/>
              </w:tabs>
              <w:spacing w:before="40" w:after="40" w:line="240" w:lineRule="auto"/>
              <w:jc w:val="right"/>
              <w:rPr>
                <w:rFonts w:ascii="Arial" w:eastAsia="Times New Roman" w:hAnsi="Arial" w:cs="Arial"/>
                <w:sz w:val="19"/>
                <w:szCs w:val="19"/>
                <w:lang w:eastAsia="en-GB"/>
              </w:rPr>
            </w:pPr>
            <w:r>
              <w:rPr>
                <w:rFonts w:ascii="Arial" w:eastAsia="Times New Roman" w:hAnsi="Arial" w:cs="Arial"/>
                <w:sz w:val="19"/>
                <w:szCs w:val="19"/>
                <w:lang w:eastAsia="en-GB"/>
              </w:rPr>
              <w:t>63,990</w:t>
            </w:r>
          </w:p>
        </w:tc>
        <w:tc>
          <w:tcPr>
            <w:tcW w:w="1298" w:type="dxa"/>
            <w:shd w:val="clear" w:color="auto" w:fill="auto"/>
            <w:noWrap/>
          </w:tcPr>
          <w:p w14:paraId="09A2CAAE" w14:textId="77777777" w:rsidR="00FE64E5" w:rsidRPr="00543D10" w:rsidRDefault="00DB0869" w:rsidP="00FE64E5">
            <w:pPr>
              <w:tabs>
                <w:tab w:val="right" w:pos="851"/>
              </w:tabs>
              <w:spacing w:before="40" w:after="40" w:line="240" w:lineRule="auto"/>
              <w:jc w:val="right"/>
              <w:rPr>
                <w:rFonts w:ascii="Arial" w:eastAsia="Times New Roman" w:hAnsi="Arial" w:cs="Arial"/>
                <w:b/>
                <w:bCs/>
                <w:sz w:val="19"/>
                <w:szCs w:val="19"/>
                <w:lang w:eastAsia="en-GB"/>
              </w:rPr>
            </w:pPr>
            <w:r>
              <w:rPr>
                <w:rFonts w:ascii="Arial" w:eastAsia="Times New Roman" w:hAnsi="Arial" w:cs="Arial"/>
                <w:b/>
                <w:bCs/>
                <w:sz w:val="19"/>
                <w:szCs w:val="19"/>
                <w:lang w:eastAsia="en-GB"/>
              </w:rPr>
              <w:t>180,169</w:t>
            </w:r>
          </w:p>
        </w:tc>
        <w:tc>
          <w:tcPr>
            <w:tcW w:w="1299" w:type="dxa"/>
            <w:shd w:val="clear" w:color="auto" w:fill="auto"/>
            <w:noWrap/>
            <w:hideMark/>
          </w:tcPr>
          <w:p w14:paraId="4546295C" w14:textId="77777777" w:rsidR="00FE64E5" w:rsidRPr="00FE64E5" w:rsidRDefault="00FE64E5" w:rsidP="00FE64E5">
            <w:pPr>
              <w:tabs>
                <w:tab w:val="right" w:pos="851"/>
              </w:tabs>
              <w:spacing w:before="40" w:after="40" w:line="240" w:lineRule="auto"/>
              <w:jc w:val="right"/>
              <w:rPr>
                <w:rFonts w:ascii="Arial" w:eastAsia="Times New Roman" w:hAnsi="Arial" w:cs="Arial"/>
                <w:sz w:val="19"/>
                <w:szCs w:val="19"/>
                <w:lang w:eastAsia="en-GB"/>
              </w:rPr>
            </w:pPr>
            <w:r w:rsidRPr="00FE64E5">
              <w:rPr>
                <w:rFonts w:ascii="Arial" w:eastAsia="Times New Roman" w:hAnsi="Arial" w:cs="Arial"/>
                <w:bCs/>
                <w:sz w:val="19"/>
                <w:szCs w:val="19"/>
                <w:lang w:eastAsia="en-GB"/>
              </w:rPr>
              <w:tab/>
              <w:t>178,190</w:t>
            </w:r>
          </w:p>
        </w:tc>
      </w:tr>
      <w:tr w:rsidR="00FE64E5" w:rsidRPr="00FE64E5" w14:paraId="01F2EF4C" w14:textId="77777777" w:rsidTr="006647C2">
        <w:trPr>
          <w:cantSplit/>
        </w:trPr>
        <w:tc>
          <w:tcPr>
            <w:tcW w:w="3114" w:type="dxa"/>
            <w:shd w:val="clear" w:color="auto" w:fill="auto"/>
            <w:noWrap/>
            <w:hideMark/>
          </w:tcPr>
          <w:p w14:paraId="31BE2814" w14:textId="77777777" w:rsidR="00FE64E5" w:rsidRPr="00543D10" w:rsidRDefault="00FE64E5" w:rsidP="00FE64E5">
            <w:pPr>
              <w:spacing w:before="40" w:after="40" w:line="240" w:lineRule="auto"/>
              <w:rPr>
                <w:rFonts w:ascii="Arial" w:eastAsia="Times New Roman" w:hAnsi="Arial" w:cs="Arial"/>
                <w:sz w:val="19"/>
                <w:szCs w:val="19"/>
                <w:lang w:eastAsia="en-GB"/>
              </w:rPr>
            </w:pPr>
            <w:r w:rsidRPr="00543D10">
              <w:rPr>
                <w:rFonts w:ascii="Arial" w:eastAsia="Times New Roman" w:hAnsi="Arial" w:cs="Arial"/>
                <w:sz w:val="19"/>
                <w:szCs w:val="19"/>
                <w:lang w:eastAsia="en-GB"/>
              </w:rPr>
              <w:t>Other Trading Activities</w:t>
            </w:r>
          </w:p>
        </w:tc>
        <w:tc>
          <w:tcPr>
            <w:tcW w:w="714" w:type="dxa"/>
            <w:shd w:val="clear" w:color="auto" w:fill="auto"/>
            <w:noWrap/>
            <w:hideMark/>
          </w:tcPr>
          <w:p w14:paraId="671458DC" w14:textId="77777777" w:rsidR="00FE64E5" w:rsidRPr="00543D10" w:rsidRDefault="00FE64E5" w:rsidP="00FE64E5">
            <w:pPr>
              <w:spacing w:before="40" w:after="40" w:line="240" w:lineRule="auto"/>
              <w:rPr>
                <w:rFonts w:ascii="Arial" w:eastAsia="Times New Roman" w:hAnsi="Arial" w:cs="Arial"/>
                <w:sz w:val="19"/>
                <w:szCs w:val="19"/>
                <w:lang w:eastAsia="en-GB"/>
              </w:rPr>
            </w:pPr>
            <w:r w:rsidRPr="00543D10">
              <w:rPr>
                <w:rFonts w:ascii="Arial" w:eastAsia="Times New Roman" w:hAnsi="Arial" w:cs="Arial"/>
                <w:sz w:val="19"/>
                <w:szCs w:val="19"/>
                <w:lang w:eastAsia="en-GB"/>
              </w:rPr>
              <w:t>1a</w:t>
            </w:r>
          </w:p>
        </w:tc>
        <w:tc>
          <w:tcPr>
            <w:tcW w:w="1298" w:type="dxa"/>
            <w:shd w:val="clear" w:color="auto" w:fill="auto"/>
            <w:noWrap/>
          </w:tcPr>
          <w:p w14:paraId="12A1E8B6" w14:textId="77777777" w:rsidR="00FE64E5" w:rsidRPr="00543D10" w:rsidRDefault="007B2031" w:rsidP="00FE64E5">
            <w:pPr>
              <w:tabs>
                <w:tab w:val="right" w:pos="851"/>
              </w:tabs>
              <w:spacing w:before="40" w:after="40" w:line="240" w:lineRule="auto"/>
              <w:jc w:val="right"/>
              <w:rPr>
                <w:rFonts w:ascii="Arial" w:eastAsia="Times New Roman" w:hAnsi="Arial" w:cs="Arial"/>
                <w:sz w:val="19"/>
                <w:szCs w:val="19"/>
                <w:lang w:eastAsia="en-GB"/>
              </w:rPr>
            </w:pPr>
            <w:r>
              <w:rPr>
                <w:rFonts w:ascii="Arial" w:eastAsia="Times New Roman" w:hAnsi="Arial" w:cs="Arial"/>
                <w:sz w:val="19"/>
                <w:szCs w:val="19"/>
                <w:lang w:eastAsia="en-GB"/>
              </w:rPr>
              <w:t>2,642</w:t>
            </w:r>
          </w:p>
        </w:tc>
        <w:tc>
          <w:tcPr>
            <w:tcW w:w="1298" w:type="dxa"/>
            <w:shd w:val="clear" w:color="auto" w:fill="auto"/>
            <w:noWrap/>
          </w:tcPr>
          <w:p w14:paraId="68693A19" w14:textId="77777777" w:rsidR="00FE64E5" w:rsidRPr="00543D10" w:rsidRDefault="007B2031" w:rsidP="00FE64E5">
            <w:pPr>
              <w:tabs>
                <w:tab w:val="right" w:pos="851"/>
              </w:tabs>
              <w:spacing w:before="40" w:after="40" w:line="240" w:lineRule="auto"/>
              <w:jc w:val="right"/>
              <w:rPr>
                <w:rFonts w:ascii="Arial" w:eastAsia="Times New Roman" w:hAnsi="Arial" w:cs="Arial"/>
                <w:sz w:val="19"/>
                <w:szCs w:val="19"/>
                <w:lang w:eastAsia="en-GB"/>
              </w:rPr>
            </w:pPr>
            <w:r>
              <w:rPr>
                <w:rFonts w:ascii="Arial" w:eastAsia="Times New Roman" w:hAnsi="Arial" w:cs="Arial"/>
                <w:sz w:val="19"/>
                <w:szCs w:val="19"/>
                <w:lang w:eastAsia="en-GB"/>
              </w:rPr>
              <w:t>287</w:t>
            </w:r>
          </w:p>
        </w:tc>
        <w:tc>
          <w:tcPr>
            <w:tcW w:w="1298" w:type="dxa"/>
            <w:shd w:val="clear" w:color="auto" w:fill="auto"/>
            <w:noWrap/>
          </w:tcPr>
          <w:p w14:paraId="27E6C2D3" w14:textId="77777777" w:rsidR="00FE64E5" w:rsidRPr="00543D10" w:rsidRDefault="007B2031" w:rsidP="00FE64E5">
            <w:pPr>
              <w:tabs>
                <w:tab w:val="right" w:pos="851"/>
              </w:tabs>
              <w:spacing w:before="40" w:after="40" w:line="240" w:lineRule="auto"/>
              <w:jc w:val="right"/>
              <w:rPr>
                <w:rFonts w:ascii="Arial" w:eastAsia="Times New Roman" w:hAnsi="Arial" w:cs="Arial"/>
                <w:b/>
                <w:bCs/>
                <w:sz w:val="19"/>
                <w:szCs w:val="19"/>
                <w:lang w:eastAsia="en-GB"/>
              </w:rPr>
            </w:pPr>
            <w:r>
              <w:rPr>
                <w:rFonts w:ascii="Arial" w:eastAsia="Times New Roman" w:hAnsi="Arial" w:cs="Arial"/>
                <w:b/>
                <w:bCs/>
                <w:sz w:val="19"/>
                <w:szCs w:val="19"/>
                <w:lang w:eastAsia="en-GB"/>
              </w:rPr>
              <w:t>2,929</w:t>
            </w:r>
          </w:p>
        </w:tc>
        <w:tc>
          <w:tcPr>
            <w:tcW w:w="1299" w:type="dxa"/>
            <w:shd w:val="clear" w:color="auto" w:fill="auto"/>
            <w:noWrap/>
            <w:hideMark/>
          </w:tcPr>
          <w:p w14:paraId="5ACCE826" w14:textId="77777777" w:rsidR="00FE64E5" w:rsidRPr="00FE64E5" w:rsidRDefault="00FE64E5" w:rsidP="00FE64E5">
            <w:pPr>
              <w:tabs>
                <w:tab w:val="right" w:pos="851"/>
              </w:tabs>
              <w:spacing w:before="40" w:after="40" w:line="240" w:lineRule="auto"/>
              <w:jc w:val="right"/>
              <w:rPr>
                <w:rFonts w:ascii="Arial" w:eastAsia="Times New Roman" w:hAnsi="Arial" w:cs="Arial"/>
                <w:sz w:val="19"/>
                <w:szCs w:val="19"/>
                <w:lang w:eastAsia="en-GB"/>
              </w:rPr>
            </w:pPr>
            <w:r w:rsidRPr="00FE64E5">
              <w:rPr>
                <w:rFonts w:ascii="Arial" w:eastAsia="Times New Roman" w:hAnsi="Arial" w:cs="Arial"/>
                <w:bCs/>
                <w:sz w:val="19"/>
                <w:szCs w:val="19"/>
                <w:lang w:eastAsia="en-GB"/>
              </w:rPr>
              <w:tab/>
              <w:t>4,660</w:t>
            </w:r>
          </w:p>
        </w:tc>
      </w:tr>
      <w:tr w:rsidR="00FE64E5" w:rsidRPr="00FE64E5" w14:paraId="59987425" w14:textId="77777777" w:rsidTr="006647C2">
        <w:trPr>
          <w:cantSplit/>
        </w:trPr>
        <w:tc>
          <w:tcPr>
            <w:tcW w:w="3114" w:type="dxa"/>
            <w:shd w:val="clear" w:color="auto" w:fill="auto"/>
            <w:noWrap/>
            <w:hideMark/>
          </w:tcPr>
          <w:p w14:paraId="5FD2E2E4" w14:textId="77777777" w:rsidR="00FE64E5" w:rsidRPr="00543D10" w:rsidRDefault="00FE64E5" w:rsidP="00FE64E5">
            <w:pPr>
              <w:spacing w:before="40" w:after="40" w:line="240" w:lineRule="auto"/>
              <w:rPr>
                <w:rFonts w:ascii="Arial" w:eastAsia="Times New Roman" w:hAnsi="Arial" w:cs="Arial"/>
                <w:sz w:val="19"/>
                <w:szCs w:val="19"/>
                <w:lang w:eastAsia="en-GB"/>
              </w:rPr>
            </w:pPr>
            <w:r w:rsidRPr="00543D10">
              <w:rPr>
                <w:rFonts w:ascii="Arial" w:eastAsia="Times New Roman" w:hAnsi="Arial" w:cs="Arial"/>
                <w:sz w:val="19"/>
                <w:szCs w:val="19"/>
                <w:lang w:eastAsia="en-GB"/>
              </w:rPr>
              <w:t>Income on investments, interests and dividends</w:t>
            </w:r>
          </w:p>
        </w:tc>
        <w:tc>
          <w:tcPr>
            <w:tcW w:w="714" w:type="dxa"/>
            <w:shd w:val="clear" w:color="auto" w:fill="auto"/>
            <w:noWrap/>
            <w:hideMark/>
          </w:tcPr>
          <w:p w14:paraId="38572C15" w14:textId="77777777" w:rsidR="00FE64E5" w:rsidRPr="00543D10" w:rsidRDefault="00FE64E5" w:rsidP="00FE64E5">
            <w:pPr>
              <w:spacing w:before="40" w:after="40" w:line="240" w:lineRule="auto"/>
              <w:rPr>
                <w:rFonts w:ascii="Arial" w:eastAsia="Times New Roman" w:hAnsi="Arial" w:cs="Arial"/>
                <w:sz w:val="19"/>
                <w:szCs w:val="19"/>
                <w:lang w:eastAsia="en-GB"/>
              </w:rPr>
            </w:pPr>
          </w:p>
        </w:tc>
        <w:tc>
          <w:tcPr>
            <w:tcW w:w="1298" w:type="dxa"/>
            <w:shd w:val="clear" w:color="auto" w:fill="auto"/>
            <w:noWrap/>
          </w:tcPr>
          <w:p w14:paraId="0342F7A7" w14:textId="77777777" w:rsidR="00FE64E5" w:rsidRPr="00543D10" w:rsidRDefault="00872613">
            <w:pPr>
              <w:tabs>
                <w:tab w:val="right" w:pos="851"/>
              </w:tabs>
              <w:spacing w:before="40" w:after="40" w:line="240" w:lineRule="auto"/>
              <w:jc w:val="right"/>
              <w:rPr>
                <w:rFonts w:ascii="Arial" w:eastAsia="Times New Roman" w:hAnsi="Arial" w:cs="Arial"/>
                <w:sz w:val="19"/>
                <w:szCs w:val="19"/>
                <w:lang w:eastAsia="en-GB"/>
              </w:rPr>
            </w:pPr>
            <w:r>
              <w:rPr>
                <w:rFonts w:ascii="Arial" w:eastAsia="Times New Roman" w:hAnsi="Arial" w:cs="Arial"/>
                <w:sz w:val="19"/>
                <w:szCs w:val="19"/>
                <w:lang w:eastAsia="en-GB"/>
              </w:rPr>
              <w:t>14</w:t>
            </w:r>
          </w:p>
        </w:tc>
        <w:tc>
          <w:tcPr>
            <w:tcW w:w="1298" w:type="dxa"/>
            <w:shd w:val="clear" w:color="auto" w:fill="auto"/>
            <w:noWrap/>
          </w:tcPr>
          <w:p w14:paraId="3B2362DD" w14:textId="77777777" w:rsidR="00FE64E5" w:rsidRPr="00543D10" w:rsidRDefault="007B2031" w:rsidP="00FE64E5">
            <w:pPr>
              <w:tabs>
                <w:tab w:val="right" w:pos="851"/>
              </w:tabs>
              <w:spacing w:before="40" w:after="40" w:line="240" w:lineRule="auto"/>
              <w:jc w:val="right"/>
              <w:rPr>
                <w:rFonts w:ascii="Arial" w:eastAsia="Times New Roman" w:hAnsi="Arial" w:cs="Arial"/>
                <w:sz w:val="19"/>
                <w:szCs w:val="19"/>
                <w:lang w:eastAsia="en-GB"/>
              </w:rPr>
            </w:pPr>
            <w:r>
              <w:rPr>
                <w:rFonts w:ascii="Arial" w:eastAsia="Times New Roman" w:hAnsi="Arial" w:cs="Arial"/>
                <w:sz w:val="19"/>
                <w:szCs w:val="19"/>
                <w:lang w:eastAsia="en-GB"/>
              </w:rPr>
              <w:t>-</w:t>
            </w:r>
          </w:p>
        </w:tc>
        <w:tc>
          <w:tcPr>
            <w:tcW w:w="1298" w:type="dxa"/>
            <w:shd w:val="clear" w:color="auto" w:fill="auto"/>
            <w:noWrap/>
          </w:tcPr>
          <w:p w14:paraId="57947DAC" w14:textId="77777777" w:rsidR="00FE64E5" w:rsidRPr="00543D10" w:rsidRDefault="00872613">
            <w:pPr>
              <w:tabs>
                <w:tab w:val="right" w:pos="851"/>
              </w:tabs>
              <w:spacing w:before="40" w:after="40" w:line="240" w:lineRule="auto"/>
              <w:jc w:val="right"/>
              <w:rPr>
                <w:rFonts w:ascii="Arial" w:eastAsia="Times New Roman" w:hAnsi="Arial" w:cs="Arial"/>
                <w:b/>
                <w:bCs/>
                <w:sz w:val="19"/>
                <w:szCs w:val="19"/>
                <w:lang w:eastAsia="en-GB"/>
              </w:rPr>
            </w:pPr>
            <w:r>
              <w:rPr>
                <w:rFonts w:ascii="Arial" w:eastAsia="Times New Roman" w:hAnsi="Arial" w:cs="Arial"/>
                <w:b/>
                <w:bCs/>
                <w:sz w:val="19"/>
                <w:szCs w:val="19"/>
                <w:lang w:eastAsia="en-GB"/>
              </w:rPr>
              <w:t>14</w:t>
            </w:r>
          </w:p>
        </w:tc>
        <w:tc>
          <w:tcPr>
            <w:tcW w:w="1299" w:type="dxa"/>
            <w:shd w:val="clear" w:color="auto" w:fill="auto"/>
            <w:noWrap/>
            <w:hideMark/>
          </w:tcPr>
          <w:p w14:paraId="76A6019A" w14:textId="77777777" w:rsidR="00FE64E5" w:rsidRPr="00FE64E5" w:rsidRDefault="00FE64E5" w:rsidP="00FE64E5">
            <w:pPr>
              <w:tabs>
                <w:tab w:val="right" w:pos="851"/>
              </w:tabs>
              <w:spacing w:before="40" w:after="40" w:line="240" w:lineRule="auto"/>
              <w:jc w:val="right"/>
              <w:rPr>
                <w:rFonts w:ascii="Arial" w:eastAsia="Times New Roman" w:hAnsi="Arial" w:cs="Arial"/>
                <w:sz w:val="19"/>
                <w:szCs w:val="19"/>
                <w:lang w:eastAsia="en-GB"/>
              </w:rPr>
            </w:pPr>
            <w:r w:rsidRPr="00FE64E5">
              <w:rPr>
                <w:rFonts w:ascii="Arial" w:eastAsia="Times New Roman" w:hAnsi="Arial" w:cs="Arial"/>
                <w:bCs/>
                <w:sz w:val="19"/>
                <w:szCs w:val="19"/>
                <w:lang w:eastAsia="en-GB"/>
              </w:rPr>
              <w:t>285</w:t>
            </w:r>
          </w:p>
        </w:tc>
      </w:tr>
      <w:tr w:rsidR="00842E02" w:rsidRPr="00FE64E5" w14:paraId="1CE6D47A" w14:textId="77777777" w:rsidTr="006647C2">
        <w:trPr>
          <w:cantSplit/>
        </w:trPr>
        <w:tc>
          <w:tcPr>
            <w:tcW w:w="3114" w:type="dxa"/>
            <w:shd w:val="clear" w:color="auto" w:fill="auto"/>
            <w:noWrap/>
          </w:tcPr>
          <w:p w14:paraId="48AC8B61" w14:textId="77777777" w:rsidR="00842E02" w:rsidRPr="00543D10" w:rsidRDefault="00842E02" w:rsidP="00FE64E5">
            <w:pPr>
              <w:spacing w:before="40" w:after="40" w:line="240" w:lineRule="auto"/>
              <w:rPr>
                <w:rFonts w:ascii="Arial" w:eastAsia="Times New Roman" w:hAnsi="Arial" w:cs="Arial"/>
                <w:sz w:val="19"/>
                <w:szCs w:val="19"/>
                <w:lang w:eastAsia="en-GB"/>
              </w:rPr>
            </w:pPr>
            <w:r>
              <w:rPr>
                <w:rFonts w:ascii="Arial" w:eastAsia="Times New Roman" w:hAnsi="Arial" w:cs="Arial"/>
                <w:sz w:val="19"/>
                <w:szCs w:val="19"/>
                <w:lang w:eastAsia="en-GB"/>
              </w:rPr>
              <w:t>Covid related grants</w:t>
            </w:r>
          </w:p>
        </w:tc>
        <w:tc>
          <w:tcPr>
            <w:tcW w:w="714" w:type="dxa"/>
            <w:shd w:val="clear" w:color="auto" w:fill="auto"/>
            <w:noWrap/>
          </w:tcPr>
          <w:p w14:paraId="1E6BDD36" w14:textId="77777777" w:rsidR="00842E02" w:rsidRPr="00543D10" w:rsidRDefault="00842E02" w:rsidP="00FE64E5">
            <w:pPr>
              <w:spacing w:before="40" w:after="40" w:line="240" w:lineRule="auto"/>
              <w:rPr>
                <w:rFonts w:ascii="Arial" w:eastAsia="Times New Roman" w:hAnsi="Arial" w:cs="Arial"/>
                <w:sz w:val="19"/>
                <w:szCs w:val="19"/>
                <w:lang w:eastAsia="en-GB"/>
              </w:rPr>
            </w:pPr>
          </w:p>
        </w:tc>
        <w:tc>
          <w:tcPr>
            <w:tcW w:w="1298" w:type="dxa"/>
            <w:shd w:val="clear" w:color="auto" w:fill="auto"/>
            <w:noWrap/>
          </w:tcPr>
          <w:p w14:paraId="2B121358" w14:textId="77777777" w:rsidR="00842E02" w:rsidRDefault="00DB0869">
            <w:pPr>
              <w:tabs>
                <w:tab w:val="right" w:pos="851"/>
              </w:tabs>
              <w:spacing w:before="40" w:after="40" w:line="240" w:lineRule="auto"/>
              <w:jc w:val="right"/>
              <w:rPr>
                <w:rFonts w:ascii="Arial" w:eastAsia="Times New Roman" w:hAnsi="Arial" w:cs="Arial"/>
                <w:sz w:val="19"/>
                <w:szCs w:val="19"/>
                <w:lang w:eastAsia="en-GB"/>
              </w:rPr>
            </w:pPr>
            <w:r>
              <w:rPr>
                <w:rFonts w:ascii="Arial" w:eastAsia="Times New Roman" w:hAnsi="Arial" w:cs="Arial"/>
                <w:sz w:val="19"/>
                <w:szCs w:val="19"/>
                <w:lang w:eastAsia="en-GB"/>
              </w:rPr>
              <w:t>1,050</w:t>
            </w:r>
          </w:p>
        </w:tc>
        <w:tc>
          <w:tcPr>
            <w:tcW w:w="1298" w:type="dxa"/>
            <w:shd w:val="clear" w:color="auto" w:fill="auto"/>
            <w:noWrap/>
          </w:tcPr>
          <w:p w14:paraId="6F7CEFAE" w14:textId="77777777" w:rsidR="00842E02" w:rsidRDefault="00842E02" w:rsidP="00FE64E5">
            <w:pPr>
              <w:tabs>
                <w:tab w:val="right" w:pos="851"/>
              </w:tabs>
              <w:spacing w:before="40" w:after="40" w:line="240" w:lineRule="auto"/>
              <w:jc w:val="right"/>
              <w:rPr>
                <w:rFonts w:ascii="Arial" w:eastAsia="Times New Roman" w:hAnsi="Arial" w:cs="Arial"/>
                <w:sz w:val="19"/>
                <w:szCs w:val="19"/>
                <w:lang w:eastAsia="en-GB"/>
              </w:rPr>
            </w:pPr>
            <w:r>
              <w:rPr>
                <w:rFonts w:ascii="Arial" w:eastAsia="Times New Roman" w:hAnsi="Arial" w:cs="Arial"/>
                <w:sz w:val="19"/>
                <w:szCs w:val="19"/>
                <w:lang w:eastAsia="en-GB"/>
              </w:rPr>
              <w:t>-</w:t>
            </w:r>
          </w:p>
        </w:tc>
        <w:tc>
          <w:tcPr>
            <w:tcW w:w="1298" w:type="dxa"/>
            <w:shd w:val="clear" w:color="auto" w:fill="auto"/>
            <w:noWrap/>
          </w:tcPr>
          <w:p w14:paraId="2703E8D0" w14:textId="77777777" w:rsidR="00842E02" w:rsidRDefault="00DB0869">
            <w:pPr>
              <w:tabs>
                <w:tab w:val="right" w:pos="851"/>
              </w:tabs>
              <w:spacing w:before="40" w:after="40" w:line="240" w:lineRule="auto"/>
              <w:jc w:val="right"/>
              <w:rPr>
                <w:rFonts w:ascii="Arial" w:eastAsia="Times New Roman" w:hAnsi="Arial" w:cs="Arial"/>
                <w:b/>
                <w:bCs/>
                <w:sz w:val="19"/>
                <w:szCs w:val="19"/>
                <w:lang w:eastAsia="en-GB"/>
              </w:rPr>
            </w:pPr>
            <w:r>
              <w:rPr>
                <w:rFonts w:ascii="Arial" w:eastAsia="Times New Roman" w:hAnsi="Arial" w:cs="Arial"/>
                <w:b/>
                <w:bCs/>
                <w:sz w:val="19"/>
                <w:szCs w:val="19"/>
                <w:lang w:eastAsia="en-GB"/>
              </w:rPr>
              <w:t>1,050</w:t>
            </w:r>
          </w:p>
        </w:tc>
        <w:tc>
          <w:tcPr>
            <w:tcW w:w="1299" w:type="dxa"/>
            <w:shd w:val="clear" w:color="auto" w:fill="auto"/>
            <w:noWrap/>
          </w:tcPr>
          <w:p w14:paraId="5C073E1D" w14:textId="77777777" w:rsidR="00842E02" w:rsidRPr="00FE64E5" w:rsidRDefault="00842E02" w:rsidP="00FE64E5">
            <w:pPr>
              <w:tabs>
                <w:tab w:val="right" w:pos="851"/>
              </w:tabs>
              <w:spacing w:before="40" w:after="40" w:line="240" w:lineRule="auto"/>
              <w:jc w:val="right"/>
              <w:rPr>
                <w:rFonts w:ascii="Arial" w:eastAsia="Times New Roman" w:hAnsi="Arial" w:cs="Arial"/>
                <w:bCs/>
                <w:sz w:val="19"/>
                <w:szCs w:val="19"/>
                <w:lang w:eastAsia="en-GB"/>
              </w:rPr>
            </w:pPr>
            <w:r>
              <w:rPr>
                <w:rFonts w:ascii="Arial" w:eastAsia="Times New Roman" w:hAnsi="Arial" w:cs="Arial"/>
                <w:bCs/>
                <w:sz w:val="19"/>
                <w:szCs w:val="19"/>
                <w:lang w:eastAsia="en-GB"/>
              </w:rPr>
              <w:t>-</w:t>
            </w:r>
          </w:p>
        </w:tc>
      </w:tr>
      <w:tr w:rsidR="00FE64E5" w:rsidRPr="00FE64E5" w14:paraId="4C48EF19" w14:textId="77777777" w:rsidTr="006647C2">
        <w:trPr>
          <w:cantSplit/>
        </w:trPr>
        <w:tc>
          <w:tcPr>
            <w:tcW w:w="3114" w:type="dxa"/>
            <w:shd w:val="clear" w:color="auto" w:fill="auto"/>
            <w:noWrap/>
            <w:hideMark/>
          </w:tcPr>
          <w:p w14:paraId="5E71FC0C" w14:textId="77777777" w:rsidR="00FE64E5" w:rsidRPr="00543D10" w:rsidRDefault="00FE64E5" w:rsidP="00FE64E5">
            <w:pPr>
              <w:spacing w:before="40" w:after="40" w:line="240" w:lineRule="auto"/>
              <w:rPr>
                <w:rFonts w:ascii="Arial" w:eastAsia="Times New Roman" w:hAnsi="Arial" w:cs="Arial"/>
                <w:sz w:val="19"/>
                <w:szCs w:val="19"/>
                <w:lang w:eastAsia="en-GB"/>
              </w:rPr>
            </w:pPr>
            <w:r w:rsidRPr="00543D10">
              <w:rPr>
                <w:rFonts w:ascii="Arial" w:eastAsia="Times New Roman" w:hAnsi="Arial" w:cs="Arial"/>
                <w:sz w:val="19"/>
                <w:szCs w:val="19"/>
                <w:lang w:eastAsia="en-GB"/>
              </w:rPr>
              <w:t>Other Income</w:t>
            </w:r>
          </w:p>
        </w:tc>
        <w:tc>
          <w:tcPr>
            <w:tcW w:w="714" w:type="dxa"/>
            <w:shd w:val="clear" w:color="auto" w:fill="auto"/>
            <w:noWrap/>
            <w:hideMark/>
          </w:tcPr>
          <w:p w14:paraId="55DF4D3F" w14:textId="77777777" w:rsidR="00FE64E5" w:rsidRPr="00543D10" w:rsidRDefault="00FE64E5" w:rsidP="00FE64E5">
            <w:pPr>
              <w:spacing w:before="40" w:after="40" w:line="240" w:lineRule="auto"/>
              <w:rPr>
                <w:rFonts w:ascii="Arial" w:eastAsia="Times New Roman" w:hAnsi="Arial" w:cs="Arial"/>
                <w:sz w:val="19"/>
                <w:szCs w:val="19"/>
                <w:lang w:eastAsia="en-GB"/>
              </w:rPr>
            </w:pPr>
          </w:p>
        </w:tc>
        <w:tc>
          <w:tcPr>
            <w:tcW w:w="1298" w:type="dxa"/>
            <w:shd w:val="clear" w:color="auto" w:fill="auto"/>
            <w:noWrap/>
          </w:tcPr>
          <w:p w14:paraId="72A35183" w14:textId="77777777" w:rsidR="00FE64E5" w:rsidRPr="00543D10" w:rsidRDefault="00872613">
            <w:pPr>
              <w:tabs>
                <w:tab w:val="right" w:pos="851"/>
              </w:tabs>
              <w:spacing w:before="40" w:after="40" w:line="240" w:lineRule="auto"/>
              <w:jc w:val="right"/>
              <w:rPr>
                <w:rFonts w:ascii="Arial" w:eastAsia="Times New Roman" w:hAnsi="Arial" w:cs="Arial"/>
                <w:sz w:val="19"/>
                <w:szCs w:val="19"/>
                <w:lang w:eastAsia="en-GB"/>
              </w:rPr>
            </w:pPr>
            <w:r>
              <w:rPr>
                <w:rFonts w:ascii="Arial" w:eastAsia="Times New Roman" w:hAnsi="Arial" w:cs="Arial"/>
                <w:sz w:val="19"/>
                <w:szCs w:val="19"/>
                <w:lang w:eastAsia="en-GB"/>
              </w:rPr>
              <w:t>5</w:t>
            </w:r>
          </w:p>
        </w:tc>
        <w:tc>
          <w:tcPr>
            <w:tcW w:w="1298" w:type="dxa"/>
            <w:shd w:val="clear" w:color="auto" w:fill="auto"/>
            <w:noWrap/>
          </w:tcPr>
          <w:p w14:paraId="7E7AF071" w14:textId="77777777" w:rsidR="00FE64E5" w:rsidRPr="00543D10" w:rsidRDefault="007B2031" w:rsidP="00FE64E5">
            <w:pPr>
              <w:tabs>
                <w:tab w:val="right" w:pos="851"/>
              </w:tabs>
              <w:spacing w:before="40" w:after="40" w:line="240" w:lineRule="auto"/>
              <w:jc w:val="right"/>
              <w:rPr>
                <w:rFonts w:ascii="Arial" w:eastAsia="Times New Roman" w:hAnsi="Arial" w:cs="Arial"/>
                <w:sz w:val="19"/>
                <w:szCs w:val="19"/>
                <w:lang w:eastAsia="en-GB"/>
              </w:rPr>
            </w:pPr>
            <w:r>
              <w:rPr>
                <w:rFonts w:ascii="Arial" w:eastAsia="Times New Roman" w:hAnsi="Arial" w:cs="Arial"/>
                <w:sz w:val="19"/>
                <w:szCs w:val="19"/>
                <w:lang w:eastAsia="en-GB"/>
              </w:rPr>
              <w:t>-</w:t>
            </w:r>
          </w:p>
        </w:tc>
        <w:tc>
          <w:tcPr>
            <w:tcW w:w="1298" w:type="dxa"/>
            <w:shd w:val="clear" w:color="auto" w:fill="auto"/>
            <w:noWrap/>
          </w:tcPr>
          <w:p w14:paraId="4D6727F2" w14:textId="77777777" w:rsidR="00FE64E5" w:rsidRPr="00543D10" w:rsidRDefault="00872613">
            <w:pPr>
              <w:tabs>
                <w:tab w:val="right" w:pos="851"/>
              </w:tabs>
              <w:spacing w:before="40" w:after="40" w:line="240" w:lineRule="auto"/>
              <w:jc w:val="right"/>
              <w:rPr>
                <w:rFonts w:ascii="Arial" w:eastAsia="Times New Roman" w:hAnsi="Arial" w:cs="Arial"/>
                <w:b/>
                <w:bCs/>
                <w:sz w:val="19"/>
                <w:szCs w:val="19"/>
                <w:lang w:eastAsia="en-GB"/>
              </w:rPr>
            </w:pPr>
            <w:r>
              <w:rPr>
                <w:rFonts w:ascii="Arial" w:eastAsia="Times New Roman" w:hAnsi="Arial" w:cs="Arial"/>
                <w:b/>
                <w:bCs/>
                <w:sz w:val="19"/>
                <w:szCs w:val="19"/>
                <w:lang w:eastAsia="en-GB"/>
              </w:rPr>
              <w:t>5</w:t>
            </w:r>
          </w:p>
        </w:tc>
        <w:tc>
          <w:tcPr>
            <w:tcW w:w="1299" w:type="dxa"/>
            <w:shd w:val="clear" w:color="auto" w:fill="auto"/>
            <w:noWrap/>
            <w:hideMark/>
          </w:tcPr>
          <w:p w14:paraId="0974435D" w14:textId="77777777" w:rsidR="00FE64E5" w:rsidRPr="00FE64E5" w:rsidRDefault="00FE64E5" w:rsidP="00FE64E5">
            <w:pPr>
              <w:tabs>
                <w:tab w:val="right" w:pos="851"/>
              </w:tabs>
              <w:spacing w:before="40" w:after="40" w:line="240" w:lineRule="auto"/>
              <w:jc w:val="right"/>
              <w:rPr>
                <w:rFonts w:ascii="Arial" w:eastAsia="Times New Roman" w:hAnsi="Arial" w:cs="Arial"/>
                <w:sz w:val="19"/>
                <w:szCs w:val="19"/>
                <w:lang w:eastAsia="en-GB"/>
              </w:rPr>
            </w:pPr>
            <w:r w:rsidRPr="00FE64E5">
              <w:rPr>
                <w:rFonts w:ascii="Arial" w:eastAsia="Times New Roman" w:hAnsi="Arial" w:cs="Arial"/>
                <w:bCs/>
                <w:sz w:val="19"/>
                <w:szCs w:val="19"/>
                <w:lang w:eastAsia="en-GB"/>
              </w:rPr>
              <w:tab/>
              <w:t>22</w:t>
            </w:r>
          </w:p>
        </w:tc>
      </w:tr>
      <w:tr w:rsidR="00FE64E5" w:rsidRPr="00FE64E5" w14:paraId="50D40C90" w14:textId="77777777" w:rsidTr="006647C2">
        <w:trPr>
          <w:cantSplit/>
        </w:trPr>
        <w:tc>
          <w:tcPr>
            <w:tcW w:w="3114" w:type="dxa"/>
            <w:shd w:val="clear" w:color="auto" w:fill="auto"/>
            <w:noWrap/>
            <w:hideMark/>
          </w:tcPr>
          <w:p w14:paraId="25096149" w14:textId="77777777" w:rsidR="00FE64E5" w:rsidRPr="00543D10" w:rsidRDefault="00FE64E5" w:rsidP="00FE64E5">
            <w:pPr>
              <w:spacing w:before="40" w:after="40" w:line="240" w:lineRule="auto"/>
              <w:rPr>
                <w:rFonts w:ascii="Arial" w:eastAsia="Times New Roman" w:hAnsi="Arial" w:cs="Arial"/>
                <w:sz w:val="19"/>
                <w:szCs w:val="19"/>
                <w:lang w:eastAsia="en-GB"/>
              </w:rPr>
            </w:pPr>
            <w:r w:rsidRPr="00543D10">
              <w:rPr>
                <w:rFonts w:ascii="Arial" w:eastAsia="Times New Roman" w:hAnsi="Arial" w:cs="Arial"/>
                <w:sz w:val="19"/>
                <w:szCs w:val="19"/>
                <w:lang w:eastAsia="en-GB"/>
              </w:rPr>
              <w:t>Net assets taken on with mergers and transfers</w:t>
            </w:r>
          </w:p>
        </w:tc>
        <w:tc>
          <w:tcPr>
            <w:tcW w:w="714" w:type="dxa"/>
            <w:shd w:val="clear" w:color="auto" w:fill="auto"/>
            <w:noWrap/>
            <w:hideMark/>
          </w:tcPr>
          <w:p w14:paraId="73E5E0C5" w14:textId="77777777" w:rsidR="00FE64E5" w:rsidRPr="00543D10" w:rsidRDefault="00FE64E5" w:rsidP="00FE64E5">
            <w:pPr>
              <w:spacing w:before="40" w:after="40" w:line="240" w:lineRule="auto"/>
              <w:rPr>
                <w:rFonts w:ascii="Arial" w:eastAsia="Times New Roman" w:hAnsi="Arial" w:cs="Arial"/>
                <w:sz w:val="19"/>
                <w:szCs w:val="19"/>
                <w:lang w:eastAsia="en-GB"/>
              </w:rPr>
            </w:pPr>
            <w:r w:rsidRPr="00543D10">
              <w:rPr>
                <w:rFonts w:ascii="Arial" w:eastAsia="Times New Roman" w:hAnsi="Arial" w:cs="Arial"/>
                <w:sz w:val="19"/>
                <w:szCs w:val="19"/>
                <w:lang w:eastAsia="en-GB"/>
              </w:rPr>
              <w:t>25</w:t>
            </w:r>
          </w:p>
        </w:tc>
        <w:tc>
          <w:tcPr>
            <w:tcW w:w="1298" w:type="dxa"/>
            <w:shd w:val="clear" w:color="auto" w:fill="auto"/>
            <w:noWrap/>
          </w:tcPr>
          <w:p w14:paraId="54ECC8B2" w14:textId="77777777" w:rsidR="00FE64E5" w:rsidRPr="00543D10" w:rsidRDefault="007B2031" w:rsidP="00FE64E5">
            <w:pPr>
              <w:tabs>
                <w:tab w:val="right" w:pos="851"/>
              </w:tabs>
              <w:spacing w:before="40" w:after="40" w:line="240" w:lineRule="auto"/>
              <w:jc w:val="right"/>
              <w:rPr>
                <w:rFonts w:ascii="Arial" w:eastAsia="Times New Roman" w:hAnsi="Arial" w:cs="Arial"/>
                <w:sz w:val="19"/>
                <w:szCs w:val="19"/>
                <w:lang w:eastAsia="en-GB"/>
              </w:rPr>
            </w:pPr>
            <w:r>
              <w:rPr>
                <w:rFonts w:ascii="Arial" w:eastAsia="Times New Roman" w:hAnsi="Arial" w:cs="Arial"/>
                <w:sz w:val="19"/>
                <w:szCs w:val="19"/>
                <w:lang w:eastAsia="en-GB"/>
              </w:rPr>
              <w:t>-</w:t>
            </w:r>
          </w:p>
        </w:tc>
        <w:tc>
          <w:tcPr>
            <w:tcW w:w="1298" w:type="dxa"/>
            <w:shd w:val="clear" w:color="auto" w:fill="auto"/>
            <w:noWrap/>
          </w:tcPr>
          <w:p w14:paraId="1ADC3A7F" w14:textId="77777777" w:rsidR="00FE64E5" w:rsidRPr="00543D10" w:rsidRDefault="00674252" w:rsidP="00674252">
            <w:pPr>
              <w:tabs>
                <w:tab w:val="right" w:pos="851"/>
              </w:tabs>
              <w:spacing w:before="40" w:after="40" w:line="240" w:lineRule="auto"/>
              <w:jc w:val="right"/>
              <w:rPr>
                <w:rFonts w:ascii="Arial" w:eastAsia="Times New Roman" w:hAnsi="Arial" w:cs="Arial"/>
                <w:sz w:val="19"/>
                <w:szCs w:val="19"/>
                <w:lang w:eastAsia="en-GB"/>
              </w:rPr>
            </w:pPr>
            <w:r>
              <w:rPr>
                <w:rFonts w:ascii="Arial" w:eastAsia="Times New Roman" w:hAnsi="Arial" w:cs="Arial"/>
                <w:sz w:val="19"/>
                <w:szCs w:val="19"/>
                <w:lang w:eastAsia="en-GB"/>
              </w:rPr>
              <w:t>13,674</w:t>
            </w:r>
          </w:p>
        </w:tc>
        <w:tc>
          <w:tcPr>
            <w:tcW w:w="1298" w:type="dxa"/>
            <w:shd w:val="clear" w:color="auto" w:fill="auto"/>
            <w:noWrap/>
          </w:tcPr>
          <w:p w14:paraId="0DBCC7D9" w14:textId="77777777" w:rsidR="00FE64E5" w:rsidRPr="00543D10" w:rsidRDefault="00674252" w:rsidP="00FE64E5">
            <w:pPr>
              <w:tabs>
                <w:tab w:val="right" w:pos="851"/>
              </w:tabs>
              <w:spacing w:before="40" w:after="40" w:line="240" w:lineRule="auto"/>
              <w:jc w:val="right"/>
              <w:rPr>
                <w:rFonts w:ascii="Arial" w:eastAsia="Times New Roman" w:hAnsi="Arial" w:cs="Arial"/>
                <w:b/>
                <w:bCs/>
                <w:sz w:val="19"/>
                <w:szCs w:val="19"/>
                <w:lang w:eastAsia="en-GB"/>
              </w:rPr>
            </w:pPr>
            <w:r>
              <w:rPr>
                <w:rFonts w:ascii="Arial" w:eastAsia="Times New Roman" w:hAnsi="Arial" w:cs="Arial"/>
                <w:b/>
                <w:bCs/>
                <w:sz w:val="19"/>
                <w:szCs w:val="19"/>
                <w:lang w:eastAsia="en-GB"/>
              </w:rPr>
              <w:t>13,674</w:t>
            </w:r>
          </w:p>
        </w:tc>
        <w:tc>
          <w:tcPr>
            <w:tcW w:w="1299" w:type="dxa"/>
            <w:shd w:val="clear" w:color="auto" w:fill="auto"/>
            <w:noWrap/>
            <w:hideMark/>
          </w:tcPr>
          <w:p w14:paraId="1E4B7BAB" w14:textId="77777777" w:rsidR="00FE64E5" w:rsidRPr="00FE64E5" w:rsidRDefault="00FE64E5" w:rsidP="00FE64E5">
            <w:pPr>
              <w:tabs>
                <w:tab w:val="right" w:pos="851"/>
              </w:tabs>
              <w:spacing w:before="40" w:after="40" w:line="240" w:lineRule="auto"/>
              <w:jc w:val="right"/>
              <w:rPr>
                <w:rFonts w:ascii="Arial" w:eastAsia="Times New Roman" w:hAnsi="Arial" w:cs="Arial"/>
                <w:sz w:val="19"/>
                <w:szCs w:val="19"/>
                <w:lang w:eastAsia="en-GB"/>
              </w:rPr>
            </w:pPr>
            <w:r w:rsidRPr="00FE64E5">
              <w:rPr>
                <w:rFonts w:ascii="Arial" w:eastAsia="Times New Roman" w:hAnsi="Arial" w:cs="Arial"/>
                <w:bCs/>
                <w:sz w:val="19"/>
                <w:szCs w:val="19"/>
                <w:lang w:eastAsia="en-GB"/>
              </w:rPr>
              <w:tab/>
              <w:t>21,349</w:t>
            </w:r>
          </w:p>
        </w:tc>
      </w:tr>
      <w:tr w:rsidR="00FE64E5" w:rsidRPr="00FE64E5" w14:paraId="42082078" w14:textId="77777777" w:rsidTr="006647C2">
        <w:trPr>
          <w:cantSplit/>
        </w:trPr>
        <w:tc>
          <w:tcPr>
            <w:tcW w:w="3114" w:type="dxa"/>
            <w:shd w:val="clear" w:color="auto" w:fill="auto"/>
            <w:noWrap/>
            <w:hideMark/>
          </w:tcPr>
          <w:p w14:paraId="71F2C80D" w14:textId="77777777" w:rsidR="00FE64E5" w:rsidRPr="00543D10" w:rsidRDefault="00FE64E5" w:rsidP="00FE64E5">
            <w:pPr>
              <w:spacing w:before="40" w:after="40" w:line="240" w:lineRule="auto"/>
              <w:rPr>
                <w:rFonts w:ascii="Arial" w:eastAsia="Times New Roman" w:hAnsi="Arial" w:cs="Arial"/>
                <w:sz w:val="19"/>
                <w:szCs w:val="19"/>
                <w:lang w:eastAsia="en-GB"/>
              </w:rPr>
            </w:pPr>
            <w:r w:rsidRPr="00543D10">
              <w:rPr>
                <w:rFonts w:ascii="Arial" w:eastAsia="Times New Roman" w:hAnsi="Arial" w:cs="Arial"/>
                <w:sz w:val="19"/>
                <w:szCs w:val="19"/>
                <w:lang w:eastAsia="en-GB"/>
              </w:rPr>
              <w:t>Incoming resources including share of joint ventures</w:t>
            </w:r>
          </w:p>
        </w:tc>
        <w:tc>
          <w:tcPr>
            <w:tcW w:w="714" w:type="dxa"/>
            <w:shd w:val="clear" w:color="auto" w:fill="auto"/>
            <w:noWrap/>
            <w:hideMark/>
          </w:tcPr>
          <w:p w14:paraId="09F18F77" w14:textId="77777777" w:rsidR="00FE64E5" w:rsidRPr="00543D10" w:rsidRDefault="00FE64E5" w:rsidP="00FE64E5">
            <w:pPr>
              <w:spacing w:before="40" w:after="40" w:line="240" w:lineRule="auto"/>
              <w:rPr>
                <w:rFonts w:ascii="Arial" w:eastAsia="Times New Roman" w:hAnsi="Arial" w:cs="Arial"/>
                <w:sz w:val="19"/>
                <w:szCs w:val="19"/>
                <w:lang w:eastAsia="en-GB"/>
              </w:rPr>
            </w:pPr>
            <w:r w:rsidRPr="00543D10">
              <w:rPr>
                <w:rFonts w:ascii="Arial" w:eastAsia="Times New Roman" w:hAnsi="Arial" w:cs="Arial"/>
                <w:sz w:val="19"/>
                <w:szCs w:val="19"/>
                <w:lang w:eastAsia="en-GB"/>
              </w:rPr>
              <w:t>1</w:t>
            </w:r>
          </w:p>
        </w:tc>
        <w:tc>
          <w:tcPr>
            <w:tcW w:w="1298" w:type="dxa"/>
            <w:shd w:val="clear" w:color="auto" w:fill="auto"/>
            <w:noWrap/>
          </w:tcPr>
          <w:p w14:paraId="13197BB6" w14:textId="77777777" w:rsidR="00FE64E5" w:rsidRPr="00543D10" w:rsidRDefault="007B2031">
            <w:pPr>
              <w:pBdr>
                <w:top w:val="single" w:sz="4" w:space="0" w:color="auto"/>
              </w:pBdr>
              <w:tabs>
                <w:tab w:val="right" w:pos="851"/>
              </w:tabs>
              <w:spacing w:before="40" w:after="40" w:line="240" w:lineRule="auto"/>
              <w:jc w:val="right"/>
              <w:rPr>
                <w:rFonts w:ascii="Arial" w:eastAsia="Times New Roman" w:hAnsi="Arial" w:cs="Arial"/>
                <w:sz w:val="19"/>
                <w:szCs w:val="19"/>
                <w:lang w:eastAsia="en-GB"/>
              </w:rPr>
            </w:pPr>
            <w:r>
              <w:rPr>
                <w:rFonts w:ascii="Arial" w:eastAsia="Times New Roman" w:hAnsi="Arial" w:cs="Arial"/>
                <w:sz w:val="19"/>
                <w:szCs w:val="19"/>
                <w:lang w:eastAsia="en-GB"/>
              </w:rPr>
              <w:t>119</w:t>
            </w:r>
            <w:r w:rsidR="00872613">
              <w:rPr>
                <w:rFonts w:ascii="Arial" w:eastAsia="Times New Roman" w:hAnsi="Arial" w:cs="Arial"/>
                <w:sz w:val="19"/>
                <w:szCs w:val="19"/>
                <w:lang w:eastAsia="en-GB"/>
              </w:rPr>
              <w:t>,93</w:t>
            </w:r>
            <w:r w:rsidR="00A65FCF">
              <w:rPr>
                <w:rFonts w:ascii="Arial" w:eastAsia="Times New Roman" w:hAnsi="Arial" w:cs="Arial"/>
                <w:sz w:val="19"/>
                <w:szCs w:val="19"/>
                <w:lang w:eastAsia="en-GB"/>
              </w:rPr>
              <w:t>9</w:t>
            </w:r>
          </w:p>
        </w:tc>
        <w:tc>
          <w:tcPr>
            <w:tcW w:w="1298" w:type="dxa"/>
            <w:shd w:val="clear" w:color="auto" w:fill="auto"/>
            <w:noWrap/>
          </w:tcPr>
          <w:p w14:paraId="53ABA06D" w14:textId="77777777" w:rsidR="00FE64E5" w:rsidRPr="00543D10" w:rsidRDefault="00674252" w:rsidP="00674252">
            <w:pPr>
              <w:pBdr>
                <w:top w:val="single" w:sz="4" w:space="0" w:color="auto"/>
              </w:pBdr>
              <w:tabs>
                <w:tab w:val="right" w:pos="851"/>
              </w:tabs>
              <w:spacing w:before="40" w:after="40" w:line="240" w:lineRule="auto"/>
              <w:jc w:val="right"/>
              <w:rPr>
                <w:rFonts w:ascii="Arial" w:eastAsia="Times New Roman" w:hAnsi="Arial" w:cs="Arial"/>
                <w:sz w:val="19"/>
                <w:szCs w:val="19"/>
                <w:lang w:eastAsia="en-GB"/>
              </w:rPr>
            </w:pPr>
            <w:r>
              <w:rPr>
                <w:rFonts w:ascii="Arial" w:eastAsia="Times New Roman" w:hAnsi="Arial" w:cs="Arial"/>
                <w:sz w:val="19"/>
                <w:szCs w:val="19"/>
                <w:lang w:eastAsia="en-GB"/>
              </w:rPr>
              <w:t>103,303</w:t>
            </w:r>
          </w:p>
        </w:tc>
        <w:tc>
          <w:tcPr>
            <w:tcW w:w="1298" w:type="dxa"/>
            <w:shd w:val="clear" w:color="auto" w:fill="auto"/>
            <w:noWrap/>
          </w:tcPr>
          <w:p w14:paraId="7A364EFC" w14:textId="77777777" w:rsidR="00FE64E5" w:rsidRPr="00543D10" w:rsidRDefault="00872613" w:rsidP="00FE64E5">
            <w:pPr>
              <w:pBdr>
                <w:top w:val="single" w:sz="4" w:space="0" w:color="auto"/>
              </w:pBdr>
              <w:tabs>
                <w:tab w:val="right" w:pos="851"/>
              </w:tabs>
              <w:spacing w:before="40" w:after="40" w:line="240" w:lineRule="auto"/>
              <w:jc w:val="right"/>
              <w:rPr>
                <w:rFonts w:ascii="Arial" w:eastAsia="Times New Roman" w:hAnsi="Arial" w:cs="Arial"/>
                <w:b/>
                <w:bCs/>
                <w:sz w:val="19"/>
                <w:szCs w:val="19"/>
                <w:lang w:eastAsia="en-GB"/>
              </w:rPr>
            </w:pPr>
            <w:r>
              <w:rPr>
                <w:rFonts w:ascii="Arial" w:eastAsia="Times New Roman" w:hAnsi="Arial" w:cs="Arial"/>
                <w:b/>
                <w:bCs/>
                <w:sz w:val="19"/>
                <w:szCs w:val="19"/>
                <w:lang w:eastAsia="en-GB"/>
              </w:rPr>
              <w:t>2</w:t>
            </w:r>
            <w:r w:rsidR="00674252">
              <w:rPr>
                <w:rFonts w:ascii="Arial" w:eastAsia="Times New Roman" w:hAnsi="Arial" w:cs="Arial"/>
                <w:b/>
                <w:bCs/>
                <w:sz w:val="19"/>
                <w:szCs w:val="19"/>
                <w:lang w:eastAsia="en-GB"/>
              </w:rPr>
              <w:t>23,24</w:t>
            </w:r>
            <w:r w:rsidR="00A65FCF">
              <w:rPr>
                <w:rFonts w:ascii="Arial" w:eastAsia="Times New Roman" w:hAnsi="Arial" w:cs="Arial"/>
                <w:b/>
                <w:bCs/>
                <w:sz w:val="19"/>
                <w:szCs w:val="19"/>
                <w:lang w:eastAsia="en-GB"/>
              </w:rPr>
              <w:t>2</w:t>
            </w:r>
          </w:p>
        </w:tc>
        <w:tc>
          <w:tcPr>
            <w:tcW w:w="1299" w:type="dxa"/>
            <w:shd w:val="clear" w:color="auto" w:fill="auto"/>
            <w:noWrap/>
            <w:hideMark/>
          </w:tcPr>
          <w:p w14:paraId="10810E23" w14:textId="77777777" w:rsidR="00FE64E5" w:rsidRPr="00FE64E5" w:rsidRDefault="00FE64E5" w:rsidP="00FE64E5">
            <w:pPr>
              <w:pBdr>
                <w:top w:val="single" w:sz="4" w:space="0" w:color="auto"/>
              </w:pBdr>
              <w:tabs>
                <w:tab w:val="right" w:pos="851"/>
              </w:tabs>
              <w:spacing w:before="40" w:after="40" w:line="240" w:lineRule="auto"/>
              <w:jc w:val="right"/>
              <w:rPr>
                <w:rFonts w:ascii="Arial" w:eastAsia="Times New Roman" w:hAnsi="Arial" w:cs="Arial"/>
                <w:sz w:val="19"/>
                <w:szCs w:val="19"/>
                <w:lang w:eastAsia="en-GB"/>
              </w:rPr>
            </w:pPr>
            <w:r w:rsidRPr="00FE64E5">
              <w:rPr>
                <w:rFonts w:ascii="Arial" w:eastAsia="Times New Roman" w:hAnsi="Arial" w:cs="Arial"/>
                <w:bCs/>
                <w:sz w:val="19"/>
                <w:szCs w:val="19"/>
                <w:lang w:eastAsia="en-GB"/>
              </w:rPr>
              <w:tab/>
              <w:t>208,195</w:t>
            </w:r>
          </w:p>
        </w:tc>
      </w:tr>
      <w:tr w:rsidR="00FE64E5" w:rsidRPr="00FE64E5" w14:paraId="3076D383" w14:textId="77777777" w:rsidTr="006647C2">
        <w:trPr>
          <w:cantSplit/>
        </w:trPr>
        <w:tc>
          <w:tcPr>
            <w:tcW w:w="3114" w:type="dxa"/>
            <w:shd w:val="clear" w:color="auto" w:fill="auto"/>
            <w:hideMark/>
          </w:tcPr>
          <w:p w14:paraId="4CD26792" w14:textId="77777777" w:rsidR="00FE64E5" w:rsidRPr="00543D10" w:rsidRDefault="00FE64E5" w:rsidP="00FE64E5">
            <w:pPr>
              <w:spacing w:before="40" w:after="40" w:line="240" w:lineRule="auto"/>
              <w:rPr>
                <w:rFonts w:ascii="Arial" w:eastAsia="Times New Roman" w:hAnsi="Arial" w:cs="Arial"/>
                <w:sz w:val="19"/>
                <w:szCs w:val="19"/>
                <w:lang w:eastAsia="en-GB"/>
              </w:rPr>
            </w:pPr>
            <w:r w:rsidRPr="00543D10">
              <w:rPr>
                <w:rFonts w:ascii="Arial" w:eastAsia="Times New Roman" w:hAnsi="Arial" w:cs="Arial"/>
                <w:sz w:val="19"/>
                <w:szCs w:val="19"/>
                <w:lang w:eastAsia="en-GB"/>
              </w:rPr>
              <w:t>Less share of gross incoming resources of joint ventures</w:t>
            </w:r>
          </w:p>
        </w:tc>
        <w:tc>
          <w:tcPr>
            <w:tcW w:w="714" w:type="dxa"/>
            <w:shd w:val="clear" w:color="auto" w:fill="auto"/>
            <w:noWrap/>
            <w:hideMark/>
          </w:tcPr>
          <w:p w14:paraId="3EDC2CEC" w14:textId="77777777" w:rsidR="00FE64E5" w:rsidRPr="00543D10" w:rsidRDefault="00FE64E5" w:rsidP="00FE64E5">
            <w:pPr>
              <w:spacing w:before="40" w:after="40" w:line="240" w:lineRule="auto"/>
              <w:rPr>
                <w:rFonts w:ascii="Arial" w:eastAsia="Times New Roman" w:hAnsi="Arial" w:cs="Arial"/>
                <w:sz w:val="19"/>
                <w:szCs w:val="19"/>
                <w:lang w:eastAsia="en-GB"/>
              </w:rPr>
            </w:pPr>
          </w:p>
        </w:tc>
        <w:tc>
          <w:tcPr>
            <w:tcW w:w="1298" w:type="dxa"/>
            <w:shd w:val="clear" w:color="auto" w:fill="auto"/>
            <w:noWrap/>
          </w:tcPr>
          <w:p w14:paraId="1FB42E41" w14:textId="77777777" w:rsidR="00FE64E5" w:rsidRPr="00543D10" w:rsidRDefault="007B2031" w:rsidP="00FE64E5">
            <w:pPr>
              <w:tabs>
                <w:tab w:val="right" w:pos="851"/>
              </w:tabs>
              <w:spacing w:before="40" w:after="40" w:line="240" w:lineRule="auto"/>
              <w:jc w:val="right"/>
              <w:rPr>
                <w:rFonts w:ascii="Arial" w:eastAsia="Times New Roman" w:hAnsi="Arial" w:cs="Arial"/>
                <w:sz w:val="19"/>
                <w:szCs w:val="19"/>
                <w:lang w:eastAsia="en-GB"/>
              </w:rPr>
            </w:pPr>
            <w:r>
              <w:rPr>
                <w:rFonts w:ascii="Arial" w:eastAsia="Times New Roman" w:hAnsi="Arial" w:cs="Arial"/>
                <w:sz w:val="19"/>
                <w:szCs w:val="19"/>
                <w:lang w:eastAsia="en-GB"/>
              </w:rPr>
              <w:t>-</w:t>
            </w:r>
          </w:p>
        </w:tc>
        <w:tc>
          <w:tcPr>
            <w:tcW w:w="1298" w:type="dxa"/>
            <w:shd w:val="clear" w:color="auto" w:fill="auto"/>
            <w:noWrap/>
          </w:tcPr>
          <w:p w14:paraId="5E5F4941" w14:textId="77777777" w:rsidR="00FE64E5" w:rsidRPr="00543D10" w:rsidRDefault="007B2031" w:rsidP="00FE64E5">
            <w:pPr>
              <w:tabs>
                <w:tab w:val="right" w:pos="851"/>
              </w:tabs>
              <w:spacing w:before="40" w:after="40" w:line="240" w:lineRule="auto"/>
              <w:jc w:val="right"/>
              <w:rPr>
                <w:rFonts w:ascii="Arial" w:eastAsia="Times New Roman" w:hAnsi="Arial" w:cs="Arial"/>
                <w:sz w:val="19"/>
                <w:szCs w:val="19"/>
                <w:lang w:eastAsia="en-GB"/>
              </w:rPr>
            </w:pPr>
            <w:r>
              <w:rPr>
                <w:rFonts w:ascii="Arial" w:eastAsia="Times New Roman" w:hAnsi="Arial" w:cs="Arial"/>
                <w:sz w:val="19"/>
                <w:szCs w:val="19"/>
                <w:lang w:eastAsia="en-GB"/>
              </w:rPr>
              <w:t>(119)</w:t>
            </w:r>
          </w:p>
        </w:tc>
        <w:tc>
          <w:tcPr>
            <w:tcW w:w="1298" w:type="dxa"/>
            <w:shd w:val="clear" w:color="auto" w:fill="auto"/>
            <w:noWrap/>
          </w:tcPr>
          <w:p w14:paraId="088A340F" w14:textId="77777777" w:rsidR="00FE64E5" w:rsidRPr="00543D10" w:rsidRDefault="007B2031" w:rsidP="00FE64E5">
            <w:pPr>
              <w:tabs>
                <w:tab w:val="right" w:pos="851"/>
              </w:tabs>
              <w:spacing w:before="40" w:after="40" w:line="240" w:lineRule="auto"/>
              <w:jc w:val="right"/>
              <w:rPr>
                <w:rFonts w:ascii="Arial" w:eastAsia="Times New Roman" w:hAnsi="Arial" w:cs="Arial"/>
                <w:b/>
                <w:bCs/>
                <w:sz w:val="19"/>
                <w:szCs w:val="19"/>
                <w:lang w:eastAsia="en-GB"/>
              </w:rPr>
            </w:pPr>
            <w:r>
              <w:rPr>
                <w:rFonts w:ascii="Arial" w:eastAsia="Times New Roman" w:hAnsi="Arial" w:cs="Arial"/>
                <w:b/>
                <w:bCs/>
                <w:sz w:val="19"/>
                <w:szCs w:val="19"/>
                <w:lang w:eastAsia="en-GB"/>
              </w:rPr>
              <w:t>(119)</w:t>
            </w:r>
          </w:p>
        </w:tc>
        <w:tc>
          <w:tcPr>
            <w:tcW w:w="1299" w:type="dxa"/>
            <w:shd w:val="clear" w:color="auto" w:fill="auto"/>
            <w:noWrap/>
            <w:hideMark/>
          </w:tcPr>
          <w:p w14:paraId="38FBD713" w14:textId="77777777" w:rsidR="00FE64E5" w:rsidRPr="00FE64E5" w:rsidRDefault="00FE64E5" w:rsidP="00FE64E5">
            <w:pPr>
              <w:tabs>
                <w:tab w:val="right" w:pos="851"/>
              </w:tabs>
              <w:spacing w:before="40" w:after="40" w:line="240" w:lineRule="auto"/>
              <w:jc w:val="right"/>
              <w:rPr>
                <w:rFonts w:ascii="Arial" w:eastAsia="Times New Roman" w:hAnsi="Arial" w:cs="Arial"/>
                <w:sz w:val="19"/>
                <w:szCs w:val="19"/>
                <w:lang w:eastAsia="en-GB"/>
              </w:rPr>
            </w:pPr>
            <w:r w:rsidRPr="00FE64E5">
              <w:rPr>
                <w:rFonts w:ascii="Arial" w:eastAsia="Times New Roman" w:hAnsi="Arial" w:cs="Arial"/>
                <w:bCs/>
                <w:sz w:val="19"/>
                <w:szCs w:val="19"/>
                <w:lang w:eastAsia="en-GB"/>
              </w:rPr>
              <w:tab/>
              <w:t>(1,828)</w:t>
            </w:r>
          </w:p>
        </w:tc>
      </w:tr>
      <w:tr w:rsidR="00FE64E5" w:rsidRPr="00FE64E5" w14:paraId="61300346" w14:textId="77777777" w:rsidTr="006647C2">
        <w:trPr>
          <w:cantSplit/>
        </w:trPr>
        <w:tc>
          <w:tcPr>
            <w:tcW w:w="3114" w:type="dxa"/>
            <w:shd w:val="clear" w:color="auto" w:fill="auto"/>
            <w:noWrap/>
            <w:hideMark/>
          </w:tcPr>
          <w:p w14:paraId="599D19BC" w14:textId="77777777" w:rsidR="00FE64E5" w:rsidRPr="00543D10" w:rsidRDefault="00FE64E5" w:rsidP="00FE64E5">
            <w:pPr>
              <w:spacing w:before="40" w:after="40" w:line="240" w:lineRule="auto"/>
              <w:rPr>
                <w:rFonts w:ascii="Arial" w:eastAsia="Times New Roman" w:hAnsi="Arial" w:cs="Arial"/>
                <w:b/>
                <w:bCs/>
                <w:sz w:val="19"/>
                <w:szCs w:val="19"/>
                <w:lang w:eastAsia="en-GB"/>
              </w:rPr>
            </w:pPr>
            <w:r w:rsidRPr="00543D10">
              <w:rPr>
                <w:rFonts w:ascii="Arial" w:eastAsia="Times New Roman" w:hAnsi="Arial" w:cs="Arial"/>
                <w:b/>
                <w:bCs/>
                <w:sz w:val="19"/>
                <w:szCs w:val="19"/>
                <w:lang w:eastAsia="en-GB"/>
              </w:rPr>
              <w:t>Group incoming resources</w:t>
            </w:r>
          </w:p>
        </w:tc>
        <w:tc>
          <w:tcPr>
            <w:tcW w:w="714" w:type="dxa"/>
            <w:shd w:val="clear" w:color="auto" w:fill="auto"/>
            <w:noWrap/>
            <w:hideMark/>
          </w:tcPr>
          <w:p w14:paraId="7AF136A2" w14:textId="77777777" w:rsidR="00FE64E5" w:rsidRPr="00543D10" w:rsidRDefault="00FE64E5" w:rsidP="00FE64E5">
            <w:pPr>
              <w:spacing w:before="40" w:after="40" w:line="240" w:lineRule="auto"/>
              <w:rPr>
                <w:rFonts w:ascii="Arial" w:eastAsia="Times New Roman" w:hAnsi="Arial" w:cs="Arial"/>
                <w:b/>
                <w:bCs/>
                <w:sz w:val="19"/>
                <w:szCs w:val="19"/>
                <w:lang w:eastAsia="en-GB"/>
              </w:rPr>
            </w:pPr>
          </w:p>
        </w:tc>
        <w:tc>
          <w:tcPr>
            <w:tcW w:w="1298" w:type="dxa"/>
            <w:shd w:val="clear" w:color="auto" w:fill="auto"/>
            <w:noWrap/>
          </w:tcPr>
          <w:p w14:paraId="12C9CFED" w14:textId="77777777" w:rsidR="00FE64E5" w:rsidRPr="00543D10" w:rsidRDefault="007B2031" w:rsidP="00FE64E5">
            <w:pPr>
              <w:pBdr>
                <w:top w:val="single" w:sz="4" w:space="0" w:color="auto"/>
                <w:bottom w:val="single" w:sz="4" w:space="0" w:color="auto"/>
              </w:pBdr>
              <w:tabs>
                <w:tab w:val="right" w:pos="851"/>
              </w:tabs>
              <w:spacing w:before="40" w:after="40" w:line="240" w:lineRule="auto"/>
              <w:jc w:val="right"/>
              <w:rPr>
                <w:rFonts w:ascii="Arial" w:eastAsia="Times New Roman" w:hAnsi="Arial" w:cs="Arial"/>
                <w:sz w:val="19"/>
                <w:szCs w:val="19"/>
                <w:lang w:eastAsia="en-GB"/>
              </w:rPr>
            </w:pPr>
            <w:r>
              <w:rPr>
                <w:rFonts w:ascii="Arial" w:eastAsia="Times New Roman" w:hAnsi="Arial" w:cs="Arial"/>
                <w:sz w:val="19"/>
                <w:szCs w:val="19"/>
                <w:lang w:eastAsia="en-GB"/>
              </w:rPr>
              <w:t>119,9</w:t>
            </w:r>
            <w:r w:rsidR="000B471D">
              <w:rPr>
                <w:rFonts w:ascii="Arial" w:eastAsia="Times New Roman" w:hAnsi="Arial" w:cs="Arial"/>
                <w:sz w:val="19"/>
                <w:szCs w:val="19"/>
                <w:lang w:eastAsia="en-GB"/>
              </w:rPr>
              <w:t>3</w:t>
            </w:r>
            <w:r w:rsidR="00A65FCF">
              <w:rPr>
                <w:rFonts w:ascii="Arial" w:eastAsia="Times New Roman" w:hAnsi="Arial" w:cs="Arial"/>
                <w:sz w:val="19"/>
                <w:szCs w:val="19"/>
                <w:lang w:eastAsia="en-GB"/>
              </w:rPr>
              <w:t>9</w:t>
            </w:r>
          </w:p>
        </w:tc>
        <w:tc>
          <w:tcPr>
            <w:tcW w:w="1298" w:type="dxa"/>
            <w:shd w:val="clear" w:color="auto" w:fill="auto"/>
            <w:noWrap/>
          </w:tcPr>
          <w:p w14:paraId="633A804D" w14:textId="77777777" w:rsidR="00FE64E5" w:rsidRPr="00543D10" w:rsidRDefault="00674252" w:rsidP="00FE64E5">
            <w:pPr>
              <w:pBdr>
                <w:top w:val="single" w:sz="4" w:space="0" w:color="auto"/>
                <w:bottom w:val="single" w:sz="4" w:space="0" w:color="auto"/>
              </w:pBdr>
              <w:tabs>
                <w:tab w:val="right" w:pos="851"/>
              </w:tabs>
              <w:spacing w:before="40" w:after="40" w:line="240" w:lineRule="auto"/>
              <w:jc w:val="right"/>
              <w:rPr>
                <w:rFonts w:ascii="Arial" w:eastAsia="Times New Roman" w:hAnsi="Arial" w:cs="Arial"/>
                <w:sz w:val="19"/>
                <w:szCs w:val="19"/>
                <w:lang w:eastAsia="en-GB"/>
              </w:rPr>
            </w:pPr>
            <w:r>
              <w:rPr>
                <w:rFonts w:ascii="Arial" w:eastAsia="Times New Roman" w:hAnsi="Arial" w:cs="Arial"/>
                <w:sz w:val="19"/>
                <w:szCs w:val="19"/>
                <w:lang w:eastAsia="en-GB"/>
              </w:rPr>
              <w:t>103,18</w:t>
            </w:r>
            <w:r w:rsidR="007B2031">
              <w:rPr>
                <w:rFonts w:ascii="Arial" w:eastAsia="Times New Roman" w:hAnsi="Arial" w:cs="Arial"/>
                <w:sz w:val="19"/>
                <w:szCs w:val="19"/>
                <w:lang w:eastAsia="en-GB"/>
              </w:rPr>
              <w:t>4</w:t>
            </w:r>
          </w:p>
        </w:tc>
        <w:tc>
          <w:tcPr>
            <w:tcW w:w="1298" w:type="dxa"/>
            <w:shd w:val="clear" w:color="auto" w:fill="auto"/>
            <w:noWrap/>
          </w:tcPr>
          <w:p w14:paraId="5658F592" w14:textId="77777777" w:rsidR="00FE64E5" w:rsidRPr="00543D10" w:rsidRDefault="00674252">
            <w:pPr>
              <w:pBdr>
                <w:top w:val="single" w:sz="4" w:space="0" w:color="auto"/>
                <w:bottom w:val="single" w:sz="4" w:space="0" w:color="auto"/>
              </w:pBdr>
              <w:tabs>
                <w:tab w:val="right" w:pos="851"/>
              </w:tabs>
              <w:spacing w:before="40" w:after="40" w:line="240" w:lineRule="auto"/>
              <w:jc w:val="right"/>
              <w:rPr>
                <w:rFonts w:ascii="Arial" w:eastAsia="Times New Roman" w:hAnsi="Arial" w:cs="Arial"/>
                <w:b/>
                <w:bCs/>
                <w:sz w:val="19"/>
                <w:szCs w:val="19"/>
                <w:lang w:eastAsia="en-GB"/>
              </w:rPr>
            </w:pPr>
            <w:r>
              <w:rPr>
                <w:rFonts w:ascii="Arial" w:eastAsia="Times New Roman" w:hAnsi="Arial" w:cs="Arial"/>
                <w:b/>
                <w:bCs/>
                <w:sz w:val="19"/>
                <w:szCs w:val="19"/>
                <w:lang w:eastAsia="en-GB"/>
              </w:rPr>
              <w:t>223,12</w:t>
            </w:r>
            <w:r w:rsidR="00A65FCF">
              <w:rPr>
                <w:rFonts w:ascii="Arial" w:eastAsia="Times New Roman" w:hAnsi="Arial" w:cs="Arial"/>
                <w:b/>
                <w:bCs/>
                <w:sz w:val="19"/>
                <w:szCs w:val="19"/>
                <w:lang w:eastAsia="en-GB"/>
              </w:rPr>
              <w:t>3</w:t>
            </w:r>
          </w:p>
        </w:tc>
        <w:tc>
          <w:tcPr>
            <w:tcW w:w="1299" w:type="dxa"/>
            <w:shd w:val="clear" w:color="auto" w:fill="auto"/>
            <w:noWrap/>
            <w:hideMark/>
          </w:tcPr>
          <w:p w14:paraId="2DD1B596" w14:textId="77777777" w:rsidR="00FE64E5" w:rsidRPr="00FE64E5" w:rsidRDefault="00FE64E5" w:rsidP="00FE64E5">
            <w:pPr>
              <w:pBdr>
                <w:top w:val="single" w:sz="4" w:space="0" w:color="auto"/>
                <w:bottom w:val="single" w:sz="4" w:space="0" w:color="auto"/>
              </w:pBdr>
              <w:tabs>
                <w:tab w:val="right" w:pos="851"/>
              </w:tabs>
              <w:spacing w:before="40" w:after="40" w:line="240" w:lineRule="auto"/>
              <w:jc w:val="right"/>
              <w:rPr>
                <w:rFonts w:ascii="Arial" w:eastAsia="Times New Roman" w:hAnsi="Arial" w:cs="Arial"/>
                <w:sz w:val="19"/>
                <w:szCs w:val="19"/>
                <w:lang w:eastAsia="en-GB"/>
              </w:rPr>
            </w:pPr>
            <w:r w:rsidRPr="00FE64E5">
              <w:rPr>
                <w:rFonts w:ascii="Arial" w:eastAsia="Times New Roman" w:hAnsi="Arial" w:cs="Arial"/>
                <w:bCs/>
                <w:sz w:val="19"/>
                <w:szCs w:val="19"/>
                <w:lang w:eastAsia="en-GB"/>
              </w:rPr>
              <w:tab/>
              <w:t>206,367</w:t>
            </w:r>
          </w:p>
        </w:tc>
      </w:tr>
      <w:tr w:rsidR="00FE64E5" w:rsidRPr="00FE64E5" w14:paraId="47355DE9" w14:textId="77777777" w:rsidTr="006647C2">
        <w:trPr>
          <w:cantSplit/>
        </w:trPr>
        <w:tc>
          <w:tcPr>
            <w:tcW w:w="3114" w:type="dxa"/>
            <w:shd w:val="clear" w:color="auto" w:fill="auto"/>
            <w:noWrap/>
          </w:tcPr>
          <w:p w14:paraId="09FA6EB9" w14:textId="77777777" w:rsidR="00FE64E5" w:rsidRPr="00543D10" w:rsidRDefault="00FE64E5" w:rsidP="00FE64E5">
            <w:pPr>
              <w:spacing w:before="40" w:after="40" w:line="240" w:lineRule="auto"/>
              <w:rPr>
                <w:rFonts w:ascii="Arial" w:eastAsia="Times New Roman" w:hAnsi="Arial" w:cs="Arial"/>
                <w:sz w:val="19"/>
                <w:szCs w:val="19"/>
                <w:lang w:eastAsia="en-GB"/>
              </w:rPr>
            </w:pPr>
            <w:r w:rsidRPr="00543D10">
              <w:rPr>
                <w:rFonts w:ascii="Arial" w:eastAsia="Times New Roman" w:hAnsi="Arial" w:cs="Arial"/>
                <w:b/>
                <w:bCs/>
                <w:sz w:val="19"/>
                <w:szCs w:val="19"/>
                <w:lang w:eastAsia="en-GB"/>
              </w:rPr>
              <w:t>Expenditure on:</w:t>
            </w:r>
          </w:p>
        </w:tc>
        <w:tc>
          <w:tcPr>
            <w:tcW w:w="714" w:type="dxa"/>
            <w:shd w:val="clear" w:color="auto" w:fill="auto"/>
            <w:noWrap/>
          </w:tcPr>
          <w:p w14:paraId="67765DF6" w14:textId="77777777" w:rsidR="00FE64E5" w:rsidRPr="00543D10" w:rsidRDefault="00FE64E5" w:rsidP="00FE64E5">
            <w:pPr>
              <w:spacing w:before="40" w:after="40" w:line="240" w:lineRule="auto"/>
              <w:rPr>
                <w:rFonts w:ascii="Arial" w:eastAsia="Times New Roman" w:hAnsi="Arial" w:cs="Arial"/>
                <w:sz w:val="19"/>
                <w:szCs w:val="19"/>
                <w:lang w:eastAsia="en-GB"/>
              </w:rPr>
            </w:pPr>
          </w:p>
        </w:tc>
        <w:tc>
          <w:tcPr>
            <w:tcW w:w="1298" w:type="dxa"/>
            <w:shd w:val="clear" w:color="auto" w:fill="auto"/>
            <w:noWrap/>
          </w:tcPr>
          <w:p w14:paraId="42FF8D65" w14:textId="77777777" w:rsidR="00FE64E5" w:rsidRPr="00543D10" w:rsidRDefault="00FE64E5" w:rsidP="00FE64E5">
            <w:pPr>
              <w:tabs>
                <w:tab w:val="right" w:pos="851"/>
              </w:tabs>
              <w:spacing w:before="40" w:after="40" w:line="240" w:lineRule="auto"/>
              <w:jc w:val="right"/>
              <w:rPr>
                <w:rFonts w:ascii="Arial" w:eastAsia="Times New Roman" w:hAnsi="Arial" w:cs="Arial"/>
                <w:sz w:val="19"/>
                <w:szCs w:val="19"/>
                <w:lang w:eastAsia="en-GB"/>
              </w:rPr>
            </w:pPr>
          </w:p>
        </w:tc>
        <w:tc>
          <w:tcPr>
            <w:tcW w:w="1298" w:type="dxa"/>
            <w:shd w:val="clear" w:color="auto" w:fill="auto"/>
            <w:noWrap/>
          </w:tcPr>
          <w:p w14:paraId="60E02C2A" w14:textId="77777777" w:rsidR="00FE64E5" w:rsidRPr="00543D10" w:rsidRDefault="00FE64E5" w:rsidP="00FE64E5">
            <w:pPr>
              <w:tabs>
                <w:tab w:val="right" w:pos="851"/>
              </w:tabs>
              <w:spacing w:before="40" w:after="40" w:line="240" w:lineRule="auto"/>
              <w:jc w:val="right"/>
              <w:rPr>
                <w:rFonts w:ascii="Arial" w:eastAsia="Times New Roman" w:hAnsi="Arial" w:cs="Arial"/>
                <w:sz w:val="19"/>
                <w:szCs w:val="19"/>
                <w:lang w:eastAsia="en-GB"/>
              </w:rPr>
            </w:pPr>
          </w:p>
        </w:tc>
        <w:tc>
          <w:tcPr>
            <w:tcW w:w="1298" w:type="dxa"/>
            <w:shd w:val="clear" w:color="auto" w:fill="auto"/>
            <w:noWrap/>
          </w:tcPr>
          <w:p w14:paraId="130B243F" w14:textId="77777777" w:rsidR="00FE64E5" w:rsidRPr="00543D10" w:rsidRDefault="00FE64E5" w:rsidP="00FE64E5">
            <w:pPr>
              <w:tabs>
                <w:tab w:val="right" w:pos="851"/>
              </w:tabs>
              <w:spacing w:before="40" w:after="40" w:line="240" w:lineRule="auto"/>
              <w:jc w:val="right"/>
              <w:rPr>
                <w:rFonts w:ascii="Arial" w:eastAsia="Times New Roman" w:hAnsi="Arial" w:cs="Arial"/>
                <w:b/>
                <w:bCs/>
                <w:sz w:val="19"/>
                <w:szCs w:val="19"/>
                <w:lang w:eastAsia="en-GB"/>
              </w:rPr>
            </w:pPr>
          </w:p>
        </w:tc>
        <w:tc>
          <w:tcPr>
            <w:tcW w:w="1299" w:type="dxa"/>
            <w:shd w:val="clear" w:color="auto" w:fill="auto"/>
            <w:noWrap/>
          </w:tcPr>
          <w:p w14:paraId="2D7A4853" w14:textId="77777777" w:rsidR="00FE64E5" w:rsidRPr="00FE64E5" w:rsidRDefault="00FE64E5" w:rsidP="00FE64E5">
            <w:pPr>
              <w:tabs>
                <w:tab w:val="right" w:pos="851"/>
              </w:tabs>
              <w:spacing w:before="40" w:after="40" w:line="240" w:lineRule="auto"/>
              <w:jc w:val="right"/>
              <w:rPr>
                <w:rFonts w:ascii="Arial" w:eastAsia="Times New Roman" w:hAnsi="Arial" w:cs="Arial"/>
                <w:sz w:val="19"/>
                <w:szCs w:val="19"/>
                <w:lang w:eastAsia="en-GB"/>
              </w:rPr>
            </w:pPr>
          </w:p>
        </w:tc>
      </w:tr>
      <w:tr w:rsidR="00FE64E5" w:rsidRPr="00FE64E5" w14:paraId="4816E1DA" w14:textId="77777777" w:rsidTr="006647C2">
        <w:trPr>
          <w:cantSplit/>
        </w:trPr>
        <w:tc>
          <w:tcPr>
            <w:tcW w:w="3114" w:type="dxa"/>
            <w:shd w:val="clear" w:color="auto" w:fill="auto"/>
            <w:noWrap/>
            <w:hideMark/>
          </w:tcPr>
          <w:p w14:paraId="6560919A" w14:textId="77777777" w:rsidR="00FE64E5" w:rsidRPr="00543D10" w:rsidRDefault="00FE64E5" w:rsidP="00FE64E5">
            <w:pPr>
              <w:spacing w:before="40" w:after="40" w:line="240" w:lineRule="auto"/>
              <w:rPr>
                <w:rFonts w:ascii="Arial" w:eastAsia="Times New Roman" w:hAnsi="Arial" w:cs="Arial"/>
                <w:sz w:val="19"/>
                <w:szCs w:val="19"/>
                <w:lang w:eastAsia="en-GB"/>
              </w:rPr>
            </w:pPr>
            <w:r w:rsidRPr="00543D10">
              <w:rPr>
                <w:rFonts w:ascii="Arial" w:eastAsia="Times New Roman" w:hAnsi="Arial" w:cs="Arial"/>
                <w:sz w:val="19"/>
                <w:szCs w:val="19"/>
                <w:lang w:eastAsia="en-GB"/>
              </w:rPr>
              <w:t>Raising funds</w:t>
            </w:r>
          </w:p>
        </w:tc>
        <w:tc>
          <w:tcPr>
            <w:tcW w:w="714" w:type="dxa"/>
            <w:shd w:val="clear" w:color="auto" w:fill="auto"/>
            <w:noWrap/>
            <w:hideMark/>
          </w:tcPr>
          <w:p w14:paraId="44BEB89B" w14:textId="77777777" w:rsidR="00FE64E5" w:rsidRPr="00543D10" w:rsidRDefault="00FE64E5" w:rsidP="00FE64E5">
            <w:pPr>
              <w:spacing w:before="40" w:after="40" w:line="240" w:lineRule="auto"/>
              <w:rPr>
                <w:rFonts w:ascii="Arial" w:eastAsia="Times New Roman" w:hAnsi="Arial" w:cs="Arial"/>
                <w:sz w:val="19"/>
                <w:szCs w:val="19"/>
                <w:lang w:eastAsia="en-GB"/>
              </w:rPr>
            </w:pPr>
            <w:r w:rsidRPr="00543D10">
              <w:rPr>
                <w:rFonts w:ascii="Arial" w:eastAsia="Times New Roman" w:hAnsi="Arial" w:cs="Arial"/>
                <w:sz w:val="19"/>
                <w:szCs w:val="19"/>
                <w:lang w:eastAsia="en-GB"/>
              </w:rPr>
              <w:t>2</w:t>
            </w:r>
          </w:p>
        </w:tc>
        <w:tc>
          <w:tcPr>
            <w:tcW w:w="1298" w:type="dxa"/>
            <w:shd w:val="clear" w:color="auto" w:fill="auto"/>
            <w:noWrap/>
          </w:tcPr>
          <w:p w14:paraId="63BCEF38" w14:textId="77777777" w:rsidR="00FE64E5" w:rsidRPr="00543D10" w:rsidRDefault="00AF39AA" w:rsidP="00FE64E5">
            <w:pPr>
              <w:tabs>
                <w:tab w:val="right" w:pos="851"/>
              </w:tabs>
              <w:spacing w:before="40" w:after="40" w:line="240" w:lineRule="auto"/>
              <w:jc w:val="right"/>
              <w:rPr>
                <w:rFonts w:ascii="Arial" w:eastAsia="Times New Roman" w:hAnsi="Arial" w:cs="Arial"/>
                <w:sz w:val="19"/>
                <w:szCs w:val="19"/>
                <w:lang w:eastAsia="en-GB"/>
              </w:rPr>
            </w:pPr>
            <w:r>
              <w:rPr>
                <w:rFonts w:ascii="Arial" w:eastAsia="Times New Roman" w:hAnsi="Arial" w:cs="Arial"/>
                <w:sz w:val="19"/>
                <w:szCs w:val="19"/>
                <w:lang w:eastAsia="en-GB"/>
              </w:rPr>
              <w:t>(3,804</w:t>
            </w:r>
            <w:r w:rsidR="007B2031">
              <w:rPr>
                <w:rFonts w:ascii="Arial" w:eastAsia="Times New Roman" w:hAnsi="Arial" w:cs="Arial"/>
                <w:sz w:val="19"/>
                <w:szCs w:val="19"/>
                <w:lang w:eastAsia="en-GB"/>
              </w:rPr>
              <w:t>)</w:t>
            </w:r>
          </w:p>
        </w:tc>
        <w:tc>
          <w:tcPr>
            <w:tcW w:w="1298" w:type="dxa"/>
            <w:shd w:val="clear" w:color="auto" w:fill="auto"/>
            <w:noWrap/>
          </w:tcPr>
          <w:p w14:paraId="62321A2C" w14:textId="77777777" w:rsidR="00FE64E5" w:rsidRPr="00543D10" w:rsidRDefault="007B2031" w:rsidP="00FE64E5">
            <w:pPr>
              <w:tabs>
                <w:tab w:val="right" w:pos="851"/>
              </w:tabs>
              <w:spacing w:before="40" w:after="40" w:line="240" w:lineRule="auto"/>
              <w:jc w:val="right"/>
              <w:rPr>
                <w:rFonts w:ascii="Arial" w:eastAsia="Times New Roman" w:hAnsi="Arial" w:cs="Arial"/>
                <w:sz w:val="19"/>
                <w:szCs w:val="19"/>
                <w:lang w:eastAsia="en-GB"/>
              </w:rPr>
            </w:pPr>
            <w:r>
              <w:rPr>
                <w:rFonts w:ascii="Arial" w:eastAsia="Times New Roman" w:hAnsi="Arial" w:cs="Arial"/>
                <w:sz w:val="19"/>
                <w:szCs w:val="19"/>
                <w:lang w:eastAsia="en-GB"/>
              </w:rPr>
              <w:t>-</w:t>
            </w:r>
          </w:p>
        </w:tc>
        <w:tc>
          <w:tcPr>
            <w:tcW w:w="1298" w:type="dxa"/>
            <w:shd w:val="clear" w:color="auto" w:fill="auto"/>
            <w:noWrap/>
          </w:tcPr>
          <w:p w14:paraId="3722FA3A" w14:textId="77777777" w:rsidR="00FE64E5" w:rsidRPr="00543D10" w:rsidRDefault="00AF39AA" w:rsidP="00FE64E5">
            <w:pPr>
              <w:tabs>
                <w:tab w:val="right" w:pos="851"/>
              </w:tabs>
              <w:spacing w:before="40" w:after="40" w:line="240" w:lineRule="auto"/>
              <w:jc w:val="right"/>
              <w:rPr>
                <w:rFonts w:ascii="Arial" w:eastAsia="Times New Roman" w:hAnsi="Arial" w:cs="Arial"/>
                <w:b/>
                <w:bCs/>
                <w:sz w:val="19"/>
                <w:szCs w:val="19"/>
                <w:lang w:eastAsia="en-GB"/>
              </w:rPr>
            </w:pPr>
            <w:r>
              <w:rPr>
                <w:rFonts w:ascii="Arial" w:eastAsia="Times New Roman" w:hAnsi="Arial" w:cs="Arial"/>
                <w:b/>
                <w:bCs/>
                <w:sz w:val="19"/>
                <w:szCs w:val="19"/>
                <w:lang w:eastAsia="en-GB"/>
              </w:rPr>
              <w:t>(3,804)</w:t>
            </w:r>
          </w:p>
        </w:tc>
        <w:tc>
          <w:tcPr>
            <w:tcW w:w="1299" w:type="dxa"/>
            <w:shd w:val="clear" w:color="auto" w:fill="auto"/>
            <w:noWrap/>
            <w:hideMark/>
          </w:tcPr>
          <w:p w14:paraId="53E660A8" w14:textId="77777777" w:rsidR="00FE64E5" w:rsidRPr="00FE64E5" w:rsidRDefault="00FE64E5" w:rsidP="00FE64E5">
            <w:pPr>
              <w:tabs>
                <w:tab w:val="right" w:pos="851"/>
              </w:tabs>
              <w:spacing w:before="40" w:after="40" w:line="240" w:lineRule="auto"/>
              <w:jc w:val="right"/>
              <w:rPr>
                <w:rFonts w:ascii="Arial" w:eastAsia="Times New Roman" w:hAnsi="Arial" w:cs="Arial"/>
                <w:sz w:val="19"/>
                <w:szCs w:val="19"/>
                <w:lang w:eastAsia="en-GB"/>
              </w:rPr>
            </w:pPr>
            <w:r w:rsidRPr="00FE64E5">
              <w:rPr>
                <w:rFonts w:ascii="Arial" w:eastAsia="Times New Roman" w:hAnsi="Arial" w:cs="Arial"/>
                <w:bCs/>
                <w:sz w:val="19"/>
                <w:szCs w:val="19"/>
                <w:lang w:eastAsia="en-GB"/>
              </w:rPr>
              <w:tab/>
              <w:t>(5,290)</w:t>
            </w:r>
          </w:p>
        </w:tc>
      </w:tr>
      <w:tr w:rsidR="00FE64E5" w:rsidRPr="00FE64E5" w14:paraId="5675ACDA" w14:textId="77777777" w:rsidTr="006647C2">
        <w:trPr>
          <w:cantSplit/>
        </w:trPr>
        <w:tc>
          <w:tcPr>
            <w:tcW w:w="3114" w:type="dxa"/>
            <w:shd w:val="clear" w:color="auto" w:fill="auto"/>
            <w:noWrap/>
          </w:tcPr>
          <w:p w14:paraId="30E3335A" w14:textId="77777777" w:rsidR="00FE64E5" w:rsidRPr="00543D10" w:rsidRDefault="00FE64E5" w:rsidP="00FE64E5">
            <w:pPr>
              <w:spacing w:before="40" w:after="40" w:line="240" w:lineRule="auto"/>
              <w:rPr>
                <w:rFonts w:ascii="Arial" w:eastAsia="Times New Roman" w:hAnsi="Arial" w:cs="Arial"/>
                <w:sz w:val="19"/>
                <w:szCs w:val="19"/>
                <w:lang w:eastAsia="en-GB"/>
              </w:rPr>
            </w:pPr>
            <w:r w:rsidRPr="00543D10">
              <w:rPr>
                <w:rFonts w:ascii="Arial" w:eastAsia="Times New Roman" w:hAnsi="Arial" w:cs="Arial"/>
                <w:sz w:val="19"/>
                <w:szCs w:val="19"/>
                <w:lang w:eastAsia="en-GB"/>
              </w:rPr>
              <w:t>Goodwill Impairment</w:t>
            </w:r>
          </w:p>
        </w:tc>
        <w:tc>
          <w:tcPr>
            <w:tcW w:w="714" w:type="dxa"/>
            <w:shd w:val="clear" w:color="auto" w:fill="auto"/>
            <w:noWrap/>
          </w:tcPr>
          <w:p w14:paraId="1735BE4B" w14:textId="77777777" w:rsidR="00FE64E5" w:rsidRPr="00543D10" w:rsidRDefault="00FE64E5" w:rsidP="00FE64E5">
            <w:pPr>
              <w:spacing w:before="40" w:after="40" w:line="240" w:lineRule="auto"/>
              <w:rPr>
                <w:rFonts w:ascii="Arial" w:eastAsia="Times New Roman" w:hAnsi="Arial" w:cs="Arial"/>
                <w:sz w:val="19"/>
                <w:szCs w:val="19"/>
                <w:lang w:eastAsia="en-GB"/>
              </w:rPr>
            </w:pPr>
            <w:r w:rsidRPr="00543D10">
              <w:rPr>
                <w:rFonts w:ascii="Arial" w:eastAsia="Times New Roman" w:hAnsi="Arial" w:cs="Arial"/>
                <w:sz w:val="19"/>
                <w:szCs w:val="19"/>
                <w:lang w:eastAsia="en-GB"/>
              </w:rPr>
              <w:t>7</w:t>
            </w:r>
          </w:p>
        </w:tc>
        <w:tc>
          <w:tcPr>
            <w:tcW w:w="1298" w:type="dxa"/>
            <w:shd w:val="clear" w:color="auto" w:fill="auto"/>
            <w:noWrap/>
          </w:tcPr>
          <w:p w14:paraId="03D1F860" w14:textId="77777777" w:rsidR="00FE64E5" w:rsidRPr="00543D10" w:rsidRDefault="007B2031" w:rsidP="00FE64E5">
            <w:pPr>
              <w:tabs>
                <w:tab w:val="right" w:pos="851"/>
              </w:tabs>
              <w:spacing w:before="40" w:after="40" w:line="240" w:lineRule="auto"/>
              <w:jc w:val="right"/>
              <w:rPr>
                <w:rFonts w:ascii="Arial" w:eastAsia="Times New Roman" w:hAnsi="Arial" w:cs="Arial"/>
                <w:sz w:val="19"/>
                <w:szCs w:val="19"/>
                <w:lang w:eastAsia="en-GB"/>
              </w:rPr>
            </w:pPr>
            <w:r>
              <w:rPr>
                <w:rFonts w:ascii="Arial" w:eastAsia="Times New Roman" w:hAnsi="Arial" w:cs="Arial"/>
                <w:sz w:val="19"/>
                <w:szCs w:val="19"/>
                <w:lang w:eastAsia="en-GB"/>
              </w:rPr>
              <w:t>-</w:t>
            </w:r>
          </w:p>
        </w:tc>
        <w:tc>
          <w:tcPr>
            <w:tcW w:w="1298" w:type="dxa"/>
            <w:shd w:val="clear" w:color="auto" w:fill="auto"/>
            <w:noWrap/>
          </w:tcPr>
          <w:p w14:paraId="29322609" w14:textId="77777777" w:rsidR="00FE64E5" w:rsidRPr="00543D10" w:rsidRDefault="007B2031" w:rsidP="00FE64E5">
            <w:pPr>
              <w:tabs>
                <w:tab w:val="right" w:pos="851"/>
              </w:tabs>
              <w:spacing w:before="40" w:after="40" w:line="240" w:lineRule="auto"/>
              <w:jc w:val="right"/>
              <w:rPr>
                <w:rFonts w:ascii="Arial" w:eastAsia="Times New Roman" w:hAnsi="Arial" w:cs="Arial"/>
                <w:sz w:val="19"/>
                <w:szCs w:val="19"/>
                <w:lang w:eastAsia="en-GB"/>
              </w:rPr>
            </w:pPr>
            <w:r>
              <w:rPr>
                <w:rFonts w:ascii="Arial" w:eastAsia="Times New Roman" w:hAnsi="Arial" w:cs="Arial"/>
                <w:sz w:val="19"/>
                <w:szCs w:val="19"/>
                <w:lang w:eastAsia="en-GB"/>
              </w:rPr>
              <w:t>-</w:t>
            </w:r>
          </w:p>
        </w:tc>
        <w:tc>
          <w:tcPr>
            <w:tcW w:w="1298" w:type="dxa"/>
            <w:shd w:val="clear" w:color="auto" w:fill="auto"/>
            <w:noWrap/>
          </w:tcPr>
          <w:p w14:paraId="03E9F2BA" w14:textId="77777777" w:rsidR="00FE64E5" w:rsidRPr="00543D10" w:rsidRDefault="007B2031" w:rsidP="00FE64E5">
            <w:pPr>
              <w:tabs>
                <w:tab w:val="right" w:pos="851"/>
              </w:tabs>
              <w:spacing w:before="40" w:after="40" w:line="240" w:lineRule="auto"/>
              <w:jc w:val="right"/>
              <w:rPr>
                <w:rFonts w:ascii="Arial" w:eastAsia="Times New Roman" w:hAnsi="Arial" w:cs="Arial"/>
                <w:b/>
                <w:bCs/>
                <w:sz w:val="19"/>
                <w:szCs w:val="19"/>
                <w:lang w:eastAsia="en-GB"/>
              </w:rPr>
            </w:pPr>
            <w:r>
              <w:rPr>
                <w:rFonts w:ascii="Arial" w:eastAsia="Times New Roman" w:hAnsi="Arial" w:cs="Arial"/>
                <w:b/>
                <w:bCs/>
                <w:sz w:val="19"/>
                <w:szCs w:val="19"/>
                <w:lang w:eastAsia="en-GB"/>
              </w:rPr>
              <w:t>-</w:t>
            </w:r>
          </w:p>
        </w:tc>
        <w:tc>
          <w:tcPr>
            <w:tcW w:w="1299" w:type="dxa"/>
            <w:shd w:val="clear" w:color="auto" w:fill="auto"/>
            <w:noWrap/>
          </w:tcPr>
          <w:p w14:paraId="411179AD" w14:textId="77777777" w:rsidR="00FE64E5" w:rsidRPr="00FE64E5" w:rsidRDefault="00FE64E5" w:rsidP="00FE64E5">
            <w:pPr>
              <w:tabs>
                <w:tab w:val="right" w:pos="851"/>
              </w:tabs>
              <w:spacing w:before="40" w:after="40" w:line="240" w:lineRule="auto"/>
              <w:jc w:val="right"/>
              <w:rPr>
                <w:rFonts w:ascii="Arial" w:eastAsia="Times New Roman" w:hAnsi="Arial" w:cs="Arial"/>
                <w:sz w:val="19"/>
                <w:szCs w:val="19"/>
                <w:lang w:eastAsia="en-GB"/>
              </w:rPr>
            </w:pPr>
            <w:r w:rsidRPr="00FE64E5">
              <w:rPr>
                <w:rFonts w:ascii="Arial" w:eastAsia="Times New Roman" w:hAnsi="Arial" w:cs="Arial"/>
                <w:bCs/>
                <w:sz w:val="19"/>
                <w:szCs w:val="19"/>
                <w:lang w:eastAsia="en-GB"/>
              </w:rPr>
              <w:tab/>
              <w:t>(15,859)</w:t>
            </w:r>
          </w:p>
        </w:tc>
      </w:tr>
      <w:tr w:rsidR="00FE64E5" w:rsidRPr="00FE64E5" w14:paraId="4704FB70" w14:textId="77777777" w:rsidTr="006647C2">
        <w:trPr>
          <w:cantSplit/>
        </w:trPr>
        <w:tc>
          <w:tcPr>
            <w:tcW w:w="3114" w:type="dxa"/>
            <w:shd w:val="clear" w:color="auto" w:fill="auto"/>
            <w:noWrap/>
            <w:hideMark/>
          </w:tcPr>
          <w:p w14:paraId="7B74FA36" w14:textId="77777777" w:rsidR="00FE64E5" w:rsidRPr="00543D10" w:rsidRDefault="00FE64E5" w:rsidP="00FE64E5">
            <w:pPr>
              <w:spacing w:before="40" w:after="40" w:line="240" w:lineRule="auto"/>
              <w:rPr>
                <w:rFonts w:ascii="Arial" w:eastAsia="Times New Roman" w:hAnsi="Arial" w:cs="Arial"/>
                <w:sz w:val="19"/>
                <w:szCs w:val="19"/>
                <w:lang w:eastAsia="en-GB"/>
              </w:rPr>
            </w:pPr>
            <w:r w:rsidRPr="00543D10">
              <w:rPr>
                <w:rFonts w:ascii="Arial" w:eastAsia="Times New Roman" w:hAnsi="Arial" w:cs="Arial"/>
                <w:sz w:val="19"/>
                <w:szCs w:val="19"/>
                <w:lang w:eastAsia="en-GB"/>
              </w:rPr>
              <w:t>Charitable activities</w:t>
            </w:r>
          </w:p>
        </w:tc>
        <w:tc>
          <w:tcPr>
            <w:tcW w:w="714" w:type="dxa"/>
            <w:shd w:val="clear" w:color="auto" w:fill="auto"/>
            <w:noWrap/>
            <w:hideMark/>
          </w:tcPr>
          <w:p w14:paraId="51AFF3B6" w14:textId="77777777" w:rsidR="00FE64E5" w:rsidRPr="00543D10" w:rsidRDefault="00FE64E5" w:rsidP="00FE64E5">
            <w:pPr>
              <w:spacing w:before="40" w:after="40" w:line="240" w:lineRule="auto"/>
              <w:rPr>
                <w:rFonts w:ascii="Arial" w:eastAsia="Times New Roman" w:hAnsi="Arial" w:cs="Arial"/>
                <w:sz w:val="19"/>
                <w:szCs w:val="19"/>
                <w:lang w:eastAsia="en-GB"/>
              </w:rPr>
            </w:pPr>
            <w:r w:rsidRPr="00543D10">
              <w:rPr>
                <w:rFonts w:ascii="Arial" w:eastAsia="Times New Roman" w:hAnsi="Arial" w:cs="Arial"/>
                <w:sz w:val="19"/>
                <w:szCs w:val="19"/>
                <w:lang w:eastAsia="en-GB"/>
              </w:rPr>
              <w:t>2</w:t>
            </w:r>
          </w:p>
        </w:tc>
        <w:tc>
          <w:tcPr>
            <w:tcW w:w="1298" w:type="dxa"/>
            <w:shd w:val="clear" w:color="auto" w:fill="auto"/>
            <w:noWrap/>
          </w:tcPr>
          <w:p w14:paraId="66255DF6" w14:textId="77777777" w:rsidR="00FE64E5" w:rsidRPr="00543D10" w:rsidRDefault="00357915" w:rsidP="00FE64E5">
            <w:pPr>
              <w:tabs>
                <w:tab w:val="right" w:pos="851"/>
              </w:tabs>
              <w:spacing w:before="40" w:after="40" w:line="240" w:lineRule="auto"/>
              <w:jc w:val="right"/>
              <w:rPr>
                <w:rFonts w:ascii="Arial" w:eastAsia="Times New Roman" w:hAnsi="Arial" w:cs="Arial"/>
                <w:sz w:val="19"/>
                <w:szCs w:val="19"/>
                <w:lang w:eastAsia="en-GB"/>
              </w:rPr>
            </w:pPr>
            <w:r>
              <w:rPr>
                <w:rFonts w:ascii="Arial" w:eastAsia="Times New Roman" w:hAnsi="Arial" w:cs="Arial"/>
                <w:sz w:val="19"/>
                <w:szCs w:val="19"/>
                <w:lang w:eastAsia="en-GB"/>
              </w:rPr>
              <w:t>(</w:t>
            </w:r>
            <w:r w:rsidR="008B1315">
              <w:rPr>
                <w:rFonts w:ascii="Arial" w:eastAsia="Times New Roman" w:hAnsi="Arial" w:cs="Arial"/>
                <w:sz w:val="19"/>
                <w:szCs w:val="19"/>
                <w:lang w:eastAsia="en-GB"/>
              </w:rPr>
              <w:t>131,64</w:t>
            </w:r>
            <w:r w:rsidR="00AF39AA">
              <w:rPr>
                <w:rFonts w:ascii="Arial" w:eastAsia="Times New Roman" w:hAnsi="Arial" w:cs="Arial"/>
                <w:sz w:val="19"/>
                <w:szCs w:val="19"/>
                <w:lang w:eastAsia="en-GB"/>
              </w:rPr>
              <w:t>5</w:t>
            </w:r>
            <w:r w:rsidR="007B2031">
              <w:rPr>
                <w:rFonts w:ascii="Arial" w:eastAsia="Times New Roman" w:hAnsi="Arial" w:cs="Arial"/>
                <w:sz w:val="19"/>
                <w:szCs w:val="19"/>
                <w:lang w:eastAsia="en-GB"/>
              </w:rPr>
              <w:t>)</w:t>
            </w:r>
          </w:p>
        </w:tc>
        <w:tc>
          <w:tcPr>
            <w:tcW w:w="1298" w:type="dxa"/>
            <w:shd w:val="clear" w:color="auto" w:fill="auto"/>
            <w:noWrap/>
          </w:tcPr>
          <w:p w14:paraId="4292A632" w14:textId="77777777" w:rsidR="00FE64E5" w:rsidRPr="00543D10" w:rsidRDefault="007B2031">
            <w:pPr>
              <w:tabs>
                <w:tab w:val="right" w:pos="851"/>
              </w:tabs>
              <w:spacing w:before="40" w:after="40" w:line="240" w:lineRule="auto"/>
              <w:jc w:val="right"/>
              <w:rPr>
                <w:rFonts w:ascii="Arial" w:eastAsia="Times New Roman" w:hAnsi="Arial" w:cs="Arial"/>
                <w:sz w:val="19"/>
                <w:szCs w:val="19"/>
                <w:lang w:eastAsia="en-GB"/>
              </w:rPr>
            </w:pPr>
            <w:r>
              <w:rPr>
                <w:rFonts w:ascii="Arial" w:eastAsia="Times New Roman" w:hAnsi="Arial" w:cs="Arial"/>
                <w:sz w:val="19"/>
                <w:szCs w:val="19"/>
                <w:lang w:eastAsia="en-GB"/>
              </w:rPr>
              <w:t>(82,08</w:t>
            </w:r>
            <w:r w:rsidR="00520478">
              <w:rPr>
                <w:rFonts w:ascii="Arial" w:eastAsia="Times New Roman" w:hAnsi="Arial" w:cs="Arial"/>
                <w:sz w:val="19"/>
                <w:szCs w:val="19"/>
                <w:lang w:eastAsia="en-GB"/>
              </w:rPr>
              <w:t>4</w:t>
            </w:r>
            <w:r>
              <w:rPr>
                <w:rFonts w:ascii="Arial" w:eastAsia="Times New Roman" w:hAnsi="Arial" w:cs="Arial"/>
                <w:sz w:val="19"/>
                <w:szCs w:val="19"/>
                <w:lang w:eastAsia="en-GB"/>
              </w:rPr>
              <w:t>)</w:t>
            </w:r>
          </w:p>
        </w:tc>
        <w:tc>
          <w:tcPr>
            <w:tcW w:w="1298" w:type="dxa"/>
            <w:shd w:val="clear" w:color="auto" w:fill="auto"/>
            <w:noWrap/>
          </w:tcPr>
          <w:p w14:paraId="0EFEA15C" w14:textId="77777777" w:rsidR="00FE64E5" w:rsidRPr="00543D10" w:rsidRDefault="00AF39AA">
            <w:pPr>
              <w:tabs>
                <w:tab w:val="right" w:pos="851"/>
              </w:tabs>
              <w:spacing w:before="40" w:after="40" w:line="240" w:lineRule="auto"/>
              <w:jc w:val="right"/>
              <w:rPr>
                <w:rFonts w:ascii="Arial" w:eastAsia="Times New Roman" w:hAnsi="Arial" w:cs="Arial"/>
                <w:b/>
                <w:bCs/>
                <w:sz w:val="19"/>
                <w:szCs w:val="19"/>
                <w:lang w:eastAsia="en-GB"/>
              </w:rPr>
            </w:pPr>
            <w:r>
              <w:rPr>
                <w:rFonts w:ascii="Arial" w:eastAsia="Times New Roman" w:hAnsi="Arial" w:cs="Arial"/>
                <w:b/>
                <w:bCs/>
                <w:sz w:val="19"/>
                <w:szCs w:val="19"/>
                <w:lang w:eastAsia="en-GB"/>
              </w:rPr>
              <w:t>(213,72</w:t>
            </w:r>
            <w:r w:rsidR="00520478">
              <w:rPr>
                <w:rFonts w:ascii="Arial" w:eastAsia="Times New Roman" w:hAnsi="Arial" w:cs="Arial"/>
                <w:b/>
                <w:bCs/>
                <w:sz w:val="19"/>
                <w:szCs w:val="19"/>
                <w:lang w:eastAsia="en-GB"/>
              </w:rPr>
              <w:t>9</w:t>
            </w:r>
            <w:r w:rsidR="007B2031">
              <w:rPr>
                <w:rFonts w:ascii="Arial" w:eastAsia="Times New Roman" w:hAnsi="Arial" w:cs="Arial"/>
                <w:b/>
                <w:bCs/>
                <w:sz w:val="19"/>
                <w:szCs w:val="19"/>
                <w:lang w:eastAsia="en-GB"/>
              </w:rPr>
              <w:t>)</w:t>
            </w:r>
          </w:p>
        </w:tc>
        <w:tc>
          <w:tcPr>
            <w:tcW w:w="1299" w:type="dxa"/>
            <w:shd w:val="clear" w:color="auto" w:fill="auto"/>
            <w:noWrap/>
            <w:hideMark/>
          </w:tcPr>
          <w:p w14:paraId="59810E0D" w14:textId="77777777" w:rsidR="00FE64E5" w:rsidRPr="00FE64E5" w:rsidRDefault="00FE64E5" w:rsidP="00FE64E5">
            <w:pPr>
              <w:tabs>
                <w:tab w:val="right" w:pos="851"/>
              </w:tabs>
              <w:spacing w:before="40" w:after="40" w:line="240" w:lineRule="auto"/>
              <w:jc w:val="right"/>
              <w:rPr>
                <w:rFonts w:ascii="Arial" w:eastAsia="Times New Roman" w:hAnsi="Arial" w:cs="Arial"/>
                <w:sz w:val="19"/>
                <w:szCs w:val="19"/>
                <w:lang w:eastAsia="en-GB"/>
              </w:rPr>
            </w:pPr>
            <w:r w:rsidRPr="00FE64E5">
              <w:rPr>
                <w:rFonts w:ascii="Arial" w:eastAsia="Times New Roman" w:hAnsi="Arial" w:cs="Arial"/>
                <w:bCs/>
                <w:sz w:val="19"/>
                <w:szCs w:val="19"/>
                <w:lang w:eastAsia="en-GB"/>
              </w:rPr>
              <w:tab/>
              <w:t>(203,65</w:t>
            </w:r>
            <w:r w:rsidR="00520478">
              <w:rPr>
                <w:rFonts w:ascii="Arial" w:eastAsia="Times New Roman" w:hAnsi="Arial" w:cs="Arial"/>
                <w:bCs/>
                <w:sz w:val="19"/>
                <w:szCs w:val="19"/>
                <w:lang w:eastAsia="en-GB"/>
              </w:rPr>
              <w:t>3</w:t>
            </w:r>
            <w:r w:rsidRPr="00FE64E5">
              <w:rPr>
                <w:rFonts w:ascii="Arial" w:eastAsia="Times New Roman" w:hAnsi="Arial" w:cs="Arial"/>
                <w:bCs/>
                <w:sz w:val="19"/>
                <w:szCs w:val="19"/>
                <w:lang w:eastAsia="en-GB"/>
              </w:rPr>
              <w:t>)</w:t>
            </w:r>
          </w:p>
        </w:tc>
      </w:tr>
      <w:tr w:rsidR="00FE64E5" w:rsidRPr="00FE64E5" w14:paraId="5F9575B0" w14:textId="77777777" w:rsidTr="006647C2">
        <w:trPr>
          <w:cantSplit/>
        </w:trPr>
        <w:tc>
          <w:tcPr>
            <w:tcW w:w="3114" w:type="dxa"/>
            <w:shd w:val="clear" w:color="auto" w:fill="auto"/>
            <w:noWrap/>
            <w:hideMark/>
          </w:tcPr>
          <w:p w14:paraId="252ED50D" w14:textId="77777777" w:rsidR="00FE64E5" w:rsidRPr="00543D10" w:rsidRDefault="00FE64E5" w:rsidP="00FE64E5">
            <w:pPr>
              <w:spacing w:before="40" w:after="40" w:line="240" w:lineRule="auto"/>
              <w:rPr>
                <w:rFonts w:ascii="Arial" w:eastAsia="Times New Roman" w:hAnsi="Arial" w:cs="Arial"/>
                <w:b/>
                <w:bCs/>
                <w:sz w:val="19"/>
                <w:szCs w:val="19"/>
                <w:lang w:eastAsia="en-GB"/>
              </w:rPr>
            </w:pPr>
            <w:r w:rsidRPr="00543D10">
              <w:rPr>
                <w:rFonts w:ascii="Arial" w:eastAsia="Times New Roman" w:hAnsi="Arial" w:cs="Arial"/>
                <w:b/>
                <w:bCs/>
                <w:sz w:val="19"/>
                <w:szCs w:val="19"/>
                <w:lang w:eastAsia="en-GB"/>
              </w:rPr>
              <w:t>Total resources expended</w:t>
            </w:r>
          </w:p>
        </w:tc>
        <w:tc>
          <w:tcPr>
            <w:tcW w:w="714" w:type="dxa"/>
            <w:shd w:val="clear" w:color="auto" w:fill="auto"/>
            <w:noWrap/>
            <w:hideMark/>
          </w:tcPr>
          <w:p w14:paraId="10B013A4" w14:textId="77777777" w:rsidR="00FE64E5" w:rsidRPr="00543D10" w:rsidRDefault="00FE64E5" w:rsidP="00FE64E5">
            <w:pPr>
              <w:spacing w:before="40" w:after="40" w:line="240" w:lineRule="auto"/>
              <w:rPr>
                <w:rFonts w:ascii="Arial" w:eastAsia="Times New Roman" w:hAnsi="Arial" w:cs="Arial"/>
                <w:b/>
                <w:bCs/>
                <w:sz w:val="19"/>
                <w:szCs w:val="19"/>
                <w:lang w:eastAsia="en-GB"/>
              </w:rPr>
            </w:pPr>
          </w:p>
        </w:tc>
        <w:tc>
          <w:tcPr>
            <w:tcW w:w="1298" w:type="dxa"/>
            <w:shd w:val="clear" w:color="auto" w:fill="auto"/>
            <w:noWrap/>
          </w:tcPr>
          <w:p w14:paraId="4DEE2BBB" w14:textId="77777777" w:rsidR="00FE64E5" w:rsidRPr="00543D10" w:rsidRDefault="007B2031" w:rsidP="00357915">
            <w:pPr>
              <w:pBdr>
                <w:top w:val="single" w:sz="4" w:space="1" w:color="auto"/>
                <w:bottom w:val="single" w:sz="4" w:space="1" w:color="auto"/>
              </w:pBdr>
              <w:tabs>
                <w:tab w:val="right" w:pos="851"/>
              </w:tabs>
              <w:spacing w:before="40" w:after="40" w:line="240" w:lineRule="auto"/>
              <w:jc w:val="right"/>
              <w:rPr>
                <w:rFonts w:ascii="Arial" w:eastAsia="Times New Roman" w:hAnsi="Arial" w:cs="Arial"/>
                <w:sz w:val="19"/>
                <w:szCs w:val="19"/>
                <w:lang w:eastAsia="en-GB"/>
              </w:rPr>
            </w:pPr>
            <w:r>
              <w:rPr>
                <w:rFonts w:ascii="Arial" w:eastAsia="Times New Roman" w:hAnsi="Arial" w:cs="Arial"/>
                <w:sz w:val="19"/>
                <w:szCs w:val="19"/>
                <w:lang w:eastAsia="en-GB"/>
              </w:rPr>
              <w:t>(</w:t>
            </w:r>
            <w:r w:rsidR="00F32FF6">
              <w:rPr>
                <w:rFonts w:ascii="Arial" w:eastAsia="Times New Roman" w:hAnsi="Arial" w:cs="Arial"/>
                <w:sz w:val="19"/>
                <w:szCs w:val="19"/>
                <w:lang w:eastAsia="en-GB"/>
              </w:rPr>
              <w:t>135,449</w:t>
            </w:r>
            <w:r>
              <w:rPr>
                <w:rFonts w:ascii="Arial" w:eastAsia="Times New Roman" w:hAnsi="Arial" w:cs="Arial"/>
                <w:sz w:val="19"/>
                <w:szCs w:val="19"/>
                <w:lang w:eastAsia="en-GB"/>
              </w:rPr>
              <w:t>)</w:t>
            </w:r>
          </w:p>
        </w:tc>
        <w:tc>
          <w:tcPr>
            <w:tcW w:w="1298" w:type="dxa"/>
            <w:shd w:val="clear" w:color="auto" w:fill="auto"/>
            <w:noWrap/>
          </w:tcPr>
          <w:p w14:paraId="451084C4" w14:textId="77777777" w:rsidR="00FE64E5" w:rsidRPr="00543D10" w:rsidRDefault="00357915">
            <w:pPr>
              <w:pBdr>
                <w:top w:val="single" w:sz="4" w:space="1" w:color="auto"/>
                <w:bottom w:val="single" w:sz="4" w:space="1" w:color="auto"/>
              </w:pBdr>
              <w:tabs>
                <w:tab w:val="right" w:pos="851"/>
              </w:tabs>
              <w:spacing w:before="40" w:after="40" w:line="240" w:lineRule="auto"/>
              <w:jc w:val="right"/>
              <w:rPr>
                <w:rFonts w:ascii="Arial" w:eastAsia="Times New Roman" w:hAnsi="Arial" w:cs="Arial"/>
                <w:sz w:val="19"/>
                <w:szCs w:val="19"/>
                <w:lang w:eastAsia="en-GB"/>
              </w:rPr>
            </w:pPr>
            <w:r>
              <w:rPr>
                <w:rFonts w:ascii="Arial" w:eastAsia="Times New Roman" w:hAnsi="Arial" w:cs="Arial"/>
                <w:sz w:val="19"/>
                <w:szCs w:val="19"/>
                <w:lang w:eastAsia="en-GB"/>
              </w:rPr>
              <w:t>(82,08</w:t>
            </w:r>
            <w:r w:rsidR="00520478">
              <w:rPr>
                <w:rFonts w:ascii="Arial" w:eastAsia="Times New Roman" w:hAnsi="Arial" w:cs="Arial"/>
                <w:sz w:val="19"/>
                <w:szCs w:val="19"/>
                <w:lang w:eastAsia="en-GB"/>
              </w:rPr>
              <w:t>4</w:t>
            </w:r>
            <w:r>
              <w:rPr>
                <w:rFonts w:ascii="Arial" w:eastAsia="Times New Roman" w:hAnsi="Arial" w:cs="Arial"/>
                <w:sz w:val="19"/>
                <w:szCs w:val="19"/>
                <w:lang w:eastAsia="en-GB"/>
              </w:rPr>
              <w:t>)</w:t>
            </w:r>
          </w:p>
        </w:tc>
        <w:tc>
          <w:tcPr>
            <w:tcW w:w="1298" w:type="dxa"/>
            <w:shd w:val="clear" w:color="auto" w:fill="auto"/>
            <w:noWrap/>
          </w:tcPr>
          <w:p w14:paraId="25C23942" w14:textId="77777777" w:rsidR="00FE64E5" w:rsidRPr="00543D10" w:rsidRDefault="00F32FF6">
            <w:pPr>
              <w:pBdr>
                <w:top w:val="single" w:sz="4" w:space="1" w:color="auto"/>
                <w:bottom w:val="single" w:sz="4" w:space="1" w:color="auto"/>
              </w:pBdr>
              <w:tabs>
                <w:tab w:val="right" w:pos="851"/>
              </w:tabs>
              <w:spacing w:before="40" w:after="40" w:line="240" w:lineRule="auto"/>
              <w:jc w:val="right"/>
              <w:rPr>
                <w:rFonts w:ascii="Arial" w:eastAsia="Times New Roman" w:hAnsi="Arial" w:cs="Arial"/>
                <w:b/>
                <w:bCs/>
                <w:sz w:val="19"/>
                <w:szCs w:val="19"/>
                <w:lang w:eastAsia="en-GB"/>
              </w:rPr>
            </w:pPr>
            <w:r>
              <w:rPr>
                <w:rFonts w:ascii="Arial" w:eastAsia="Times New Roman" w:hAnsi="Arial" w:cs="Arial"/>
                <w:b/>
                <w:bCs/>
                <w:sz w:val="19"/>
                <w:szCs w:val="19"/>
                <w:lang w:eastAsia="en-GB"/>
              </w:rPr>
              <w:t>(217,5</w:t>
            </w:r>
            <w:r w:rsidR="00520478">
              <w:rPr>
                <w:rFonts w:ascii="Arial" w:eastAsia="Times New Roman" w:hAnsi="Arial" w:cs="Arial"/>
                <w:b/>
                <w:bCs/>
                <w:sz w:val="19"/>
                <w:szCs w:val="19"/>
                <w:lang w:eastAsia="en-GB"/>
              </w:rPr>
              <w:t>33</w:t>
            </w:r>
            <w:r w:rsidR="00357915">
              <w:rPr>
                <w:rFonts w:ascii="Arial" w:eastAsia="Times New Roman" w:hAnsi="Arial" w:cs="Arial"/>
                <w:b/>
                <w:bCs/>
                <w:sz w:val="19"/>
                <w:szCs w:val="19"/>
                <w:lang w:eastAsia="en-GB"/>
              </w:rPr>
              <w:t>)</w:t>
            </w:r>
          </w:p>
        </w:tc>
        <w:tc>
          <w:tcPr>
            <w:tcW w:w="1299" w:type="dxa"/>
            <w:shd w:val="clear" w:color="auto" w:fill="auto"/>
            <w:noWrap/>
            <w:hideMark/>
          </w:tcPr>
          <w:p w14:paraId="271B5B97" w14:textId="77777777" w:rsidR="00FE64E5" w:rsidRPr="00FE64E5" w:rsidRDefault="00FE64E5" w:rsidP="00FE64E5">
            <w:pPr>
              <w:pBdr>
                <w:top w:val="single" w:sz="4" w:space="1" w:color="auto"/>
                <w:bottom w:val="single" w:sz="4" w:space="1" w:color="auto"/>
              </w:pBdr>
              <w:tabs>
                <w:tab w:val="right" w:pos="851"/>
              </w:tabs>
              <w:spacing w:before="40" w:after="40" w:line="240" w:lineRule="auto"/>
              <w:jc w:val="right"/>
              <w:rPr>
                <w:rFonts w:ascii="Arial" w:eastAsia="Times New Roman" w:hAnsi="Arial" w:cs="Arial"/>
                <w:sz w:val="19"/>
                <w:szCs w:val="19"/>
                <w:lang w:eastAsia="en-GB"/>
              </w:rPr>
            </w:pPr>
            <w:r w:rsidRPr="00FE64E5">
              <w:rPr>
                <w:rFonts w:ascii="Arial" w:eastAsia="Times New Roman" w:hAnsi="Arial" w:cs="Arial"/>
                <w:bCs/>
                <w:sz w:val="19"/>
                <w:szCs w:val="19"/>
                <w:lang w:eastAsia="en-GB"/>
              </w:rPr>
              <w:tab/>
              <w:t>(224,</w:t>
            </w:r>
            <w:r w:rsidR="00520478">
              <w:rPr>
                <w:rFonts w:ascii="Arial" w:eastAsia="Times New Roman" w:hAnsi="Arial" w:cs="Arial"/>
                <w:bCs/>
                <w:sz w:val="19"/>
                <w:szCs w:val="19"/>
                <w:lang w:eastAsia="en-GB"/>
              </w:rPr>
              <w:t>802</w:t>
            </w:r>
            <w:r w:rsidRPr="00FE64E5">
              <w:rPr>
                <w:rFonts w:ascii="Arial" w:eastAsia="Times New Roman" w:hAnsi="Arial" w:cs="Arial"/>
                <w:bCs/>
                <w:sz w:val="19"/>
                <w:szCs w:val="19"/>
                <w:lang w:eastAsia="en-GB"/>
              </w:rPr>
              <w:t>)</w:t>
            </w:r>
          </w:p>
        </w:tc>
      </w:tr>
      <w:tr w:rsidR="00FE64E5" w:rsidRPr="00FE64E5" w14:paraId="59EBC6A2" w14:textId="77777777" w:rsidTr="006647C2">
        <w:trPr>
          <w:cantSplit/>
        </w:trPr>
        <w:tc>
          <w:tcPr>
            <w:tcW w:w="3114" w:type="dxa"/>
            <w:shd w:val="clear" w:color="auto" w:fill="auto"/>
            <w:noWrap/>
          </w:tcPr>
          <w:p w14:paraId="03D0C5DF" w14:textId="77777777" w:rsidR="00FE64E5" w:rsidRPr="00543D10" w:rsidRDefault="00FE64E5" w:rsidP="00FE64E5">
            <w:pPr>
              <w:spacing w:before="40" w:after="40" w:line="240" w:lineRule="auto"/>
              <w:outlineLvl w:val="0"/>
              <w:rPr>
                <w:rFonts w:ascii="Arial" w:eastAsia="Times New Roman" w:hAnsi="Arial" w:cs="Arial"/>
                <w:sz w:val="19"/>
                <w:szCs w:val="19"/>
                <w:lang w:eastAsia="en-GB"/>
              </w:rPr>
            </w:pPr>
          </w:p>
        </w:tc>
        <w:tc>
          <w:tcPr>
            <w:tcW w:w="714" w:type="dxa"/>
            <w:shd w:val="clear" w:color="auto" w:fill="auto"/>
            <w:noWrap/>
          </w:tcPr>
          <w:p w14:paraId="7B43A2D2" w14:textId="77777777" w:rsidR="00FE64E5" w:rsidRPr="00543D10" w:rsidRDefault="00FE64E5" w:rsidP="00FE64E5">
            <w:pPr>
              <w:spacing w:before="40" w:after="40" w:line="240" w:lineRule="auto"/>
              <w:outlineLvl w:val="0"/>
              <w:rPr>
                <w:rFonts w:ascii="Arial" w:eastAsia="Times New Roman" w:hAnsi="Arial" w:cs="Arial"/>
                <w:sz w:val="19"/>
                <w:szCs w:val="19"/>
                <w:lang w:eastAsia="en-GB"/>
              </w:rPr>
            </w:pPr>
          </w:p>
        </w:tc>
        <w:tc>
          <w:tcPr>
            <w:tcW w:w="1298" w:type="dxa"/>
            <w:shd w:val="clear" w:color="auto" w:fill="auto"/>
            <w:noWrap/>
          </w:tcPr>
          <w:p w14:paraId="6CCA55F0" w14:textId="77777777" w:rsidR="00FE64E5" w:rsidRPr="00543D10" w:rsidRDefault="00FE64E5" w:rsidP="00FE64E5">
            <w:pPr>
              <w:tabs>
                <w:tab w:val="right" w:pos="851"/>
              </w:tabs>
              <w:spacing w:before="40" w:after="40" w:line="240" w:lineRule="auto"/>
              <w:jc w:val="right"/>
              <w:outlineLvl w:val="0"/>
              <w:rPr>
                <w:rFonts w:ascii="Arial" w:eastAsia="Times New Roman" w:hAnsi="Arial" w:cs="Arial"/>
                <w:sz w:val="19"/>
                <w:szCs w:val="19"/>
                <w:lang w:eastAsia="en-GB"/>
              </w:rPr>
            </w:pPr>
          </w:p>
        </w:tc>
        <w:tc>
          <w:tcPr>
            <w:tcW w:w="1298" w:type="dxa"/>
            <w:shd w:val="clear" w:color="auto" w:fill="auto"/>
            <w:noWrap/>
          </w:tcPr>
          <w:p w14:paraId="294FB793" w14:textId="77777777" w:rsidR="00FE64E5" w:rsidRPr="00543D10" w:rsidRDefault="00FE64E5" w:rsidP="00FE64E5">
            <w:pPr>
              <w:tabs>
                <w:tab w:val="right" w:pos="851"/>
              </w:tabs>
              <w:spacing w:before="40" w:after="40" w:line="240" w:lineRule="auto"/>
              <w:jc w:val="right"/>
              <w:outlineLvl w:val="0"/>
              <w:rPr>
                <w:rFonts w:ascii="Arial" w:eastAsia="Times New Roman" w:hAnsi="Arial" w:cs="Arial"/>
                <w:sz w:val="19"/>
                <w:szCs w:val="19"/>
                <w:lang w:eastAsia="en-GB"/>
              </w:rPr>
            </w:pPr>
          </w:p>
        </w:tc>
        <w:tc>
          <w:tcPr>
            <w:tcW w:w="1298" w:type="dxa"/>
            <w:shd w:val="clear" w:color="auto" w:fill="auto"/>
            <w:noWrap/>
          </w:tcPr>
          <w:p w14:paraId="72423EB8" w14:textId="77777777" w:rsidR="00FE64E5" w:rsidRPr="00543D10" w:rsidRDefault="00FE64E5" w:rsidP="00FE64E5">
            <w:pPr>
              <w:tabs>
                <w:tab w:val="right" w:pos="851"/>
              </w:tabs>
              <w:spacing w:before="40" w:after="40" w:line="240" w:lineRule="auto"/>
              <w:jc w:val="right"/>
              <w:outlineLvl w:val="0"/>
              <w:rPr>
                <w:rFonts w:ascii="Arial" w:eastAsia="Times New Roman" w:hAnsi="Arial" w:cs="Arial"/>
                <w:sz w:val="19"/>
                <w:szCs w:val="19"/>
                <w:lang w:eastAsia="en-GB"/>
              </w:rPr>
            </w:pPr>
          </w:p>
        </w:tc>
        <w:tc>
          <w:tcPr>
            <w:tcW w:w="1299" w:type="dxa"/>
            <w:shd w:val="clear" w:color="auto" w:fill="auto"/>
            <w:noWrap/>
          </w:tcPr>
          <w:p w14:paraId="726CFB26" w14:textId="77777777" w:rsidR="00FE64E5" w:rsidRPr="00FE64E5" w:rsidRDefault="00FE64E5" w:rsidP="00FE64E5">
            <w:pPr>
              <w:tabs>
                <w:tab w:val="right" w:pos="851"/>
              </w:tabs>
              <w:spacing w:before="40" w:after="40" w:line="240" w:lineRule="auto"/>
              <w:jc w:val="right"/>
              <w:outlineLvl w:val="0"/>
              <w:rPr>
                <w:rFonts w:ascii="Arial" w:eastAsia="Times New Roman" w:hAnsi="Arial" w:cs="Arial"/>
                <w:sz w:val="19"/>
                <w:szCs w:val="19"/>
                <w:lang w:eastAsia="en-GB"/>
              </w:rPr>
            </w:pPr>
          </w:p>
        </w:tc>
      </w:tr>
      <w:tr w:rsidR="00FE64E5" w:rsidRPr="00FE64E5" w14:paraId="1D403BCB" w14:textId="77777777" w:rsidTr="006647C2">
        <w:trPr>
          <w:cantSplit/>
        </w:trPr>
        <w:tc>
          <w:tcPr>
            <w:tcW w:w="3114" w:type="dxa"/>
            <w:shd w:val="clear" w:color="auto" w:fill="auto"/>
            <w:noWrap/>
            <w:hideMark/>
          </w:tcPr>
          <w:p w14:paraId="453008FF" w14:textId="77777777" w:rsidR="00FE64E5" w:rsidRPr="00543D10" w:rsidRDefault="00FE64E5" w:rsidP="00FE64E5">
            <w:pPr>
              <w:spacing w:before="40" w:after="40" w:line="240" w:lineRule="auto"/>
              <w:rPr>
                <w:rFonts w:ascii="Arial" w:eastAsia="Times New Roman" w:hAnsi="Arial" w:cs="Arial"/>
                <w:b/>
                <w:bCs/>
                <w:sz w:val="19"/>
                <w:szCs w:val="19"/>
                <w:lang w:eastAsia="en-GB"/>
              </w:rPr>
            </w:pPr>
            <w:r w:rsidRPr="00543D10">
              <w:rPr>
                <w:rFonts w:ascii="Arial" w:eastAsia="Times New Roman" w:hAnsi="Arial" w:cs="Arial"/>
                <w:b/>
                <w:bCs/>
                <w:sz w:val="19"/>
                <w:szCs w:val="19"/>
                <w:lang w:eastAsia="en-GB"/>
              </w:rPr>
              <w:t>Net (expenditure) / income</w:t>
            </w:r>
          </w:p>
        </w:tc>
        <w:tc>
          <w:tcPr>
            <w:tcW w:w="714" w:type="dxa"/>
            <w:shd w:val="clear" w:color="auto" w:fill="auto"/>
            <w:noWrap/>
            <w:hideMark/>
          </w:tcPr>
          <w:p w14:paraId="5ED5F7CD" w14:textId="77777777" w:rsidR="00FE64E5" w:rsidRPr="00543D10" w:rsidRDefault="00FE64E5" w:rsidP="00FE64E5">
            <w:pPr>
              <w:spacing w:before="40" w:after="40" w:line="240" w:lineRule="auto"/>
              <w:rPr>
                <w:rFonts w:ascii="Arial" w:eastAsia="Times New Roman" w:hAnsi="Arial" w:cs="Arial"/>
                <w:b/>
                <w:bCs/>
                <w:sz w:val="19"/>
                <w:szCs w:val="19"/>
                <w:lang w:eastAsia="en-GB"/>
              </w:rPr>
            </w:pPr>
          </w:p>
        </w:tc>
        <w:tc>
          <w:tcPr>
            <w:tcW w:w="1298" w:type="dxa"/>
            <w:shd w:val="clear" w:color="auto" w:fill="auto"/>
            <w:noWrap/>
          </w:tcPr>
          <w:p w14:paraId="51905328" w14:textId="77777777" w:rsidR="00FE64E5" w:rsidRPr="006647C2" w:rsidRDefault="00357915">
            <w:pPr>
              <w:pBdr>
                <w:top w:val="single" w:sz="4" w:space="1" w:color="auto"/>
                <w:bottom w:val="single" w:sz="4" w:space="1" w:color="auto"/>
              </w:pBdr>
              <w:tabs>
                <w:tab w:val="right" w:pos="851"/>
              </w:tabs>
              <w:spacing w:before="40" w:after="40" w:line="240" w:lineRule="auto"/>
              <w:jc w:val="right"/>
              <w:rPr>
                <w:rFonts w:ascii="Arial" w:eastAsia="Times New Roman" w:hAnsi="Arial" w:cs="Arial"/>
                <w:bCs/>
                <w:sz w:val="19"/>
                <w:szCs w:val="19"/>
                <w:lang w:eastAsia="en-GB"/>
              </w:rPr>
            </w:pPr>
            <w:r>
              <w:rPr>
                <w:rFonts w:ascii="Arial" w:eastAsia="Times New Roman" w:hAnsi="Arial" w:cs="Arial"/>
                <w:bCs/>
                <w:sz w:val="19"/>
                <w:szCs w:val="19"/>
                <w:lang w:eastAsia="en-GB"/>
              </w:rPr>
              <w:t>(</w:t>
            </w:r>
            <w:r w:rsidR="00F32FF6">
              <w:rPr>
                <w:rFonts w:ascii="Arial" w:eastAsia="Times New Roman" w:hAnsi="Arial" w:cs="Arial"/>
                <w:bCs/>
                <w:sz w:val="19"/>
                <w:szCs w:val="19"/>
                <w:lang w:eastAsia="en-GB"/>
              </w:rPr>
              <w:t>15,510</w:t>
            </w:r>
            <w:r w:rsidR="00586A6C" w:rsidRPr="006647C2">
              <w:rPr>
                <w:rFonts w:ascii="Arial" w:eastAsia="Times New Roman" w:hAnsi="Arial" w:cs="Arial"/>
                <w:bCs/>
                <w:sz w:val="19"/>
                <w:szCs w:val="19"/>
                <w:lang w:eastAsia="en-GB"/>
              </w:rPr>
              <w:t>)</w:t>
            </w:r>
          </w:p>
        </w:tc>
        <w:tc>
          <w:tcPr>
            <w:tcW w:w="1298" w:type="dxa"/>
            <w:shd w:val="clear" w:color="auto" w:fill="auto"/>
            <w:noWrap/>
          </w:tcPr>
          <w:p w14:paraId="28D2FDA6" w14:textId="77777777" w:rsidR="00FE64E5" w:rsidRPr="00543D10" w:rsidRDefault="00674252" w:rsidP="00FE64E5">
            <w:pPr>
              <w:pBdr>
                <w:top w:val="single" w:sz="4" w:space="1" w:color="auto"/>
                <w:bottom w:val="single" w:sz="4" w:space="1" w:color="auto"/>
              </w:pBdr>
              <w:tabs>
                <w:tab w:val="right" w:pos="851"/>
              </w:tabs>
              <w:spacing w:before="40" w:after="40" w:line="240" w:lineRule="auto"/>
              <w:jc w:val="right"/>
              <w:rPr>
                <w:rFonts w:ascii="Arial" w:eastAsia="Times New Roman" w:hAnsi="Arial" w:cs="Arial"/>
                <w:bCs/>
                <w:sz w:val="19"/>
                <w:szCs w:val="19"/>
                <w:lang w:eastAsia="en-GB"/>
              </w:rPr>
            </w:pPr>
            <w:r>
              <w:rPr>
                <w:rFonts w:ascii="Arial" w:eastAsia="Times New Roman" w:hAnsi="Arial" w:cs="Arial"/>
                <w:bCs/>
                <w:sz w:val="19"/>
                <w:szCs w:val="19"/>
                <w:lang w:eastAsia="en-GB"/>
              </w:rPr>
              <w:t>21,10</w:t>
            </w:r>
            <w:r w:rsidR="00520478">
              <w:rPr>
                <w:rFonts w:ascii="Arial" w:eastAsia="Times New Roman" w:hAnsi="Arial" w:cs="Arial"/>
                <w:bCs/>
                <w:sz w:val="19"/>
                <w:szCs w:val="19"/>
                <w:lang w:eastAsia="en-GB"/>
              </w:rPr>
              <w:t>0</w:t>
            </w:r>
          </w:p>
        </w:tc>
        <w:tc>
          <w:tcPr>
            <w:tcW w:w="1298" w:type="dxa"/>
            <w:shd w:val="clear" w:color="auto" w:fill="auto"/>
            <w:noWrap/>
          </w:tcPr>
          <w:p w14:paraId="41599429" w14:textId="77777777" w:rsidR="00FE64E5" w:rsidRPr="00543D10" w:rsidRDefault="00674252">
            <w:pPr>
              <w:pBdr>
                <w:top w:val="single" w:sz="4" w:space="1" w:color="auto"/>
                <w:bottom w:val="single" w:sz="4" w:space="1" w:color="auto"/>
              </w:pBdr>
              <w:tabs>
                <w:tab w:val="right" w:pos="851"/>
              </w:tabs>
              <w:spacing w:before="40" w:after="40" w:line="240" w:lineRule="auto"/>
              <w:jc w:val="right"/>
              <w:rPr>
                <w:rFonts w:ascii="Arial" w:eastAsia="Times New Roman" w:hAnsi="Arial" w:cs="Arial"/>
                <w:b/>
                <w:bCs/>
                <w:sz w:val="19"/>
                <w:szCs w:val="19"/>
                <w:lang w:eastAsia="en-GB"/>
              </w:rPr>
            </w:pPr>
            <w:r>
              <w:rPr>
                <w:rFonts w:ascii="Arial" w:eastAsia="Times New Roman" w:hAnsi="Arial" w:cs="Arial"/>
                <w:b/>
                <w:bCs/>
                <w:sz w:val="19"/>
                <w:szCs w:val="19"/>
                <w:lang w:eastAsia="en-GB"/>
              </w:rPr>
              <w:t>5,59</w:t>
            </w:r>
            <w:r w:rsidR="00520478">
              <w:rPr>
                <w:rFonts w:ascii="Arial" w:eastAsia="Times New Roman" w:hAnsi="Arial" w:cs="Arial"/>
                <w:b/>
                <w:bCs/>
                <w:sz w:val="19"/>
                <w:szCs w:val="19"/>
                <w:lang w:eastAsia="en-GB"/>
              </w:rPr>
              <w:t>0</w:t>
            </w:r>
          </w:p>
        </w:tc>
        <w:tc>
          <w:tcPr>
            <w:tcW w:w="1299" w:type="dxa"/>
            <w:shd w:val="clear" w:color="auto" w:fill="auto"/>
            <w:noWrap/>
            <w:hideMark/>
          </w:tcPr>
          <w:p w14:paraId="2495ADFB" w14:textId="77777777" w:rsidR="00FE64E5" w:rsidRPr="00FE64E5" w:rsidRDefault="00FE64E5" w:rsidP="00FE64E5">
            <w:pPr>
              <w:pBdr>
                <w:top w:val="single" w:sz="4" w:space="1" w:color="auto"/>
                <w:bottom w:val="single" w:sz="4" w:space="1" w:color="auto"/>
              </w:pBdr>
              <w:tabs>
                <w:tab w:val="right" w:pos="851"/>
              </w:tabs>
              <w:spacing w:before="40" w:after="40" w:line="240" w:lineRule="auto"/>
              <w:jc w:val="right"/>
              <w:rPr>
                <w:rFonts w:ascii="Arial" w:eastAsia="Times New Roman" w:hAnsi="Arial" w:cs="Arial"/>
                <w:bCs/>
                <w:sz w:val="19"/>
                <w:szCs w:val="19"/>
                <w:lang w:eastAsia="en-GB"/>
              </w:rPr>
            </w:pPr>
            <w:r w:rsidRPr="00FE64E5">
              <w:rPr>
                <w:rFonts w:ascii="Arial" w:eastAsia="Times New Roman" w:hAnsi="Arial" w:cs="Arial"/>
                <w:bCs/>
                <w:sz w:val="19"/>
                <w:szCs w:val="19"/>
                <w:lang w:eastAsia="en-GB"/>
              </w:rPr>
              <w:tab/>
              <w:t>(18,43</w:t>
            </w:r>
            <w:r w:rsidR="00520478">
              <w:rPr>
                <w:rFonts w:ascii="Arial" w:eastAsia="Times New Roman" w:hAnsi="Arial" w:cs="Arial"/>
                <w:bCs/>
                <w:sz w:val="19"/>
                <w:szCs w:val="19"/>
                <w:lang w:eastAsia="en-GB"/>
              </w:rPr>
              <w:t>5</w:t>
            </w:r>
            <w:r w:rsidRPr="00FE64E5">
              <w:rPr>
                <w:rFonts w:ascii="Arial" w:eastAsia="Times New Roman" w:hAnsi="Arial" w:cs="Arial"/>
                <w:bCs/>
                <w:sz w:val="19"/>
                <w:szCs w:val="19"/>
                <w:lang w:eastAsia="en-GB"/>
              </w:rPr>
              <w:t>)</w:t>
            </w:r>
          </w:p>
        </w:tc>
      </w:tr>
      <w:tr w:rsidR="002D07A2" w:rsidRPr="00FE64E5" w14:paraId="676036A8" w14:textId="77777777" w:rsidTr="007A24F4">
        <w:trPr>
          <w:cantSplit/>
        </w:trPr>
        <w:tc>
          <w:tcPr>
            <w:tcW w:w="3114" w:type="dxa"/>
            <w:shd w:val="clear" w:color="auto" w:fill="auto"/>
            <w:hideMark/>
          </w:tcPr>
          <w:p w14:paraId="4442AAC5" w14:textId="77777777" w:rsidR="002D07A2" w:rsidRPr="00543D10" w:rsidRDefault="002D07A2" w:rsidP="007A24F4">
            <w:pPr>
              <w:spacing w:before="40" w:after="40" w:line="240" w:lineRule="auto"/>
              <w:rPr>
                <w:rFonts w:ascii="Arial" w:eastAsia="Times New Roman" w:hAnsi="Arial" w:cs="Arial"/>
                <w:sz w:val="19"/>
                <w:szCs w:val="19"/>
                <w:lang w:eastAsia="en-GB"/>
              </w:rPr>
            </w:pPr>
            <w:r>
              <w:rPr>
                <w:rFonts w:ascii="Arial" w:eastAsia="Times New Roman" w:hAnsi="Arial" w:cs="Arial"/>
                <w:sz w:val="19"/>
                <w:szCs w:val="19"/>
                <w:lang w:eastAsia="en-GB"/>
              </w:rPr>
              <w:t>Net losses</w:t>
            </w:r>
            <w:r w:rsidRPr="00543D10">
              <w:rPr>
                <w:rFonts w:ascii="Arial" w:eastAsia="Times New Roman" w:hAnsi="Arial" w:cs="Arial"/>
                <w:sz w:val="19"/>
                <w:szCs w:val="19"/>
                <w:lang w:eastAsia="en-GB"/>
              </w:rPr>
              <w:t xml:space="preserve"> on Fixed Asset investments</w:t>
            </w:r>
          </w:p>
        </w:tc>
        <w:tc>
          <w:tcPr>
            <w:tcW w:w="714" w:type="dxa"/>
            <w:shd w:val="clear" w:color="auto" w:fill="auto"/>
            <w:noWrap/>
            <w:hideMark/>
          </w:tcPr>
          <w:p w14:paraId="4C9E211B" w14:textId="77777777" w:rsidR="002D07A2" w:rsidRPr="00543D10" w:rsidRDefault="002D07A2" w:rsidP="007A24F4">
            <w:pPr>
              <w:spacing w:before="40" w:after="40" w:line="240" w:lineRule="auto"/>
              <w:rPr>
                <w:rFonts w:ascii="Arial" w:eastAsia="Times New Roman" w:hAnsi="Arial" w:cs="Arial"/>
                <w:sz w:val="19"/>
                <w:szCs w:val="19"/>
                <w:lang w:eastAsia="en-GB"/>
              </w:rPr>
            </w:pPr>
            <w:r w:rsidRPr="00543D10">
              <w:rPr>
                <w:rFonts w:ascii="Arial" w:eastAsia="Times New Roman" w:hAnsi="Arial" w:cs="Arial"/>
                <w:sz w:val="19"/>
                <w:szCs w:val="19"/>
                <w:lang w:eastAsia="en-GB"/>
              </w:rPr>
              <w:t>10</w:t>
            </w:r>
          </w:p>
        </w:tc>
        <w:tc>
          <w:tcPr>
            <w:tcW w:w="1298" w:type="dxa"/>
            <w:shd w:val="clear" w:color="auto" w:fill="auto"/>
            <w:noWrap/>
          </w:tcPr>
          <w:p w14:paraId="6968E4F8" w14:textId="77777777" w:rsidR="002D07A2" w:rsidRPr="00543D10" w:rsidRDefault="002D07A2" w:rsidP="007A24F4">
            <w:pPr>
              <w:tabs>
                <w:tab w:val="right" w:pos="851"/>
              </w:tabs>
              <w:spacing w:before="40" w:after="40" w:line="240" w:lineRule="auto"/>
              <w:jc w:val="right"/>
              <w:rPr>
                <w:rFonts w:ascii="Arial" w:eastAsia="Times New Roman" w:hAnsi="Arial" w:cs="Arial"/>
                <w:sz w:val="19"/>
                <w:szCs w:val="19"/>
                <w:lang w:eastAsia="en-GB"/>
              </w:rPr>
            </w:pPr>
            <w:r>
              <w:rPr>
                <w:rFonts w:ascii="Arial" w:eastAsia="Times New Roman" w:hAnsi="Arial" w:cs="Arial"/>
                <w:sz w:val="19"/>
                <w:szCs w:val="19"/>
                <w:lang w:eastAsia="en-GB"/>
              </w:rPr>
              <w:t>-</w:t>
            </w:r>
          </w:p>
        </w:tc>
        <w:tc>
          <w:tcPr>
            <w:tcW w:w="1298" w:type="dxa"/>
            <w:shd w:val="clear" w:color="auto" w:fill="auto"/>
            <w:noWrap/>
          </w:tcPr>
          <w:p w14:paraId="7824E7F7" w14:textId="77777777" w:rsidR="002D07A2" w:rsidRPr="00543D10" w:rsidRDefault="002D07A2" w:rsidP="007A24F4">
            <w:pPr>
              <w:tabs>
                <w:tab w:val="right" w:pos="851"/>
              </w:tabs>
              <w:spacing w:before="40" w:after="40" w:line="240" w:lineRule="auto"/>
              <w:jc w:val="right"/>
              <w:rPr>
                <w:rFonts w:ascii="Arial" w:eastAsia="Times New Roman" w:hAnsi="Arial" w:cs="Arial"/>
                <w:sz w:val="19"/>
                <w:szCs w:val="19"/>
                <w:lang w:eastAsia="en-GB"/>
              </w:rPr>
            </w:pPr>
            <w:r>
              <w:rPr>
                <w:rFonts w:ascii="Arial" w:eastAsia="Times New Roman" w:hAnsi="Arial" w:cs="Arial"/>
                <w:sz w:val="19"/>
                <w:szCs w:val="19"/>
                <w:lang w:eastAsia="en-GB"/>
              </w:rPr>
              <w:t>-</w:t>
            </w:r>
          </w:p>
        </w:tc>
        <w:tc>
          <w:tcPr>
            <w:tcW w:w="1298" w:type="dxa"/>
            <w:shd w:val="clear" w:color="auto" w:fill="auto"/>
            <w:noWrap/>
          </w:tcPr>
          <w:p w14:paraId="3AE3E1D2" w14:textId="77777777" w:rsidR="002D07A2" w:rsidRPr="00543D10" w:rsidRDefault="002D07A2" w:rsidP="007A24F4">
            <w:pPr>
              <w:tabs>
                <w:tab w:val="right" w:pos="851"/>
              </w:tabs>
              <w:spacing w:before="40" w:after="40" w:line="240" w:lineRule="auto"/>
              <w:jc w:val="right"/>
              <w:rPr>
                <w:rFonts w:ascii="Arial" w:eastAsia="Times New Roman" w:hAnsi="Arial" w:cs="Arial"/>
                <w:b/>
                <w:bCs/>
                <w:sz w:val="19"/>
                <w:szCs w:val="19"/>
                <w:lang w:eastAsia="en-GB"/>
              </w:rPr>
            </w:pPr>
            <w:r>
              <w:rPr>
                <w:rFonts w:ascii="Arial" w:eastAsia="Times New Roman" w:hAnsi="Arial" w:cs="Arial"/>
                <w:b/>
                <w:bCs/>
                <w:sz w:val="19"/>
                <w:szCs w:val="19"/>
                <w:lang w:eastAsia="en-GB"/>
              </w:rPr>
              <w:t>-</w:t>
            </w:r>
          </w:p>
        </w:tc>
        <w:tc>
          <w:tcPr>
            <w:tcW w:w="1299" w:type="dxa"/>
            <w:shd w:val="clear" w:color="auto" w:fill="auto"/>
            <w:noWrap/>
            <w:hideMark/>
          </w:tcPr>
          <w:p w14:paraId="535B0F21" w14:textId="77777777" w:rsidR="002D07A2" w:rsidRPr="00FE64E5" w:rsidRDefault="002D07A2" w:rsidP="007A24F4">
            <w:pPr>
              <w:tabs>
                <w:tab w:val="right" w:pos="851"/>
              </w:tabs>
              <w:spacing w:before="40" w:after="40" w:line="240" w:lineRule="auto"/>
              <w:jc w:val="right"/>
              <w:rPr>
                <w:rFonts w:ascii="Arial" w:eastAsia="Times New Roman" w:hAnsi="Arial" w:cs="Arial"/>
                <w:sz w:val="19"/>
                <w:szCs w:val="19"/>
                <w:lang w:eastAsia="en-GB"/>
              </w:rPr>
            </w:pPr>
            <w:r w:rsidRPr="00FE64E5">
              <w:rPr>
                <w:rFonts w:ascii="Arial" w:eastAsia="Times New Roman" w:hAnsi="Arial" w:cs="Arial"/>
                <w:bCs/>
                <w:sz w:val="19"/>
                <w:szCs w:val="19"/>
                <w:lang w:eastAsia="en-GB"/>
              </w:rPr>
              <w:t>(583)</w:t>
            </w:r>
          </w:p>
        </w:tc>
      </w:tr>
      <w:tr w:rsidR="00FE64E5" w:rsidRPr="00FE64E5" w14:paraId="708C202D" w14:textId="77777777" w:rsidTr="006647C2">
        <w:trPr>
          <w:cantSplit/>
        </w:trPr>
        <w:tc>
          <w:tcPr>
            <w:tcW w:w="3114" w:type="dxa"/>
            <w:shd w:val="clear" w:color="auto" w:fill="auto"/>
            <w:noWrap/>
            <w:hideMark/>
          </w:tcPr>
          <w:p w14:paraId="711DCAC8" w14:textId="77777777" w:rsidR="00FE64E5" w:rsidRPr="00543D10" w:rsidRDefault="00FE64E5" w:rsidP="00FE64E5">
            <w:pPr>
              <w:spacing w:before="40" w:after="40" w:line="240" w:lineRule="auto"/>
              <w:rPr>
                <w:rFonts w:ascii="Arial" w:eastAsia="Times New Roman" w:hAnsi="Arial" w:cs="Arial"/>
                <w:sz w:val="19"/>
                <w:szCs w:val="19"/>
                <w:lang w:eastAsia="en-GB"/>
              </w:rPr>
            </w:pPr>
            <w:r w:rsidRPr="00543D10">
              <w:rPr>
                <w:rFonts w:ascii="Arial" w:eastAsia="Times New Roman" w:hAnsi="Arial" w:cs="Arial"/>
                <w:sz w:val="19"/>
                <w:szCs w:val="19"/>
                <w:lang w:eastAsia="en-GB"/>
              </w:rPr>
              <w:t>Transfers between funds</w:t>
            </w:r>
          </w:p>
        </w:tc>
        <w:tc>
          <w:tcPr>
            <w:tcW w:w="714" w:type="dxa"/>
            <w:shd w:val="clear" w:color="auto" w:fill="auto"/>
            <w:noWrap/>
            <w:hideMark/>
          </w:tcPr>
          <w:p w14:paraId="1EF94F3F" w14:textId="77777777" w:rsidR="00FE64E5" w:rsidRPr="00543D10" w:rsidRDefault="00FE64E5" w:rsidP="00FE64E5">
            <w:pPr>
              <w:spacing w:before="40" w:after="40" w:line="240" w:lineRule="auto"/>
              <w:rPr>
                <w:rFonts w:ascii="Arial" w:eastAsia="Times New Roman" w:hAnsi="Arial" w:cs="Arial"/>
                <w:sz w:val="19"/>
                <w:szCs w:val="19"/>
                <w:lang w:eastAsia="en-GB"/>
              </w:rPr>
            </w:pPr>
            <w:r w:rsidRPr="00543D10">
              <w:rPr>
                <w:rFonts w:ascii="Arial" w:eastAsia="Times New Roman" w:hAnsi="Arial" w:cs="Arial"/>
                <w:sz w:val="19"/>
                <w:szCs w:val="19"/>
                <w:lang w:eastAsia="en-GB"/>
              </w:rPr>
              <w:t>18</w:t>
            </w:r>
          </w:p>
        </w:tc>
        <w:tc>
          <w:tcPr>
            <w:tcW w:w="1298" w:type="dxa"/>
            <w:shd w:val="clear" w:color="auto" w:fill="auto"/>
            <w:noWrap/>
          </w:tcPr>
          <w:p w14:paraId="5D61EFA3" w14:textId="77777777" w:rsidR="00FE64E5" w:rsidRPr="00543D10" w:rsidRDefault="00586A6C" w:rsidP="00FE64E5">
            <w:pPr>
              <w:tabs>
                <w:tab w:val="right" w:pos="851"/>
              </w:tabs>
              <w:spacing w:before="40" w:after="40" w:line="240" w:lineRule="auto"/>
              <w:jc w:val="right"/>
              <w:rPr>
                <w:rFonts w:ascii="Arial" w:eastAsia="Times New Roman" w:hAnsi="Arial" w:cs="Arial"/>
                <w:sz w:val="19"/>
                <w:szCs w:val="19"/>
                <w:lang w:eastAsia="en-GB"/>
              </w:rPr>
            </w:pPr>
            <w:r>
              <w:rPr>
                <w:rFonts w:ascii="Arial" w:eastAsia="Times New Roman" w:hAnsi="Arial" w:cs="Arial"/>
                <w:sz w:val="19"/>
                <w:szCs w:val="19"/>
                <w:lang w:eastAsia="en-GB"/>
              </w:rPr>
              <w:t>(353)</w:t>
            </w:r>
          </w:p>
        </w:tc>
        <w:tc>
          <w:tcPr>
            <w:tcW w:w="1298" w:type="dxa"/>
            <w:shd w:val="clear" w:color="auto" w:fill="auto"/>
            <w:noWrap/>
          </w:tcPr>
          <w:p w14:paraId="1133328F" w14:textId="77777777" w:rsidR="00FE64E5" w:rsidRPr="00543D10" w:rsidRDefault="00586A6C" w:rsidP="00FE64E5">
            <w:pPr>
              <w:tabs>
                <w:tab w:val="right" w:pos="851"/>
              </w:tabs>
              <w:spacing w:before="40" w:after="40" w:line="240" w:lineRule="auto"/>
              <w:jc w:val="right"/>
              <w:rPr>
                <w:rFonts w:ascii="Arial" w:eastAsia="Times New Roman" w:hAnsi="Arial" w:cs="Arial"/>
                <w:sz w:val="19"/>
                <w:szCs w:val="19"/>
                <w:lang w:eastAsia="en-GB"/>
              </w:rPr>
            </w:pPr>
            <w:r>
              <w:rPr>
                <w:rFonts w:ascii="Arial" w:eastAsia="Times New Roman" w:hAnsi="Arial" w:cs="Arial"/>
                <w:sz w:val="19"/>
                <w:szCs w:val="19"/>
                <w:lang w:eastAsia="en-GB"/>
              </w:rPr>
              <w:t>353</w:t>
            </w:r>
          </w:p>
        </w:tc>
        <w:tc>
          <w:tcPr>
            <w:tcW w:w="1298" w:type="dxa"/>
            <w:shd w:val="clear" w:color="auto" w:fill="auto"/>
            <w:noWrap/>
          </w:tcPr>
          <w:p w14:paraId="74275277" w14:textId="77777777" w:rsidR="00FE64E5" w:rsidRPr="00543D10" w:rsidRDefault="00FE64E5" w:rsidP="00FE64E5">
            <w:pPr>
              <w:tabs>
                <w:tab w:val="right" w:pos="851"/>
              </w:tabs>
              <w:spacing w:before="40" w:after="40" w:line="240" w:lineRule="auto"/>
              <w:jc w:val="right"/>
              <w:rPr>
                <w:rFonts w:ascii="Arial" w:eastAsia="Times New Roman" w:hAnsi="Arial" w:cs="Arial"/>
                <w:b/>
                <w:bCs/>
                <w:sz w:val="19"/>
                <w:szCs w:val="19"/>
                <w:lang w:eastAsia="en-GB"/>
              </w:rPr>
            </w:pPr>
            <w:r w:rsidRPr="00543D10">
              <w:rPr>
                <w:rFonts w:ascii="Arial" w:eastAsia="Times New Roman" w:hAnsi="Arial" w:cs="Arial"/>
                <w:b/>
                <w:bCs/>
                <w:sz w:val="19"/>
                <w:szCs w:val="19"/>
                <w:lang w:eastAsia="en-GB"/>
              </w:rPr>
              <w:t>-</w:t>
            </w:r>
          </w:p>
        </w:tc>
        <w:tc>
          <w:tcPr>
            <w:tcW w:w="1299" w:type="dxa"/>
            <w:shd w:val="clear" w:color="auto" w:fill="auto"/>
            <w:noWrap/>
            <w:hideMark/>
          </w:tcPr>
          <w:p w14:paraId="23939A1D" w14:textId="77777777" w:rsidR="00FE64E5" w:rsidRPr="00FE64E5" w:rsidRDefault="00FE64E5" w:rsidP="00FE64E5">
            <w:pPr>
              <w:tabs>
                <w:tab w:val="right" w:pos="851"/>
              </w:tabs>
              <w:spacing w:before="40" w:after="40" w:line="240" w:lineRule="auto"/>
              <w:jc w:val="right"/>
              <w:rPr>
                <w:rFonts w:ascii="Arial" w:eastAsia="Times New Roman" w:hAnsi="Arial" w:cs="Arial"/>
                <w:sz w:val="19"/>
                <w:szCs w:val="19"/>
                <w:lang w:eastAsia="en-GB"/>
              </w:rPr>
            </w:pPr>
            <w:r w:rsidRPr="00FE64E5">
              <w:rPr>
                <w:rFonts w:ascii="Arial" w:eastAsia="Times New Roman" w:hAnsi="Arial" w:cs="Arial"/>
                <w:bCs/>
                <w:sz w:val="19"/>
                <w:szCs w:val="19"/>
                <w:lang w:eastAsia="en-GB"/>
              </w:rPr>
              <w:t>-</w:t>
            </w:r>
          </w:p>
        </w:tc>
      </w:tr>
      <w:tr w:rsidR="00FE64E5" w:rsidRPr="00FE64E5" w14:paraId="0A077B67" w14:textId="77777777" w:rsidTr="006647C2">
        <w:trPr>
          <w:cantSplit/>
        </w:trPr>
        <w:tc>
          <w:tcPr>
            <w:tcW w:w="3114" w:type="dxa"/>
            <w:shd w:val="clear" w:color="auto" w:fill="auto"/>
            <w:noWrap/>
            <w:hideMark/>
          </w:tcPr>
          <w:p w14:paraId="4ABB4FCA" w14:textId="77777777" w:rsidR="00FE64E5" w:rsidRPr="00543D10" w:rsidRDefault="008B1315" w:rsidP="008B1315">
            <w:pPr>
              <w:spacing w:before="40" w:after="40" w:line="240" w:lineRule="auto"/>
              <w:rPr>
                <w:rFonts w:ascii="Arial" w:eastAsia="Times New Roman" w:hAnsi="Arial" w:cs="Arial"/>
                <w:b/>
                <w:bCs/>
                <w:sz w:val="19"/>
                <w:szCs w:val="19"/>
                <w:lang w:eastAsia="en-GB"/>
              </w:rPr>
            </w:pPr>
            <w:r>
              <w:rPr>
                <w:rFonts w:ascii="Arial" w:eastAsia="Times New Roman" w:hAnsi="Arial" w:cs="Arial"/>
                <w:b/>
                <w:bCs/>
                <w:sz w:val="19"/>
                <w:szCs w:val="19"/>
                <w:lang w:eastAsia="en-GB"/>
              </w:rPr>
              <w:t>Group n</w:t>
            </w:r>
            <w:r w:rsidR="00FE64E5" w:rsidRPr="00543D10">
              <w:rPr>
                <w:rFonts w:ascii="Arial" w:eastAsia="Times New Roman" w:hAnsi="Arial" w:cs="Arial"/>
                <w:b/>
                <w:bCs/>
                <w:sz w:val="19"/>
                <w:szCs w:val="19"/>
                <w:lang w:eastAsia="en-GB"/>
              </w:rPr>
              <w:t xml:space="preserve">et </w:t>
            </w:r>
            <w:r>
              <w:rPr>
                <w:rFonts w:ascii="Arial" w:eastAsia="Times New Roman" w:hAnsi="Arial" w:cs="Arial"/>
                <w:b/>
                <w:bCs/>
                <w:sz w:val="19"/>
                <w:szCs w:val="19"/>
                <w:lang w:eastAsia="en-GB"/>
              </w:rPr>
              <w:t>(expenditure) / i</w:t>
            </w:r>
            <w:r w:rsidR="00FE64E5" w:rsidRPr="00543D10">
              <w:rPr>
                <w:rFonts w:ascii="Arial" w:eastAsia="Times New Roman" w:hAnsi="Arial" w:cs="Arial"/>
                <w:b/>
                <w:bCs/>
                <w:sz w:val="19"/>
                <w:szCs w:val="19"/>
                <w:lang w:eastAsia="en-GB"/>
              </w:rPr>
              <w:t>ncome</w:t>
            </w:r>
          </w:p>
        </w:tc>
        <w:tc>
          <w:tcPr>
            <w:tcW w:w="714" w:type="dxa"/>
            <w:shd w:val="clear" w:color="auto" w:fill="auto"/>
            <w:noWrap/>
            <w:hideMark/>
          </w:tcPr>
          <w:p w14:paraId="0EF0D286" w14:textId="77777777" w:rsidR="00FE64E5" w:rsidRPr="00543D10" w:rsidRDefault="00FE64E5" w:rsidP="00FE64E5">
            <w:pPr>
              <w:spacing w:before="40" w:after="40" w:line="240" w:lineRule="auto"/>
              <w:rPr>
                <w:rFonts w:ascii="Arial" w:eastAsia="Times New Roman" w:hAnsi="Arial" w:cs="Arial"/>
                <w:b/>
                <w:bCs/>
                <w:sz w:val="19"/>
                <w:szCs w:val="19"/>
                <w:lang w:eastAsia="en-GB"/>
              </w:rPr>
            </w:pPr>
          </w:p>
        </w:tc>
        <w:tc>
          <w:tcPr>
            <w:tcW w:w="1298" w:type="dxa"/>
            <w:shd w:val="clear" w:color="auto" w:fill="auto"/>
            <w:noWrap/>
          </w:tcPr>
          <w:p w14:paraId="47C925DD" w14:textId="77777777" w:rsidR="00FE64E5" w:rsidRPr="00543D10" w:rsidRDefault="00357915" w:rsidP="00FE64E5">
            <w:pPr>
              <w:pBdr>
                <w:top w:val="single" w:sz="4" w:space="1" w:color="auto"/>
              </w:pBdr>
              <w:tabs>
                <w:tab w:val="right" w:pos="851"/>
              </w:tabs>
              <w:spacing w:before="40" w:after="40" w:line="240" w:lineRule="auto"/>
              <w:jc w:val="right"/>
              <w:rPr>
                <w:rFonts w:ascii="Arial" w:eastAsia="Times New Roman" w:hAnsi="Arial" w:cs="Arial"/>
                <w:sz w:val="19"/>
                <w:szCs w:val="19"/>
                <w:lang w:eastAsia="en-GB"/>
              </w:rPr>
            </w:pPr>
            <w:r>
              <w:rPr>
                <w:rFonts w:ascii="Arial" w:eastAsia="Times New Roman" w:hAnsi="Arial" w:cs="Arial"/>
                <w:sz w:val="19"/>
                <w:szCs w:val="19"/>
                <w:lang w:eastAsia="en-GB"/>
              </w:rPr>
              <w:t>(</w:t>
            </w:r>
            <w:r w:rsidR="000B471D">
              <w:rPr>
                <w:rFonts w:ascii="Arial" w:eastAsia="Times New Roman" w:hAnsi="Arial" w:cs="Arial"/>
                <w:sz w:val="19"/>
                <w:szCs w:val="19"/>
                <w:lang w:eastAsia="en-GB"/>
              </w:rPr>
              <w:t>1</w:t>
            </w:r>
            <w:r w:rsidR="00F32FF6">
              <w:rPr>
                <w:rFonts w:ascii="Arial" w:eastAsia="Times New Roman" w:hAnsi="Arial" w:cs="Arial"/>
                <w:sz w:val="19"/>
                <w:szCs w:val="19"/>
                <w:lang w:eastAsia="en-GB"/>
              </w:rPr>
              <w:t>5,863</w:t>
            </w:r>
            <w:r w:rsidR="00586A6C">
              <w:rPr>
                <w:rFonts w:ascii="Arial" w:eastAsia="Times New Roman" w:hAnsi="Arial" w:cs="Arial"/>
                <w:sz w:val="19"/>
                <w:szCs w:val="19"/>
                <w:lang w:eastAsia="en-GB"/>
              </w:rPr>
              <w:t>)</w:t>
            </w:r>
          </w:p>
        </w:tc>
        <w:tc>
          <w:tcPr>
            <w:tcW w:w="1298" w:type="dxa"/>
            <w:shd w:val="clear" w:color="auto" w:fill="auto"/>
            <w:noWrap/>
          </w:tcPr>
          <w:p w14:paraId="0ABE5832" w14:textId="77777777" w:rsidR="00FE64E5" w:rsidRPr="00543D10" w:rsidRDefault="00586A6C" w:rsidP="00FE64E5">
            <w:pPr>
              <w:pBdr>
                <w:top w:val="single" w:sz="4" w:space="1" w:color="auto"/>
              </w:pBdr>
              <w:tabs>
                <w:tab w:val="right" w:pos="851"/>
              </w:tabs>
              <w:spacing w:before="40" w:after="40" w:line="240" w:lineRule="auto"/>
              <w:jc w:val="right"/>
              <w:rPr>
                <w:rFonts w:ascii="Arial" w:eastAsia="Times New Roman" w:hAnsi="Arial" w:cs="Arial"/>
                <w:sz w:val="19"/>
                <w:szCs w:val="19"/>
                <w:lang w:eastAsia="en-GB"/>
              </w:rPr>
            </w:pPr>
            <w:r>
              <w:rPr>
                <w:rFonts w:ascii="Arial" w:eastAsia="Times New Roman" w:hAnsi="Arial" w:cs="Arial"/>
                <w:sz w:val="19"/>
                <w:szCs w:val="19"/>
                <w:lang w:eastAsia="en-GB"/>
              </w:rPr>
              <w:t>2</w:t>
            </w:r>
            <w:r w:rsidR="00674252">
              <w:rPr>
                <w:rFonts w:ascii="Arial" w:eastAsia="Times New Roman" w:hAnsi="Arial" w:cs="Arial"/>
                <w:sz w:val="19"/>
                <w:szCs w:val="19"/>
                <w:lang w:eastAsia="en-GB"/>
              </w:rPr>
              <w:t>1,45</w:t>
            </w:r>
            <w:r w:rsidR="00F55FF9">
              <w:rPr>
                <w:rFonts w:ascii="Arial" w:eastAsia="Times New Roman" w:hAnsi="Arial" w:cs="Arial"/>
                <w:sz w:val="19"/>
                <w:szCs w:val="19"/>
                <w:lang w:eastAsia="en-GB"/>
              </w:rPr>
              <w:t>3</w:t>
            </w:r>
          </w:p>
        </w:tc>
        <w:tc>
          <w:tcPr>
            <w:tcW w:w="1298" w:type="dxa"/>
            <w:shd w:val="clear" w:color="auto" w:fill="auto"/>
            <w:noWrap/>
          </w:tcPr>
          <w:p w14:paraId="434A1F86" w14:textId="77777777" w:rsidR="00FE64E5" w:rsidRPr="00543D10" w:rsidRDefault="00CD5D43">
            <w:pPr>
              <w:pBdr>
                <w:top w:val="single" w:sz="4" w:space="1" w:color="auto"/>
              </w:pBdr>
              <w:tabs>
                <w:tab w:val="right" w:pos="851"/>
              </w:tabs>
              <w:spacing w:before="40" w:after="40" w:line="240" w:lineRule="auto"/>
              <w:jc w:val="right"/>
              <w:rPr>
                <w:rFonts w:ascii="Arial" w:eastAsia="Times New Roman" w:hAnsi="Arial" w:cs="Arial"/>
                <w:b/>
                <w:bCs/>
                <w:sz w:val="19"/>
                <w:szCs w:val="19"/>
                <w:lang w:eastAsia="en-GB"/>
              </w:rPr>
            </w:pPr>
            <w:r>
              <w:rPr>
                <w:rFonts w:ascii="Arial" w:eastAsia="Times New Roman" w:hAnsi="Arial" w:cs="Arial"/>
                <w:b/>
                <w:bCs/>
                <w:sz w:val="19"/>
                <w:szCs w:val="19"/>
                <w:lang w:eastAsia="en-GB"/>
              </w:rPr>
              <w:t>5,59</w:t>
            </w:r>
            <w:r w:rsidR="00520478">
              <w:rPr>
                <w:rFonts w:ascii="Arial" w:eastAsia="Times New Roman" w:hAnsi="Arial" w:cs="Arial"/>
                <w:b/>
                <w:bCs/>
                <w:sz w:val="19"/>
                <w:szCs w:val="19"/>
                <w:lang w:eastAsia="en-GB"/>
              </w:rPr>
              <w:t>0</w:t>
            </w:r>
          </w:p>
        </w:tc>
        <w:tc>
          <w:tcPr>
            <w:tcW w:w="1299" w:type="dxa"/>
            <w:shd w:val="clear" w:color="auto" w:fill="auto"/>
            <w:noWrap/>
            <w:hideMark/>
          </w:tcPr>
          <w:p w14:paraId="0DA83BB6" w14:textId="77777777" w:rsidR="00FE64E5" w:rsidRPr="00FE64E5" w:rsidRDefault="00FE64E5" w:rsidP="00FE64E5">
            <w:pPr>
              <w:pBdr>
                <w:top w:val="single" w:sz="4" w:space="1" w:color="auto"/>
              </w:pBdr>
              <w:tabs>
                <w:tab w:val="right" w:pos="851"/>
              </w:tabs>
              <w:spacing w:before="40" w:after="40" w:line="240" w:lineRule="auto"/>
              <w:jc w:val="right"/>
              <w:rPr>
                <w:rFonts w:ascii="Arial" w:eastAsia="Times New Roman" w:hAnsi="Arial" w:cs="Arial"/>
                <w:sz w:val="19"/>
                <w:szCs w:val="19"/>
                <w:lang w:eastAsia="en-GB"/>
              </w:rPr>
            </w:pPr>
            <w:r w:rsidRPr="00FE64E5">
              <w:rPr>
                <w:rFonts w:ascii="Arial" w:eastAsia="Times New Roman" w:hAnsi="Arial" w:cs="Arial"/>
                <w:bCs/>
                <w:sz w:val="19"/>
                <w:szCs w:val="19"/>
                <w:lang w:eastAsia="en-GB"/>
              </w:rPr>
              <w:tab/>
              <w:t>(1</w:t>
            </w:r>
            <w:r w:rsidR="00F55FF9">
              <w:rPr>
                <w:rFonts w:ascii="Arial" w:eastAsia="Times New Roman" w:hAnsi="Arial" w:cs="Arial"/>
                <w:bCs/>
                <w:sz w:val="19"/>
                <w:szCs w:val="19"/>
                <w:lang w:eastAsia="en-GB"/>
              </w:rPr>
              <w:t>9,018</w:t>
            </w:r>
            <w:r w:rsidRPr="00FE64E5">
              <w:rPr>
                <w:rFonts w:ascii="Arial" w:eastAsia="Times New Roman" w:hAnsi="Arial" w:cs="Arial"/>
                <w:bCs/>
                <w:sz w:val="19"/>
                <w:szCs w:val="19"/>
                <w:lang w:eastAsia="en-GB"/>
              </w:rPr>
              <w:t>)</w:t>
            </w:r>
          </w:p>
        </w:tc>
      </w:tr>
      <w:tr w:rsidR="00FE64E5" w:rsidRPr="00FE64E5" w14:paraId="5FB433F4" w14:textId="77777777" w:rsidTr="006647C2">
        <w:trPr>
          <w:cantSplit/>
        </w:trPr>
        <w:tc>
          <w:tcPr>
            <w:tcW w:w="3114" w:type="dxa"/>
            <w:shd w:val="clear" w:color="auto" w:fill="auto"/>
            <w:noWrap/>
            <w:hideMark/>
          </w:tcPr>
          <w:p w14:paraId="5C15E06E" w14:textId="77777777" w:rsidR="00FE64E5" w:rsidRPr="00543D10" w:rsidRDefault="00FE64E5" w:rsidP="00FE64E5">
            <w:pPr>
              <w:spacing w:before="40" w:after="40" w:line="240" w:lineRule="auto"/>
              <w:rPr>
                <w:rFonts w:ascii="Arial" w:eastAsia="Times New Roman" w:hAnsi="Arial" w:cs="Arial"/>
                <w:sz w:val="19"/>
                <w:szCs w:val="19"/>
                <w:lang w:eastAsia="en-GB"/>
              </w:rPr>
            </w:pPr>
            <w:r w:rsidRPr="00543D10">
              <w:rPr>
                <w:rFonts w:ascii="Arial" w:eastAsia="Times New Roman" w:hAnsi="Arial" w:cs="Arial"/>
                <w:sz w:val="19"/>
                <w:szCs w:val="19"/>
                <w:lang w:eastAsia="en-GB"/>
              </w:rPr>
              <w:t>Share of net outgoing resources of joint ventures</w:t>
            </w:r>
          </w:p>
        </w:tc>
        <w:tc>
          <w:tcPr>
            <w:tcW w:w="714" w:type="dxa"/>
            <w:shd w:val="clear" w:color="auto" w:fill="auto"/>
            <w:noWrap/>
            <w:hideMark/>
          </w:tcPr>
          <w:p w14:paraId="4E4FB6C6" w14:textId="77777777" w:rsidR="00FE64E5" w:rsidRPr="00543D10" w:rsidRDefault="00FE64E5" w:rsidP="00FE64E5">
            <w:pPr>
              <w:spacing w:before="40" w:after="40" w:line="240" w:lineRule="auto"/>
              <w:rPr>
                <w:rFonts w:ascii="Arial" w:eastAsia="Times New Roman" w:hAnsi="Arial" w:cs="Arial"/>
                <w:sz w:val="19"/>
                <w:szCs w:val="19"/>
                <w:lang w:eastAsia="en-GB"/>
              </w:rPr>
            </w:pPr>
            <w:r w:rsidRPr="00543D10">
              <w:rPr>
                <w:rFonts w:ascii="Arial" w:eastAsia="Times New Roman" w:hAnsi="Arial" w:cs="Arial"/>
                <w:sz w:val="19"/>
                <w:szCs w:val="19"/>
                <w:lang w:eastAsia="en-GB"/>
              </w:rPr>
              <w:t>9</w:t>
            </w:r>
          </w:p>
        </w:tc>
        <w:tc>
          <w:tcPr>
            <w:tcW w:w="1298" w:type="dxa"/>
            <w:shd w:val="clear" w:color="auto" w:fill="auto"/>
            <w:noWrap/>
          </w:tcPr>
          <w:p w14:paraId="6323A976" w14:textId="77777777" w:rsidR="00FE64E5" w:rsidRDefault="00FE64E5" w:rsidP="00FE64E5">
            <w:pPr>
              <w:tabs>
                <w:tab w:val="right" w:pos="851"/>
              </w:tabs>
              <w:spacing w:before="40" w:after="40" w:line="240" w:lineRule="auto"/>
              <w:jc w:val="right"/>
              <w:rPr>
                <w:rFonts w:ascii="Arial" w:eastAsia="Times New Roman" w:hAnsi="Arial" w:cs="Arial"/>
                <w:sz w:val="19"/>
                <w:szCs w:val="19"/>
                <w:lang w:eastAsia="en-GB"/>
              </w:rPr>
            </w:pPr>
          </w:p>
          <w:p w14:paraId="6A290468" w14:textId="77777777" w:rsidR="00586A6C" w:rsidRPr="00543D10" w:rsidRDefault="00586A6C" w:rsidP="00FE64E5">
            <w:pPr>
              <w:tabs>
                <w:tab w:val="right" w:pos="851"/>
              </w:tabs>
              <w:spacing w:before="40" w:after="40" w:line="240" w:lineRule="auto"/>
              <w:jc w:val="right"/>
              <w:rPr>
                <w:rFonts w:ascii="Arial" w:eastAsia="Times New Roman" w:hAnsi="Arial" w:cs="Arial"/>
                <w:sz w:val="19"/>
                <w:szCs w:val="19"/>
                <w:lang w:eastAsia="en-GB"/>
              </w:rPr>
            </w:pPr>
            <w:r>
              <w:rPr>
                <w:rFonts w:ascii="Arial" w:eastAsia="Times New Roman" w:hAnsi="Arial" w:cs="Arial"/>
                <w:sz w:val="19"/>
                <w:szCs w:val="19"/>
                <w:lang w:eastAsia="en-GB"/>
              </w:rPr>
              <w:t>-</w:t>
            </w:r>
          </w:p>
        </w:tc>
        <w:tc>
          <w:tcPr>
            <w:tcW w:w="1298" w:type="dxa"/>
            <w:shd w:val="clear" w:color="auto" w:fill="auto"/>
            <w:noWrap/>
          </w:tcPr>
          <w:p w14:paraId="429B033D" w14:textId="77777777" w:rsidR="00586A6C" w:rsidRDefault="00586A6C" w:rsidP="00FE64E5">
            <w:pPr>
              <w:tabs>
                <w:tab w:val="right" w:pos="851"/>
              </w:tabs>
              <w:spacing w:before="40" w:after="40" w:line="240" w:lineRule="auto"/>
              <w:jc w:val="right"/>
              <w:rPr>
                <w:rFonts w:ascii="Arial" w:eastAsia="Times New Roman" w:hAnsi="Arial" w:cs="Arial"/>
                <w:sz w:val="19"/>
                <w:szCs w:val="19"/>
                <w:lang w:eastAsia="en-GB"/>
              </w:rPr>
            </w:pPr>
          </w:p>
          <w:p w14:paraId="4FD825DB" w14:textId="77777777" w:rsidR="00FE64E5" w:rsidRPr="00543D10" w:rsidRDefault="00586A6C" w:rsidP="00FE64E5">
            <w:pPr>
              <w:tabs>
                <w:tab w:val="right" w:pos="851"/>
              </w:tabs>
              <w:spacing w:before="40" w:after="40" w:line="240" w:lineRule="auto"/>
              <w:jc w:val="right"/>
              <w:rPr>
                <w:rFonts w:ascii="Arial" w:eastAsia="Times New Roman" w:hAnsi="Arial" w:cs="Arial"/>
                <w:sz w:val="19"/>
                <w:szCs w:val="19"/>
                <w:lang w:eastAsia="en-GB"/>
              </w:rPr>
            </w:pPr>
            <w:r>
              <w:rPr>
                <w:rFonts w:ascii="Arial" w:eastAsia="Times New Roman" w:hAnsi="Arial" w:cs="Arial"/>
                <w:sz w:val="19"/>
                <w:szCs w:val="19"/>
                <w:lang w:eastAsia="en-GB"/>
              </w:rPr>
              <w:t>(1,013)</w:t>
            </w:r>
          </w:p>
        </w:tc>
        <w:tc>
          <w:tcPr>
            <w:tcW w:w="1298" w:type="dxa"/>
            <w:shd w:val="clear" w:color="auto" w:fill="auto"/>
            <w:noWrap/>
          </w:tcPr>
          <w:p w14:paraId="32313593" w14:textId="77777777" w:rsidR="00FE64E5" w:rsidRDefault="00FE64E5" w:rsidP="00FE64E5">
            <w:pPr>
              <w:tabs>
                <w:tab w:val="right" w:pos="851"/>
              </w:tabs>
              <w:spacing w:before="40" w:after="40" w:line="240" w:lineRule="auto"/>
              <w:jc w:val="right"/>
              <w:rPr>
                <w:rFonts w:ascii="Arial" w:eastAsia="Times New Roman" w:hAnsi="Arial" w:cs="Arial"/>
                <w:b/>
                <w:bCs/>
                <w:sz w:val="19"/>
                <w:szCs w:val="19"/>
                <w:lang w:eastAsia="en-GB"/>
              </w:rPr>
            </w:pPr>
          </w:p>
          <w:p w14:paraId="24E11B46" w14:textId="77777777" w:rsidR="00586A6C" w:rsidRPr="00543D10" w:rsidRDefault="00586A6C" w:rsidP="00FE64E5">
            <w:pPr>
              <w:tabs>
                <w:tab w:val="right" w:pos="851"/>
              </w:tabs>
              <w:spacing w:before="40" w:after="40" w:line="240" w:lineRule="auto"/>
              <w:jc w:val="right"/>
              <w:rPr>
                <w:rFonts w:ascii="Arial" w:eastAsia="Times New Roman" w:hAnsi="Arial" w:cs="Arial"/>
                <w:b/>
                <w:bCs/>
                <w:sz w:val="19"/>
                <w:szCs w:val="19"/>
                <w:lang w:eastAsia="en-GB"/>
              </w:rPr>
            </w:pPr>
            <w:r>
              <w:rPr>
                <w:rFonts w:ascii="Arial" w:eastAsia="Times New Roman" w:hAnsi="Arial" w:cs="Arial"/>
                <w:b/>
                <w:bCs/>
                <w:sz w:val="19"/>
                <w:szCs w:val="19"/>
                <w:lang w:eastAsia="en-GB"/>
              </w:rPr>
              <w:t>(1,013)</w:t>
            </w:r>
          </w:p>
        </w:tc>
        <w:tc>
          <w:tcPr>
            <w:tcW w:w="1299" w:type="dxa"/>
            <w:shd w:val="clear" w:color="auto" w:fill="auto"/>
            <w:noWrap/>
            <w:hideMark/>
          </w:tcPr>
          <w:p w14:paraId="6AE02238" w14:textId="77777777" w:rsidR="00FE64E5" w:rsidRPr="00FE64E5" w:rsidRDefault="00FE64E5" w:rsidP="00FE64E5">
            <w:pPr>
              <w:tabs>
                <w:tab w:val="right" w:pos="851"/>
              </w:tabs>
              <w:spacing w:before="40" w:after="40" w:line="240" w:lineRule="auto"/>
              <w:jc w:val="right"/>
              <w:rPr>
                <w:rFonts w:ascii="Arial" w:eastAsia="Times New Roman" w:hAnsi="Arial" w:cs="Arial"/>
                <w:bCs/>
                <w:sz w:val="19"/>
                <w:szCs w:val="19"/>
                <w:lang w:eastAsia="en-GB"/>
              </w:rPr>
            </w:pPr>
            <w:r w:rsidRPr="00FE64E5">
              <w:rPr>
                <w:rFonts w:ascii="Arial" w:eastAsia="Times New Roman" w:hAnsi="Arial" w:cs="Arial"/>
                <w:bCs/>
                <w:sz w:val="19"/>
                <w:szCs w:val="19"/>
                <w:lang w:eastAsia="en-GB"/>
              </w:rPr>
              <w:tab/>
            </w:r>
          </w:p>
          <w:p w14:paraId="338DBDB9" w14:textId="77777777" w:rsidR="00FE64E5" w:rsidRPr="00FE64E5" w:rsidRDefault="00FE64E5" w:rsidP="00FE64E5">
            <w:pPr>
              <w:tabs>
                <w:tab w:val="right" w:pos="851"/>
              </w:tabs>
              <w:spacing w:before="40" w:after="40" w:line="240" w:lineRule="auto"/>
              <w:jc w:val="right"/>
              <w:rPr>
                <w:rFonts w:ascii="Arial" w:eastAsia="Times New Roman" w:hAnsi="Arial" w:cs="Arial"/>
                <w:sz w:val="19"/>
                <w:szCs w:val="19"/>
                <w:lang w:eastAsia="en-GB"/>
              </w:rPr>
            </w:pPr>
            <w:r w:rsidRPr="00FE64E5">
              <w:rPr>
                <w:rFonts w:ascii="Arial" w:eastAsia="Times New Roman" w:hAnsi="Arial" w:cs="Arial"/>
                <w:bCs/>
                <w:sz w:val="19"/>
                <w:szCs w:val="19"/>
                <w:lang w:eastAsia="en-GB"/>
              </w:rPr>
              <w:t>(80)</w:t>
            </w:r>
          </w:p>
        </w:tc>
      </w:tr>
      <w:tr w:rsidR="00FE64E5" w:rsidRPr="00FE64E5" w14:paraId="19A3DAB3" w14:textId="77777777" w:rsidTr="006647C2">
        <w:trPr>
          <w:cantSplit/>
        </w:trPr>
        <w:tc>
          <w:tcPr>
            <w:tcW w:w="3114" w:type="dxa"/>
            <w:shd w:val="clear" w:color="auto" w:fill="auto"/>
            <w:hideMark/>
          </w:tcPr>
          <w:p w14:paraId="1F39F800" w14:textId="77777777" w:rsidR="00FE64E5" w:rsidRPr="00185DE0" w:rsidRDefault="00520478" w:rsidP="002D07A2">
            <w:pPr>
              <w:spacing w:before="40" w:after="40" w:line="240" w:lineRule="auto"/>
              <w:rPr>
                <w:rFonts w:ascii="Arial" w:eastAsia="Times New Roman" w:hAnsi="Arial" w:cs="Arial"/>
                <w:b/>
                <w:bCs/>
                <w:sz w:val="19"/>
                <w:szCs w:val="19"/>
                <w:lang w:eastAsia="en-GB"/>
              </w:rPr>
            </w:pPr>
            <w:r>
              <w:rPr>
                <w:rFonts w:ascii="Arial" w:eastAsia="Times New Roman" w:hAnsi="Arial" w:cs="Arial"/>
                <w:b/>
                <w:bCs/>
                <w:sz w:val="19"/>
                <w:szCs w:val="19"/>
                <w:lang w:eastAsia="en-GB"/>
              </w:rPr>
              <w:t>Net (</w:t>
            </w:r>
            <w:r w:rsidR="00C85B50">
              <w:rPr>
                <w:rFonts w:ascii="Arial" w:eastAsia="Times New Roman" w:hAnsi="Arial" w:cs="Arial"/>
                <w:b/>
                <w:bCs/>
                <w:sz w:val="19"/>
                <w:szCs w:val="19"/>
                <w:lang w:eastAsia="en-GB"/>
              </w:rPr>
              <w:t>expenditure</w:t>
            </w:r>
            <w:r>
              <w:rPr>
                <w:rFonts w:ascii="Arial" w:eastAsia="Times New Roman" w:hAnsi="Arial" w:cs="Arial"/>
                <w:b/>
                <w:bCs/>
                <w:sz w:val="19"/>
                <w:szCs w:val="19"/>
                <w:lang w:eastAsia="en-GB"/>
              </w:rPr>
              <w:t>) / income before other recognised gains and losses</w:t>
            </w:r>
          </w:p>
        </w:tc>
        <w:tc>
          <w:tcPr>
            <w:tcW w:w="714" w:type="dxa"/>
            <w:shd w:val="clear" w:color="auto" w:fill="auto"/>
            <w:noWrap/>
            <w:hideMark/>
          </w:tcPr>
          <w:p w14:paraId="0DEBE21C" w14:textId="77777777" w:rsidR="00FE64E5" w:rsidRPr="00185DE0" w:rsidRDefault="00FE64E5" w:rsidP="00FE64E5">
            <w:pPr>
              <w:spacing w:before="40" w:after="40" w:line="240" w:lineRule="auto"/>
              <w:rPr>
                <w:rFonts w:ascii="Arial" w:eastAsia="Times New Roman" w:hAnsi="Arial" w:cs="Arial"/>
                <w:b/>
                <w:bCs/>
                <w:sz w:val="19"/>
                <w:szCs w:val="19"/>
                <w:lang w:eastAsia="en-GB"/>
              </w:rPr>
            </w:pPr>
          </w:p>
        </w:tc>
        <w:tc>
          <w:tcPr>
            <w:tcW w:w="1298" w:type="dxa"/>
            <w:shd w:val="clear" w:color="auto" w:fill="auto"/>
            <w:noWrap/>
          </w:tcPr>
          <w:p w14:paraId="2D4DF1F0" w14:textId="77777777" w:rsidR="00FE64E5" w:rsidRPr="00543D10" w:rsidRDefault="00357915" w:rsidP="00FE64E5">
            <w:pPr>
              <w:pBdr>
                <w:top w:val="single" w:sz="4" w:space="1" w:color="auto"/>
              </w:pBdr>
              <w:tabs>
                <w:tab w:val="right" w:pos="851"/>
              </w:tabs>
              <w:spacing w:before="40" w:after="40" w:line="240" w:lineRule="auto"/>
              <w:jc w:val="right"/>
              <w:rPr>
                <w:rFonts w:ascii="Arial" w:eastAsia="Times New Roman" w:hAnsi="Arial" w:cs="Arial"/>
                <w:sz w:val="19"/>
                <w:szCs w:val="19"/>
                <w:lang w:eastAsia="en-GB"/>
              </w:rPr>
            </w:pPr>
            <w:r>
              <w:rPr>
                <w:rFonts w:ascii="Arial" w:eastAsia="Times New Roman" w:hAnsi="Arial" w:cs="Arial"/>
                <w:sz w:val="19"/>
                <w:szCs w:val="19"/>
                <w:lang w:eastAsia="en-GB"/>
              </w:rPr>
              <w:t>(</w:t>
            </w:r>
            <w:r w:rsidR="00F32FF6">
              <w:rPr>
                <w:rFonts w:ascii="Arial" w:eastAsia="Times New Roman" w:hAnsi="Arial" w:cs="Arial"/>
                <w:sz w:val="19"/>
                <w:szCs w:val="19"/>
                <w:lang w:eastAsia="en-GB"/>
              </w:rPr>
              <w:t>15,863</w:t>
            </w:r>
            <w:r w:rsidR="00586A6C">
              <w:rPr>
                <w:rFonts w:ascii="Arial" w:eastAsia="Times New Roman" w:hAnsi="Arial" w:cs="Arial"/>
                <w:sz w:val="19"/>
                <w:szCs w:val="19"/>
                <w:lang w:eastAsia="en-GB"/>
              </w:rPr>
              <w:t>)</w:t>
            </w:r>
          </w:p>
        </w:tc>
        <w:tc>
          <w:tcPr>
            <w:tcW w:w="1298" w:type="dxa"/>
            <w:shd w:val="clear" w:color="auto" w:fill="auto"/>
            <w:noWrap/>
          </w:tcPr>
          <w:p w14:paraId="22474CA5" w14:textId="77777777" w:rsidR="00FE64E5" w:rsidRPr="00543D10" w:rsidRDefault="00674252" w:rsidP="00FE64E5">
            <w:pPr>
              <w:pBdr>
                <w:top w:val="single" w:sz="4" w:space="1" w:color="auto"/>
              </w:pBdr>
              <w:tabs>
                <w:tab w:val="right" w:pos="851"/>
              </w:tabs>
              <w:spacing w:before="40" w:after="40" w:line="240" w:lineRule="auto"/>
              <w:jc w:val="right"/>
              <w:rPr>
                <w:rFonts w:ascii="Arial" w:eastAsia="Times New Roman" w:hAnsi="Arial" w:cs="Arial"/>
                <w:sz w:val="19"/>
                <w:szCs w:val="19"/>
                <w:lang w:eastAsia="en-GB"/>
              </w:rPr>
            </w:pPr>
            <w:r>
              <w:rPr>
                <w:rFonts w:ascii="Arial" w:eastAsia="Times New Roman" w:hAnsi="Arial" w:cs="Arial"/>
                <w:sz w:val="19"/>
                <w:szCs w:val="19"/>
                <w:lang w:eastAsia="en-GB"/>
              </w:rPr>
              <w:t>20,44</w:t>
            </w:r>
            <w:r w:rsidR="00586A6C">
              <w:rPr>
                <w:rFonts w:ascii="Arial" w:eastAsia="Times New Roman" w:hAnsi="Arial" w:cs="Arial"/>
                <w:sz w:val="19"/>
                <w:szCs w:val="19"/>
                <w:lang w:eastAsia="en-GB"/>
              </w:rPr>
              <w:t>4</w:t>
            </w:r>
          </w:p>
        </w:tc>
        <w:tc>
          <w:tcPr>
            <w:tcW w:w="1298" w:type="dxa"/>
            <w:shd w:val="clear" w:color="auto" w:fill="auto"/>
            <w:noWrap/>
          </w:tcPr>
          <w:p w14:paraId="24542238" w14:textId="77777777" w:rsidR="00FE64E5" w:rsidRPr="00543D10" w:rsidRDefault="00674252">
            <w:pPr>
              <w:pBdr>
                <w:top w:val="single" w:sz="4" w:space="1" w:color="auto"/>
              </w:pBdr>
              <w:tabs>
                <w:tab w:val="right" w:pos="851"/>
              </w:tabs>
              <w:spacing w:before="40" w:after="40" w:line="240" w:lineRule="auto"/>
              <w:jc w:val="right"/>
              <w:rPr>
                <w:rFonts w:ascii="Arial" w:eastAsia="Times New Roman" w:hAnsi="Arial" w:cs="Arial"/>
                <w:b/>
                <w:bCs/>
                <w:sz w:val="19"/>
                <w:szCs w:val="19"/>
                <w:lang w:eastAsia="en-GB"/>
              </w:rPr>
            </w:pPr>
            <w:r>
              <w:rPr>
                <w:rFonts w:ascii="Arial" w:eastAsia="Times New Roman" w:hAnsi="Arial" w:cs="Arial"/>
                <w:b/>
                <w:bCs/>
                <w:sz w:val="19"/>
                <w:szCs w:val="19"/>
                <w:lang w:eastAsia="en-GB"/>
              </w:rPr>
              <w:t>4,58</w:t>
            </w:r>
            <w:r w:rsidR="00F32FF6">
              <w:rPr>
                <w:rFonts w:ascii="Arial" w:eastAsia="Times New Roman" w:hAnsi="Arial" w:cs="Arial"/>
                <w:b/>
                <w:bCs/>
                <w:sz w:val="19"/>
                <w:szCs w:val="19"/>
                <w:lang w:eastAsia="en-GB"/>
              </w:rPr>
              <w:t>1</w:t>
            </w:r>
          </w:p>
        </w:tc>
        <w:tc>
          <w:tcPr>
            <w:tcW w:w="1299" w:type="dxa"/>
            <w:shd w:val="clear" w:color="auto" w:fill="auto"/>
            <w:noWrap/>
            <w:hideMark/>
          </w:tcPr>
          <w:p w14:paraId="4AB194BC" w14:textId="77777777" w:rsidR="00FE64E5" w:rsidRPr="00FE64E5" w:rsidRDefault="00FE64E5" w:rsidP="00FE64E5">
            <w:pPr>
              <w:pBdr>
                <w:top w:val="single" w:sz="4" w:space="1" w:color="auto"/>
              </w:pBdr>
              <w:tabs>
                <w:tab w:val="right" w:pos="851"/>
              </w:tabs>
              <w:spacing w:before="40" w:after="40" w:line="240" w:lineRule="auto"/>
              <w:jc w:val="right"/>
              <w:rPr>
                <w:rFonts w:ascii="Arial" w:eastAsia="Times New Roman" w:hAnsi="Arial" w:cs="Arial"/>
                <w:sz w:val="19"/>
                <w:szCs w:val="19"/>
                <w:lang w:eastAsia="en-GB"/>
              </w:rPr>
            </w:pPr>
            <w:r w:rsidRPr="00FE64E5">
              <w:rPr>
                <w:rFonts w:ascii="Arial" w:eastAsia="Times New Roman" w:hAnsi="Arial" w:cs="Arial"/>
                <w:bCs/>
                <w:sz w:val="19"/>
                <w:szCs w:val="19"/>
                <w:lang w:eastAsia="en-GB"/>
              </w:rPr>
              <w:tab/>
              <w:t>(1</w:t>
            </w:r>
            <w:r w:rsidR="005C5A69">
              <w:rPr>
                <w:rFonts w:ascii="Arial" w:eastAsia="Times New Roman" w:hAnsi="Arial" w:cs="Arial"/>
                <w:bCs/>
                <w:sz w:val="19"/>
                <w:szCs w:val="19"/>
                <w:lang w:eastAsia="en-GB"/>
              </w:rPr>
              <w:t>9,098</w:t>
            </w:r>
            <w:r w:rsidRPr="00FE64E5">
              <w:rPr>
                <w:rFonts w:ascii="Arial" w:eastAsia="Times New Roman" w:hAnsi="Arial" w:cs="Arial"/>
                <w:bCs/>
                <w:sz w:val="19"/>
                <w:szCs w:val="19"/>
                <w:lang w:eastAsia="en-GB"/>
              </w:rPr>
              <w:t>)</w:t>
            </w:r>
          </w:p>
        </w:tc>
      </w:tr>
      <w:tr w:rsidR="00C85B50" w:rsidRPr="00FE64E5" w14:paraId="78C8D748" w14:textId="77777777" w:rsidTr="006647C2">
        <w:trPr>
          <w:cantSplit/>
        </w:trPr>
        <w:tc>
          <w:tcPr>
            <w:tcW w:w="3114" w:type="dxa"/>
            <w:shd w:val="clear" w:color="auto" w:fill="auto"/>
          </w:tcPr>
          <w:p w14:paraId="3E09B5CE" w14:textId="77777777" w:rsidR="00C85B50" w:rsidRDefault="00C85B50" w:rsidP="002D07A2">
            <w:pPr>
              <w:spacing w:before="40" w:after="40" w:line="240" w:lineRule="auto"/>
              <w:rPr>
                <w:rFonts w:ascii="Arial" w:eastAsia="Times New Roman" w:hAnsi="Arial" w:cs="Arial"/>
                <w:sz w:val="19"/>
                <w:szCs w:val="19"/>
                <w:lang w:eastAsia="en-GB"/>
              </w:rPr>
            </w:pPr>
            <w:r>
              <w:rPr>
                <w:rFonts w:ascii="Arial" w:eastAsia="Times New Roman" w:hAnsi="Arial" w:cs="Arial"/>
                <w:sz w:val="19"/>
                <w:szCs w:val="19"/>
                <w:lang w:eastAsia="en-GB"/>
              </w:rPr>
              <w:t>Other recognised gains and losses</w:t>
            </w:r>
          </w:p>
        </w:tc>
        <w:tc>
          <w:tcPr>
            <w:tcW w:w="714" w:type="dxa"/>
            <w:shd w:val="clear" w:color="auto" w:fill="auto"/>
            <w:noWrap/>
          </w:tcPr>
          <w:p w14:paraId="15908332" w14:textId="77777777" w:rsidR="00C85B50" w:rsidRDefault="00C85B50" w:rsidP="00FE64E5">
            <w:pPr>
              <w:spacing w:before="40" w:after="40" w:line="240" w:lineRule="auto"/>
              <w:rPr>
                <w:rFonts w:ascii="Arial" w:eastAsia="Times New Roman" w:hAnsi="Arial" w:cs="Arial"/>
                <w:sz w:val="19"/>
                <w:szCs w:val="19"/>
                <w:lang w:eastAsia="en-GB"/>
              </w:rPr>
            </w:pPr>
          </w:p>
        </w:tc>
        <w:tc>
          <w:tcPr>
            <w:tcW w:w="1298" w:type="dxa"/>
            <w:shd w:val="clear" w:color="auto" w:fill="auto"/>
            <w:noWrap/>
          </w:tcPr>
          <w:p w14:paraId="6405C318" w14:textId="77777777" w:rsidR="00C85B50" w:rsidRDefault="00C85B50">
            <w:pPr>
              <w:tabs>
                <w:tab w:val="right" w:pos="851"/>
              </w:tabs>
              <w:spacing w:before="40" w:after="40" w:line="240" w:lineRule="auto"/>
              <w:jc w:val="right"/>
              <w:rPr>
                <w:rFonts w:ascii="Arial" w:eastAsia="Times New Roman" w:hAnsi="Arial" w:cs="Arial"/>
                <w:sz w:val="19"/>
                <w:szCs w:val="19"/>
                <w:lang w:eastAsia="en-GB"/>
              </w:rPr>
            </w:pPr>
          </w:p>
        </w:tc>
        <w:tc>
          <w:tcPr>
            <w:tcW w:w="1298" w:type="dxa"/>
            <w:shd w:val="clear" w:color="auto" w:fill="auto"/>
            <w:noWrap/>
          </w:tcPr>
          <w:p w14:paraId="4C1A56D2" w14:textId="77777777" w:rsidR="00C85B50" w:rsidRDefault="00C85B50" w:rsidP="00FE64E5">
            <w:pPr>
              <w:tabs>
                <w:tab w:val="right" w:pos="851"/>
              </w:tabs>
              <w:spacing w:before="40" w:after="40" w:line="240" w:lineRule="auto"/>
              <w:jc w:val="right"/>
              <w:rPr>
                <w:rFonts w:ascii="Arial" w:eastAsia="Times New Roman" w:hAnsi="Arial" w:cs="Arial"/>
                <w:sz w:val="19"/>
                <w:szCs w:val="19"/>
                <w:lang w:eastAsia="en-GB"/>
              </w:rPr>
            </w:pPr>
          </w:p>
        </w:tc>
        <w:tc>
          <w:tcPr>
            <w:tcW w:w="1298" w:type="dxa"/>
            <w:shd w:val="clear" w:color="auto" w:fill="auto"/>
            <w:noWrap/>
          </w:tcPr>
          <w:p w14:paraId="29818DBB" w14:textId="77777777" w:rsidR="00C85B50" w:rsidRDefault="00C85B50">
            <w:pPr>
              <w:tabs>
                <w:tab w:val="right" w:pos="851"/>
              </w:tabs>
              <w:spacing w:before="40" w:after="40" w:line="240" w:lineRule="auto"/>
              <w:jc w:val="right"/>
              <w:rPr>
                <w:rFonts w:ascii="Arial" w:eastAsia="Times New Roman" w:hAnsi="Arial" w:cs="Arial"/>
                <w:b/>
                <w:bCs/>
                <w:sz w:val="19"/>
                <w:szCs w:val="19"/>
                <w:lang w:eastAsia="en-GB"/>
              </w:rPr>
            </w:pPr>
          </w:p>
        </w:tc>
        <w:tc>
          <w:tcPr>
            <w:tcW w:w="1299" w:type="dxa"/>
            <w:shd w:val="clear" w:color="auto" w:fill="auto"/>
            <w:noWrap/>
          </w:tcPr>
          <w:p w14:paraId="6A2717CC" w14:textId="77777777" w:rsidR="00C85B50" w:rsidRDefault="00C85B50" w:rsidP="00FE64E5">
            <w:pPr>
              <w:tabs>
                <w:tab w:val="right" w:pos="851"/>
              </w:tabs>
              <w:spacing w:before="40" w:after="40" w:line="240" w:lineRule="auto"/>
              <w:jc w:val="right"/>
              <w:rPr>
                <w:rFonts w:ascii="Arial" w:eastAsia="Times New Roman" w:hAnsi="Arial" w:cs="Arial"/>
                <w:bCs/>
                <w:sz w:val="19"/>
                <w:szCs w:val="19"/>
                <w:lang w:eastAsia="en-GB"/>
              </w:rPr>
            </w:pPr>
          </w:p>
        </w:tc>
      </w:tr>
      <w:tr w:rsidR="00357915" w:rsidRPr="00FE64E5" w14:paraId="0E3F5DFC" w14:textId="77777777" w:rsidTr="006647C2">
        <w:trPr>
          <w:cantSplit/>
        </w:trPr>
        <w:tc>
          <w:tcPr>
            <w:tcW w:w="3114" w:type="dxa"/>
            <w:shd w:val="clear" w:color="auto" w:fill="auto"/>
          </w:tcPr>
          <w:p w14:paraId="4BF7CDC1" w14:textId="77777777" w:rsidR="00357915" w:rsidRPr="00543D10" w:rsidRDefault="00501745" w:rsidP="002D07A2">
            <w:pPr>
              <w:spacing w:before="40" w:after="40" w:line="240" w:lineRule="auto"/>
              <w:rPr>
                <w:rFonts w:ascii="Arial" w:eastAsia="Times New Roman" w:hAnsi="Arial" w:cs="Arial"/>
                <w:sz w:val="19"/>
                <w:szCs w:val="19"/>
                <w:lang w:eastAsia="en-GB"/>
              </w:rPr>
            </w:pPr>
            <w:r>
              <w:rPr>
                <w:rFonts w:ascii="Arial" w:eastAsia="Times New Roman" w:hAnsi="Arial" w:cs="Arial"/>
                <w:sz w:val="19"/>
                <w:szCs w:val="19"/>
                <w:lang w:eastAsia="en-GB"/>
              </w:rPr>
              <w:t xml:space="preserve">Gain </w:t>
            </w:r>
            <w:r w:rsidR="00357915">
              <w:rPr>
                <w:rFonts w:ascii="Arial" w:eastAsia="Times New Roman" w:hAnsi="Arial" w:cs="Arial"/>
                <w:sz w:val="19"/>
                <w:szCs w:val="19"/>
                <w:lang w:eastAsia="en-GB"/>
              </w:rPr>
              <w:t xml:space="preserve">on </w:t>
            </w:r>
            <w:r w:rsidR="00520478">
              <w:rPr>
                <w:rFonts w:ascii="Arial" w:eastAsia="Times New Roman" w:hAnsi="Arial" w:cs="Arial"/>
                <w:sz w:val="19"/>
                <w:szCs w:val="19"/>
                <w:lang w:eastAsia="en-GB"/>
              </w:rPr>
              <w:t xml:space="preserve">sale </w:t>
            </w:r>
            <w:r>
              <w:rPr>
                <w:rFonts w:ascii="Arial" w:eastAsia="Times New Roman" w:hAnsi="Arial" w:cs="Arial"/>
                <w:sz w:val="19"/>
                <w:szCs w:val="19"/>
                <w:lang w:eastAsia="en-GB"/>
              </w:rPr>
              <w:t>of subsidiaries</w:t>
            </w:r>
          </w:p>
        </w:tc>
        <w:tc>
          <w:tcPr>
            <w:tcW w:w="714" w:type="dxa"/>
            <w:shd w:val="clear" w:color="auto" w:fill="auto"/>
            <w:noWrap/>
          </w:tcPr>
          <w:p w14:paraId="7C9D54D4" w14:textId="77777777" w:rsidR="00357915" w:rsidRPr="00543D10" w:rsidRDefault="00812616" w:rsidP="00FE64E5">
            <w:pPr>
              <w:spacing w:before="40" w:after="40" w:line="240" w:lineRule="auto"/>
              <w:rPr>
                <w:rFonts w:ascii="Arial" w:eastAsia="Times New Roman" w:hAnsi="Arial" w:cs="Arial"/>
                <w:sz w:val="19"/>
                <w:szCs w:val="19"/>
                <w:lang w:eastAsia="en-GB"/>
              </w:rPr>
            </w:pPr>
            <w:r>
              <w:rPr>
                <w:rFonts w:ascii="Arial" w:eastAsia="Times New Roman" w:hAnsi="Arial" w:cs="Arial"/>
                <w:sz w:val="19"/>
                <w:szCs w:val="19"/>
                <w:lang w:eastAsia="en-GB"/>
              </w:rPr>
              <w:t>1b</w:t>
            </w:r>
          </w:p>
        </w:tc>
        <w:tc>
          <w:tcPr>
            <w:tcW w:w="1298" w:type="dxa"/>
            <w:shd w:val="clear" w:color="auto" w:fill="auto"/>
            <w:noWrap/>
          </w:tcPr>
          <w:p w14:paraId="3ACC428D" w14:textId="77777777" w:rsidR="00357915" w:rsidRDefault="00520478">
            <w:pPr>
              <w:tabs>
                <w:tab w:val="right" w:pos="851"/>
              </w:tabs>
              <w:spacing w:before="40" w:after="40" w:line="240" w:lineRule="auto"/>
              <w:jc w:val="right"/>
              <w:rPr>
                <w:rFonts w:ascii="Arial" w:eastAsia="Times New Roman" w:hAnsi="Arial" w:cs="Arial"/>
                <w:sz w:val="19"/>
                <w:szCs w:val="19"/>
                <w:lang w:eastAsia="en-GB"/>
              </w:rPr>
            </w:pPr>
            <w:r>
              <w:rPr>
                <w:rFonts w:ascii="Arial" w:eastAsia="Times New Roman" w:hAnsi="Arial" w:cs="Arial"/>
                <w:sz w:val="19"/>
                <w:szCs w:val="19"/>
                <w:lang w:eastAsia="en-GB"/>
              </w:rPr>
              <w:t>927</w:t>
            </w:r>
          </w:p>
        </w:tc>
        <w:tc>
          <w:tcPr>
            <w:tcW w:w="1298" w:type="dxa"/>
            <w:shd w:val="clear" w:color="auto" w:fill="auto"/>
            <w:noWrap/>
          </w:tcPr>
          <w:p w14:paraId="4921E6AD" w14:textId="77777777" w:rsidR="00357915" w:rsidRDefault="00357915" w:rsidP="00FE64E5">
            <w:pPr>
              <w:tabs>
                <w:tab w:val="right" w:pos="851"/>
              </w:tabs>
              <w:spacing w:before="40" w:after="40" w:line="240" w:lineRule="auto"/>
              <w:jc w:val="right"/>
              <w:rPr>
                <w:rFonts w:ascii="Arial" w:eastAsia="Times New Roman" w:hAnsi="Arial" w:cs="Arial"/>
                <w:sz w:val="19"/>
                <w:szCs w:val="19"/>
                <w:lang w:eastAsia="en-GB"/>
              </w:rPr>
            </w:pPr>
            <w:r>
              <w:rPr>
                <w:rFonts w:ascii="Arial" w:eastAsia="Times New Roman" w:hAnsi="Arial" w:cs="Arial"/>
                <w:sz w:val="19"/>
                <w:szCs w:val="19"/>
                <w:lang w:eastAsia="en-GB"/>
              </w:rPr>
              <w:t>-</w:t>
            </w:r>
          </w:p>
        </w:tc>
        <w:tc>
          <w:tcPr>
            <w:tcW w:w="1298" w:type="dxa"/>
            <w:shd w:val="clear" w:color="auto" w:fill="auto"/>
            <w:noWrap/>
          </w:tcPr>
          <w:p w14:paraId="349B5151" w14:textId="77777777" w:rsidR="00357915" w:rsidRDefault="00520478">
            <w:pPr>
              <w:tabs>
                <w:tab w:val="right" w:pos="851"/>
              </w:tabs>
              <w:spacing w:before="40" w:after="40" w:line="240" w:lineRule="auto"/>
              <w:jc w:val="right"/>
              <w:rPr>
                <w:rFonts w:ascii="Arial" w:eastAsia="Times New Roman" w:hAnsi="Arial" w:cs="Arial"/>
                <w:b/>
                <w:bCs/>
                <w:sz w:val="19"/>
                <w:szCs w:val="19"/>
                <w:lang w:eastAsia="en-GB"/>
              </w:rPr>
            </w:pPr>
            <w:r>
              <w:rPr>
                <w:rFonts w:ascii="Arial" w:eastAsia="Times New Roman" w:hAnsi="Arial" w:cs="Arial"/>
                <w:b/>
                <w:bCs/>
                <w:sz w:val="19"/>
                <w:szCs w:val="19"/>
                <w:lang w:eastAsia="en-GB"/>
              </w:rPr>
              <w:t>927</w:t>
            </w:r>
          </w:p>
        </w:tc>
        <w:tc>
          <w:tcPr>
            <w:tcW w:w="1299" w:type="dxa"/>
            <w:shd w:val="clear" w:color="auto" w:fill="auto"/>
            <w:noWrap/>
          </w:tcPr>
          <w:p w14:paraId="458B5B6E" w14:textId="77777777" w:rsidR="00357915" w:rsidRPr="00FE64E5" w:rsidRDefault="00357915" w:rsidP="00FE64E5">
            <w:pPr>
              <w:tabs>
                <w:tab w:val="right" w:pos="851"/>
              </w:tabs>
              <w:spacing w:before="40" w:after="40" w:line="240" w:lineRule="auto"/>
              <w:jc w:val="right"/>
              <w:rPr>
                <w:rFonts w:ascii="Arial" w:eastAsia="Times New Roman" w:hAnsi="Arial" w:cs="Arial"/>
                <w:bCs/>
                <w:sz w:val="19"/>
                <w:szCs w:val="19"/>
                <w:lang w:eastAsia="en-GB"/>
              </w:rPr>
            </w:pPr>
            <w:r>
              <w:rPr>
                <w:rFonts w:ascii="Arial" w:eastAsia="Times New Roman" w:hAnsi="Arial" w:cs="Arial"/>
                <w:bCs/>
                <w:sz w:val="19"/>
                <w:szCs w:val="19"/>
                <w:lang w:eastAsia="en-GB"/>
              </w:rPr>
              <w:t>-</w:t>
            </w:r>
          </w:p>
        </w:tc>
      </w:tr>
      <w:tr w:rsidR="00FE64E5" w:rsidRPr="00FE64E5" w14:paraId="222C3D5F" w14:textId="77777777" w:rsidTr="00C85B50">
        <w:trPr>
          <w:cantSplit/>
        </w:trPr>
        <w:tc>
          <w:tcPr>
            <w:tcW w:w="3114" w:type="dxa"/>
            <w:shd w:val="clear" w:color="auto" w:fill="auto"/>
            <w:hideMark/>
          </w:tcPr>
          <w:p w14:paraId="300549EA" w14:textId="77777777" w:rsidR="00FE64E5" w:rsidRPr="00543D10" w:rsidRDefault="00263A71" w:rsidP="00FE64E5">
            <w:pPr>
              <w:spacing w:before="40" w:after="40" w:line="240" w:lineRule="auto"/>
              <w:rPr>
                <w:rFonts w:ascii="Arial" w:eastAsia="Times New Roman" w:hAnsi="Arial" w:cs="Arial"/>
                <w:sz w:val="19"/>
                <w:szCs w:val="19"/>
                <w:lang w:eastAsia="en-GB"/>
              </w:rPr>
            </w:pPr>
            <w:r>
              <w:rPr>
                <w:rFonts w:ascii="Arial" w:eastAsia="Times New Roman" w:hAnsi="Arial" w:cs="Arial"/>
                <w:sz w:val="19"/>
                <w:szCs w:val="19"/>
                <w:lang w:eastAsia="en-GB"/>
              </w:rPr>
              <w:t>Actuarial losses</w:t>
            </w:r>
            <w:r w:rsidR="00FE64E5" w:rsidRPr="00543D10">
              <w:rPr>
                <w:rFonts w:ascii="Arial" w:eastAsia="Times New Roman" w:hAnsi="Arial" w:cs="Arial"/>
                <w:sz w:val="19"/>
                <w:szCs w:val="19"/>
                <w:lang w:eastAsia="en-GB"/>
              </w:rPr>
              <w:t xml:space="preserve"> on defined benefit pension schemes</w:t>
            </w:r>
          </w:p>
        </w:tc>
        <w:tc>
          <w:tcPr>
            <w:tcW w:w="714" w:type="dxa"/>
            <w:shd w:val="clear" w:color="auto" w:fill="auto"/>
            <w:noWrap/>
            <w:hideMark/>
          </w:tcPr>
          <w:p w14:paraId="55F166C8" w14:textId="77777777" w:rsidR="00FE64E5" w:rsidRPr="00543D10" w:rsidRDefault="00FE64E5" w:rsidP="00FE64E5">
            <w:pPr>
              <w:spacing w:before="40" w:after="40" w:line="240" w:lineRule="auto"/>
              <w:rPr>
                <w:rFonts w:ascii="Arial" w:eastAsia="Times New Roman" w:hAnsi="Arial" w:cs="Arial"/>
                <w:sz w:val="19"/>
                <w:szCs w:val="19"/>
                <w:lang w:eastAsia="en-GB"/>
              </w:rPr>
            </w:pPr>
            <w:r w:rsidRPr="00543D10">
              <w:rPr>
                <w:rFonts w:ascii="Arial" w:eastAsia="Times New Roman" w:hAnsi="Arial" w:cs="Arial"/>
                <w:sz w:val="19"/>
                <w:szCs w:val="19"/>
                <w:lang w:eastAsia="en-GB"/>
              </w:rPr>
              <w:t>24</w:t>
            </w:r>
          </w:p>
        </w:tc>
        <w:tc>
          <w:tcPr>
            <w:tcW w:w="1298" w:type="dxa"/>
            <w:tcBorders>
              <w:bottom w:val="single" w:sz="4" w:space="0" w:color="auto"/>
            </w:tcBorders>
            <w:shd w:val="clear" w:color="auto" w:fill="auto"/>
            <w:noWrap/>
          </w:tcPr>
          <w:p w14:paraId="2900D927" w14:textId="77777777" w:rsidR="00FE64E5" w:rsidRPr="00543D10" w:rsidRDefault="000B471D">
            <w:pPr>
              <w:tabs>
                <w:tab w:val="right" w:pos="851"/>
              </w:tabs>
              <w:spacing w:before="40" w:after="40" w:line="240" w:lineRule="auto"/>
              <w:jc w:val="right"/>
              <w:rPr>
                <w:rFonts w:ascii="Arial" w:eastAsia="Times New Roman" w:hAnsi="Arial" w:cs="Arial"/>
                <w:sz w:val="19"/>
                <w:szCs w:val="19"/>
                <w:lang w:eastAsia="en-GB"/>
              </w:rPr>
            </w:pPr>
            <w:r>
              <w:rPr>
                <w:rFonts w:ascii="Arial" w:eastAsia="Times New Roman" w:hAnsi="Arial" w:cs="Arial"/>
                <w:sz w:val="19"/>
                <w:szCs w:val="19"/>
                <w:lang w:eastAsia="en-GB"/>
              </w:rPr>
              <w:t>(1,278)</w:t>
            </w:r>
          </w:p>
        </w:tc>
        <w:tc>
          <w:tcPr>
            <w:tcW w:w="1298" w:type="dxa"/>
            <w:tcBorders>
              <w:bottom w:val="single" w:sz="4" w:space="0" w:color="auto"/>
            </w:tcBorders>
            <w:shd w:val="clear" w:color="auto" w:fill="auto"/>
            <w:noWrap/>
          </w:tcPr>
          <w:p w14:paraId="2097867C" w14:textId="77777777" w:rsidR="00FE64E5" w:rsidRPr="00543D10" w:rsidRDefault="00982C22" w:rsidP="00FE64E5">
            <w:pPr>
              <w:tabs>
                <w:tab w:val="right" w:pos="851"/>
              </w:tabs>
              <w:spacing w:before="40" w:after="40" w:line="240" w:lineRule="auto"/>
              <w:jc w:val="right"/>
              <w:rPr>
                <w:rFonts w:ascii="Arial" w:eastAsia="Times New Roman" w:hAnsi="Arial" w:cs="Arial"/>
                <w:sz w:val="19"/>
                <w:szCs w:val="19"/>
                <w:lang w:eastAsia="en-GB"/>
              </w:rPr>
            </w:pPr>
            <w:r>
              <w:rPr>
                <w:rFonts w:ascii="Arial" w:eastAsia="Times New Roman" w:hAnsi="Arial" w:cs="Arial"/>
                <w:sz w:val="19"/>
                <w:szCs w:val="19"/>
                <w:lang w:eastAsia="en-GB"/>
              </w:rPr>
              <w:t>(3,418)</w:t>
            </w:r>
          </w:p>
        </w:tc>
        <w:tc>
          <w:tcPr>
            <w:tcW w:w="1298" w:type="dxa"/>
            <w:tcBorders>
              <w:bottom w:val="single" w:sz="4" w:space="0" w:color="auto"/>
            </w:tcBorders>
            <w:shd w:val="clear" w:color="auto" w:fill="auto"/>
            <w:noWrap/>
          </w:tcPr>
          <w:p w14:paraId="700F0A4D" w14:textId="77777777" w:rsidR="00FE64E5" w:rsidRPr="00543D10" w:rsidRDefault="000B471D" w:rsidP="00FE64E5">
            <w:pPr>
              <w:tabs>
                <w:tab w:val="right" w:pos="851"/>
              </w:tabs>
              <w:spacing w:before="40" w:after="40" w:line="240" w:lineRule="auto"/>
              <w:jc w:val="right"/>
              <w:rPr>
                <w:rFonts w:ascii="Arial" w:eastAsia="Times New Roman" w:hAnsi="Arial" w:cs="Arial"/>
                <w:b/>
                <w:bCs/>
                <w:sz w:val="19"/>
                <w:szCs w:val="19"/>
                <w:lang w:eastAsia="en-GB"/>
              </w:rPr>
            </w:pPr>
            <w:r>
              <w:rPr>
                <w:rFonts w:ascii="Arial" w:eastAsia="Times New Roman" w:hAnsi="Arial" w:cs="Arial"/>
                <w:b/>
                <w:bCs/>
                <w:sz w:val="19"/>
                <w:szCs w:val="19"/>
                <w:lang w:eastAsia="en-GB"/>
              </w:rPr>
              <w:t>(4,696</w:t>
            </w:r>
            <w:r w:rsidR="00982C22">
              <w:rPr>
                <w:rFonts w:ascii="Arial" w:eastAsia="Times New Roman" w:hAnsi="Arial" w:cs="Arial"/>
                <w:b/>
                <w:bCs/>
                <w:sz w:val="19"/>
                <w:szCs w:val="19"/>
                <w:lang w:eastAsia="en-GB"/>
              </w:rPr>
              <w:t>)</w:t>
            </w:r>
          </w:p>
        </w:tc>
        <w:tc>
          <w:tcPr>
            <w:tcW w:w="1299" w:type="dxa"/>
            <w:tcBorders>
              <w:bottom w:val="single" w:sz="4" w:space="0" w:color="auto"/>
            </w:tcBorders>
            <w:shd w:val="clear" w:color="auto" w:fill="auto"/>
            <w:noWrap/>
            <w:hideMark/>
          </w:tcPr>
          <w:p w14:paraId="0C0B2237" w14:textId="77777777" w:rsidR="00FE64E5" w:rsidRPr="00FE64E5" w:rsidRDefault="00FE64E5" w:rsidP="00FE64E5">
            <w:pPr>
              <w:tabs>
                <w:tab w:val="right" w:pos="851"/>
              </w:tabs>
              <w:spacing w:before="40" w:after="40" w:line="240" w:lineRule="auto"/>
              <w:jc w:val="right"/>
              <w:rPr>
                <w:rFonts w:ascii="Arial" w:eastAsia="Times New Roman" w:hAnsi="Arial" w:cs="Arial"/>
                <w:sz w:val="19"/>
                <w:szCs w:val="19"/>
                <w:lang w:eastAsia="en-GB"/>
              </w:rPr>
            </w:pPr>
            <w:r w:rsidRPr="00FE64E5">
              <w:rPr>
                <w:rFonts w:ascii="Arial" w:eastAsia="Times New Roman" w:hAnsi="Arial" w:cs="Arial"/>
                <w:bCs/>
                <w:sz w:val="19"/>
                <w:szCs w:val="19"/>
                <w:lang w:eastAsia="en-GB"/>
              </w:rPr>
              <w:tab/>
              <w:t>(31,658)</w:t>
            </w:r>
          </w:p>
        </w:tc>
      </w:tr>
      <w:tr w:rsidR="00F55FF9" w:rsidRPr="00FE64E5" w14:paraId="2AD87B76" w14:textId="77777777" w:rsidTr="006647C2">
        <w:trPr>
          <w:cantSplit/>
        </w:trPr>
        <w:tc>
          <w:tcPr>
            <w:tcW w:w="3114" w:type="dxa"/>
            <w:shd w:val="clear" w:color="auto" w:fill="auto"/>
            <w:noWrap/>
            <w:hideMark/>
          </w:tcPr>
          <w:p w14:paraId="163B317E" w14:textId="77777777" w:rsidR="00F55FF9" w:rsidRPr="00543D10" w:rsidRDefault="00F55FF9" w:rsidP="00F55FF9">
            <w:pPr>
              <w:spacing w:before="40" w:after="40" w:line="240" w:lineRule="auto"/>
              <w:rPr>
                <w:rFonts w:ascii="Arial" w:eastAsia="Times New Roman" w:hAnsi="Arial" w:cs="Arial"/>
                <w:b/>
                <w:bCs/>
                <w:sz w:val="19"/>
                <w:szCs w:val="19"/>
                <w:lang w:eastAsia="en-GB"/>
              </w:rPr>
            </w:pPr>
            <w:r w:rsidRPr="00543D10">
              <w:rPr>
                <w:rFonts w:ascii="Arial" w:eastAsia="Times New Roman" w:hAnsi="Arial" w:cs="Arial"/>
                <w:b/>
                <w:bCs/>
                <w:sz w:val="19"/>
                <w:szCs w:val="19"/>
                <w:lang w:eastAsia="en-GB"/>
              </w:rPr>
              <w:t>Net movement in funds</w:t>
            </w:r>
          </w:p>
        </w:tc>
        <w:tc>
          <w:tcPr>
            <w:tcW w:w="714" w:type="dxa"/>
            <w:shd w:val="clear" w:color="auto" w:fill="auto"/>
            <w:noWrap/>
            <w:hideMark/>
          </w:tcPr>
          <w:p w14:paraId="77E6694A" w14:textId="77777777" w:rsidR="00F55FF9" w:rsidRPr="00543D10" w:rsidRDefault="00F55FF9" w:rsidP="00F55FF9">
            <w:pPr>
              <w:spacing w:before="40" w:after="40" w:line="240" w:lineRule="auto"/>
              <w:rPr>
                <w:rFonts w:ascii="Arial" w:eastAsia="Times New Roman" w:hAnsi="Arial" w:cs="Arial"/>
                <w:b/>
                <w:bCs/>
                <w:sz w:val="19"/>
                <w:szCs w:val="19"/>
                <w:lang w:eastAsia="en-GB"/>
              </w:rPr>
            </w:pPr>
          </w:p>
        </w:tc>
        <w:tc>
          <w:tcPr>
            <w:tcW w:w="1298" w:type="dxa"/>
            <w:shd w:val="clear" w:color="auto" w:fill="auto"/>
            <w:noWrap/>
          </w:tcPr>
          <w:p w14:paraId="5D6236C4" w14:textId="77777777" w:rsidR="00F55FF9" w:rsidRPr="00543D10" w:rsidRDefault="00F55FF9">
            <w:pPr>
              <w:tabs>
                <w:tab w:val="right" w:pos="851"/>
              </w:tabs>
              <w:spacing w:before="40" w:after="40" w:line="240" w:lineRule="auto"/>
              <w:jc w:val="right"/>
              <w:rPr>
                <w:rFonts w:ascii="Arial" w:eastAsia="Times New Roman" w:hAnsi="Arial" w:cs="Arial"/>
                <w:sz w:val="19"/>
                <w:szCs w:val="19"/>
                <w:lang w:eastAsia="en-GB"/>
              </w:rPr>
            </w:pPr>
            <w:r w:rsidRPr="00F55FF9">
              <w:rPr>
                <w:rFonts w:ascii="Arial" w:eastAsia="Times New Roman" w:hAnsi="Arial" w:cs="Arial"/>
                <w:sz w:val="19"/>
                <w:szCs w:val="19"/>
                <w:lang w:eastAsia="en-GB"/>
              </w:rPr>
              <w:t>(16,214</w:t>
            </w:r>
            <w:r>
              <w:rPr>
                <w:rFonts w:ascii="Arial" w:eastAsia="Times New Roman" w:hAnsi="Arial" w:cs="Arial"/>
                <w:sz w:val="19"/>
                <w:szCs w:val="19"/>
                <w:lang w:eastAsia="en-GB"/>
              </w:rPr>
              <w:t>)</w:t>
            </w:r>
          </w:p>
        </w:tc>
        <w:tc>
          <w:tcPr>
            <w:tcW w:w="1298" w:type="dxa"/>
            <w:shd w:val="clear" w:color="auto" w:fill="auto"/>
            <w:noWrap/>
          </w:tcPr>
          <w:p w14:paraId="1BDBD2D9" w14:textId="77777777" w:rsidR="00F55FF9" w:rsidRPr="00543D10" w:rsidRDefault="00F55FF9" w:rsidP="00F55FF9">
            <w:pPr>
              <w:tabs>
                <w:tab w:val="right" w:pos="851"/>
              </w:tabs>
              <w:spacing w:before="40" w:after="40" w:line="240" w:lineRule="auto"/>
              <w:jc w:val="right"/>
              <w:rPr>
                <w:rFonts w:ascii="Arial" w:eastAsia="Times New Roman" w:hAnsi="Arial" w:cs="Arial"/>
                <w:sz w:val="19"/>
                <w:szCs w:val="19"/>
                <w:lang w:eastAsia="en-GB"/>
              </w:rPr>
            </w:pPr>
            <w:r>
              <w:rPr>
                <w:rFonts w:ascii="Arial" w:eastAsia="Times New Roman" w:hAnsi="Arial" w:cs="Arial"/>
                <w:sz w:val="19"/>
                <w:szCs w:val="19"/>
                <w:lang w:eastAsia="en-GB"/>
              </w:rPr>
              <w:t>17,022</w:t>
            </w:r>
          </w:p>
        </w:tc>
        <w:tc>
          <w:tcPr>
            <w:tcW w:w="1298" w:type="dxa"/>
            <w:shd w:val="clear" w:color="auto" w:fill="auto"/>
            <w:noWrap/>
          </w:tcPr>
          <w:p w14:paraId="5B3499E9" w14:textId="77777777" w:rsidR="00F55FF9" w:rsidRPr="00543D10" w:rsidRDefault="00F55FF9" w:rsidP="00F55FF9">
            <w:pPr>
              <w:tabs>
                <w:tab w:val="right" w:pos="851"/>
              </w:tabs>
              <w:spacing w:before="40" w:after="40" w:line="240" w:lineRule="auto"/>
              <w:jc w:val="right"/>
              <w:rPr>
                <w:rFonts w:ascii="Arial" w:eastAsia="Times New Roman" w:hAnsi="Arial" w:cs="Arial"/>
                <w:b/>
                <w:bCs/>
                <w:sz w:val="19"/>
                <w:szCs w:val="19"/>
                <w:lang w:eastAsia="en-GB"/>
              </w:rPr>
            </w:pPr>
            <w:r>
              <w:rPr>
                <w:rFonts w:ascii="Arial" w:eastAsia="Times New Roman" w:hAnsi="Arial" w:cs="Arial"/>
                <w:b/>
                <w:bCs/>
                <w:sz w:val="19"/>
                <w:szCs w:val="19"/>
                <w:lang w:eastAsia="en-GB"/>
              </w:rPr>
              <w:t>808</w:t>
            </w:r>
          </w:p>
        </w:tc>
        <w:tc>
          <w:tcPr>
            <w:tcW w:w="1299" w:type="dxa"/>
            <w:shd w:val="clear" w:color="auto" w:fill="auto"/>
            <w:noWrap/>
            <w:hideMark/>
          </w:tcPr>
          <w:p w14:paraId="0C0159A3" w14:textId="77777777" w:rsidR="00F55FF9" w:rsidRPr="00FE64E5" w:rsidRDefault="00F55FF9" w:rsidP="00F55FF9">
            <w:pPr>
              <w:tabs>
                <w:tab w:val="right" w:pos="851"/>
              </w:tabs>
              <w:spacing w:before="40" w:after="40" w:line="240" w:lineRule="auto"/>
              <w:jc w:val="right"/>
              <w:rPr>
                <w:rFonts w:ascii="Arial" w:eastAsia="Times New Roman" w:hAnsi="Arial" w:cs="Arial"/>
                <w:sz w:val="19"/>
                <w:szCs w:val="19"/>
                <w:lang w:eastAsia="en-GB"/>
              </w:rPr>
            </w:pPr>
            <w:r>
              <w:rPr>
                <w:rFonts w:ascii="Arial" w:eastAsia="Times New Roman" w:hAnsi="Arial" w:cs="Arial"/>
                <w:bCs/>
                <w:sz w:val="19"/>
                <w:szCs w:val="19"/>
                <w:lang w:eastAsia="en-GB"/>
              </w:rPr>
              <w:t>(50,756)</w:t>
            </w:r>
          </w:p>
        </w:tc>
      </w:tr>
      <w:tr w:rsidR="00FE64E5" w:rsidRPr="00FE64E5" w14:paraId="6F3A7700" w14:textId="77777777" w:rsidTr="009E727E">
        <w:trPr>
          <w:cantSplit/>
        </w:trPr>
        <w:tc>
          <w:tcPr>
            <w:tcW w:w="3114" w:type="dxa"/>
            <w:shd w:val="clear" w:color="auto" w:fill="auto"/>
            <w:noWrap/>
            <w:hideMark/>
          </w:tcPr>
          <w:p w14:paraId="4E052F04" w14:textId="77777777" w:rsidR="00FE64E5" w:rsidRPr="00543D10" w:rsidRDefault="00FE64E5" w:rsidP="00FE64E5">
            <w:pPr>
              <w:spacing w:before="40" w:after="40" w:line="240" w:lineRule="auto"/>
              <w:rPr>
                <w:rFonts w:ascii="Arial" w:eastAsia="Times New Roman" w:hAnsi="Arial" w:cs="Arial"/>
                <w:sz w:val="19"/>
                <w:szCs w:val="19"/>
                <w:lang w:eastAsia="en-GB"/>
              </w:rPr>
            </w:pPr>
            <w:r w:rsidRPr="00543D10">
              <w:rPr>
                <w:rFonts w:ascii="Arial" w:eastAsia="Times New Roman" w:hAnsi="Arial" w:cs="Arial"/>
                <w:sz w:val="19"/>
                <w:szCs w:val="19"/>
                <w:lang w:eastAsia="en-GB"/>
              </w:rPr>
              <w:t>Fund balances brought forward</w:t>
            </w:r>
          </w:p>
        </w:tc>
        <w:tc>
          <w:tcPr>
            <w:tcW w:w="714" w:type="dxa"/>
            <w:shd w:val="clear" w:color="auto" w:fill="auto"/>
            <w:noWrap/>
            <w:hideMark/>
          </w:tcPr>
          <w:p w14:paraId="37E97B6E" w14:textId="77777777" w:rsidR="00FE64E5" w:rsidRPr="00543D10" w:rsidRDefault="00FE64E5" w:rsidP="00FE64E5">
            <w:pPr>
              <w:spacing w:before="40" w:after="40" w:line="240" w:lineRule="auto"/>
              <w:rPr>
                <w:rFonts w:ascii="Arial" w:eastAsia="Times New Roman" w:hAnsi="Arial" w:cs="Arial"/>
                <w:sz w:val="19"/>
                <w:szCs w:val="19"/>
                <w:lang w:eastAsia="en-GB"/>
              </w:rPr>
            </w:pPr>
          </w:p>
        </w:tc>
        <w:tc>
          <w:tcPr>
            <w:tcW w:w="1298" w:type="dxa"/>
            <w:shd w:val="clear" w:color="auto" w:fill="auto"/>
            <w:noWrap/>
          </w:tcPr>
          <w:p w14:paraId="1330EFAC" w14:textId="77777777" w:rsidR="00FE64E5" w:rsidRPr="00543D10" w:rsidRDefault="00FD3059" w:rsidP="00FE64E5">
            <w:pPr>
              <w:tabs>
                <w:tab w:val="right" w:pos="851"/>
              </w:tabs>
              <w:spacing w:before="40" w:after="40" w:line="240" w:lineRule="auto"/>
              <w:jc w:val="right"/>
              <w:rPr>
                <w:rFonts w:ascii="Arial" w:eastAsia="Times New Roman" w:hAnsi="Arial" w:cs="Arial"/>
                <w:sz w:val="19"/>
                <w:szCs w:val="19"/>
                <w:lang w:eastAsia="en-GB"/>
              </w:rPr>
            </w:pPr>
            <w:r>
              <w:rPr>
                <w:rFonts w:ascii="Arial" w:eastAsia="Times New Roman" w:hAnsi="Arial" w:cs="Arial"/>
                <w:sz w:val="19"/>
                <w:szCs w:val="19"/>
                <w:lang w:eastAsia="en-GB"/>
              </w:rPr>
              <w:t>(23,374</w:t>
            </w:r>
            <w:r w:rsidR="00982C22">
              <w:rPr>
                <w:rFonts w:ascii="Arial" w:eastAsia="Times New Roman" w:hAnsi="Arial" w:cs="Arial"/>
                <w:sz w:val="19"/>
                <w:szCs w:val="19"/>
                <w:lang w:eastAsia="en-GB"/>
              </w:rPr>
              <w:t>)</w:t>
            </w:r>
          </w:p>
        </w:tc>
        <w:tc>
          <w:tcPr>
            <w:tcW w:w="1298" w:type="dxa"/>
            <w:shd w:val="clear" w:color="auto" w:fill="auto"/>
            <w:noWrap/>
          </w:tcPr>
          <w:p w14:paraId="5767629D" w14:textId="77777777" w:rsidR="00FE64E5" w:rsidRPr="00543D10" w:rsidRDefault="00982C22" w:rsidP="00FE64E5">
            <w:pPr>
              <w:tabs>
                <w:tab w:val="right" w:pos="851"/>
              </w:tabs>
              <w:spacing w:before="40" w:after="40" w:line="240" w:lineRule="auto"/>
              <w:jc w:val="right"/>
              <w:rPr>
                <w:rFonts w:ascii="Arial" w:eastAsia="Times New Roman" w:hAnsi="Arial" w:cs="Arial"/>
                <w:sz w:val="19"/>
                <w:szCs w:val="19"/>
                <w:lang w:eastAsia="en-GB"/>
              </w:rPr>
            </w:pPr>
            <w:r>
              <w:rPr>
                <w:rFonts w:ascii="Arial" w:eastAsia="Times New Roman" w:hAnsi="Arial" w:cs="Arial"/>
                <w:sz w:val="19"/>
                <w:szCs w:val="19"/>
                <w:lang w:eastAsia="en-GB"/>
              </w:rPr>
              <w:t>105,455</w:t>
            </w:r>
          </w:p>
        </w:tc>
        <w:tc>
          <w:tcPr>
            <w:tcW w:w="1298" w:type="dxa"/>
            <w:shd w:val="clear" w:color="auto" w:fill="auto"/>
            <w:noWrap/>
          </w:tcPr>
          <w:p w14:paraId="343F05AA" w14:textId="77777777" w:rsidR="00FE64E5" w:rsidRPr="008725FF" w:rsidRDefault="00FD3059" w:rsidP="00FE64E5">
            <w:pPr>
              <w:tabs>
                <w:tab w:val="right" w:pos="851"/>
              </w:tabs>
              <w:spacing w:before="40" w:after="40" w:line="240" w:lineRule="auto"/>
              <w:jc w:val="right"/>
              <w:rPr>
                <w:rFonts w:ascii="Arial" w:eastAsia="Times New Roman" w:hAnsi="Arial" w:cs="Arial"/>
                <w:b/>
                <w:bCs/>
                <w:sz w:val="19"/>
                <w:szCs w:val="19"/>
                <w:lang w:eastAsia="en-GB"/>
              </w:rPr>
            </w:pPr>
            <w:r w:rsidRPr="008725FF">
              <w:rPr>
                <w:rFonts w:ascii="Arial" w:eastAsia="Times New Roman" w:hAnsi="Arial" w:cs="Arial"/>
                <w:b/>
                <w:bCs/>
                <w:sz w:val="19"/>
                <w:szCs w:val="19"/>
                <w:lang w:eastAsia="en-GB"/>
              </w:rPr>
              <w:t>82,081</w:t>
            </w:r>
          </w:p>
        </w:tc>
        <w:tc>
          <w:tcPr>
            <w:tcW w:w="1299" w:type="dxa"/>
            <w:shd w:val="clear" w:color="auto" w:fill="auto"/>
            <w:noWrap/>
            <w:hideMark/>
          </w:tcPr>
          <w:p w14:paraId="70C9226C" w14:textId="77777777" w:rsidR="00FE64E5" w:rsidRPr="008725FF" w:rsidRDefault="00FE64E5" w:rsidP="00FE64E5">
            <w:pPr>
              <w:tabs>
                <w:tab w:val="right" w:pos="851"/>
              </w:tabs>
              <w:spacing w:before="40" w:after="40" w:line="240" w:lineRule="auto"/>
              <w:jc w:val="right"/>
              <w:rPr>
                <w:rFonts w:ascii="Arial" w:eastAsia="Times New Roman" w:hAnsi="Arial" w:cs="Arial"/>
                <w:sz w:val="19"/>
                <w:szCs w:val="19"/>
                <w:lang w:eastAsia="en-GB"/>
              </w:rPr>
            </w:pPr>
            <w:r w:rsidRPr="008725FF">
              <w:rPr>
                <w:rFonts w:ascii="Arial" w:eastAsia="Times New Roman" w:hAnsi="Arial" w:cs="Arial"/>
                <w:bCs/>
                <w:sz w:val="19"/>
                <w:szCs w:val="19"/>
                <w:lang w:eastAsia="en-GB"/>
              </w:rPr>
              <w:tab/>
              <w:t>132,837</w:t>
            </w:r>
          </w:p>
        </w:tc>
      </w:tr>
      <w:tr w:rsidR="00FE64E5" w:rsidRPr="00FE64E5" w14:paraId="487BE89D" w14:textId="77777777" w:rsidTr="006647C2">
        <w:trPr>
          <w:cantSplit/>
          <w:trHeight w:val="80"/>
        </w:trPr>
        <w:tc>
          <w:tcPr>
            <w:tcW w:w="3828" w:type="dxa"/>
            <w:gridSpan w:val="2"/>
            <w:shd w:val="clear" w:color="auto" w:fill="auto"/>
            <w:noWrap/>
            <w:hideMark/>
          </w:tcPr>
          <w:p w14:paraId="30F43F40" w14:textId="77777777" w:rsidR="00FE64E5" w:rsidRPr="00543D10" w:rsidRDefault="00FE64E5" w:rsidP="00FE64E5">
            <w:pPr>
              <w:spacing w:before="40" w:after="40" w:line="240" w:lineRule="auto"/>
              <w:rPr>
                <w:rFonts w:ascii="Arial" w:eastAsia="Times New Roman" w:hAnsi="Arial" w:cs="Arial"/>
                <w:b/>
                <w:bCs/>
                <w:sz w:val="19"/>
                <w:szCs w:val="19"/>
                <w:lang w:eastAsia="en-GB"/>
              </w:rPr>
            </w:pPr>
            <w:r w:rsidRPr="00543D10">
              <w:rPr>
                <w:rFonts w:ascii="Arial" w:eastAsia="Times New Roman" w:hAnsi="Arial" w:cs="Arial"/>
                <w:b/>
                <w:bCs/>
                <w:sz w:val="19"/>
                <w:szCs w:val="19"/>
                <w:lang w:eastAsia="en-GB"/>
              </w:rPr>
              <w:t xml:space="preserve">Fund balances carried forward </w:t>
            </w:r>
          </w:p>
        </w:tc>
        <w:tc>
          <w:tcPr>
            <w:tcW w:w="1298" w:type="dxa"/>
            <w:shd w:val="clear" w:color="auto" w:fill="auto"/>
            <w:noWrap/>
          </w:tcPr>
          <w:p w14:paraId="252B44A8" w14:textId="77777777" w:rsidR="00FE64E5" w:rsidRPr="00543D10" w:rsidRDefault="00982C22">
            <w:pPr>
              <w:pBdr>
                <w:top w:val="single" w:sz="4" w:space="1" w:color="auto"/>
                <w:bottom w:val="single" w:sz="4" w:space="1" w:color="auto"/>
              </w:pBdr>
              <w:tabs>
                <w:tab w:val="right" w:pos="851"/>
              </w:tabs>
              <w:spacing w:before="40" w:after="40" w:line="240" w:lineRule="auto"/>
              <w:jc w:val="right"/>
              <w:rPr>
                <w:rFonts w:ascii="Arial" w:eastAsia="Times New Roman" w:hAnsi="Arial" w:cs="Arial"/>
                <w:sz w:val="19"/>
                <w:szCs w:val="19"/>
                <w:lang w:eastAsia="en-GB"/>
              </w:rPr>
            </w:pPr>
            <w:r>
              <w:rPr>
                <w:rFonts w:ascii="Arial" w:eastAsia="Times New Roman" w:hAnsi="Arial" w:cs="Arial"/>
                <w:sz w:val="19"/>
                <w:szCs w:val="19"/>
                <w:lang w:eastAsia="en-GB"/>
              </w:rPr>
              <w:t>(</w:t>
            </w:r>
            <w:r w:rsidR="00F32FF6">
              <w:rPr>
                <w:rFonts w:ascii="Arial" w:eastAsia="Times New Roman" w:hAnsi="Arial" w:cs="Arial"/>
                <w:sz w:val="19"/>
                <w:szCs w:val="19"/>
                <w:lang w:eastAsia="en-GB"/>
              </w:rPr>
              <w:t>39,588</w:t>
            </w:r>
            <w:r>
              <w:rPr>
                <w:rFonts w:ascii="Arial" w:eastAsia="Times New Roman" w:hAnsi="Arial" w:cs="Arial"/>
                <w:sz w:val="19"/>
                <w:szCs w:val="19"/>
                <w:lang w:eastAsia="en-GB"/>
              </w:rPr>
              <w:t>)</w:t>
            </w:r>
          </w:p>
        </w:tc>
        <w:tc>
          <w:tcPr>
            <w:tcW w:w="1298" w:type="dxa"/>
            <w:shd w:val="clear" w:color="auto" w:fill="auto"/>
            <w:noWrap/>
          </w:tcPr>
          <w:p w14:paraId="07F5A2AC" w14:textId="77777777" w:rsidR="00FE64E5" w:rsidRPr="00543D10" w:rsidRDefault="00674252" w:rsidP="00FE64E5">
            <w:pPr>
              <w:pBdr>
                <w:top w:val="single" w:sz="4" w:space="1" w:color="auto"/>
                <w:bottom w:val="single" w:sz="4" w:space="1" w:color="auto"/>
              </w:pBdr>
              <w:tabs>
                <w:tab w:val="right" w:pos="851"/>
              </w:tabs>
              <w:spacing w:before="40" w:after="40" w:line="240" w:lineRule="auto"/>
              <w:jc w:val="right"/>
              <w:rPr>
                <w:rFonts w:ascii="Arial" w:eastAsia="Times New Roman" w:hAnsi="Arial" w:cs="Arial"/>
                <w:sz w:val="19"/>
                <w:szCs w:val="19"/>
                <w:lang w:eastAsia="en-GB"/>
              </w:rPr>
            </w:pPr>
            <w:r>
              <w:rPr>
                <w:rFonts w:ascii="Arial" w:eastAsia="Times New Roman" w:hAnsi="Arial" w:cs="Arial"/>
                <w:sz w:val="19"/>
                <w:szCs w:val="19"/>
                <w:lang w:eastAsia="en-GB"/>
              </w:rPr>
              <w:t>122,47</w:t>
            </w:r>
            <w:r w:rsidR="00982C22">
              <w:rPr>
                <w:rFonts w:ascii="Arial" w:eastAsia="Times New Roman" w:hAnsi="Arial" w:cs="Arial"/>
                <w:sz w:val="19"/>
                <w:szCs w:val="19"/>
                <w:lang w:eastAsia="en-GB"/>
              </w:rPr>
              <w:t>7</w:t>
            </w:r>
          </w:p>
        </w:tc>
        <w:tc>
          <w:tcPr>
            <w:tcW w:w="1298" w:type="dxa"/>
            <w:shd w:val="clear" w:color="auto" w:fill="auto"/>
            <w:noWrap/>
          </w:tcPr>
          <w:p w14:paraId="756E5874" w14:textId="77777777" w:rsidR="00FE64E5" w:rsidRPr="008725FF" w:rsidRDefault="00357915">
            <w:pPr>
              <w:pBdr>
                <w:top w:val="single" w:sz="4" w:space="1" w:color="auto"/>
                <w:bottom w:val="single" w:sz="4" w:space="1" w:color="auto"/>
              </w:pBdr>
              <w:tabs>
                <w:tab w:val="right" w:pos="851"/>
              </w:tabs>
              <w:spacing w:before="40" w:after="40" w:line="240" w:lineRule="auto"/>
              <w:jc w:val="right"/>
              <w:rPr>
                <w:rFonts w:ascii="Arial" w:eastAsia="Times New Roman" w:hAnsi="Arial" w:cs="Arial"/>
                <w:b/>
                <w:bCs/>
                <w:sz w:val="19"/>
                <w:szCs w:val="19"/>
                <w:lang w:eastAsia="en-GB"/>
              </w:rPr>
            </w:pPr>
            <w:r w:rsidRPr="008725FF">
              <w:rPr>
                <w:rFonts w:ascii="Arial" w:eastAsia="Times New Roman" w:hAnsi="Arial" w:cs="Arial"/>
                <w:b/>
                <w:bCs/>
                <w:sz w:val="19"/>
                <w:szCs w:val="19"/>
                <w:lang w:eastAsia="en-GB"/>
              </w:rPr>
              <w:t>8</w:t>
            </w:r>
            <w:r w:rsidR="00674252">
              <w:rPr>
                <w:rFonts w:ascii="Arial" w:eastAsia="Times New Roman" w:hAnsi="Arial" w:cs="Arial"/>
                <w:b/>
                <w:bCs/>
                <w:sz w:val="19"/>
                <w:szCs w:val="19"/>
                <w:lang w:eastAsia="en-GB"/>
              </w:rPr>
              <w:t>2,88</w:t>
            </w:r>
            <w:r w:rsidR="00F32FF6">
              <w:rPr>
                <w:rFonts w:ascii="Arial" w:eastAsia="Times New Roman" w:hAnsi="Arial" w:cs="Arial"/>
                <w:b/>
                <w:bCs/>
                <w:sz w:val="19"/>
                <w:szCs w:val="19"/>
                <w:lang w:eastAsia="en-GB"/>
              </w:rPr>
              <w:t>9</w:t>
            </w:r>
          </w:p>
        </w:tc>
        <w:tc>
          <w:tcPr>
            <w:tcW w:w="1299" w:type="dxa"/>
            <w:shd w:val="clear" w:color="auto" w:fill="auto"/>
            <w:noWrap/>
            <w:hideMark/>
          </w:tcPr>
          <w:p w14:paraId="25444E48" w14:textId="77777777" w:rsidR="00FE64E5" w:rsidRPr="008725FF" w:rsidRDefault="00FE64E5" w:rsidP="00FE64E5">
            <w:pPr>
              <w:pBdr>
                <w:top w:val="single" w:sz="4" w:space="1" w:color="auto"/>
                <w:bottom w:val="single" w:sz="4" w:space="1" w:color="auto"/>
              </w:pBdr>
              <w:tabs>
                <w:tab w:val="right" w:pos="851"/>
              </w:tabs>
              <w:spacing w:before="40" w:after="40" w:line="240" w:lineRule="auto"/>
              <w:jc w:val="right"/>
              <w:rPr>
                <w:rFonts w:ascii="Arial" w:eastAsia="Times New Roman" w:hAnsi="Arial" w:cs="Arial"/>
                <w:sz w:val="19"/>
                <w:szCs w:val="19"/>
                <w:lang w:eastAsia="en-GB"/>
              </w:rPr>
            </w:pPr>
            <w:r w:rsidRPr="008725FF">
              <w:rPr>
                <w:rFonts w:ascii="Arial" w:eastAsia="Times New Roman" w:hAnsi="Arial" w:cs="Arial"/>
                <w:bCs/>
                <w:sz w:val="19"/>
                <w:szCs w:val="19"/>
                <w:lang w:eastAsia="en-GB"/>
              </w:rPr>
              <w:t>82,081</w:t>
            </w:r>
          </w:p>
        </w:tc>
      </w:tr>
    </w:tbl>
    <w:p w14:paraId="54979B50" w14:textId="77777777" w:rsidR="00156C19" w:rsidRDefault="00156C19" w:rsidP="005E6F49">
      <w:pPr>
        <w:tabs>
          <w:tab w:val="left" w:pos="567"/>
        </w:tabs>
        <w:rPr>
          <w:rFonts w:ascii="Arial" w:hAnsi="Arial" w:cs="Arial"/>
          <w:b/>
          <w:sz w:val="32"/>
          <w:szCs w:val="32"/>
        </w:rPr>
      </w:pPr>
    </w:p>
    <w:p w14:paraId="572E2274" w14:textId="77777777" w:rsidR="00676596" w:rsidRPr="00BB27D0" w:rsidRDefault="00B94E35" w:rsidP="005E6F49">
      <w:pPr>
        <w:tabs>
          <w:tab w:val="left" w:pos="567"/>
        </w:tabs>
        <w:rPr>
          <w:rFonts w:ascii="Arial" w:hAnsi="Arial" w:cs="Arial"/>
          <w:b/>
          <w:sz w:val="24"/>
          <w:szCs w:val="24"/>
        </w:rPr>
      </w:pPr>
      <w:r>
        <w:rPr>
          <w:rFonts w:ascii="Arial" w:hAnsi="Arial" w:cs="Arial"/>
          <w:b/>
          <w:sz w:val="32"/>
          <w:szCs w:val="32"/>
        </w:rPr>
        <w:lastRenderedPageBreak/>
        <w:t>Group and C</w:t>
      </w:r>
      <w:r w:rsidR="00BB7D93">
        <w:rPr>
          <w:rFonts w:ascii="Arial" w:hAnsi="Arial" w:cs="Arial"/>
          <w:b/>
          <w:sz w:val="32"/>
          <w:szCs w:val="32"/>
        </w:rPr>
        <w:t>ompany</w:t>
      </w:r>
      <w:r>
        <w:rPr>
          <w:rFonts w:ascii="Arial" w:hAnsi="Arial" w:cs="Arial"/>
          <w:b/>
          <w:sz w:val="32"/>
          <w:szCs w:val="32"/>
        </w:rPr>
        <w:t xml:space="preserve"> Balance S</w:t>
      </w:r>
      <w:r w:rsidR="00676596" w:rsidRPr="00AA0FAF">
        <w:rPr>
          <w:rFonts w:ascii="Arial" w:hAnsi="Arial" w:cs="Arial"/>
          <w:b/>
          <w:sz w:val="32"/>
          <w:szCs w:val="32"/>
        </w:rPr>
        <w:t xml:space="preserve">heets </w:t>
      </w:r>
      <w:r w:rsidR="00F04499">
        <w:rPr>
          <w:rFonts w:ascii="Arial" w:hAnsi="Arial" w:cs="Arial"/>
          <w:b/>
          <w:sz w:val="32"/>
          <w:szCs w:val="32"/>
        </w:rPr>
        <w:br/>
      </w:r>
      <w:r w:rsidR="00676596" w:rsidRPr="00BB27D0">
        <w:rPr>
          <w:rFonts w:ascii="Arial" w:hAnsi="Arial" w:cs="Arial"/>
          <w:b/>
          <w:sz w:val="24"/>
          <w:szCs w:val="24"/>
        </w:rPr>
        <w:t xml:space="preserve">as at 31 August </w:t>
      </w:r>
      <w:r w:rsidR="0037645F" w:rsidRPr="00BB27D0">
        <w:rPr>
          <w:rFonts w:ascii="Arial" w:hAnsi="Arial" w:cs="Arial"/>
          <w:b/>
          <w:sz w:val="24"/>
          <w:szCs w:val="24"/>
        </w:rPr>
        <w:t>2020</w:t>
      </w:r>
    </w:p>
    <w:tbl>
      <w:tblPr>
        <w:tblW w:w="9072" w:type="dxa"/>
        <w:tblLook w:val="04A0" w:firstRow="1" w:lastRow="0" w:firstColumn="1" w:lastColumn="0" w:noHBand="0" w:noVBand="1"/>
      </w:tblPr>
      <w:tblGrid>
        <w:gridCol w:w="3879"/>
        <w:gridCol w:w="776"/>
        <w:gridCol w:w="1073"/>
        <w:gridCol w:w="1035"/>
        <w:gridCol w:w="1348"/>
        <w:gridCol w:w="961"/>
      </w:tblGrid>
      <w:tr w:rsidR="00D93D05" w:rsidRPr="00D60034" w14:paraId="5E8CAA2A" w14:textId="77777777" w:rsidTr="006D78AE">
        <w:trPr>
          <w:trHeight w:val="323"/>
        </w:trPr>
        <w:tc>
          <w:tcPr>
            <w:tcW w:w="4062" w:type="dxa"/>
            <w:tcBorders>
              <w:top w:val="single" w:sz="4" w:space="0" w:color="auto"/>
              <w:left w:val="nil"/>
              <w:bottom w:val="nil"/>
              <w:right w:val="nil"/>
            </w:tcBorders>
            <w:shd w:val="clear" w:color="auto" w:fill="auto"/>
            <w:vAlign w:val="center"/>
            <w:hideMark/>
          </w:tcPr>
          <w:p w14:paraId="1FECA68B" w14:textId="77777777" w:rsidR="00D93D05" w:rsidRPr="00D60034" w:rsidRDefault="00D93D05" w:rsidP="00C40688">
            <w:pPr>
              <w:ind w:left="-536"/>
              <w:rPr>
                <w:rFonts w:ascii="Arial" w:eastAsia="Times New Roman" w:hAnsi="Arial" w:cs="Arial"/>
                <w:sz w:val="20"/>
                <w:szCs w:val="20"/>
                <w:lang w:eastAsia="en-GB"/>
              </w:rPr>
            </w:pPr>
            <w:r w:rsidRPr="00D60034">
              <w:rPr>
                <w:rFonts w:ascii="Arial" w:eastAsia="Times New Roman" w:hAnsi="Arial" w:cs="Arial"/>
                <w:sz w:val="20"/>
                <w:szCs w:val="20"/>
                <w:lang w:eastAsia="en-GB"/>
              </w:rPr>
              <w:t> </w:t>
            </w:r>
          </w:p>
        </w:tc>
        <w:tc>
          <w:tcPr>
            <w:tcW w:w="776" w:type="dxa"/>
            <w:tcBorders>
              <w:top w:val="single" w:sz="4" w:space="0" w:color="auto"/>
              <w:left w:val="nil"/>
              <w:bottom w:val="nil"/>
              <w:right w:val="nil"/>
            </w:tcBorders>
            <w:shd w:val="clear" w:color="auto" w:fill="auto"/>
            <w:noWrap/>
            <w:vAlign w:val="center"/>
            <w:hideMark/>
          </w:tcPr>
          <w:p w14:paraId="54BDD346" w14:textId="77777777" w:rsidR="00D93D05" w:rsidRPr="00D60034" w:rsidRDefault="00D93D05" w:rsidP="005F2CDB">
            <w:pPr>
              <w:spacing w:after="0" w:line="240" w:lineRule="auto"/>
              <w:rPr>
                <w:rFonts w:ascii="Arial" w:eastAsia="Times New Roman" w:hAnsi="Arial" w:cs="Arial"/>
                <w:sz w:val="20"/>
                <w:szCs w:val="20"/>
                <w:lang w:eastAsia="en-GB"/>
              </w:rPr>
            </w:pPr>
            <w:r w:rsidRPr="00D60034">
              <w:rPr>
                <w:rFonts w:ascii="Arial" w:eastAsia="Times New Roman" w:hAnsi="Arial" w:cs="Arial"/>
                <w:sz w:val="20"/>
                <w:szCs w:val="20"/>
                <w:lang w:eastAsia="en-GB"/>
              </w:rPr>
              <w:t> </w:t>
            </w:r>
          </w:p>
        </w:tc>
        <w:tc>
          <w:tcPr>
            <w:tcW w:w="2108" w:type="dxa"/>
            <w:gridSpan w:val="2"/>
            <w:tcBorders>
              <w:top w:val="single" w:sz="4" w:space="0" w:color="auto"/>
              <w:left w:val="nil"/>
              <w:bottom w:val="nil"/>
              <w:right w:val="nil"/>
            </w:tcBorders>
            <w:shd w:val="clear" w:color="auto" w:fill="auto"/>
            <w:noWrap/>
            <w:vAlign w:val="center"/>
            <w:hideMark/>
          </w:tcPr>
          <w:p w14:paraId="115F07CA" w14:textId="77777777" w:rsidR="00D93D05" w:rsidRPr="00D60034" w:rsidRDefault="00D93D05" w:rsidP="00D93D05">
            <w:pPr>
              <w:spacing w:after="0" w:line="240" w:lineRule="auto"/>
              <w:jc w:val="center"/>
              <w:rPr>
                <w:rFonts w:ascii="Arial" w:eastAsia="Times New Roman" w:hAnsi="Arial" w:cs="Arial"/>
                <w:b/>
                <w:bCs/>
                <w:sz w:val="20"/>
                <w:szCs w:val="20"/>
                <w:lang w:eastAsia="en-GB"/>
              </w:rPr>
            </w:pPr>
            <w:r w:rsidRPr="00D60034">
              <w:rPr>
                <w:rFonts w:ascii="Arial" w:eastAsia="Times New Roman" w:hAnsi="Arial" w:cs="Arial"/>
                <w:b/>
                <w:bCs/>
                <w:sz w:val="20"/>
                <w:szCs w:val="20"/>
                <w:lang w:eastAsia="en-GB"/>
              </w:rPr>
              <w:t>Group</w:t>
            </w:r>
          </w:p>
        </w:tc>
        <w:tc>
          <w:tcPr>
            <w:tcW w:w="2126" w:type="dxa"/>
            <w:gridSpan w:val="2"/>
            <w:tcBorders>
              <w:top w:val="single" w:sz="4" w:space="0" w:color="auto"/>
              <w:left w:val="nil"/>
              <w:bottom w:val="nil"/>
              <w:right w:val="nil"/>
            </w:tcBorders>
            <w:shd w:val="clear" w:color="auto" w:fill="auto"/>
            <w:noWrap/>
            <w:vAlign w:val="center"/>
            <w:hideMark/>
          </w:tcPr>
          <w:p w14:paraId="05BA7E51" w14:textId="77777777" w:rsidR="00D93D05" w:rsidRPr="00D60034" w:rsidRDefault="00D93D05" w:rsidP="00D93D05">
            <w:pPr>
              <w:spacing w:after="0" w:line="240" w:lineRule="auto"/>
              <w:jc w:val="center"/>
              <w:rPr>
                <w:rFonts w:ascii="Arial" w:eastAsia="Times New Roman" w:hAnsi="Arial" w:cs="Arial"/>
                <w:b/>
                <w:bCs/>
                <w:sz w:val="20"/>
                <w:szCs w:val="20"/>
                <w:lang w:eastAsia="en-GB"/>
              </w:rPr>
            </w:pPr>
            <w:r w:rsidRPr="00D60034">
              <w:rPr>
                <w:rFonts w:ascii="Arial" w:eastAsia="Times New Roman" w:hAnsi="Arial" w:cs="Arial"/>
                <w:b/>
                <w:bCs/>
                <w:sz w:val="20"/>
                <w:szCs w:val="20"/>
                <w:lang w:eastAsia="en-GB"/>
              </w:rPr>
              <w:t>Company</w:t>
            </w:r>
          </w:p>
        </w:tc>
      </w:tr>
      <w:tr w:rsidR="00D93D05" w:rsidRPr="00D60034" w14:paraId="583AE4BE" w14:textId="77777777" w:rsidTr="006D78AE">
        <w:trPr>
          <w:trHeight w:val="323"/>
        </w:trPr>
        <w:tc>
          <w:tcPr>
            <w:tcW w:w="4062" w:type="dxa"/>
            <w:tcBorders>
              <w:top w:val="nil"/>
              <w:left w:val="nil"/>
              <w:bottom w:val="nil"/>
              <w:right w:val="nil"/>
            </w:tcBorders>
            <w:shd w:val="clear" w:color="auto" w:fill="auto"/>
            <w:vAlign w:val="center"/>
            <w:hideMark/>
          </w:tcPr>
          <w:p w14:paraId="5568E4B3" w14:textId="77777777" w:rsidR="00D93D05" w:rsidRPr="00D60034" w:rsidRDefault="00D93D05" w:rsidP="005F2CDB">
            <w:pPr>
              <w:spacing w:after="0" w:line="240" w:lineRule="auto"/>
              <w:rPr>
                <w:rFonts w:ascii="Arial" w:eastAsia="Times New Roman" w:hAnsi="Arial" w:cs="Arial"/>
                <w:b/>
                <w:bCs/>
                <w:sz w:val="20"/>
                <w:szCs w:val="20"/>
                <w:lang w:eastAsia="en-GB"/>
              </w:rPr>
            </w:pPr>
          </w:p>
        </w:tc>
        <w:tc>
          <w:tcPr>
            <w:tcW w:w="776" w:type="dxa"/>
            <w:tcBorders>
              <w:top w:val="nil"/>
              <w:left w:val="nil"/>
              <w:bottom w:val="nil"/>
              <w:right w:val="nil"/>
            </w:tcBorders>
            <w:shd w:val="clear" w:color="auto" w:fill="auto"/>
            <w:noWrap/>
            <w:vAlign w:val="center"/>
            <w:hideMark/>
          </w:tcPr>
          <w:p w14:paraId="341A7FE5" w14:textId="77777777" w:rsidR="00D93D05" w:rsidRPr="00D60034" w:rsidRDefault="00D93D05" w:rsidP="005F2CDB">
            <w:pPr>
              <w:spacing w:after="0" w:line="240" w:lineRule="auto"/>
              <w:rPr>
                <w:rFonts w:ascii="Arial" w:eastAsia="Times New Roman" w:hAnsi="Arial" w:cs="Arial"/>
                <w:b/>
                <w:bCs/>
                <w:sz w:val="20"/>
                <w:szCs w:val="20"/>
                <w:lang w:eastAsia="en-GB"/>
              </w:rPr>
            </w:pPr>
            <w:r w:rsidRPr="00D60034">
              <w:rPr>
                <w:rFonts w:ascii="Arial" w:eastAsia="Times New Roman" w:hAnsi="Arial" w:cs="Arial"/>
                <w:b/>
                <w:bCs/>
                <w:sz w:val="20"/>
                <w:szCs w:val="20"/>
                <w:lang w:eastAsia="en-GB"/>
              </w:rPr>
              <w:t>Note</w:t>
            </w:r>
          </w:p>
        </w:tc>
        <w:tc>
          <w:tcPr>
            <w:tcW w:w="1073" w:type="dxa"/>
            <w:tcBorders>
              <w:top w:val="nil"/>
              <w:left w:val="nil"/>
              <w:bottom w:val="nil"/>
              <w:right w:val="nil"/>
            </w:tcBorders>
            <w:shd w:val="clear" w:color="auto" w:fill="auto"/>
            <w:noWrap/>
            <w:vAlign w:val="center"/>
            <w:hideMark/>
          </w:tcPr>
          <w:p w14:paraId="77A93800" w14:textId="77777777" w:rsidR="00D93D05" w:rsidRPr="00D60034" w:rsidRDefault="0037645F" w:rsidP="005B39D0">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2020</w:t>
            </w:r>
          </w:p>
        </w:tc>
        <w:tc>
          <w:tcPr>
            <w:tcW w:w="1035" w:type="dxa"/>
            <w:tcBorders>
              <w:top w:val="nil"/>
              <w:left w:val="nil"/>
              <w:bottom w:val="nil"/>
              <w:right w:val="nil"/>
            </w:tcBorders>
            <w:shd w:val="clear" w:color="auto" w:fill="auto"/>
            <w:noWrap/>
            <w:vAlign w:val="center"/>
            <w:hideMark/>
          </w:tcPr>
          <w:p w14:paraId="31D6409A" w14:textId="77777777" w:rsidR="00D93D05" w:rsidRPr="00D60034" w:rsidRDefault="0037645F" w:rsidP="005B39D0">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2019</w:t>
            </w:r>
          </w:p>
        </w:tc>
        <w:tc>
          <w:tcPr>
            <w:tcW w:w="1348" w:type="dxa"/>
            <w:tcBorders>
              <w:top w:val="nil"/>
              <w:left w:val="nil"/>
              <w:bottom w:val="nil"/>
              <w:right w:val="nil"/>
            </w:tcBorders>
            <w:shd w:val="clear" w:color="auto" w:fill="auto"/>
            <w:noWrap/>
            <w:vAlign w:val="center"/>
            <w:hideMark/>
          </w:tcPr>
          <w:p w14:paraId="03791D4E" w14:textId="77777777" w:rsidR="00D93D05" w:rsidRPr="00D60034" w:rsidRDefault="0037645F" w:rsidP="005B39D0">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2020</w:t>
            </w:r>
          </w:p>
        </w:tc>
        <w:tc>
          <w:tcPr>
            <w:tcW w:w="778" w:type="dxa"/>
            <w:tcBorders>
              <w:top w:val="nil"/>
              <w:left w:val="nil"/>
              <w:bottom w:val="nil"/>
              <w:right w:val="nil"/>
            </w:tcBorders>
            <w:shd w:val="clear" w:color="auto" w:fill="auto"/>
            <w:noWrap/>
            <w:vAlign w:val="center"/>
            <w:hideMark/>
          </w:tcPr>
          <w:p w14:paraId="5865E624" w14:textId="77777777" w:rsidR="00D93D05" w:rsidRPr="00D60034" w:rsidRDefault="0037645F" w:rsidP="005B39D0">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2019</w:t>
            </w:r>
          </w:p>
        </w:tc>
      </w:tr>
      <w:tr w:rsidR="00D93D05" w:rsidRPr="00D60034" w14:paraId="1C0367EF" w14:textId="77777777" w:rsidTr="006D78AE">
        <w:trPr>
          <w:trHeight w:val="323"/>
        </w:trPr>
        <w:tc>
          <w:tcPr>
            <w:tcW w:w="4062" w:type="dxa"/>
            <w:tcBorders>
              <w:top w:val="nil"/>
              <w:left w:val="nil"/>
              <w:bottom w:val="single" w:sz="4" w:space="0" w:color="auto"/>
              <w:right w:val="nil"/>
            </w:tcBorders>
            <w:shd w:val="clear" w:color="auto" w:fill="auto"/>
            <w:vAlign w:val="center"/>
            <w:hideMark/>
          </w:tcPr>
          <w:p w14:paraId="66663BEA" w14:textId="77777777" w:rsidR="00D93D05" w:rsidRPr="00D60034" w:rsidRDefault="00D93D05" w:rsidP="005F2CDB">
            <w:pPr>
              <w:spacing w:after="0" w:line="240" w:lineRule="auto"/>
              <w:rPr>
                <w:rFonts w:ascii="Arial" w:eastAsia="Times New Roman" w:hAnsi="Arial" w:cs="Arial"/>
                <w:sz w:val="20"/>
                <w:szCs w:val="20"/>
                <w:lang w:eastAsia="en-GB"/>
              </w:rPr>
            </w:pPr>
            <w:r w:rsidRPr="00D60034">
              <w:rPr>
                <w:rFonts w:ascii="Arial" w:eastAsia="Times New Roman" w:hAnsi="Arial" w:cs="Arial"/>
                <w:sz w:val="20"/>
                <w:szCs w:val="20"/>
                <w:lang w:eastAsia="en-GB"/>
              </w:rPr>
              <w:t> </w:t>
            </w:r>
          </w:p>
        </w:tc>
        <w:tc>
          <w:tcPr>
            <w:tcW w:w="776" w:type="dxa"/>
            <w:tcBorders>
              <w:top w:val="nil"/>
              <w:left w:val="nil"/>
              <w:bottom w:val="single" w:sz="4" w:space="0" w:color="auto"/>
              <w:right w:val="nil"/>
            </w:tcBorders>
            <w:shd w:val="clear" w:color="auto" w:fill="auto"/>
            <w:noWrap/>
            <w:vAlign w:val="center"/>
            <w:hideMark/>
          </w:tcPr>
          <w:p w14:paraId="7B15799D" w14:textId="77777777" w:rsidR="00D93D05" w:rsidRPr="00D60034" w:rsidRDefault="00D93D05" w:rsidP="005F2CDB">
            <w:pPr>
              <w:spacing w:after="0" w:line="240" w:lineRule="auto"/>
              <w:rPr>
                <w:rFonts w:ascii="Arial" w:eastAsia="Times New Roman" w:hAnsi="Arial" w:cs="Arial"/>
                <w:sz w:val="20"/>
                <w:szCs w:val="20"/>
                <w:lang w:eastAsia="en-GB"/>
              </w:rPr>
            </w:pPr>
            <w:r w:rsidRPr="00D60034">
              <w:rPr>
                <w:rFonts w:ascii="Arial" w:eastAsia="Times New Roman" w:hAnsi="Arial" w:cs="Arial"/>
                <w:sz w:val="20"/>
                <w:szCs w:val="20"/>
                <w:lang w:eastAsia="en-GB"/>
              </w:rPr>
              <w:t> </w:t>
            </w:r>
          </w:p>
        </w:tc>
        <w:tc>
          <w:tcPr>
            <w:tcW w:w="1073" w:type="dxa"/>
            <w:tcBorders>
              <w:top w:val="nil"/>
              <w:left w:val="nil"/>
              <w:bottom w:val="single" w:sz="4" w:space="0" w:color="auto"/>
              <w:right w:val="nil"/>
            </w:tcBorders>
            <w:shd w:val="clear" w:color="auto" w:fill="auto"/>
            <w:noWrap/>
            <w:vAlign w:val="center"/>
            <w:hideMark/>
          </w:tcPr>
          <w:p w14:paraId="01E774AD" w14:textId="77777777" w:rsidR="00D93D05" w:rsidRPr="00D60034" w:rsidRDefault="00D93D05" w:rsidP="005B39D0">
            <w:pPr>
              <w:spacing w:after="0" w:line="240" w:lineRule="auto"/>
              <w:jc w:val="right"/>
              <w:rPr>
                <w:rFonts w:ascii="Arial" w:eastAsia="Times New Roman" w:hAnsi="Arial" w:cs="Arial"/>
                <w:b/>
                <w:bCs/>
                <w:sz w:val="20"/>
                <w:szCs w:val="20"/>
                <w:lang w:eastAsia="en-GB"/>
              </w:rPr>
            </w:pPr>
            <w:r w:rsidRPr="00D60034">
              <w:rPr>
                <w:rFonts w:ascii="Arial" w:eastAsia="Times New Roman" w:hAnsi="Arial" w:cs="Arial"/>
                <w:b/>
                <w:bCs/>
                <w:sz w:val="20"/>
                <w:szCs w:val="20"/>
                <w:lang w:eastAsia="en-GB"/>
              </w:rPr>
              <w:t>£'000</w:t>
            </w:r>
          </w:p>
        </w:tc>
        <w:tc>
          <w:tcPr>
            <w:tcW w:w="1035" w:type="dxa"/>
            <w:tcBorders>
              <w:top w:val="nil"/>
              <w:left w:val="nil"/>
              <w:bottom w:val="single" w:sz="4" w:space="0" w:color="auto"/>
              <w:right w:val="nil"/>
            </w:tcBorders>
            <w:shd w:val="clear" w:color="auto" w:fill="auto"/>
            <w:noWrap/>
            <w:vAlign w:val="center"/>
            <w:hideMark/>
          </w:tcPr>
          <w:p w14:paraId="2773AF0C" w14:textId="77777777" w:rsidR="00D93D05" w:rsidRPr="00D60034" w:rsidRDefault="00D93D05" w:rsidP="005B39D0">
            <w:pPr>
              <w:spacing w:after="0" w:line="240" w:lineRule="auto"/>
              <w:jc w:val="right"/>
              <w:rPr>
                <w:rFonts w:ascii="Arial" w:eastAsia="Times New Roman" w:hAnsi="Arial" w:cs="Arial"/>
                <w:sz w:val="20"/>
                <w:szCs w:val="20"/>
                <w:lang w:eastAsia="en-GB"/>
              </w:rPr>
            </w:pPr>
            <w:r w:rsidRPr="00D60034">
              <w:rPr>
                <w:rFonts w:ascii="Arial" w:eastAsia="Times New Roman" w:hAnsi="Arial" w:cs="Arial"/>
                <w:sz w:val="20"/>
                <w:szCs w:val="20"/>
                <w:lang w:eastAsia="en-GB"/>
              </w:rPr>
              <w:t>£'000</w:t>
            </w:r>
          </w:p>
        </w:tc>
        <w:tc>
          <w:tcPr>
            <w:tcW w:w="1348" w:type="dxa"/>
            <w:tcBorders>
              <w:top w:val="nil"/>
              <w:left w:val="nil"/>
              <w:bottom w:val="single" w:sz="4" w:space="0" w:color="auto"/>
              <w:right w:val="nil"/>
            </w:tcBorders>
            <w:shd w:val="clear" w:color="auto" w:fill="auto"/>
            <w:noWrap/>
            <w:vAlign w:val="center"/>
            <w:hideMark/>
          </w:tcPr>
          <w:p w14:paraId="1C0F1A8F" w14:textId="77777777" w:rsidR="00D93D05" w:rsidRPr="00D60034" w:rsidRDefault="00D93D05" w:rsidP="005B39D0">
            <w:pPr>
              <w:spacing w:after="0" w:line="240" w:lineRule="auto"/>
              <w:jc w:val="right"/>
              <w:rPr>
                <w:rFonts w:ascii="Arial" w:eastAsia="Times New Roman" w:hAnsi="Arial" w:cs="Arial"/>
                <w:b/>
                <w:bCs/>
                <w:sz w:val="20"/>
                <w:szCs w:val="20"/>
                <w:lang w:eastAsia="en-GB"/>
              </w:rPr>
            </w:pPr>
            <w:r w:rsidRPr="00D60034">
              <w:rPr>
                <w:rFonts w:ascii="Arial" w:eastAsia="Times New Roman" w:hAnsi="Arial" w:cs="Arial"/>
                <w:b/>
                <w:bCs/>
                <w:sz w:val="20"/>
                <w:szCs w:val="20"/>
                <w:lang w:eastAsia="en-GB"/>
              </w:rPr>
              <w:t>£'000</w:t>
            </w:r>
          </w:p>
        </w:tc>
        <w:tc>
          <w:tcPr>
            <w:tcW w:w="778" w:type="dxa"/>
            <w:tcBorders>
              <w:top w:val="nil"/>
              <w:left w:val="nil"/>
              <w:bottom w:val="single" w:sz="4" w:space="0" w:color="auto"/>
              <w:right w:val="nil"/>
            </w:tcBorders>
            <w:shd w:val="clear" w:color="auto" w:fill="auto"/>
            <w:noWrap/>
            <w:vAlign w:val="center"/>
            <w:hideMark/>
          </w:tcPr>
          <w:p w14:paraId="0A7A971A" w14:textId="77777777" w:rsidR="00D93D05" w:rsidRPr="00D60034" w:rsidRDefault="00D93D05" w:rsidP="005B39D0">
            <w:pPr>
              <w:spacing w:after="0" w:line="240" w:lineRule="auto"/>
              <w:jc w:val="right"/>
              <w:rPr>
                <w:rFonts w:ascii="Arial" w:eastAsia="Times New Roman" w:hAnsi="Arial" w:cs="Arial"/>
                <w:sz w:val="20"/>
                <w:szCs w:val="20"/>
                <w:lang w:eastAsia="en-GB"/>
              </w:rPr>
            </w:pPr>
            <w:r w:rsidRPr="00D60034">
              <w:rPr>
                <w:rFonts w:ascii="Arial" w:eastAsia="Times New Roman" w:hAnsi="Arial" w:cs="Arial"/>
                <w:sz w:val="20"/>
                <w:szCs w:val="20"/>
                <w:lang w:eastAsia="en-GB"/>
              </w:rPr>
              <w:t>£'000</w:t>
            </w:r>
          </w:p>
        </w:tc>
      </w:tr>
      <w:tr w:rsidR="00D93D05" w:rsidRPr="00D60034" w14:paraId="0F327012" w14:textId="77777777" w:rsidTr="006D78AE">
        <w:trPr>
          <w:trHeight w:val="323"/>
        </w:trPr>
        <w:tc>
          <w:tcPr>
            <w:tcW w:w="4062" w:type="dxa"/>
            <w:tcBorders>
              <w:top w:val="nil"/>
              <w:left w:val="nil"/>
              <w:bottom w:val="nil"/>
              <w:right w:val="nil"/>
            </w:tcBorders>
            <w:shd w:val="clear" w:color="auto" w:fill="auto"/>
            <w:vAlign w:val="center"/>
            <w:hideMark/>
          </w:tcPr>
          <w:p w14:paraId="49B70B19" w14:textId="77777777" w:rsidR="00D93D05" w:rsidRPr="00D60034" w:rsidRDefault="00D93D05" w:rsidP="005F2CDB">
            <w:pPr>
              <w:spacing w:after="0" w:line="240" w:lineRule="auto"/>
              <w:rPr>
                <w:rFonts w:ascii="Arial" w:eastAsia="Times New Roman" w:hAnsi="Arial" w:cs="Arial"/>
                <w:b/>
                <w:bCs/>
                <w:sz w:val="20"/>
                <w:szCs w:val="20"/>
                <w:lang w:eastAsia="en-GB"/>
              </w:rPr>
            </w:pPr>
            <w:r w:rsidRPr="00D60034">
              <w:rPr>
                <w:rFonts w:ascii="Arial" w:eastAsia="Times New Roman" w:hAnsi="Arial" w:cs="Arial"/>
                <w:b/>
                <w:bCs/>
                <w:sz w:val="20"/>
                <w:szCs w:val="20"/>
                <w:lang w:eastAsia="en-GB"/>
              </w:rPr>
              <w:t>Fixed assets</w:t>
            </w:r>
          </w:p>
        </w:tc>
        <w:tc>
          <w:tcPr>
            <w:tcW w:w="776" w:type="dxa"/>
            <w:tcBorders>
              <w:top w:val="nil"/>
              <w:left w:val="nil"/>
              <w:bottom w:val="nil"/>
              <w:right w:val="nil"/>
            </w:tcBorders>
            <w:shd w:val="clear" w:color="auto" w:fill="auto"/>
            <w:noWrap/>
            <w:vAlign w:val="bottom"/>
            <w:hideMark/>
          </w:tcPr>
          <w:p w14:paraId="0E319EAB" w14:textId="77777777" w:rsidR="00D93D05" w:rsidRPr="00D60034" w:rsidRDefault="00D93D05" w:rsidP="005F2CDB">
            <w:pPr>
              <w:spacing w:after="0" w:line="240" w:lineRule="auto"/>
              <w:rPr>
                <w:rFonts w:ascii="Arial" w:eastAsia="Times New Roman" w:hAnsi="Arial" w:cs="Arial"/>
                <w:b/>
                <w:bCs/>
                <w:sz w:val="20"/>
                <w:szCs w:val="20"/>
                <w:lang w:eastAsia="en-GB"/>
              </w:rPr>
            </w:pPr>
          </w:p>
        </w:tc>
        <w:tc>
          <w:tcPr>
            <w:tcW w:w="1073" w:type="dxa"/>
            <w:tcBorders>
              <w:top w:val="nil"/>
              <w:left w:val="nil"/>
              <w:bottom w:val="nil"/>
              <w:right w:val="nil"/>
            </w:tcBorders>
            <w:shd w:val="clear" w:color="auto" w:fill="auto"/>
            <w:noWrap/>
            <w:vAlign w:val="center"/>
            <w:hideMark/>
          </w:tcPr>
          <w:p w14:paraId="20A0BEC5" w14:textId="77777777" w:rsidR="00D93D05" w:rsidRPr="00D60034" w:rsidRDefault="00D93D05" w:rsidP="005B39D0">
            <w:pPr>
              <w:spacing w:after="0" w:line="240" w:lineRule="auto"/>
              <w:jc w:val="right"/>
              <w:rPr>
                <w:rFonts w:ascii="Arial" w:eastAsia="Times New Roman" w:hAnsi="Arial" w:cs="Arial"/>
                <w:sz w:val="20"/>
                <w:szCs w:val="20"/>
                <w:lang w:eastAsia="en-GB"/>
              </w:rPr>
            </w:pPr>
          </w:p>
        </w:tc>
        <w:tc>
          <w:tcPr>
            <w:tcW w:w="1035" w:type="dxa"/>
            <w:tcBorders>
              <w:top w:val="nil"/>
              <w:left w:val="nil"/>
              <w:bottom w:val="nil"/>
              <w:right w:val="nil"/>
            </w:tcBorders>
            <w:shd w:val="clear" w:color="auto" w:fill="auto"/>
            <w:noWrap/>
            <w:vAlign w:val="center"/>
            <w:hideMark/>
          </w:tcPr>
          <w:p w14:paraId="51C34B54" w14:textId="77777777" w:rsidR="00D93D05" w:rsidRPr="00D60034" w:rsidRDefault="00D93D05" w:rsidP="005B39D0">
            <w:pPr>
              <w:spacing w:after="0" w:line="240" w:lineRule="auto"/>
              <w:jc w:val="right"/>
              <w:rPr>
                <w:rFonts w:ascii="Arial" w:eastAsia="Times New Roman" w:hAnsi="Arial" w:cs="Arial"/>
                <w:sz w:val="20"/>
                <w:szCs w:val="20"/>
                <w:lang w:eastAsia="en-GB"/>
              </w:rPr>
            </w:pPr>
          </w:p>
        </w:tc>
        <w:tc>
          <w:tcPr>
            <w:tcW w:w="1348" w:type="dxa"/>
            <w:tcBorders>
              <w:top w:val="nil"/>
              <w:left w:val="nil"/>
              <w:bottom w:val="nil"/>
              <w:right w:val="nil"/>
            </w:tcBorders>
            <w:shd w:val="clear" w:color="auto" w:fill="auto"/>
            <w:noWrap/>
            <w:vAlign w:val="center"/>
            <w:hideMark/>
          </w:tcPr>
          <w:p w14:paraId="4C2DC575" w14:textId="77777777" w:rsidR="00D93D05" w:rsidRPr="00D60034" w:rsidRDefault="00D93D05" w:rsidP="005B39D0">
            <w:pPr>
              <w:spacing w:after="0" w:line="240" w:lineRule="auto"/>
              <w:jc w:val="right"/>
              <w:rPr>
                <w:rFonts w:ascii="Arial" w:eastAsia="Times New Roman" w:hAnsi="Arial" w:cs="Arial"/>
                <w:sz w:val="20"/>
                <w:szCs w:val="20"/>
                <w:lang w:eastAsia="en-GB"/>
              </w:rPr>
            </w:pPr>
          </w:p>
        </w:tc>
        <w:tc>
          <w:tcPr>
            <w:tcW w:w="778" w:type="dxa"/>
            <w:tcBorders>
              <w:top w:val="nil"/>
              <w:left w:val="nil"/>
              <w:bottom w:val="nil"/>
              <w:right w:val="nil"/>
            </w:tcBorders>
            <w:shd w:val="clear" w:color="auto" w:fill="auto"/>
            <w:noWrap/>
            <w:vAlign w:val="center"/>
            <w:hideMark/>
          </w:tcPr>
          <w:p w14:paraId="12FD0195" w14:textId="77777777" w:rsidR="00D93D05" w:rsidRPr="00D60034" w:rsidRDefault="00D93D05" w:rsidP="005B39D0">
            <w:pPr>
              <w:spacing w:after="0" w:line="240" w:lineRule="auto"/>
              <w:jc w:val="right"/>
              <w:rPr>
                <w:rFonts w:ascii="Arial" w:eastAsia="Times New Roman" w:hAnsi="Arial" w:cs="Arial"/>
                <w:sz w:val="20"/>
                <w:szCs w:val="20"/>
                <w:lang w:eastAsia="en-GB"/>
              </w:rPr>
            </w:pPr>
          </w:p>
        </w:tc>
      </w:tr>
      <w:tr w:rsidR="00FE64E5" w:rsidRPr="00D60034" w14:paraId="2648ECA3" w14:textId="77777777" w:rsidTr="006D78AE">
        <w:trPr>
          <w:trHeight w:val="323"/>
        </w:trPr>
        <w:tc>
          <w:tcPr>
            <w:tcW w:w="4062" w:type="dxa"/>
            <w:tcBorders>
              <w:top w:val="nil"/>
              <w:left w:val="nil"/>
              <w:bottom w:val="nil"/>
              <w:right w:val="nil"/>
            </w:tcBorders>
            <w:shd w:val="clear" w:color="auto" w:fill="auto"/>
            <w:vAlign w:val="center"/>
            <w:hideMark/>
          </w:tcPr>
          <w:p w14:paraId="1D022C32" w14:textId="77777777" w:rsidR="00FE64E5" w:rsidRPr="00D60034" w:rsidRDefault="00FE64E5" w:rsidP="00FE64E5">
            <w:pPr>
              <w:spacing w:after="0" w:line="240" w:lineRule="auto"/>
              <w:rPr>
                <w:rFonts w:ascii="Arial" w:eastAsia="Times New Roman" w:hAnsi="Arial" w:cs="Arial"/>
                <w:sz w:val="20"/>
                <w:szCs w:val="20"/>
                <w:lang w:eastAsia="en-GB"/>
              </w:rPr>
            </w:pPr>
            <w:r w:rsidRPr="00D60034">
              <w:rPr>
                <w:rFonts w:ascii="Arial" w:eastAsia="Times New Roman" w:hAnsi="Arial" w:cs="Arial"/>
                <w:sz w:val="20"/>
                <w:szCs w:val="20"/>
                <w:lang w:eastAsia="en-GB"/>
              </w:rPr>
              <w:t>Intangible assets</w:t>
            </w:r>
          </w:p>
        </w:tc>
        <w:tc>
          <w:tcPr>
            <w:tcW w:w="776" w:type="dxa"/>
            <w:tcBorders>
              <w:top w:val="nil"/>
              <w:left w:val="nil"/>
              <w:bottom w:val="nil"/>
              <w:right w:val="nil"/>
            </w:tcBorders>
            <w:shd w:val="clear" w:color="auto" w:fill="auto"/>
            <w:noWrap/>
            <w:vAlign w:val="bottom"/>
            <w:hideMark/>
          </w:tcPr>
          <w:p w14:paraId="776642D7" w14:textId="77777777" w:rsidR="00FE64E5" w:rsidRPr="00D60034" w:rsidRDefault="00FE64E5" w:rsidP="00FE64E5">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7</w:t>
            </w:r>
          </w:p>
        </w:tc>
        <w:tc>
          <w:tcPr>
            <w:tcW w:w="1073" w:type="dxa"/>
            <w:tcBorders>
              <w:top w:val="nil"/>
              <w:left w:val="nil"/>
              <w:bottom w:val="nil"/>
              <w:right w:val="nil"/>
            </w:tcBorders>
            <w:shd w:val="clear" w:color="auto" w:fill="auto"/>
            <w:noWrap/>
            <w:vAlign w:val="center"/>
          </w:tcPr>
          <w:p w14:paraId="291F39A7" w14:textId="77777777" w:rsidR="00FE64E5" w:rsidRPr="00D60034" w:rsidRDefault="00723BE3" w:rsidP="00FE64E5">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14,292</w:t>
            </w:r>
          </w:p>
        </w:tc>
        <w:tc>
          <w:tcPr>
            <w:tcW w:w="1035" w:type="dxa"/>
            <w:tcBorders>
              <w:top w:val="nil"/>
              <w:left w:val="nil"/>
              <w:bottom w:val="nil"/>
              <w:right w:val="nil"/>
            </w:tcBorders>
            <w:shd w:val="clear" w:color="auto" w:fill="auto"/>
            <w:noWrap/>
            <w:vAlign w:val="center"/>
            <w:hideMark/>
          </w:tcPr>
          <w:p w14:paraId="2DF385C6" w14:textId="77777777" w:rsidR="00FE64E5" w:rsidRPr="00FE64E5" w:rsidRDefault="00FE64E5" w:rsidP="00FE64E5">
            <w:pPr>
              <w:spacing w:after="0" w:line="240" w:lineRule="auto"/>
              <w:jc w:val="right"/>
              <w:rPr>
                <w:rFonts w:ascii="Arial" w:eastAsia="Times New Roman" w:hAnsi="Arial" w:cs="Arial"/>
                <w:sz w:val="20"/>
                <w:szCs w:val="20"/>
                <w:lang w:eastAsia="en-GB"/>
              </w:rPr>
            </w:pPr>
            <w:r w:rsidRPr="00FE64E5">
              <w:rPr>
                <w:rFonts w:ascii="Arial" w:eastAsia="Times New Roman" w:hAnsi="Arial" w:cs="Arial"/>
                <w:bCs/>
                <w:sz w:val="20"/>
                <w:szCs w:val="20"/>
                <w:lang w:eastAsia="en-GB"/>
              </w:rPr>
              <w:t>22,372</w:t>
            </w:r>
          </w:p>
        </w:tc>
        <w:tc>
          <w:tcPr>
            <w:tcW w:w="1348" w:type="dxa"/>
            <w:tcBorders>
              <w:top w:val="nil"/>
              <w:left w:val="nil"/>
              <w:bottom w:val="nil"/>
              <w:right w:val="nil"/>
            </w:tcBorders>
            <w:shd w:val="clear" w:color="auto" w:fill="auto"/>
            <w:noWrap/>
            <w:vAlign w:val="center"/>
          </w:tcPr>
          <w:p w14:paraId="725FC90E" w14:textId="77777777" w:rsidR="00FE64E5" w:rsidRPr="00D60034" w:rsidRDefault="000F1999" w:rsidP="00FE64E5">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488</w:t>
            </w:r>
          </w:p>
        </w:tc>
        <w:tc>
          <w:tcPr>
            <w:tcW w:w="778" w:type="dxa"/>
            <w:tcBorders>
              <w:top w:val="nil"/>
              <w:left w:val="nil"/>
              <w:bottom w:val="nil"/>
              <w:right w:val="nil"/>
            </w:tcBorders>
            <w:shd w:val="clear" w:color="auto" w:fill="auto"/>
            <w:noWrap/>
            <w:vAlign w:val="center"/>
            <w:hideMark/>
          </w:tcPr>
          <w:p w14:paraId="5FB10CE7" w14:textId="77777777" w:rsidR="00FE64E5" w:rsidRPr="00FE64E5" w:rsidRDefault="00FE64E5" w:rsidP="00FE64E5">
            <w:pPr>
              <w:spacing w:after="0" w:line="240" w:lineRule="auto"/>
              <w:jc w:val="right"/>
              <w:rPr>
                <w:rFonts w:ascii="Arial" w:eastAsia="Times New Roman" w:hAnsi="Arial" w:cs="Arial"/>
                <w:sz w:val="20"/>
                <w:szCs w:val="20"/>
                <w:lang w:eastAsia="en-GB"/>
              </w:rPr>
            </w:pPr>
            <w:r w:rsidRPr="00FE64E5">
              <w:rPr>
                <w:rFonts w:ascii="Arial" w:eastAsia="Times New Roman" w:hAnsi="Arial" w:cs="Arial"/>
                <w:bCs/>
                <w:sz w:val="20"/>
                <w:szCs w:val="20"/>
                <w:lang w:eastAsia="en-GB"/>
              </w:rPr>
              <w:t>702</w:t>
            </w:r>
          </w:p>
        </w:tc>
      </w:tr>
      <w:tr w:rsidR="00FE64E5" w:rsidRPr="00D60034" w14:paraId="4296ACCA" w14:textId="77777777" w:rsidTr="006D78AE">
        <w:trPr>
          <w:trHeight w:val="323"/>
        </w:trPr>
        <w:tc>
          <w:tcPr>
            <w:tcW w:w="4062" w:type="dxa"/>
            <w:tcBorders>
              <w:top w:val="nil"/>
              <w:left w:val="nil"/>
              <w:bottom w:val="nil"/>
              <w:right w:val="nil"/>
            </w:tcBorders>
            <w:shd w:val="clear" w:color="auto" w:fill="auto"/>
            <w:vAlign w:val="center"/>
            <w:hideMark/>
          </w:tcPr>
          <w:p w14:paraId="56AAE036" w14:textId="77777777" w:rsidR="00FE64E5" w:rsidRPr="00D60034" w:rsidRDefault="00FE64E5" w:rsidP="00FE64E5">
            <w:pPr>
              <w:spacing w:after="0" w:line="240" w:lineRule="auto"/>
              <w:rPr>
                <w:rFonts w:ascii="Arial" w:eastAsia="Times New Roman" w:hAnsi="Arial" w:cs="Arial"/>
                <w:sz w:val="20"/>
                <w:szCs w:val="20"/>
                <w:lang w:eastAsia="en-GB"/>
              </w:rPr>
            </w:pPr>
            <w:r w:rsidRPr="00D60034">
              <w:rPr>
                <w:rFonts w:ascii="Arial" w:eastAsia="Times New Roman" w:hAnsi="Arial" w:cs="Arial"/>
                <w:sz w:val="20"/>
                <w:szCs w:val="20"/>
                <w:lang w:eastAsia="en-GB"/>
              </w:rPr>
              <w:t>Tangible assets</w:t>
            </w:r>
          </w:p>
        </w:tc>
        <w:tc>
          <w:tcPr>
            <w:tcW w:w="776" w:type="dxa"/>
            <w:tcBorders>
              <w:top w:val="nil"/>
              <w:left w:val="nil"/>
              <w:bottom w:val="nil"/>
              <w:right w:val="nil"/>
            </w:tcBorders>
            <w:shd w:val="clear" w:color="auto" w:fill="auto"/>
            <w:noWrap/>
            <w:vAlign w:val="bottom"/>
            <w:hideMark/>
          </w:tcPr>
          <w:p w14:paraId="74685DE4" w14:textId="77777777" w:rsidR="00FE64E5" w:rsidRPr="00D60034" w:rsidRDefault="00FE64E5" w:rsidP="00FE64E5">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8</w:t>
            </w:r>
          </w:p>
        </w:tc>
        <w:tc>
          <w:tcPr>
            <w:tcW w:w="1073" w:type="dxa"/>
            <w:tcBorders>
              <w:top w:val="nil"/>
              <w:left w:val="nil"/>
              <w:bottom w:val="nil"/>
              <w:right w:val="nil"/>
            </w:tcBorders>
            <w:shd w:val="clear" w:color="auto" w:fill="auto"/>
            <w:noWrap/>
            <w:vAlign w:val="center"/>
          </w:tcPr>
          <w:p w14:paraId="62E6F1B5" w14:textId="77777777" w:rsidR="00FE64E5" w:rsidRPr="00D60034" w:rsidRDefault="00723BE3" w:rsidP="00FE64E5">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167,686</w:t>
            </w:r>
          </w:p>
        </w:tc>
        <w:tc>
          <w:tcPr>
            <w:tcW w:w="1035" w:type="dxa"/>
            <w:tcBorders>
              <w:top w:val="nil"/>
              <w:left w:val="nil"/>
              <w:bottom w:val="nil"/>
              <w:right w:val="nil"/>
            </w:tcBorders>
            <w:shd w:val="clear" w:color="auto" w:fill="auto"/>
            <w:noWrap/>
            <w:vAlign w:val="center"/>
            <w:hideMark/>
          </w:tcPr>
          <w:p w14:paraId="50D38C96" w14:textId="77777777" w:rsidR="00FE64E5" w:rsidRPr="00FE64E5" w:rsidRDefault="00FE64E5" w:rsidP="00FE64E5">
            <w:pPr>
              <w:spacing w:after="0" w:line="240" w:lineRule="auto"/>
              <w:jc w:val="right"/>
              <w:rPr>
                <w:rFonts w:ascii="Arial" w:eastAsia="Times New Roman" w:hAnsi="Arial" w:cs="Arial"/>
                <w:sz w:val="20"/>
                <w:szCs w:val="20"/>
                <w:lang w:eastAsia="en-GB"/>
              </w:rPr>
            </w:pPr>
            <w:r w:rsidRPr="00FE64E5">
              <w:rPr>
                <w:rFonts w:ascii="Arial" w:eastAsia="Times New Roman" w:hAnsi="Arial" w:cs="Arial"/>
                <w:bCs/>
                <w:sz w:val="20"/>
                <w:szCs w:val="20"/>
                <w:lang w:eastAsia="en-GB"/>
              </w:rPr>
              <w:t>142,824</w:t>
            </w:r>
          </w:p>
        </w:tc>
        <w:tc>
          <w:tcPr>
            <w:tcW w:w="1348" w:type="dxa"/>
            <w:tcBorders>
              <w:top w:val="nil"/>
              <w:left w:val="nil"/>
              <w:bottom w:val="nil"/>
              <w:right w:val="nil"/>
            </w:tcBorders>
            <w:shd w:val="clear" w:color="auto" w:fill="auto"/>
            <w:noWrap/>
            <w:vAlign w:val="center"/>
          </w:tcPr>
          <w:p w14:paraId="5EC53C8B" w14:textId="77777777" w:rsidR="00FE64E5" w:rsidRPr="00D60034" w:rsidRDefault="000F1999" w:rsidP="00FE64E5">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3,024</w:t>
            </w:r>
          </w:p>
        </w:tc>
        <w:tc>
          <w:tcPr>
            <w:tcW w:w="778" w:type="dxa"/>
            <w:tcBorders>
              <w:top w:val="nil"/>
              <w:left w:val="nil"/>
              <w:bottom w:val="nil"/>
              <w:right w:val="nil"/>
            </w:tcBorders>
            <w:shd w:val="clear" w:color="auto" w:fill="auto"/>
            <w:noWrap/>
            <w:vAlign w:val="center"/>
            <w:hideMark/>
          </w:tcPr>
          <w:p w14:paraId="4FB08978" w14:textId="77777777" w:rsidR="00FE64E5" w:rsidRPr="00FE64E5" w:rsidRDefault="00FE64E5" w:rsidP="00FE64E5">
            <w:pPr>
              <w:spacing w:after="0" w:line="240" w:lineRule="auto"/>
              <w:jc w:val="right"/>
              <w:rPr>
                <w:rFonts w:ascii="Arial" w:eastAsia="Times New Roman" w:hAnsi="Arial" w:cs="Arial"/>
                <w:sz w:val="20"/>
                <w:szCs w:val="20"/>
                <w:lang w:eastAsia="en-GB"/>
              </w:rPr>
            </w:pPr>
            <w:r w:rsidRPr="00FE64E5">
              <w:rPr>
                <w:rFonts w:ascii="Arial" w:eastAsia="Times New Roman" w:hAnsi="Arial" w:cs="Arial"/>
                <w:bCs/>
                <w:sz w:val="20"/>
                <w:szCs w:val="20"/>
                <w:lang w:eastAsia="en-GB"/>
              </w:rPr>
              <w:t>3,483</w:t>
            </w:r>
          </w:p>
        </w:tc>
      </w:tr>
      <w:tr w:rsidR="00FE64E5" w:rsidRPr="00D60034" w14:paraId="1E7397AD" w14:textId="77777777" w:rsidTr="006D78AE">
        <w:trPr>
          <w:trHeight w:val="323"/>
        </w:trPr>
        <w:tc>
          <w:tcPr>
            <w:tcW w:w="4062" w:type="dxa"/>
            <w:tcBorders>
              <w:top w:val="nil"/>
              <w:left w:val="nil"/>
              <w:bottom w:val="nil"/>
              <w:right w:val="nil"/>
            </w:tcBorders>
            <w:shd w:val="clear" w:color="auto" w:fill="auto"/>
            <w:vAlign w:val="center"/>
            <w:hideMark/>
          </w:tcPr>
          <w:p w14:paraId="296FA650" w14:textId="77777777" w:rsidR="00FE64E5" w:rsidRPr="00D60034" w:rsidRDefault="00FE64E5" w:rsidP="00FE64E5">
            <w:pPr>
              <w:spacing w:after="0" w:line="240" w:lineRule="auto"/>
              <w:rPr>
                <w:rFonts w:ascii="Arial" w:eastAsia="Times New Roman" w:hAnsi="Arial" w:cs="Arial"/>
                <w:sz w:val="20"/>
                <w:szCs w:val="20"/>
                <w:lang w:eastAsia="en-GB"/>
              </w:rPr>
            </w:pPr>
            <w:r w:rsidRPr="00D60034">
              <w:rPr>
                <w:rFonts w:ascii="Arial" w:eastAsia="Times New Roman" w:hAnsi="Arial" w:cs="Arial"/>
                <w:sz w:val="20"/>
                <w:szCs w:val="20"/>
                <w:lang w:eastAsia="en-GB"/>
              </w:rPr>
              <w:t>Investments in subsidiaries</w:t>
            </w:r>
            <w:r>
              <w:rPr>
                <w:rFonts w:ascii="Arial" w:eastAsia="Times New Roman" w:hAnsi="Arial" w:cs="Arial"/>
                <w:sz w:val="20"/>
                <w:szCs w:val="20"/>
                <w:lang w:eastAsia="en-GB"/>
              </w:rPr>
              <w:t xml:space="preserve"> </w:t>
            </w:r>
          </w:p>
        </w:tc>
        <w:tc>
          <w:tcPr>
            <w:tcW w:w="776" w:type="dxa"/>
            <w:tcBorders>
              <w:top w:val="nil"/>
              <w:left w:val="nil"/>
              <w:bottom w:val="nil"/>
              <w:right w:val="nil"/>
            </w:tcBorders>
            <w:shd w:val="clear" w:color="auto" w:fill="auto"/>
            <w:noWrap/>
            <w:vAlign w:val="bottom"/>
            <w:hideMark/>
          </w:tcPr>
          <w:p w14:paraId="3B4C183D" w14:textId="77777777" w:rsidR="00FE64E5" w:rsidRPr="00D60034" w:rsidRDefault="00FE64E5" w:rsidP="00FE64E5">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9</w:t>
            </w:r>
          </w:p>
        </w:tc>
        <w:tc>
          <w:tcPr>
            <w:tcW w:w="1073" w:type="dxa"/>
            <w:tcBorders>
              <w:top w:val="nil"/>
              <w:left w:val="nil"/>
              <w:bottom w:val="nil"/>
              <w:right w:val="nil"/>
            </w:tcBorders>
            <w:shd w:val="clear" w:color="auto" w:fill="auto"/>
            <w:noWrap/>
            <w:vAlign w:val="center"/>
          </w:tcPr>
          <w:p w14:paraId="714AB971" w14:textId="77777777" w:rsidR="00FE64E5" w:rsidRPr="00D60034" w:rsidRDefault="000F1999" w:rsidP="00FE64E5">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w:t>
            </w:r>
          </w:p>
        </w:tc>
        <w:tc>
          <w:tcPr>
            <w:tcW w:w="1035" w:type="dxa"/>
            <w:tcBorders>
              <w:top w:val="nil"/>
              <w:left w:val="nil"/>
              <w:bottom w:val="nil"/>
              <w:right w:val="nil"/>
            </w:tcBorders>
            <w:shd w:val="clear" w:color="auto" w:fill="auto"/>
            <w:noWrap/>
            <w:vAlign w:val="center"/>
            <w:hideMark/>
          </w:tcPr>
          <w:p w14:paraId="5AB929B9" w14:textId="77777777" w:rsidR="00FE64E5" w:rsidRPr="00FE64E5" w:rsidRDefault="00FE64E5" w:rsidP="00FE64E5">
            <w:pPr>
              <w:spacing w:after="0" w:line="240" w:lineRule="auto"/>
              <w:jc w:val="right"/>
              <w:rPr>
                <w:rFonts w:ascii="Arial" w:eastAsia="Times New Roman" w:hAnsi="Arial" w:cs="Arial"/>
                <w:sz w:val="20"/>
                <w:szCs w:val="20"/>
                <w:lang w:eastAsia="en-GB"/>
              </w:rPr>
            </w:pPr>
            <w:r w:rsidRPr="00FE64E5">
              <w:rPr>
                <w:rFonts w:ascii="Arial" w:eastAsia="Times New Roman" w:hAnsi="Arial" w:cs="Arial"/>
                <w:bCs/>
                <w:sz w:val="20"/>
                <w:szCs w:val="20"/>
                <w:lang w:eastAsia="en-GB"/>
              </w:rPr>
              <w:t>-</w:t>
            </w:r>
          </w:p>
        </w:tc>
        <w:tc>
          <w:tcPr>
            <w:tcW w:w="1348" w:type="dxa"/>
            <w:tcBorders>
              <w:top w:val="nil"/>
              <w:left w:val="nil"/>
              <w:bottom w:val="nil"/>
              <w:right w:val="nil"/>
            </w:tcBorders>
            <w:shd w:val="clear" w:color="auto" w:fill="auto"/>
            <w:noWrap/>
            <w:vAlign w:val="center"/>
          </w:tcPr>
          <w:p w14:paraId="0C8279D9" w14:textId="77777777" w:rsidR="00FE64E5" w:rsidRPr="00D60034" w:rsidRDefault="000F1999" w:rsidP="00FE64E5">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19,355</w:t>
            </w:r>
          </w:p>
        </w:tc>
        <w:tc>
          <w:tcPr>
            <w:tcW w:w="778" w:type="dxa"/>
            <w:tcBorders>
              <w:top w:val="nil"/>
              <w:left w:val="nil"/>
              <w:bottom w:val="nil"/>
              <w:right w:val="nil"/>
            </w:tcBorders>
            <w:shd w:val="clear" w:color="auto" w:fill="auto"/>
            <w:noWrap/>
            <w:vAlign w:val="center"/>
            <w:hideMark/>
          </w:tcPr>
          <w:p w14:paraId="048932EE" w14:textId="77777777" w:rsidR="00FE64E5" w:rsidRPr="00FE64E5" w:rsidRDefault="00FE64E5" w:rsidP="00FE64E5">
            <w:pPr>
              <w:spacing w:after="0" w:line="240" w:lineRule="auto"/>
              <w:jc w:val="right"/>
              <w:rPr>
                <w:rFonts w:ascii="Arial" w:eastAsia="Times New Roman" w:hAnsi="Arial" w:cs="Arial"/>
                <w:sz w:val="20"/>
                <w:szCs w:val="20"/>
                <w:lang w:eastAsia="en-GB"/>
              </w:rPr>
            </w:pPr>
            <w:r w:rsidRPr="00FE64E5">
              <w:rPr>
                <w:rFonts w:ascii="Arial" w:eastAsia="Times New Roman" w:hAnsi="Arial" w:cs="Arial"/>
                <w:bCs/>
                <w:sz w:val="20"/>
                <w:szCs w:val="20"/>
                <w:lang w:eastAsia="en-GB"/>
              </w:rPr>
              <w:t>19,355</w:t>
            </w:r>
          </w:p>
        </w:tc>
      </w:tr>
      <w:tr w:rsidR="00FE64E5" w:rsidRPr="00D60034" w14:paraId="7B393DF1" w14:textId="77777777" w:rsidTr="006D78AE">
        <w:trPr>
          <w:trHeight w:val="255"/>
        </w:trPr>
        <w:tc>
          <w:tcPr>
            <w:tcW w:w="4062" w:type="dxa"/>
            <w:tcBorders>
              <w:top w:val="nil"/>
              <w:left w:val="nil"/>
              <w:bottom w:val="nil"/>
              <w:right w:val="nil"/>
            </w:tcBorders>
            <w:shd w:val="clear" w:color="auto" w:fill="auto"/>
            <w:vAlign w:val="center"/>
            <w:hideMark/>
          </w:tcPr>
          <w:p w14:paraId="538E78B3" w14:textId="77777777" w:rsidR="00FE64E5" w:rsidRPr="00D60034" w:rsidRDefault="00FE64E5" w:rsidP="00FE64E5">
            <w:pPr>
              <w:spacing w:after="0" w:line="240" w:lineRule="auto"/>
              <w:rPr>
                <w:rFonts w:ascii="Arial" w:eastAsia="Times New Roman" w:hAnsi="Arial" w:cs="Arial"/>
                <w:sz w:val="20"/>
                <w:szCs w:val="20"/>
                <w:lang w:eastAsia="en-GB"/>
              </w:rPr>
            </w:pPr>
            <w:r w:rsidRPr="00D60034">
              <w:rPr>
                <w:rFonts w:ascii="Arial" w:eastAsia="Times New Roman" w:hAnsi="Arial" w:cs="Arial"/>
                <w:sz w:val="20"/>
                <w:szCs w:val="20"/>
                <w:lang w:eastAsia="en-GB"/>
              </w:rPr>
              <w:t>Investments in joint ventures - investment at cost</w:t>
            </w:r>
          </w:p>
        </w:tc>
        <w:tc>
          <w:tcPr>
            <w:tcW w:w="776" w:type="dxa"/>
            <w:tcBorders>
              <w:top w:val="nil"/>
              <w:left w:val="nil"/>
              <w:bottom w:val="nil"/>
              <w:right w:val="nil"/>
            </w:tcBorders>
            <w:shd w:val="clear" w:color="auto" w:fill="auto"/>
            <w:noWrap/>
            <w:vAlign w:val="bottom"/>
            <w:hideMark/>
          </w:tcPr>
          <w:p w14:paraId="1BB9555A" w14:textId="77777777" w:rsidR="00FE64E5" w:rsidRPr="00543D10" w:rsidRDefault="00FE64E5" w:rsidP="00FE64E5">
            <w:pPr>
              <w:spacing w:after="0" w:line="240" w:lineRule="auto"/>
              <w:rPr>
                <w:rFonts w:ascii="Arial" w:eastAsia="Times New Roman" w:hAnsi="Arial" w:cs="Arial"/>
                <w:sz w:val="20"/>
                <w:szCs w:val="20"/>
                <w:lang w:eastAsia="en-GB"/>
              </w:rPr>
            </w:pPr>
          </w:p>
        </w:tc>
        <w:tc>
          <w:tcPr>
            <w:tcW w:w="1073" w:type="dxa"/>
            <w:tcBorders>
              <w:top w:val="nil"/>
              <w:left w:val="nil"/>
              <w:bottom w:val="single" w:sz="4" w:space="0" w:color="auto"/>
              <w:right w:val="nil"/>
            </w:tcBorders>
            <w:shd w:val="clear" w:color="auto" w:fill="auto"/>
            <w:noWrap/>
            <w:vAlign w:val="center"/>
            <w:hideMark/>
          </w:tcPr>
          <w:p w14:paraId="300C2DDF" w14:textId="77777777" w:rsidR="00FE64E5" w:rsidRPr="00543D10" w:rsidRDefault="00FE64E5" w:rsidP="00FE64E5">
            <w:pPr>
              <w:spacing w:after="0" w:line="240" w:lineRule="auto"/>
              <w:jc w:val="right"/>
              <w:rPr>
                <w:rFonts w:ascii="Arial" w:eastAsia="Times New Roman" w:hAnsi="Arial" w:cs="Arial"/>
                <w:sz w:val="20"/>
                <w:szCs w:val="20"/>
                <w:lang w:eastAsia="en-GB"/>
              </w:rPr>
            </w:pPr>
          </w:p>
        </w:tc>
        <w:tc>
          <w:tcPr>
            <w:tcW w:w="1035" w:type="dxa"/>
            <w:tcBorders>
              <w:top w:val="nil"/>
              <w:left w:val="nil"/>
              <w:bottom w:val="single" w:sz="4" w:space="0" w:color="auto"/>
              <w:right w:val="nil"/>
            </w:tcBorders>
            <w:shd w:val="clear" w:color="auto" w:fill="auto"/>
            <w:noWrap/>
            <w:vAlign w:val="center"/>
            <w:hideMark/>
          </w:tcPr>
          <w:p w14:paraId="5E48851F" w14:textId="77777777" w:rsidR="00FE64E5" w:rsidRPr="00FE64E5" w:rsidRDefault="00FE64E5" w:rsidP="00FE64E5">
            <w:pPr>
              <w:spacing w:after="0" w:line="240" w:lineRule="auto"/>
              <w:jc w:val="right"/>
              <w:rPr>
                <w:rFonts w:ascii="Arial" w:eastAsia="Times New Roman" w:hAnsi="Arial" w:cs="Arial"/>
                <w:sz w:val="20"/>
                <w:szCs w:val="20"/>
                <w:lang w:eastAsia="en-GB"/>
              </w:rPr>
            </w:pPr>
          </w:p>
        </w:tc>
        <w:tc>
          <w:tcPr>
            <w:tcW w:w="1348" w:type="dxa"/>
            <w:tcBorders>
              <w:top w:val="nil"/>
              <w:left w:val="nil"/>
              <w:bottom w:val="single" w:sz="4" w:space="0" w:color="auto"/>
              <w:right w:val="nil"/>
            </w:tcBorders>
            <w:shd w:val="clear" w:color="auto" w:fill="auto"/>
            <w:noWrap/>
            <w:vAlign w:val="center"/>
            <w:hideMark/>
          </w:tcPr>
          <w:p w14:paraId="1F27F08C" w14:textId="77777777" w:rsidR="00FE64E5" w:rsidRPr="00543D10" w:rsidRDefault="00FE64E5" w:rsidP="00FE64E5">
            <w:pPr>
              <w:spacing w:after="0" w:line="240" w:lineRule="auto"/>
              <w:jc w:val="right"/>
              <w:rPr>
                <w:rFonts w:ascii="Arial" w:eastAsia="Times New Roman" w:hAnsi="Arial" w:cs="Arial"/>
                <w:sz w:val="20"/>
                <w:szCs w:val="20"/>
                <w:lang w:eastAsia="en-GB"/>
              </w:rPr>
            </w:pPr>
          </w:p>
        </w:tc>
        <w:tc>
          <w:tcPr>
            <w:tcW w:w="778" w:type="dxa"/>
            <w:tcBorders>
              <w:top w:val="nil"/>
              <w:left w:val="nil"/>
              <w:bottom w:val="single" w:sz="4" w:space="0" w:color="auto"/>
              <w:right w:val="nil"/>
            </w:tcBorders>
            <w:shd w:val="clear" w:color="auto" w:fill="auto"/>
            <w:noWrap/>
            <w:vAlign w:val="center"/>
            <w:hideMark/>
          </w:tcPr>
          <w:p w14:paraId="5A43EF1E" w14:textId="77777777" w:rsidR="00FE64E5" w:rsidRPr="00FE64E5" w:rsidRDefault="00FE64E5" w:rsidP="00FE64E5">
            <w:pPr>
              <w:spacing w:after="0" w:line="240" w:lineRule="auto"/>
              <w:jc w:val="right"/>
              <w:rPr>
                <w:rFonts w:ascii="Arial" w:eastAsia="Times New Roman" w:hAnsi="Arial" w:cs="Arial"/>
                <w:sz w:val="20"/>
                <w:szCs w:val="20"/>
                <w:lang w:eastAsia="en-GB"/>
              </w:rPr>
            </w:pPr>
          </w:p>
        </w:tc>
      </w:tr>
      <w:tr w:rsidR="00FE64E5" w:rsidRPr="00D60034" w14:paraId="342DFF06" w14:textId="77777777" w:rsidTr="006D78AE">
        <w:trPr>
          <w:trHeight w:val="323"/>
        </w:trPr>
        <w:tc>
          <w:tcPr>
            <w:tcW w:w="4062" w:type="dxa"/>
            <w:tcBorders>
              <w:top w:val="nil"/>
              <w:left w:val="nil"/>
              <w:bottom w:val="nil"/>
              <w:right w:val="nil"/>
            </w:tcBorders>
            <w:shd w:val="clear" w:color="auto" w:fill="auto"/>
            <w:vAlign w:val="center"/>
            <w:hideMark/>
          </w:tcPr>
          <w:p w14:paraId="5E0A43E8" w14:textId="77777777" w:rsidR="00FE64E5" w:rsidRPr="00D60034" w:rsidRDefault="00FE64E5" w:rsidP="00FE64E5">
            <w:pPr>
              <w:spacing w:after="0" w:line="240" w:lineRule="auto"/>
              <w:rPr>
                <w:rFonts w:ascii="Arial" w:eastAsia="Times New Roman" w:hAnsi="Arial" w:cs="Arial"/>
                <w:i/>
                <w:iCs/>
                <w:sz w:val="20"/>
                <w:szCs w:val="20"/>
                <w:lang w:eastAsia="en-GB"/>
              </w:rPr>
            </w:pPr>
            <w:r w:rsidRPr="00D60034">
              <w:rPr>
                <w:rFonts w:ascii="Arial" w:eastAsia="Times New Roman" w:hAnsi="Arial" w:cs="Arial"/>
                <w:i/>
                <w:iCs/>
                <w:sz w:val="20"/>
                <w:szCs w:val="20"/>
                <w:lang w:eastAsia="en-GB"/>
              </w:rPr>
              <w:t>Gross assets</w:t>
            </w:r>
          </w:p>
        </w:tc>
        <w:tc>
          <w:tcPr>
            <w:tcW w:w="776" w:type="dxa"/>
            <w:tcBorders>
              <w:top w:val="nil"/>
              <w:left w:val="nil"/>
              <w:bottom w:val="nil"/>
              <w:right w:val="nil"/>
            </w:tcBorders>
            <w:shd w:val="clear" w:color="auto" w:fill="auto"/>
            <w:noWrap/>
            <w:vAlign w:val="bottom"/>
            <w:hideMark/>
          </w:tcPr>
          <w:p w14:paraId="4ADBF0C6" w14:textId="77777777" w:rsidR="00FE64E5" w:rsidRPr="00543D10" w:rsidRDefault="00FE64E5" w:rsidP="00FE64E5">
            <w:pPr>
              <w:spacing w:after="0" w:line="240" w:lineRule="auto"/>
              <w:rPr>
                <w:rFonts w:ascii="Arial" w:eastAsia="Times New Roman" w:hAnsi="Arial" w:cs="Arial"/>
                <w:i/>
                <w:iCs/>
                <w:sz w:val="20"/>
                <w:szCs w:val="20"/>
                <w:lang w:eastAsia="en-GB"/>
              </w:rPr>
            </w:pPr>
          </w:p>
        </w:tc>
        <w:tc>
          <w:tcPr>
            <w:tcW w:w="1073" w:type="dxa"/>
            <w:tcBorders>
              <w:top w:val="single" w:sz="4" w:space="0" w:color="auto"/>
              <w:left w:val="single" w:sz="4" w:space="0" w:color="auto"/>
              <w:bottom w:val="nil"/>
              <w:right w:val="nil"/>
            </w:tcBorders>
            <w:shd w:val="clear" w:color="auto" w:fill="auto"/>
            <w:noWrap/>
            <w:vAlign w:val="center"/>
          </w:tcPr>
          <w:p w14:paraId="72B0BF6F" w14:textId="77777777" w:rsidR="00FE64E5" w:rsidRPr="00543D10" w:rsidRDefault="000F1999" w:rsidP="00FE64E5">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78</w:t>
            </w:r>
          </w:p>
        </w:tc>
        <w:tc>
          <w:tcPr>
            <w:tcW w:w="1035" w:type="dxa"/>
            <w:tcBorders>
              <w:top w:val="single" w:sz="4" w:space="0" w:color="auto"/>
              <w:left w:val="nil"/>
              <w:bottom w:val="nil"/>
              <w:right w:val="nil"/>
            </w:tcBorders>
            <w:shd w:val="clear" w:color="auto" w:fill="auto"/>
            <w:noWrap/>
            <w:vAlign w:val="center"/>
            <w:hideMark/>
          </w:tcPr>
          <w:p w14:paraId="01ACE78F" w14:textId="77777777" w:rsidR="00FE64E5" w:rsidRPr="00FE64E5" w:rsidRDefault="00FE64E5" w:rsidP="00FE64E5">
            <w:pPr>
              <w:spacing w:after="0" w:line="240" w:lineRule="auto"/>
              <w:jc w:val="right"/>
              <w:rPr>
                <w:rFonts w:ascii="Arial" w:eastAsia="Times New Roman" w:hAnsi="Arial" w:cs="Arial"/>
                <w:sz w:val="20"/>
                <w:szCs w:val="20"/>
                <w:lang w:eastAsia="en-GB"/>
              </w:rPr>
            </w:pPr>
            <w:r w:rsidRPr="00FE64E5">
              <w:rPr>
                <w:rFonts w:ascii="Arial" w:eastAsia="Times New Roman" w:hAnsi="Arial" w:cs="Arial"/>
                <w:sz w:val="20"/>
                <w:szCs w:val="20"/>
                <w:lang w:eastAsia="en-GB"/>
              </w:rPr>
              <w:t>1,799</w:t>
            </w:r>
          </w:p>
        </w:tc>
        <w:tc>
          <w:tcPr>
            <w:tcW w:w="1348" w:type="dxa"/>
            <w:tcBorders>
              <w:top w:val="single" w:sz="4" w:space="0" w:color="auto"/>
              <w:left w:val="nil"/>
              <w:bottom w:val="nil"/>
              <w:right w:val="nil"/>
            </w:tcBorders>
            <w:shd w:val="clear" w:color="auto" w:fill="auto"/>
            <w:noWrap/>
            <w:vAlign w:val="center"/>
          </w:tcPr>
          <w:p w14:paraId="613C1185" w14:textId="77777777" w:rsidR="00FE64E5" w:rsidRPr="00543D10" w:rsidRDefault="00FE64E5" w:rsidP="00FE64E5">
            <w:pPr>
              <w:spacing w:after="0" w:line="240" w:lineRule="auto"/>
              <w:jc w:val="right"/>
              <w:rPr>
                <w:rFonts w:ascii="Arial" w:eastAsia="Times New Roman" w:hAnsi="Arial" w:cs="Arial"/>
                <w:b/>
                <w:bCs/>
                <w:sz w:val="20"/>
                <w:szCs w:val="20"/>
                <w:lang w:eastAsia="en-GB"/>
              </w:rPr>
            </w:pPr>
            <w:r w:rsidRPr="00543D10">
              <w:rPr>
                <w:rFonts w:ascii="Arial" w:eastAsia="Times New Roman" w:hAnsi="Arial" w:cs="Arial"/>
                <w:b/>
                <w:bCs/>
                <w:sz w:val="20"/>
                <w:szCs w:val="20"/>
                <w:lang w:eastAsia="en-GB"/>
              </w:rPr>
              <w:t>-</w:t>
            </w:r>
          </w:p>
        </w:tc>
        <w:tc>
          <w:tcPr>
            <w:tcW w:w="778" w:type="dxa"/>
            <w:tcBorders>
              <w:top w:val="single" w:sz="4" w:space="0" w:color="auto"/>
              <w:left w:val="nil"/>
              <w:bottom w:val="nil"/>
              <w:right w:val="single" w:sz="4" w:space="0" w:color="auto"/>
            </w:tcBorders>
            <w:shd w:val="clear" w:color="auto" w:fill="auto"/>
            <w:noWrap/>
            <w:vAlign w:val="center"/>
            <w:hideMark/>
          </w:tcPr>
          <w:p w14:paraId="5878FA7A" w14:textId="77777777" w:rsidR="00FE64E5" w:rsidRPr="00FE64E5" w:rsidRDefault="00FE64E5" w:rsidP="00FE64E5">
            <w:pPr>
              <w:spacing w:after="0" w:line="240" w:lineRule="auto"/>
              <w:jc w:val="right"/>
              <w:rPr>
                <w:rFonts w:ascii="Arial" w:eastAsia="Times New Roman" w:hAnsi="Arial" w:cs="Arial"/>
                <w:sz w:val="20"/>
                <w:szCs w:val="20"/>
                <w:lang w:eastAsia="en-GB"/>
              </w:rPr>
            </w:pPr>
            <w:r w:rsidRPr="00FE64E5">
              <w:rPr>
                <w:rFonts w:ascii="Arial" w:eastAsia="Times New Roman" w:hAnsi="Arial" w:cs="Arial"/>
                <w:bCs/>
                <w:sz w:val="20"/>
                <w:szCs w:val="20"/>
                <w:lang w:eastAsia="en-GB"/>
              </w:rPr>
              <w:t>-</w:t>
            </w:r>
          </w:p>
        </w:tc>
      </w:tr>
      <w:tr w:rsidR="00FE64E5" w:rsidRPr="00D60034" w14:paraId="796ECD9E" w14:textId="77777777" w:rsidTr="006D78AE">
        <w:trPr>
          <w:trHeight w:val="323"/>
        </w:trPr>
        <w:tc>
          <w:tcPr>
            <w:tcW w:w="4062" w:type="dxa"/>
            <w:tcBorders>
              <w:top w:val="nil"/>
              <w:left w:val="nil"/>
              <w:bottom w:val="nil"/>
              <w:right w:val="nil"/>
            </w:tcBorders>
            <w:shd w:val="clear" w:color="auto" w:fill="auto"/>
            <w:vAlign w:val="center"/>
            <w:hideMark/>
          </w:tcPr>
          <w:p w14:paraId="639D67D0" w14:textId="77777777" w:rsidR="00FE64E5" w:rsidRPr="00D60034" w:rsidRDefault="00FE64E5" w:rsidP="00FE64E5">
            <w:pPr>
              <w:spacing w:after="0" w:line="240" w:lineRule="auto"/>
              <w:rPr>
                <w:rFonts w:ascii="Arial" w:eastAsia="Times New Roman" w:hAnsi="Arial" w:cs="Arial"/>
                <w:i/>
                <w:iCs/>
                <w:sz w:val="20"/>
                <w:szCs w:val="20"/>
                <w:lang w:eastAsia="en-GB"/>
              </w:rPr>
            </w:pPr>
            <w:r w:rsidRPr="00D60034">
              <w:rPr>
                <w:rFonts w:ascii="Arial" w:eastAsia="Times New Roman" w:hAnsi="Arial" w:cs="Arial"/>
                <w:i/>
                <w:iCs/>
                <w:sz w:val="20"/>
                <w:szCs w:val="20"/>
                <w:lang w:eastAsia="en-GB"/>
              </w:rPr>
              <w:t>Gross liabilities</w:t>
            </w:r>
          </w:p>
        </w:tc>
        <w:tc>
          <w:tcPr>
            <w:tcW w:w="776" w:type="dxa"/>
            <w:tcBorders>
              <w:top w:val="nil"/>
              <w:left w:val="nil"/>
              <w:bottom w:val="nil"/>
              <w:right w:val="nil"/>
            </w:tcBorders>
            <w:shd w:val="clear" w:color="auto" w:fill="auto"/>
            <w:noWrap/>
            <w:vAlign w:val="bottom"/>
            <w:hideMark/>
          </w:tcPr>
          <w:p w14:paraId="28A48037" w14:textId="77777777" w:rsidR="00FE64E5" w:rsidRPr="00543D10" w:rsidRDefault="00FE64E5" w:rsidP="00FE64E5">
            <w:pPr>
              <w:spacing w:after="0" w:line="240" w:lineRule="auto"/>
              <w:rPr>
                <w:rFonts w:ascii="Arial" w:eastAsia="Times New Roman" w:hAnsi="Arial" w:cs="Arial"/>
                <w:i/>
                <w:iCs/>
                <w:sz w:val="20"/>
                <w:szCs w:val="20"/>
                <w:lang w:eastAsia="en-GB"/>
              </w:rPr>
            </w:pPr>
          </w:p>
        </w:tc>
        <w:tc>
          <w:tcPr>
            <w:tcW w:w="1073" w:type="dxa"/>
            <w:tcBorders>
              <w:top w:val="nil"/>
              <w:left w:val="single" w:sz="4" w:space="0" w:color="auto"/>
              <w:bottom w:val="single" w:sz="4" w:space="0" w:color="auto"/>
              <w:right w:val="nil"/>
            </w:tcBorders>
            <w:shd w:val="clear" w:color="auto" w:fill="auto"/>
            <w:noWrap/>
            <w:vAlign w:val="center"/>
          </w:tcPr>
          <w:p w14:paraId="49D775CD" w14:textId="77777777" w:rsidR="00FE64E5" w:rsidRPr="00543D10" w:rsidRDefault="000F1999" w:rsidP="00FE64E5">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(31)</w:t>
            </w:r>
          </w:p>
        </w:tc>
        <w:tc>
          <w:tcPr>
            <w:tcW w:w="1035" w:type="dxa"/>
            <w:tcBorders>
              <w:top w:val="nil"/>
              <w:left w:val="nil"/>
              <w:bottom w:val="single" w:sz="4" w:space="0" w:color="auto"/>
              <w:right w:val="nil"/>
            </w:tcBorders>
            <w:shd w:val="clear" w:color="auto" w:fill="auto"/>
            <w:noWrap/>
            <w:vAlign w:val="center"/>
            <w:hideMark/>
          </w:tcPr>
          <w:p w14:paraId="69CF1FAC" w14:textId="77777777" w:rsidR="00FE64E5" w:rsidRPr="00FE64E5" w:rsidRDefault="00FE64E5" w:rsidP="00FE64E5">
            <w:pPr>
              <w:spacing w:after="0" w:line="240" w:lineRule="auto"/>
              <w:jc w:val="right"/>
              <w:rPr>
                <w:rFonts w:ascii="Arial" w:eastAsia="Times New Roman" w:hAnsi="Arial" w:cs="Arial"/>
                <w:sz w:val="20"/>
                <w:szCs w:val="20"/>
                <w:lang w:eastAsia="en-GB"/>
              </w:rPr>
            </w:pPr>
            <w:r w:rsidRPr="00FE64E5">
              <w:rPr>
                <w:rFonts w:ascii="Arial" w:eastAsia="Times New Roman" w:hAnsi="Arial" w:cs="Arial"/>
                <w:sz w:val="20"/>
                <w:szCs w:val="20"/>
                <w:lang w:eastAsia="en-GB"/>
              </w:rPr>
              <w:t>(736)</w:t>
            </w:r>
          </w:p>
        </w:tc>
        <w:tc>
          <w:tcPr>
            <w:tcW w:w="1348" w:type="dxa"/>
            <w:tcBorders>
              <w:top w:val="nil"/>
              <w:left w:val="nil"/>
              <w:bottom w:val="single" w:sz="4" w:space="0" w:color="auto"/>
              <w:right w:val="nil"/>
            </w:tcBorders>
            <w:shd w:val="clear" w:color="auto" w:fill="auto"/>
            <w:noWrap/>
            <w:vAlign w:val="center"/>
          </w:tcPr>
          <w:p w14:paraId="49FF0065" w14:textId="77777777" w:rsidR="00FE64E5" w:rsidRPr="00543D10" w:rsidRDefault="00FE64E5" w:rsidP="00FE64E5">
            <w:pPr>
              <w:spacing w:after="0" w:line="240" w:lineRule="auto"/>
              <w:jc w:val="right"/>
              <w:rPr>
                <w:rFonts w:ascii="Arial" w:eastAsia="Times New Roman" w:hAnsi="Arial" w:cs="Arial"/>
                <w:b/>
                <w:bCs/>
                <w:sz w:val="20"/>
                <w:szCs w:val="20"/>
                <w:lang w:eastAsia="en-GB"/>
              </w:rPr>
            </w:pPr>
            <w:r w:rsidRPr="00543D10">
              <w:rPr>
                <w:rFonts w:ascii="Arial" w:eastAsia="Times New Roman" w:hAnsi="Arial" w:cs="Arial"/>
                <w:b/>
                <w:bCs/>
                <w:sz w:val="20"/>
                <w:szCs w:val="20"/>
                <w:lang w:eastAsia="en-GB"/>
              </w:rPr>
              <w:t>-</w:t>
            </w:r>
          </w:p>
        </w:tc>
        <w:tc>
          <w:tcPr>
            <w:tcW w:w="778" w:type="dxa"/>
            <w:tcBorders>
              <w:top w:val="nil"/>
              <w:left w:val="nil"/>
              <w:bottom w:val="single" w:sz="4" w:space="0" w:color="auto"/>
              <w:right w:val="single" w:sz="4" w:space="0" w:color="auto"/>
            </w:tcBorders>
            <w:shd w:val="clear" w:color="auto" w:fill="auto"/>
            <w:noWrap/>
            <w:vAlign w:val="center"/>
            <w:hideMark/>
          </w:tcPr>
          <w:p w14:paraId="56BF06A5" w14:textId="77777777" w:rsidR="00FE64E5" w:rsidRPr="00FE64E5" w:rsidRDefault="00FE64E5" w:rsidP="00FE64E5">
            <w:pPr>
              <w:spacing w:after="0" w:line="240" w:lineRule="auto"/>
              <w:jc w:val="right"/>
              <w:rPr>
                <w:rFonts w:ascii="Arial" w:eastAsia="Times New Roman" w:hAnsi="Arial" w:cs="Arial"/>
                <w:sz w:val="20"/>
                <w:szCs w:val="20"/>
                <w:lang w:eastAsia="en-GB"/>
              </w:rPr>
            </w:pPr>
            <w:r w:rsidRPr="00FE64E5">
              <w:rPr>
                <w:rFonts w:ascii="Arial" w:eastAsia="Times New Roman" w:hAnsi="Arial" w:cs="Arial"/>
                <w:bCs/>
                <w:sz w:val="20"/>
                <w:szCs w:val="20"/>
                <w:lang w:eastAsia="en-GB"/>
              </w:rPr>
              <w:t>-</w:t>
            </w:r>
          </w:p>
        </w:tc>
      </w:tr>
      <w:tr w:rsidR="00FE64E5" w:rsidRPr="00D60034" w14:paraId="44182511" w14:textId="77777777" w:rsidTr="006D78AE">
        <w:trPr>
          <w:trHeight w:val="323"/>
        </w:trPr>
        <w:tc>
          <w:tcPr>
            <w:tcW w:w="4062" w:type="dxa"/>
            <w:tcBorders>
              <w:top w:val="nil"/>
              <w:left w:val="nil"/>
              <w:bottom w:val="nil"/>
              <w:right w:val="nil"/>
            </w:tcBorders>
            <w:shd w:val="clear" w:color="auto" w:fill="auto"/>
            <w:vAlign w:val="center"/>
            <w:hideMark/>
          </w:tcPr>
          <w:p w14:paraId="2AD312E5" w14:textId="77777777" w:rsidR="00FE64E5" w:rsidRPr="00D60034" w:rsidRDefault="00FE64E5" w:rsidP="00FE64E5">
            <w:pPr>
              <w:spacing w:after="0" w:line="240" w:lineRule="auto"/>
              <w:rPr>
                <w:rFonts w:ascii="Arial" w:eastAsia="Times New Roman" w:hAnsi="Arial" w:cs="Arial"/>
                <w:sz w:val="20"/>
                <w:szCs w:val="20"/>
                <w:lang w:eastAsia="en-GB"/>
              </w:rPr>
            </w:pPr>
            <w:r w:rsidRPr="00D60034">
              <w:rPr>
                <w:rFonts w:ascii="Arial" w:eastAsia="Times New Roman" w:hAnsi="Arial" w:cs="Arial"/>
                <w:sz w:val="20"/>
                <w:szCs w:val="20"/>
                <w:lang w:eastAsia="en-GB"/>
              </w:rPr>
              <w:t>Net assets</w:t>
            </w:r>
          </w:p>
        </w:tc>
        <w:tc>
          <w:tcPr>
            <w:tcW w:w="776" w:type="dxa"/>
            <w:tcBorders>
              <w:top w:val="nil"/>
              <w:left w:val="nil"/>
              <w:bottom w:val="nil"/>
              <w:right w:val="nil"/>
            </w:tcBorders>
            <w:shd w:val="clear" w:color="auto" w:fill="auto"/>
            <w:noWrap/>
            <w:vAlign w:val="bottom"/>
            <w:hideMark/>
          </w:tcPr>
          <w:p w14:paraId="7E88B5A0" w14:textId="77777777" w:rsidR="00FE64E5" w:rsidRPr="00543D10" w:rsidRDefault="00FE64E5" w:rsidP="00FE64E5">
            <w:pPr>
              <w:spacing w:after="0" w:line="240" w:lineRule="auto"/>
              <w:rPr>
                <w:rFonts w:ascii="Arial" w:eastAsia="Times New Roman" w:hAnsi="Arial" w:cs="Arial"/>
                <w:sz w:val="20"/>
                <w:szCs w:val="20"/>
                <w:lang w:eastAsia="en-GB"/>
              </w:rPr>
            </w:pPr>
            <w:r w:rsidRPr="00543D10">
              <w:rPr>
                <w:rFonts w:ascii="Arial" w:eastAsia="Times New Roman" w:hAnsi="Arial" w:cs="Arial"/>
                <w:sz w:val="20"/>
                <w:szCs w:val="20"/>
                <w:lang w:eastAsia="en-GB"/>
              </w:rPr>
              <w:t>9</w:t>
            </w:r>
          </w:p>
        </w:tc>
        <w:tc>
          <w:tcPr>
            <w:tcW w:w="1073" w:type="dxa"/>
            <w:tcBorders>
              <w:top w:val="nil"/>
              <w:left w:val="nil"/>
              <w:bottom w:val="nil"/>
              <w:right w:val="nil"/>
            </w:tcBorders>
            <w:shd w:val="clear" w:color="auto" w:fill="auto"/>
            <w:noWrap/>
            <w:vAlign w:val="center"/>
          </w:tcPr>
          <w:p w14:paraId="5DACC48B" w14:textId="77777777" w:rsidR="00FE64E5" w:rsidRPr="00543D10" w:rsidRDefault="000F1999" w:rsidP="00FE64E5">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47</w:t>
            </w:r>
          </w:p>
        </w:tc>
        <w:tc>
          <w:tcPr>
            <w:tcW w:w="1035" w:type="dxa"/>
            <w:tcBorders>
              <w:top w:val="nil"/>
              <w:left w:val="nil"/>
              <w:bottom w:val="nil"/>
              <w:right w:val="nil"/>
            </w:tcBorders>
            <w:shd w:val="clear" w:color="auto" w:fill="auto"/>
            <w:noWrap/>
            <w:vAlign w:val="center"/>
            <w:hideMark/>
          </w:tcPr>
          <w:p w14:paraId="47FCE76E" w14:textId="77777777" w:rsidR="00FE64E5" w:rsidRPr="00FE64E5" w:rsidRDefault="00FE64E5" w:rsidP="00FE64E5">
            <w:pPr>
              <w:spacing w:after="0" w:line="240" w:lineRule="auto"/>
              <w:jc w:val="right"/>
              <w:rPr>
                <w:rFonts w:ascii="Arial" w:eastAsia="Times New Roman" w:hAnsi="Arial" w:cs="Arial"/>
                <w:sz w:val="20"/>
                <w:szCs w:val="20"/>
                <w:lang w:eastAsia="en-GB"/>
              </w:rPr>
            </w:pPr>
            <w:r w:rsidRPr="00FE64E5">
              <w:rPr>
                <w:rFonts w:ascii="Arial" w:eastAsia="Times New Roman" w:hAnsi="Arial" w:cs="Arial"/>
                <w:sz w:val="20"/>
                <w:szCs w:val="20"/>
                <w:lang w:eastAsia="en-GB"/>
              </w:rPr>
              <w:t>1,063</w:t>
            </w:r>
          </w:p>
        </w:tc>
        <w:tc>
          <w:tcPr>
            <w:tcW w:w="1348" w:type="dxa"/>
            <w:tcBorders>
              <w:top w:val="nil"/>
              <w:left w:val="nil"/>
              <w:bottom w:val="nil"/>
              <w:right w:val="nil"/>
            </w:tcBorders>
            <w:shd w:val="clear" w:color="auto" w:fill="auto"/>
            <w:noWrap/>
            <w:vAlign w:val="center"/>
            <w:hideMark/>
          </w:tcPr>
          <w:p w14:paraId="4C47461F" w14:textId="77777777" w:rsidR="00FE64E5" w:rsidRPr="00543D10" w:rsidRDefault="00FE64E5" w:rsidP="00FE64E5">
            <w:pPr>
              <w:spacing w:after="0" w:line="240" w:lineRule="auto"/>
              <w:jc w:val="right"/>
              <w:rPr>
                <w:rFonts w:ascii="Arial" w:eastAsia="Times New Roman" w:hAnsi="Arial" w:cs="Arial"/>
                <w:b/>
                <w:bCs/>
                <w:sz w:val="20"/>
                <w:szCs w:val="20"/>
                <w:lang w:eastAsia="en-GB"/>
              </w:rPr>
            </w:pPr>
            <w:r w:rsidRPr="00543D10">
              <w:rPr>
                <w:rFonts w:ascii="Arial" w:eastAsia="Times New Roman" w:hAnsi="Arial" w:cs="Arial"/>
                <w:b/>
                <w:bCs/>
                <w:sz w:val="20"/>
                <w:szCs w:val="20"/>
                <w:lang w:eastAsia="en-GB"/>
              </w:rPr>
              <w:t>-</w:t>
            </w:r>
          </w:p>
        </w:tc>
        <w:tc>
          <w:tcPr>
            <w:tcW w:w="778" w:type="dxa"/>
            <w:tcBorders>
              <w:top w:val="nil"/>
              <w:left w:val="nil"/>
              <w:bottom w:val="nil"/>
              <w:right w:val="nil"/>
            </w:tcBorders>
            <w:shd w:val="clear" w:color="auto" w:fill="auto"/>
            <w:noWrap/>
            <w:vAlign w:val="center"/>
            <w:hideMark/>
          </w:tcPr>
          <w:p w14:paraId="6559E0F6" w14:textId="77777777" w:rsidR="00FE64E5" w:rsidRPr="00FE64E5" w:rsidRDefault="00FE64E5" w:rsidP="00FE64E5">
            <w:pPr>
              <w:spacing w:after="0" w:line="240" w:lineRule="auto"/>
              <w:jc w:val="right"/>
              <w:rPr>
                <w:rFonts w:ascii="Arial" w:eastAsia="Times New Roman" w:hAnsi="Arial" w:cs="Arial"/>
                <w:sz w:val="20"/>
                <w:szCs w:val="20"/>
                <w:lang w:eastAsia="en-GB"/>
              </w:rPr>
            </w:pPr>
            <w:r w:rsidRPr="00FE64E5">
              <w:rPr>
                <w:rFonts w:ascii="Arial" w:eastAsia="Times New Roman" w:hAnsi="Arial" w:cs="Arial"/>
                <w:bCs/>
                <w:sz w:val="20"/>
                <w:szCs w:val="20"/>
                <w:lang w:eastAsia="en-GB"/>
              </w:rPr>
              <w:t>-</w:t>
            </w:r>
          </w:p>
        </w:tc>
      </w:tr>
      <w:tr w:rsidR="00FE64E5" w:rsidRPr="00D60034" w14:paraId="1EB5E90D" w14:textId="77777777" w:rsidTr="006D78AE">
        <w:trPr>
          <w:trHeight w:val="255"/>
        </w:trPr>
        <w:tc>
          <w:tcPr>
            <w:tcW w:w="4062" w:type="dxa"/>
            <w:tcBorders>
              <w:top w:val="nil"/>
              <w:left w:val="nil"/>
              <w:bottom w:val="nil"/>
              <w:right w:val="nil"/>
            </w:tcBorders>
            <w:shd w:val="clear" w:color="auto" w:fill="auto"/>
            <w:vAlign w:val="center"/>
            <w:hideMark/>
          </w:tcPr>
          <w:p w14:paraId="6D52E5FF" w14:textId="77777777" w:rsidR="00FE64E5" w:rsidRPr="00D60034" w:rsidRDefault="00FE64E5" w:rsidP="00FE64E5">
            <w:pPr>
              <w:spacing w:after="0" w:line="240" w:lineRule="auto"/>
              <w:rPr>
                <w:rFonts w:ascii="Arial" w:eastAsia="Times New Roman" w:hAnsi="Arial" w:cs="Arial"/>
                <w:sz w:val="20"/>
                <w:szCs w:val="20"/>
                <w:lang w:eastAsia="en-GB"/>
              </w:rPr>
            </w:pPr>
          </w:p>
        </w:tc>
        <w:tc>
          <w:tcPr>
            <w:tcW w:w="776" w:type="dxa"/>
            <w:tcBorders>
              <w:top w:val="nil"/>
              <w:left w:val="nil"/>
              <w:bottom w:val="nil"/>
              <w:right w:val="nil"/>
            </w:tcBorders>
            <w:shd w:val="clear" w:color="auto" w:fill="auto"/>
            <w:noWrap/>
            <w:vAlign w:val="bottom"/>
            <w:hideMark/>
          </w:tcPr>
          <w:p w14:paraId="204E6C43" w14:textId="77777777" w:rsidR="00FE64E5" w:rsidRPr="00543D10" w:rsidRDefault="00FE64E5" w:rsidP="00FE64E5">
            <w:pPr>
              <w:spacing w:after="0" w:line="240" w:lineRule="auto"/>
              <w:rPr>
                <w:rFonts w:ascii="Arial" w:eastAsia="Times New Roman" w:hAnsi="Arial" w:cs="Arial"/>
                <w:sz w:val="20"/>
                <w:szCs w:val="20"/>
                <w:lang w:eastAsia="en-GB"/>
              </w:rPr>
            </w:pPr>
          </w:p>
        </w:tc>
        <w:tc>
          <w:tcPr>
            <w:tcW w:w="1073" w:type="dxa"/>
            <w:tcBorders>
              <w:top w:val="nil"/>
              <w:left w:val="nil"/>
              <w:bottom w:val="nil"/>
              <w:right w:val="nil"/>
            </w:tcBorders>
            <w:shd w:val="clear" w:color="auto" w:fill="auto"/>
            <w:noWrap/>
            <w:vAlign w:val="center"/>
            <w:hideMark/>
          </w:tcPr>
          <w:p w14:paraId="7B9C0D4B" w14:textId="77777777" w:rsidR="00FE64E5" w:rsidRPr="00543D10" w:rsidRDefault="00FE64E5" w:rsidP="00FE64E5">
            <w:pPr>
              <w:spacing w:after="0" w:line="240" w:lineRule="auto"/>
              <w:jc w:val="right"/>
              <w:rPr>
                <w:rFonts w:ascii="Arial" w:eastAsia="Times New Roman" w:hAnsi="Arial" w:cs="Arial"/>
                <w:sz w:val="20"/>
                <w:szCs w:val="20"/>
                <w:lang w:eastAsia="en-GB"/>
              </w:rPr>
            </w:pPr>
          </w:p>
        </w:tc>
        <w:tc>
          <w:tcPr>
            <w:tcW w:w="1035" w:type="dxa"/>
            <w:tcBorders>
              <w:top w:val="nil"/>
              <w:left w:val="nil"/>
              <w:bottom w:val="nil"/>
              <w:right w:val="nil"/>
            </w:tcBorders>
            <w:shd w:val="clear" w:color="auto" w:fill="auto"/>
            <w:noWrap/>
            <w:vAlign w:val="center"/>
            <w:hideMark/>
          </w:tcPr>
          <w:p w14:paraId="2CB6F6F9" w14:textId="77777777" w:rsidR="00FE64E5" w:rsidRPr="00FE64E5" w:rsidRDefault="00FE64E5" w:rsidP="00FE64E5">
            <w:pPr>
              <w:spacing w:after="0" w:line="240" w:lineRule="auto"/>
              <w:jc w:val="right"/>
              <w:rPr>
                <w:rFonts w:ascii="Arial" w:eastAsia="Times New Roman" w:hAnsi="Arial" w:cs="Arial"/>
                <w:sz w:val="20"/>
                <w:szCs w:val="20"/>
                <w:lang w:eastAsia="en-GB"/>
              </w:rPr>
            </w:pPr>
          </w:p>
        </w:tc>
        <w:tc>
          <w:tcPr>
            <w:tcW w:w="1348" w:type="dxa"/>
            <w:tcBorders>
              <w:top w:val="nil"/>
              <w:left w:val="nil"/>
              <w:bottom w:val="nil"/>
              <w:right w:val="nil"/>
            </w:tcBorders>
            <w:shd w:val="clear" w:color="auto" w:fill="auto"/>
            <w:noWrap/>
            <w:vAlign w:val="center"/>
            <w:hideMark/>
          </w:tcPr>
          <w:p w14:paraId="022D8AB3" w14:textId="77777777" w:rsidR="00FE64E5" w:rsidRPr="00543D10" w:rsidRDefault="00FE64E5" w:rsidP="00FE64E5">
            <w:pPr>
              <w:spacing w:after="0" w:line="240" w:lineRule="auto"/>
              <w:jc w:val="right"/>
              <w:rPr>
                <w:rFonts w:ascii="Arial" w:eastAsia="Times New Roman" w:hAnsi="Arial" w:cs="Arial"/>
                <w:sz w:val="20"/>
                <w:szCs w:val="20"/>
                <w:lang w:eastAsia="en-GB"/>
              </w:rPr>
            </w:pPr>
          </w:p>
        </w:tc>
        <w:tc>
          <w:tcPr>
            <w:tcW w:w="778" w:type="dxa"/>
            <w:tcBorders>
              <w:top w:val="nil"/>
              <w:left w:val="nil"/>
              <w:bottom w:val="nil"/>
              <w:right w:val="nil"/>
            </w:tcBorders>
            <w:shd w:val="clear" w:color="auto" w:fill="auto"/>
            <w:noWrap/>
            <w:vAlign w:val="center"/>
            <w:hideMark/>
          </w:tcPr>
          <w:p w14:paraId="282E9925" w14:textId="77777777" w:rsidR="00FE64E5" w:rsidRPr="00FE64E5" w:rsidRDefault="00FE64E5" w:rsidP="00FE64E5">
            <w:pPr>
              <w:spacing w:after="0" w:line="240" w:lineRule="auto"/>
              <w:jc w:val="right"/>
              <w:rPr>
                <w:rFonts w:ascii="Arial" w:eastAsia="Times New Roman" w:hAnsi="Arial" w:cs="Arial"/>
                <w:sz w:val="20"/>
                <w:szCs w:val="20"/>
                <w:lang w:eastAsia="en-GB"/>
              </w:rPr>
            </w:pPr>
          </w:p>
        </w:tc>
      </w:tr>
      <w:tr w:rsidR="00FE64E5" w:rsidRPr="00D60034" w14:paraId="5CE7006A" w14:textId="77777777" w:rsidTr="006D78AE">
        <w:trPr>
          <w:trHeight w:val="323"/>
        </w:trPr>
        <w:tc>
          <w:tcPr>
            <w:tcW w:w="4062" w:type="dxa"/>
            <w:tcBorders>
              <w:top w:val="nil"/>
              <w:left w:val="nil"/>
              <w:bottom w:val="nil"/>
              <w:right w:val="nil"/>
            </w:tcBorders>
            <w:shd w:val="clear" w:color="auto" w:fill="auto"/>
            <w:vAlign w:val="center"/>
            <w:hideMark/>
          </w:tcPr>
          <w:p w14:paraId="43BA6293" w14:textId="77777777" w:rsidR="00FE64E5" w:rsidRPr="00D60034" w:rsidRDefault="00FE64E5" w:rsidP="00FE64E5">
            <w:pPr>
              <w:spacing w:after="0" w:line="240" w:lineRule="auto"/>
              <w:rPr>
                <w:rFonts w:ascii="Arial" w:eastAsia="Times New Roman" w:hAnsi="Arial" w:cs="Arial"/>
                <w:b/>
                <w:bCs/>
                <w:sz w:val="20"/>
                <w:szCs w:val="20"/>
                <w:lang w:eastAsia="en-GB"/>
              </w:rPr>
            </w:pPr>
            <w:r w:rsidRPr="00D60034">
              <w:rPr>
                <w:rFonts w:ascii="Arial" w:eastAsia="Times New Roman" w:hAnsi="Arial" w:cs="Arial"/>
                <w:b/>
                <w:bCs/>
                <w:sz w:val="20"/>
                <w:szCs w:val="20"/>
                <w:lang w:eastAsia="en-GB"/>
              </w:rPr>
              <w:t>Total fixed assets</w:t>
            </w:r>
          </w:p>
        </w:tc>
        <w:tc>
          <w:tcPr>
            <w:tcW w:w="776" w:type="dxa"/>
            <w:tcBorders>
              <w:top w:val="nil"/>
              <w:left w:val="nil"/>
              <w:bottom w:val="nil"/>
              <w:right w:val="nil"/>
            </w:tcBorders>
            <w:shd w:val="clear" w:color="auto" w:fill="auto"/>
            <w:noWrap/>
            <w:vAlign w:val="bottom"/>
            <w:hideMark/>
          </w:tcPr>
          <w:p w14:paraId="60648CD9" w14:textId="77777777" w:rsidR="00FE64E5" w:rsidRPr="00543D10" w:rsidRDefault="00FE64E5" w:rsidP="00FE64E5">
            <w:pPr>
              <w:spacing w:after="0" w:line="240" w:lineRule="auto"/>
              <w:rPr>
                <w:rFonts w:ascii="Arial" w:eastAsia="Times New Roman" w:hAnsi="Arial" w:cs="Arial"/>
                <w:b/>
                <w:bCs/>
                <w:sz w:val="20"/>
                <w:szCs w:val="20"/>
                <w:lang w:eastAsia="en-GB"/>
              </w:rPr>
            </w:pPr>
          </w:p>
        </w:tc>
        <w:tc>
          <w:tcPr>
            <w:tcW w:w="1073" w:type="dxa"/>
            <w:tcBorders>
              <w:top w:val="single" w:sz="4" w:space="0" w:color="auto"/>
              <w:left w:val="nil"/>
              <w:bottom w:val="single" w:sz="4" w:space="0" w:color="auto"/>
              <w:right w:val="nil"/>
            </w:tcBorders>
            <w:shd w:val="clear" w:color="auto" w:fill="auto"/>
            <w:noWrap/>
            <w:vAlign w:val="center"/>
            <w:hideMark/>
          </w:tcPr>
          <w:p w14:paraId="0C7C4CCF" w14:textId="77777777" w:rsidR="00FE64E5" w:rsidRPr="00543D10" w:rsidRDefault="00723BE3" w:rsidP="00FE64E5">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182,025</w:t>
            </w:r>
          </w:p>
        </w:tc>
        <w:tc>
          <w:tcPr>
            <w:tcW w:w="1035" w:type="dxa"/>
            <w:tcBorders>
              <w:top w:val="single" w:sz="4" w:space="0" w:color="auto"/>
              <w:left w:val="nil"/>
              <w:bottom w:val="single" w:sz="4" w:space="0" w:color="auto"/>
              <w:right w:val="nil"/>
            </w:tcBorders>
            <w:shd w:val="clear" w:color="auto" w:fill="auto"/>
            <w:noWrap/>
            <w:vAlign w:val="center"/>
            <w:hideMark/>
          </w:tcPr>
          <w:p w14:paraId="179B4ADD" w14:textId="77777777" w:rsidR="00FE64E5" w:rsidRPr="00FE64E5" w:rsidRDefault="00FE64E5" w:rsidP="00FE64E5">
            <w:pPr>
              <w:spacing w:after="0" w:line="240" w:lineRule="auto"/>
              <w:jc w:val="right"/>
              <w:rPr>
                <w:rFonts w:ascii="Arial" w:eastAsia="Times New Roman" w:hAnsi="Arial" w:cs="Arial"/>
                <w:sz w:val="20"/>
                <w:szCs w:val="20"/>
                <w:lang w:eastAsia="en-GB"/>
              </w:rPr>
            </w:pPr>
            <w:r w:rsidRPr="00FE64E5">
              <w:rPr>
                <w:rFonts w:ascii="Arial" w:eastAsia="Times New Roman" w:hAnsi="Arial" w:cs="Arial"/>
                <w:bCs/>
                <w:sz w:val="20"/>
                <w:szCs w:val="20"/>
                <w:lang w:eastAsia="en-GB"/>
              </w:rPr>
              <w:t>166,259</w:t>
            </w:r>
          </w:p>
        </w:tc>
        <w:tc>
          <w:tcPr>
            <w:tcW w:w="1348" w:type="dxa"/>
            <w:tcBorders>
              <w:top w:val="single" w:sz="4" w:space="0" w:color="auto"/>
              <w:left w:val="nil"/>
              <w:bottom w:val="single" w:sz="4" w:space="0" w:color="auto"/>
              <w:right w:val="nil"/>
            </w:tcBorders>
            <w:shd w:val="clear" w:color="auto" w:fill="auto"/>
            <w:noWrap/>
            <w:vAlign w:val="center"/>
            <w:hideMark/>
          </w:tcPr>
          <w:p w14:paraId="3B93B376" w14:textId="77777777" w:rsidR="00FE64E5" w:rsidRPr="00543D10" w:rsidRDefault="000F1999" w:rsidP="00FE64E5">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22,867</w:t>
            </w:r>
          </w:p>
        </w:tc>
        <w:tc>
          <w:tcPr>
            <w:tcW w:w="778" w:type="dxa"/>
            <w:tcBorders>
              <w:top w:val="single" w:sz="4" w:space="0" w:color="auto"/>
              <w:left w:val="nil"/>
              <w:bottom w:val="single" w:sz="4" w:space="0" w:color="auto"/>
              <w:right w:val="nil"/>
            </w:tcBorders>
            <w:shd w:val="clear" w:color="auto" w:fill="auto"/>
            <w:noWrap/>
            <w:vAlign w:val="center"/>
            <w:hideMark/>
          </w:tcPr>
          <w:p w14:paraId="2C589208" w14:textId="77777777" w:rsidR="00FE64E5" w:rsidRPr="00FE64E5" w:rsidRDefault="00FE64E5" w:rsidP="00FE64E5">
            <w:pPr>
              <w:spacing w:after="0" w:line="240" w:lineRule="auto"/>
              <w:jc w:val="right"/>
              <w:rPr>
                <w:rFonts w:ascii="Arial" w:eastAsia="Times New Roman" w:hAnsi="Arial" w:cs="Arial"/>
                <w:sz w:val="20"/>
                <w:szCs w:val="20"/>
                <w:lang w:eastAsia="en-GB"/>
              </w:rPr>
            </w:pPr>
            <w:r w:rsidRPr="00FE64E5">
              <w:rPr>
                <w:rFonts w:ascii="Arial" w:eastAsia="Times New Roman" w:hAnsi="Arial" w:cs="Arial"/>
                <w:bCs/>
                <w:sz w:val="20"/>
                <w:szCs w:val="20"/>
                <w:lang w:eastAsia="en-GB"/>
              </w:rPr>
              <w:t>23,540</w:t>
            </w:r>
          </w:p>
        </w:tc>
      </w:tr>
      <w:tr w:rsidR="00FE64E5" w:rsidRPr="00D60034" w14:paraId="5F2AB0FD" w14:textId="77777777" w:rsidTr="006D78AE">
        <w:trPr>
          <w:trHeight w:val="323"/>
        </w:trPr>
        <w:tc>
          <w:tcPr>
            <w:tcW w:w="4062" w:type="dxa"/>
            <w:tcBorders>
              <w:top w:val="nil"/>
              <w:left w:val="nil"/>
              <w:bottom w:val="nil"/>
              <w:right w:val="nil"/>
            </w:tcBorders>
            <w:shd w:val="clear" w:color="auto" w:fill="auto"/>
            <w:vAlign w:val="center"/>
            <w:hideMark/>
          </w:tcPr>
          <w:p w14:paraId="2507D59A" w14:textId="77777777" w:rsidR="00FE64E5" w:rsidRPr="00D60034" w:rsidRDefault="00FE64E5" w:rsidP="00FE64E5">
            <w:pPr>
              <w:spacing w:after="0" w:line="240" w:lineRule="auto"/>
              <w:rPr>
                <w:rFonts w:ascii="Arial" w:eastAsia="Times New Roman" w:hAnsi="Arial" w:cs="Arial"/>
                <w:b/>
                <w:bCs/>
                <w:sz w:val="20"/>
                <w:szCs w:val="20"/>
                <w:lang w:eastAsia="en-GB"/>
              </w:rPr>
            </w:pPr>
            <w:r w:rsidRPr="00D60034">
              <w:rPr>
                <w:rFonts w:ascii="Arial" w:eastAsia="Times New Roman" w:hAnsi="Arial" w:cs="Arial"/>
                <w:b/>
                <w:bCs/>
                <w:sz w:val="20"/>
                <w:szCs w:val="20"/>
                <w:lang w:eastAsia="en-GB"/>
              </w:rPr>
              <w:t>Current assets</w:t>
            </w:r>
          </w:p>
        </w:tc>
        <w:tc>
          <w:tcPr>
            <w:tcW w:w="776" w:type="dxa"/>
            <w:tcBorders>
              <w:top w:val="nil"/>
              <w:left w:val="nil"/>
              <w:bottom w:val="nil"/>
              <w:right w:val="nil"/>
            </w:tcBorders>
            <w:shd w:val="clear" w:color="auto" w:fill="auto"/>
            <w:noWrap/>
            <w:vAlign w:val="bottom"/>
            <w:hideMark/>
          </w:tcPr>
          <w:p w14:paraId="389A286C" w14:textId="77777777" w:rsidR="00FE64E5" w:rsidRPr="00543D10" w:rsidRDefault="00FE64E5" w:rsidP="00FE64E5">
            <w:pPr>
              <w:spacing w:after="0" w:line="240" w:lineRule="auto"/>
              <w:rPr>
                <w:rFonts w:ascii="Arial" w:eastAsia="Times New Roman" w:hAnsi="Arial" w:cs="Arial"/>
                <w:b/>
                <w:bCs/>
                <w:sz w:val="20"/>
                <w:szCs w:val="20"/>
                <w:lang w:eastAsia="en-GB"/>
              </w:rPr>
            </w:pPr>
          </w:p>
        </w:tc>
        <w:tc>
          <w:tcPr>
            <w:tcW w:w="1073" w:type="dxa"/>
            <w:tcBorders>
              <w:top w:val="nil"/>
              <w:left w:val="nil"/>
              <w:bottom w:val="nil"/>
              <w:right w:val="nil"/>
            </w:tcBorders>
            <w:shd w:val="clear" w:color="auto" w:fill="auto"/>
            <w:noWrap/>
            <w:vAlign w:val="center"/>
            <w:hideMark/>
          </w:tcPr>
          <w:p w14:paraId="0D0D88E9" w14:textId="77777777" w:rsidR="00FE64E5" w:rsidRPr="00543D10" w:rsidRDefault="00FE64E5" w:rsidP="00FE64E5">
            <w:pPr>
              <w:spacing w:after="0" w:line="240" w:lineRule="auto"/>
              <w:jc w:val="right"/>
              <w:rPr>
                <w:rFonts w:ascii="Arial" w:eastAsia="Times New Roman" w:hAnsi="Arial" w:cs="Arial"/>
                <w:sz w:val="20"/>
                <w:szCs w:val="20"/>
                <w:lang w:eastAsia="en-GB"/>
              </w:rPr>
            </w:pPr>
          </w:p>
        </w:tc>
        <w:tc>
          <w:tcPr>
            <w:tcW w:w="1035" w:type="dxa"/>
            <w:tcBorders>
              <w:top w:val="nil"/>
              <w:left w:val="nil"/>
              <w:bottom w:val="nil"/>
              <w:right w:val="nil"/>
            </w:tcBorders>
            <w:shd w:val="clear" w:color="auto" w:fill="auto"/>
            <w:noWrap/>
            <w:vAlign w:val="center"/>
            <w:hideMark/>
          </w:tcPr>
          <w:p w14:paraId="5B4A05AB" w14:textId="77777777" w:rsidR="00FE64E5" w:rsidRPr="00FE64E5" w:rsidRDefault="00FE64E5" w:rsidP="00FE64E5">
            <w:pPr>
              <w:spacing w:after="0" w:line="240" w:lineRule="auto"/>
              <w:jc w:val="right"/>
              <w:rPr>
                <w:rFonts w:ascii="Arial" w:eastAsia="Times New Roman" w:hAnsi="Arial" w:cs="Arial"/>
                <w:sz w:val="20"/>
                <w:szCs w:val="20"/>
                <w:lang w:eastAsia="en-GB"/>
              </w:rPr>
            </w:pPr>
          </w:p>
        </w:tc>
        <w:tc>
          <w:tcPr>
            <w:tcW w:w="1348" w:type="dxa"/>
            <w:tcBorders>
              <w:top w:val="nil"/>
              <w:left w:val="nil"/>
              <w:bottom w:val="nil"/>
              <w:right w:val="nil"/>
            </w:tcBorders>
            <w:shd w:val="clear" w:color="auto" w:fill="auto"/>
            <w:noWrap/>
            <w:vAlign w:val="center"/>
            <w:hideMark/>
          </w:tcPr>
          <w:p w14:paraId="41C865B6" w14:textId="77777777" w:rsidR="00FE64E5" w:rsidRPr="00543D10" w:rsidRDefault="00FE64E5" w:rsidP="00FE64E5">
            <w:pPr>
              <w:spacing w:after="0" w:line="240" w:lineRule="auto"/>
              <w:jc w:val="right"/>
              <w:rPr>
                <w:rFonts w:ascii="Arial" w:eastAsia="Times New Roman" w:hAnsi="Arial" w:cs="Arial"/>
                <w:sz w:val="20"/>
                <w:szCs w:val="20"/>
                <w:lang w:eastAsia="en-GB"/>
              </w:rPr>
            </w:pPr>
          </w:p>
        </w:tc>
        <w:tc>
          <w:tcPr>
            <w:tcW w:w="778" w:type="dxa"/>
            <w:tcBorders>
              <w:top w:val="nil"/>
              <w:left w:val="nil"/>
              <w:bottom w:val="nil"/>
              <w:right w:val="nil"/>
            </w:tcBorders>
            <w:shd w:val="clear" w:color="auto" w:fill="auto"/>
            <w:noWrap/>
            <w:vAlign w:val="center"/>
            <w:hideMark/>
          </w:tcPr>
          <w:p w14:paraId="3FF2C2DF" w14:textId="77777777" w:rsidR="00FE64E5" w:rsidRPr="00FE64E5" w:rsidRDefault="00FE64E5" w:rsidP="00FE64E5">
            <w:pPr>
              <w:spacing w:after="0" w:line="240" w:lineRule="auto"/>
              <w:jc w:val="right"/>
              <w:rPr>
                <w:rFonts w:ascii="Arial" w:eastAsia="Times New Roman" w:hAnsi="Arial" w:cs="Arial"/>
                <w:sz w:val="20"/>
                <w:szCs w:val="20"/>
                <w:lang w:eastAsia="en-GB"/>
              </w:rPr>
            </w:pPr>
          </w:p>
        </w:tc>
      </w:tr>
      <w:tr w:rsidR="00FE64E5" w:rsidRPr="00D60034" w14:paraId="72060462" w14:textId="77777777" w:rsidTr="006D78AE">
        <w:trPr>
          <w:trHeight w:val="323"/>
        </w:trPr>
        <w:tc>
          <w:tcPr>
            <w:tcW w:w="4062" w:type="dxa"/>
            <w:tcBorders>
              <w:top w:val="nil"/>
              <w:left w:val="nil"/>
              <w:bottom w:val="nil"/>
              <w:right w:val="nil"/>
            </w:tcBorders>
            <w:shd w:val="clear" w:color="auto" w:fill="auto"/>
            <w:vAlign w:val="center"/>
            <w:hideMark/>
          </w:tcPr>
          <w:p w14:paraId="03D4BACC" w14:textId="77777777" w:rsidR="00FE64E5" w:rsidRPr="00D60034" w:rsidRDefault="00FE64E5" w:rsidP="00FE64E5">
            <w:pPr>
              <w:spacing w:after="0" w:line="240" w:lineRule="auto"/>
              <w:rPr>
                <w:rFonts w:ascii="Arial" w:eastAsia="Times New Roman" w:hAnsi="Arial" w:cs="Arial"/>
                <w:sz w:val="20"/>
                <w:szCs w:val="20"/>
                <w:lang w:eastAsia="en-GB"/>
              </w:rPr>
            </w:pPr>
            <w:r w:rsidRPr="00D60034">
              <w:rPr>
                <w:rFonts w:ascii="Arial" w:eastAsia="Times New Roman" w:hAnsi="Arial" w:cs="Arial"/>
                <w:sz w:val="20"/>
                <w:szCs w:val="20"/>
                <w:lang w:eastAsia="en-GB"/>
              </w:rPr>
              <w:t>Stocks</w:t>
            </w:r>
          </w:p>
        </w:tc>
        <w:tc>
          <w:tcPr>
            <w:tcW w:w="776" w:type="dxa"/>
            <w:tcBorders>
              <w:top w:val="nil"/>
              <w:left w:val="nil"/>
              <w:bottom w:val="nil"/>
              <w:right w:val="nil"/>
            </w:tcBorders>
            <w:shd w:val="clear" w:color="auto" w:fill="auto"/>
            <w:noWrap/>
            <w:vAlign w:val="bottom"/>
            <w:hideMark/>
          </w:tcPr>
          <w:p w14:paraId="130ED245" w14:textId="77777777" w:rsidR="00FE64E5" w:rsidRPr="00543D10" w:rsidRDefault="00FE64E5" w:rsidP="00FE64E5">
            <w:pPr>
              <w:spacing w:after="0" w:line="240" w:lineRule="auto"/>
              <w:rPr>
                <w:rFonts w:ascii="Arial" w:eastAsia="Times New Roman" w:hAnsi="Arial" w:cs="Arial"/>
                <w:sz w:val="20"/>
                <w:szCs w:val="20"/>
                <w:lang w:eastAsia="en-GB"/>
              </w:rPr>
            </w:pPr>
            <w:r w:rsidRPr="00543D10">
              <w:rPr>
                <w:rFonts w:ascii="Arial" w:eastAsia="Times New Roman" w:hAnsi="Arial" w:cs="Arial"/>
                <w:sz w:val="20"/>
                <w:szCs w:val="20"/>
                <w:lang w:eastAsia="en-GB"/>
              </w:rPr>
              <w:t>12</w:t>
            </w:r>
          </w:p>
        </w:tc>
        <w:tc>
          <w:tcPr>
            <w:tcW w:w="1073" w:type="dxa"/>
            <w:tcBorders>
              <w:top w:val="nil"/>
              <w:left w:val="nil"/>
              <w:bottom w:val="nil"/>
              <w:right w:val="nil"/>
            </w:tcBorders>
            <w:shd w:val="clear" w:color="auto" w:fill="auto"/>
            <w:noWrap/>
            <w:vAlign w:val="center"/>
          </w:tcPr>
          <w:p w14:paraId="3AA55059" w14:textId="77777777" w:rsidR="00FE64E5" w:rsidRPr="00543D10" w:rsidRDefault="000F1999" w:rsidP="00FE64E5">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548</w:t>
            </w:r>
          </w:p>
        </w:tc>
        <w:tc>
          <w:tcPr>
            <w:tcW w:w="1035" w:type="dxa"/>
            <w:tcBorders>
              <w:top w:val="nil"/>
              <w:left w:val="nil"/>
              <w:bottom w:val="nil"/>
              <w:right w:val="nil"/>
            </w:tcBorders>
            <w:shd w:val="clear" w:color="auto" w:fill="auto"/>
            <w:noWrap/>
            <w:vAlign w:val="center"/>
            <w:hideMark/>
          </w:tcPr>
          <w:p w14:paraId="73083168" w14:textId="77777777" w:rsidR="00FE64E5" w:rsidRPr="00FE64E5" w:rsidRDefault="00FE64E5" w:rsidP="00FE64E5">
            <w:pPr>
              <w:spacing w:after="0" w:line="240" w:lineRule="auto"/>
              <w:jc w:val="right"/>
              <w:rPr>
                <w:rFonts w:ascii="Arial" w:eastAsia="Times New Roman" w:hAnsi="Arial" w:cs="Arial"/>
                <w:sz w:val="20"/>
                <w:szCs w:val="20"/>
                <w:lang w:eastAsia="en-GB"/>
              </w:rPr>
            </w:pPr>
            <w:r w:rsidRPr="00FE64E5">
              <w:rPr>
                <w:rFonts w:ascii="Arial" w:eastAsia="Times New Roman" w:hAnsi="Arial" w:cs="Arial"/>
                <w:bCs/>
                <w:sz w:val="20"/>
                <w:szCs w:val="20"/>
                <w:lang w:eastAsia="en-GB"/>
              </w:rPr>
              <w:t>749</w:t>
            </w:r>
          </w:p>
        </w:tc>
        <w:tc>
          <w:tcPr>
            <w:tcW w:w="1348" w:type="dxa"/>
            <w:tcBorders>
              <w:top w:val="nil"/>
              <w:left w:val="nil"/>
              <w:bottom w:val="nil"/>
              <w:right w:val="nil"/>
            </w:tcBorders>
            <w:shd w:val="clear" w:color="auto" w:fill="auto"/>
            <w:noWrap/>
            <w:vAlign w:val="center"/>
          </w:tcPr>
          <w:p w14:paraId="1C5C6323" w14:textId="77777777" w:rsidR="00FE64E5" w:rsidRPr="00543D10" w:rsidRDefault="000F1999" w:rsidP="00FE64E5">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323</w:t>
            </w:r>
          </w:p>
        </w:tc>
        <w:tc>
          <w:tcPr>
            <w:tcW w:w="778" w:type="dxa"/>
            <w:tcBorders>
              <w:top w:val="nil"/>
              <w:left w:val="nil"/>
              <w:bottom w:val="nil"/>
              <w:right w:val="nil"/>
            </w:tcBorders>
            <w:shd w:val="clear" w:color="auto" w:fill="auto"/>
            <w:noWrap/>
            <w:vAlign w:val="center"/>
            <w:hideMark/>
          </w:tcPr>
          <w:p w14:paraId="1F53EF0A" w14:textId="77777777" w:rsidR="00FE64E5" w:rsidRPr="00FE64E5" w:rsidRDefault="00FE64E5" w:rsidP="00FE64E5">
            <w:pPr>
              <w:spacing w:after="0" w:line="240" w:lineRule="auto"/>
              <w:jc w:val="right"/>
              <w:rPr>
                <w:rFonts w:ascii="Arial" w:eastAsia="Times New Roman" w:hAnsi="Arial" w:cs="Arial"/>
                <w:sz w:val="20"/>
                <w:szCs w:val="20"/>
                <w:lang w:eastAsia="en-GB"/>
              </w:rPr>
            </w:pPr>
            <w:r w:rsidRPr="00FE64E5">
              <w:rPr>
                <w:rFonts w:ascii="Arial" w:eastAsia="Times New Roman" w:hAnsi="Arial" w:cs="Arial"/>
                <w:bCs/>
                <w:sz w:val="20"/>
                <w:szCs w:val="20"/>
                <w:lang w:eastAsia="en-GB"/>
              </w:rPr>
              <w:t>544</w:t>
            </w:r>
          </w:p>
        </w:tc>
      </w:tr>
      <w:tr w:rsidR="00FE64E5" w:rsidRPr="00451E25" w14:paraId="130AEBC3" w14:textId="77777777" w:rsidTr="006D78AE">
        <w:trPr>
          <w:trHeight w:val="323"/>
        </w:trPr>
        <w:tc>
          <w:tcPr>
            <w:tcW w:w="4062" w:type="dxa"/>
            <w:tcBorders>
              <w:top w:val="nil"/>
              <w:left w:val="nil"/>
              <w:bottom w:val="nil"/>
              <w:right w:val="nil"/>
            </w:tcBorders>
            <w:shd w:val="clear" w:color="auto" w:fill="auto"/>
            <w:vAlign w:val="center"/>
            <w:hideMark/>
          </w:tcPr>
          <w:p w14:paraId="6BE314D1" w14:textId="77777777" w:rsidR="00FE64E5" w:rsidRPr="00451E25" w:rsidRDefault="00FE64E5" w:rsidP="00FE64E5">
            <w:pPr>
              <w:spacing w:after="0" w:line="240" w:lineRule="auto"/>
              <w:rPr>
                <w:rFonts w:ascii="Arial" w:eastAsia="Times New Roman" w:hAnsi="Arial" w:cs="Arial"/>
                <w:sz w:val="20"/>
                <w:szCs w:val="20"/>
                <w:lang w:eastAsia="en-GB"/>
              </w:rPr>
            </w:pPr>
            <w:r w:rsidRPr="00451E25">
              <w:rPr>
                <w:rFonts w:ascii="Arial" w:eastAsia="Times New Roman" w:hAnsi="Arial" w:cs="Arial"/>
                <w:sz w:val="20"/>
                <w:szCs w:val="20"/>
                <w:lang w:eastAsia="en-GB"/>
              </w:rPr>
              <w:t>Debtors: Due within 1 year</w:t>
            </w:r>
          </w:p>
        </w:tc>
        <w:tc>
          <w:tcPr>
            <w:tcW w:w="776" w:type="dxa"/>
            <w:tcBorders>
              <w:top w:val="nil"/>
              <w:left w:val="nil"/>
              <w:bottom w:val="nil"/>
              <w:right w:val="nil"/>
            </w:tcBorders>
            <w:shd w:val="clear" w:color="auto" w:fill="auto"/>
            <w:noWrap/>
            <w:vAlign w:val="bottom"/>
            <w:hideMark/>
          </w:tcPr>
          <w:p w14:paraId="01A28174" w14:textId="77777777" w:rsidR="00FE64E5" w:rsidRPr="00543D10" w:rsidRDefault="00FE64E5" w:rsidP="00FE64E5">
            <w:pPr>
              <w:spacing w:after="0" w:line="240" w:lineRule="auto"/>
              <w:rPr>
                <w:rFonts w:ascii="Arial" w:eastAsia="Times New Roman" w:hAnsi="Arial" w:cs="Arial"/>
                <w:sz w:val="20"/>
                <w:szCs w:val="20"/>
                <w:lang w:eastAsia="en-GB"/>
              </w:rPr>
            </w:pPr>
            <w:r w:rsidRPr="00543D10">
              <w:rPr>
                <w:rFonts w:ascii="Arial" w:eastAsia="Times New Roman" w:hAnsi="Arial" w:cs="Arial"/>
                <w:sz w:val="20"/>
                <w:szCs w:val="20"/>
                <w:lang w:eastAsia="en-GB"/>
              </w:rPr>
              <w:t>13</w:t>
            </w:r>
          </w:p>
        </w:tc>
        <w:tc>
          <w:tcPr>
            <w:tcW w:w="1073" w:type="dxa"/>
            <w:tcBorders>
              <w:top w:val="nil"/>
              <w:left w:val="nil"/>
              <w:bottom w:val="nil"/>
              <w:right w:val="nil"/>
            </w:tcBorders>
            <w:shd w:val="clear" w:color="auto" w:fill="auto"/>
            <w:noWrap/>
            <w:vAlign w:val="center"/>
          </w:tcPr>
          <w:p w14:paraId="524CE56E" w14:textId="77777777" w:rsidR="00FE64E5" w:rsidRPr="00543D10" w:rsidRDefault="000F1999" w:rsidP="00FE64E5">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3</w:t>
            </w:r>
            <w:r w:rsidR="00723BE3">
              <w:rPr>
                <w:rFonts w:ascii="Arial" w:eastAsia="Times New Roman" w:hAnsi="Arial" w:cs="Arial"/>
                <w:b/>
                <w:bCs/>
                <w:sz w:val="20"/>
                <w:szCs w:val="20"/>
                <w:lang w:eastAsia="en-GB"/>
              </w:rPr>
              <w:t>0,788</w:t>
            </w:r>
          </w:p>
        </w:tc>
        <w:tc>
          <w:tcPr>
            <w:tcW w:w="1035" w:type="dxa"/>
            <w:tcBorders>
              <w:top w:val="nil"/>
              <w:left w:val="nil"/>
              <w:bottom w:val="nil"/>
              <w:right w:val="nil"/>
            </w:tcBorders>
            <w:shd w:val="clear" w:color="auto" w:fill="auto"/>
            <w:noWrap/>
            <w:vAlign w:val="center"/>
            <w:hideMark/>
          </w:tcPr>
          <w:p w14:paraId="6B0A7FD5" w14:textId="77777777" w:rsidR="00FE64E5" w:rsidRPr="00FE64E5" w:rsidRDefault="00FE64E5" w:rsidP="00FE64E5">
            <w:pPr>
              <w:spacing w:after="0" w:line="240" w:lineRule="auto"/>
              <w:jc w:val="right"/>
              <w:rPr>
                <w:rFonts w:ascii="Arial" w:eastAsia="Times New Roman" w:hAnsi="Arial" w:cs="Arial"/>
                <w:sz w:val="20"/>
                <w:szCs w:val="20"/>
                <w:lang w:eastAsia="en-GB"/>
              </w:rPr>
            </w:pPr>
            <w:r w:rsidRPr="00FE64E5">
              <w:rPr>
                <w:rFonts w:ascii="Arial" w:eastAsia="Times New Roman" w:hAnsi="Arial" w:cs="Arial"/>
                <w:bCs/>
                <w:sz w:val="20"/>
                <w:szCs w:val="20"/>
                <w:lang w:eastAsia="en-GB"/>
              </w:rPr>
              <w:t>26,329</w:t>
            </w:r>
          </w:p>
        </w:tc>
        <w:tc>
          <w:tcPr>
            <w:tcW w:w="1348" w:type="dxa"/>
            <w:tcBorders>
              <w:top w:val="nil"/>
              <w:left w:val="nil"/>
              <w:bottom w:val="nil"/>
              <w:right w:val="nil"/>
            </w:tcBorders>
            <w:shd w:val="clear" w:color="auto" w:fill="auto"/>
            <w:noWrap/>
            <w:vAlign w:val="center"/>
          </w:tcPr>
          <w:p w14:paraId="0CD6EFA4" w14:textId="77777777" w:rsidR="00FE64E5" w:rsidRPr="00543D10" w:rsidRDefault="00DA53CF">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17,169</w:t>
            </w:r>
          </w:p>
        </w:tc>
        <w:tc>
          <w:tcPr>
            <w:tcW w:w="778" w:type="dxa"/>
            <w:tcBorders>
              <w:top w:val="nil"/>
              <w:left w:val="nil"/>
              <w:bottom w:val="nil"/>
              <w:right w:val="nil"/>
            </w:tcBorders>
            <w:shd w:val="clear" w:color="auto" w:fill="auto"/>
            <w:noWrap/>
            <w:vAlign w:val="center"/>
            <w:hideMark/>
          </w:tcPr>
          <w:p w14:paraId="2CB4115D" w14:textId="77777777" w:rsidR="00FE64E5" w:rsidRPr="00FE64E5" w:rsidRDefault="00FE64E5" w:rsidP="00FE64E5">
            <w:pPr>
              <w:spacing w:after="0" w:line="240" w:lineRule="auto"/>
              <w:jc w:val="right"/>
              <w:rPr>
                <w:rFonts w:ascii="Arial" w:eastAsia="Times New Roman" w:hAnsi="Arial" w:cs="Arial"/>
                <w:sz w:val="20"/>
                <w:szCs w:val="20"/>
                <w:lang w:eastAsia="en-GB"/>
              </w:rPr>
            </w:pPr>
            <w:r w:rsidRPr="00FE64E5">
              <w:rPr>
                <w:rFonts w:ascii="Arial" w:eastAsia="Times New Roman" w:hAnsi="Arial" w:cs="Arial"/>
                <w:bCs/>
                <w:sz w:val="20"/>
                <w:szCs w:val="20"/>
                <w:lang w:eastAsia="en-GB"/>
              </w:rPr>
              <w:t>15,903</w:t>
            </w:r>
          </w:p>
        </w:tc>
      </w:tr>
      <w:tr w:rsidR="00FE64E5" w:rsidRPr="00451E25" w14:paraId="3813B68D" w14:textId="77777777" w:rsidTr="006D78AE">
        <w:trPr>
          <w:trHeight w:val="323"/>
        </w:trPr>
        <w:tc>
          <w:tcPr>
            <w:tcW w:w="4062" w:type="dxa"/>
            <w:tcBorders>
              <w:top w:val="nil"/>
              <w:left w:val="nil"/>
              <w:bottom w:val="nil"/>
              <w:right w:val="nil"/>
            </w:tcBorders>
            <w:shd w:val="clear" w:color="auto" w:fill="auto"/>
            <w:vAlign w:val="center"/>
            <w:hideMark/>
          </w:tcPr>
          <w:p w14:paraId="25035C8D" w14:textId="77777777" w:rsidR="00FE64E5" w:rsidRPr="00451E25" w:rsidRDefault="00FE64E5" w:rsidP="00FE64E5">
            <w:pPr>
              <w:spacing w:after="0" w:line="240" w:lineRule="auto"/>
              <w:rPr>
                <w:rFonts w:ascii="Arial" w:eastAsia="Times New Roman" w:hAnsi="Arial" w:cs="Arial"/>
                <w:sz w:val="20"/>
                <w:szCs w:val="20"/>
                <w:lang w:eastAsia="en-GB"/>
              </w:rPr>
            </w:pPr>
            <w:r w:rsidRPr="00451E25">
              <w:rPr>
                <w:rFonts w:ascii="Arial" w:eastAsia="Times New Roman" w:hAnsi="Arial" w:cs="Arial"/>
                <w:sz w:val="20"/>
                <w:szCs w:val="20"/>
                <w:lang w:eastAsia="en-GB"/>
              </w:rPr>
              <w:t>Debtors: Due over 1 year</w:t>
            </w:r>
          </w:p>
        </w:tc>
        <w:tc>
          <w:tcPr>
            <w:tcW w:w="776" w:type="dxa"/>
            <w:tcBorders>
              <w:top w:val="nil"/>
              <w:left w:val="nil"/>
              <w:bottom w:val="nil"/>
              <w:right w:val="nil"/>
            </w:tcBorders>
            <w:shd w:val="clear" w:color="auto" w:fill="auto"/>
            <w:noWrap/>
            <w:vAlign w:val="bottom"/>
            <w:hideMark/>
          </w:tcPr>
          <w:p w14:paraId="0D02565B" w14:textId="77777777" w:rsidR="00FE64E5" w:rsidRPr="00543D10" w:rsidRDefault="00FE64E5" w:rsidP="00FE64E5">
            <w:pPr>
              <w:spacing w:after="0" w:line="240" w:lineRule="auto"/>
              <w:rPr>
                <w:rFonts w:ascii="Arial" w:eastAsia="Times New Roman" w:hAnsi="Arial" w:cs="Arial"/>
                <w:sz w:val="20"/>
                <w:szCs w:val="20"/>
                <w:lang w:eastAsia="en-GB"/>
              </w:rPr>
            </w:pPr>
            <w:r w:rsidRPr="00543D10">
              <w:rPr>
                <w:rFonts w:ascii="Arial" w:eastAsia="Times New Roman" w:hAnsi="Arial" w:cs="Arial"/>
                <w:sz w:val="20"/>
                <w:szCs w:val="20"/>
                <w:lang w:eastAsia="en-GB"/>
              </w:rPr>
              <w:t>13</w:t>
            </w:r>
          </w:p>
        </w:tc>
        <w:tc>
          <w:tcPr>
            <w:tcW w:w="1073" w:type="dxa"/>
            <w:tcBorders>
              <w:top w:val="nil"/>
              <w:left w:val="nil"/>
              <w:bottom w:val="nil"/>
              <w:right w:val="nil"/>
            </w:tcBorders>
            <w:shd w:val="clear" w:color="auto" w:fill="auto"/>
            <w:noWrap/>
            <w:vAlign w:val="center"/>
          </w:tcPr>
          <w:p w14:paraId="2DB79F53" w14:textId="77777777" w:rsidR="00FE64E5" w:rsidRPr="00543D10" w:rsidRDefault="007541EF" w:rsidP="00FE64E5">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12,386</w:t>
            </w:r>
          </w:p>
        </w:tc>
        <w:tc>
          <w:tcPr>
            <w:tcW w:w="1035" w:type="dxa"/>
            <w:tcBorders>
              <w:top w:val="nil"/>
              <w:left w:val="nil"/>
              <w:bottom w:val="nil"/>
              <w:right w:val="nil"/>
            </w:tcBorders>
            <w:shd w:val="clear" w:color="auto" w:fill="auto"/>
            <w:noWrap/>
            <w:vAlign w:val="center"/>
            <w:hideMark/>
          </w:tcPr>
          <w:p w14:paraId="78680AD1" w14:textId="77777777" w:rsidR="00FE64E5" w:rsidRPr="00FE64E5" w:rsidRDefault="00FE64E5" w:rsidP="00FE64E5">
            <w:pPr>
              <w:spacing w:after="0" w:line="240" w:lineRule="auto"/>
              <w:jc w:val="right"/>
              <w:rPr>
                <w:rFonts w:ascii="Arial" w:eastAsia="Times New Roman" w:hAnsi="Arial" w:cs="Arial"/>
                <w:sz w:val="20"/>
                <w:szCs w:val="20"/>
                <w:lang w:eastAsia="en-GB"/>
              </w:rPr>
            </w:pPr>
            <w:r w:rsidRPr="00FE64E5">
              <w:rPr>
                <w:rFonts w:ascii="Arial" w:eastAsia="Times New Roman" w:hAnsi="Arial" w:cs="Arial"/>
                <w:bCs/>
                <w:sz w:val="20"/>
                <w:szCs w:val="20"/>
                <w:lang w:eastAsia="en-GB"/>
              </w:rPr>
              <w:t>10,613</w:t>
            </w:r>
          </w:p>
        </w:tc>
        <w:tc>
          <w:tcPr>
            <w:tcW w:w="1348" w:type="dxa"/>
            <w:tcBorders>
              <w:top w:val="nil"/>
              <w:left w:val="nil"/>
              <w:bottom w:val="nil"/>
              <w:right w:val="nil"/>
            </w:tcBorders>
            <w:shd w:val="clear" w:color="auto" w:fill="auto"/>
            <w:noWrap/>
            <w:vAlign w:val="center"/>
          </w:tcPr>
          <w:p w14:paraId="4A73E1B2" w14:textId="77777777" w:rsidR="00FE64E5" w:rsidRPr="00543D10" w:rsidRDefault="000F1999" w:rsidP="00FE64E5">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w:t>
            </w:r>
          </w:p>
        </w:tc>
        <w:tc>
          <w:tcPr>
            <w:tcW w:w="778" w:type="dxa"/>
            <w:tcBorders>
              <w:top w:val="nil"/>
              <w:left w:val="nil"/>
              <w:bottom w:val="nil"/>
              <w:right w:val="nil"/>
            </w:tcBorders>
            <w:shd w:val="clear" w:color="auto" w:fill="auto"/>
            <w:noWrap/>
            <w:vAlign w:val="center"/>
            <w:hideMark/>
          </w:tcPr>
          <w:p w14:paraId="5AA6478C" w14:textId="77777777" w:rsidR="00FE64E5" w:rsidRPr="00FE64E5" w:rsidRDefault="00FE64E5" w:rsidP="00FE64E5">
            <w:pPr>
              <w:spacing w:after="0" w:line="240" w:lineRule="auto"/>
              <w:jc w:val="right"/>
              <w:rPr>
                <w:rFonts w:ascii="Arial" w:eastAsia="Times New Roman" w:hAnsi="Arial" w:cs="Arial"/>
                <w:sz w:val="20"/>
                <w:szCs w:val="20"/>
                <w:lang w:eastAsia="en-GB"/>
              </w:rPr>
            </w:pPr>
            <w:r w:rsidRPr="00FE64E5">
              <w:rPr>
                <w:rFonts w:ascii="Arial" w:eastAsia="Times New Roman" w:hAnsi="Arial" w:cs="Arial"/>
                <w:bCs/>
                <w:sz w:val="20"/>
                <w:szCs w:val="20"/>
                <w:lang w:eastAsia="en-GB"/>
              </w:rPr>
              <w:t>-</w:t>
            </w:r>
          </w:p>
        </w:tc>
      </w:tr>
      <w:tr w:rsidR="00FE64E5" w:rsidRPr="00451E25" w14:paraId="740189C8" w14:textId="77777777" w:rsidTr="006D78AE">
        <w:trPr>
          <w:trHeight w:val="323"/>
        </w:trPr>
        <w:tc>
          <w:tcPr>
            <w:tcW w:w="4062" w:type="dxa"/>
            <w:tcBorders>
              <w:top w:val="nil"/>
              <w:left w:val="nil"/>
              <w:bottom w:val="nil"/>
              <w:right w:val="nil"/>
            </w:tcBorders>
            <w:shd w:val="clear" w:color="auto" w:fill="auto"/>
            <w:vAlign w:val="center"/>
            <w:hideMark/>
          </w:tcPr>
          <w:p w14:paraId="674F2041" w14:textId="77777777" w:rsidR="00FE64E5" w:rsidRPr="00451E25" w:rsidRDefault="00FE64E5" w:rsidP="00FE64E5">
            <w:pPr>
              <w:spacing w:after="0" w:line="240" w:lineRule="auto"/>
              <w:rPr>
                <w:rFonts w:ascii="Arial" w:eastAsia="Times New Roman" w:hAnsi="Arial" w:cs="Arial"/>
                <w:sz w:val="20"/>
                <w:szCs w:val="20"/>
                <w:lang w:eastAsia="en-GB"/>
              </w:rPr>
            </w:pPr>
            <w:r w:rsidRPr="00451E25">
              <w:rPr>
                <w:rFonts w:ascii="Arial" w:eastAsia="Times New Roman" w:hAnsi="Arial" w:cs="Arial"/>
                <w:sz w:val="20"/>
                <w:szCs w:val="20"/>
                <w:lang w:eastAsia="en-GB"/>
              </w:rPr>
              <w:t>Current asset investments</w:t>
            </w:r>
          </w:p>
        </w:tc>
        <w:tc>
          <w:tcPr>
            <w:tcW w:w="776" w:type="dxa"/>
            <w:tcBorders>
              <w:top w:val="nil"/>
              <w:left w:val="nil"/>
              <w:bottom w:val="nil"/>
              <w:right w:val="nil"/>
            </w:tcBorders>
            <w:shd w:val="clear" w:color="auto" w:fill="auto"/>
            <w:noWrap/>
            <w:vAlign w:val="bottom"/>
            <w:hideMark/>
          </w:tcPr>
          <w:p w14:paraId="61954011" w14:textId="77777777" w:rsidR="00FE64E5" w:rsidRPr="00543D10" w:rsidRDefault="00E64186" w:rsidP="00FE64E5">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10</w:t>
            </w:r>
          </w:p>
        </w:tc>
        <w:tc>
          <w:tcPr>
            <w:tcW w:w="1073" w:type="dxa"/>
            <w:tcBorders>
              <w:top w:val="nil"/>
              <w:left w:val="nil"/>
              <w:bottom w:val="nil"/>
              <w:right w:val="nil"/>
            </w:tcBorders>
            <w:shd w:val="clear" w:color="auto" w:fill="auto"/>
            <w:noWrap/>
            <w:vAlign w:val="center"/>
          </w:tcPr>
          <w:p w14:paraId="35C7BFF1" w14:textId="77777777" w:rsidR="00FE64E5" w:rsidRPr="00E64186" w:rsidRDefault="00E64186" w:rsidP="00FE64E5">
            <w:pPr>
              <w:spacing w:after="0" w:line="240" w:lineRule="auto"/>
              <w:jc w:val="right"/>
              <w:rPr>
                <w:rFonts w:ascii="Arial" w:eastAsia="Times New Roman" w:hAnsi="Arial" w:cs="Arial"/>
                <w:b/>
                <w:bCs/>
                <w:sz w:val="20"/>
                <w:szCs w:val="20"/>
                <w:lang w:eastAsia="en-GB"/>
              </w:rPr>
            </w:pPr>
            <w:r w:rsidRPr="00E64186">
              <w:rPr>
                <w:rFonts w:ascii="Arial" w:eastAsia="Times New Roman" w:hAnsi="Arial" w:cs="Arial"/>
                <w:b/>
                <w:bCs/>
                <w:sz w:val="20"/>
                <w:szCs w:val="20"/>
                <w:lang w:eastAsia="en-GB"/>
              </w:rPr>
              <w:t>-</w:t>
            </w:r>
          </w:p>
        </w:tc>
        <w:tc>
          <w:tcPr>
            <w:tcW w:w="1035" w:type="dxa"/>
            <w:tcBorders>
              <w:top w:val="nil"/>
              <w:left w:val="nil"/>
              <w:bottom w:val="nil"/>
              <w:right w:val="nil"/>
            </w:tcBorders>
            <w:shd w:val="clear" w:color="auto" w:fill="auto"/>
            <w:noWrap/>
            <w:vAlign w:val="center"/>
            <w:hideMark/>
          </w:tcPr>
          <w:p w14:paraId="4B1B4C61" w14:textId="77777777" w:rsidR="00FE64E5" w:rsidRPr="00E64186" w:rsidRDefault="00E64186" w:rsidP="00FE64E5">
            <w:pPr>
              <w:spacing w:after="0" w:line="240" w:lineRule="auto"/>
              <w:jc w:val="right"/>
              <w:rPr>
                <w:rFonts w:ascii="Arial" w:eastAsia="Times New Roman" w:hAnsi="Arial" w:cs="Arial"/>
                <w:sz w:val="20"/>
                <w:szCs w:val="20"/>
                <w:lang w:eastAsia="en-GB"/>
              </w:rPr>
            </w:pPr>
            <w:r>
              <w:rPr>
                <w:rFonts w:ascii="Arial" w:eastAsia="Times New Roman" w:hAnsi="Arial" w:cs="Arial"/>
                <w:bCs/>
                <w:sz w:val="20"/>
                <w:szCs w:val="20"/>
                <w:lang w:eastAsia="en-GB"/>
              </w:rPr>
              <w:t>213</w:t>
            </w:r>
          </w:p>
        </w:tc>
        <w:tc>
          <w:tcPr>
            <w:tcW w:w="1348" w:type="dxa"/>
            <w:tcBorders>
              <w:top w:val="nil"/>
              <w:left w:val="nil"/>
              <w:bottom w:val="nil"/>
              <w:right w:val="nil"/>
            </w:tcBorders>
            <w:shd w:val="clear" w:color="auto" w:fill="auto"/>
            <w:noWrap/>
            <w:vAlign w:val="center"/>
          </w:tcPr>
          <w:p w14:paraId="714DF82E" w14:textId="77777777" w:rsidR="00FE64E5" w:rsidRPr="00E64186" w:rsidRDefault="00E64186" w:rsidP="00FE64E5">
            <w:pPr>
              <w:spacing w:after="0" w:line="240" w:lineRule="auto"/>
              <w:jc w:val="right"/>
              <w:rPr>
                <w:rFonts w:ascii="Arial" w:eastAsia="Times New Roman" w:hAnsi="Arial" w:cs="Arial"/>
                <w:b/>
                <w:bCs/>
                <w:sz w:val="20"/>
                <w:szCs w:val="20"/>
                <w:lang w:eastAsia="en-GB"/>
              </w:rPr>
            </w:pPr>
            <w:r w:rsidRPr="00E64186">
              <w:rPr>
                <w:rFonts w:ascii="Arial" w:eastAsia="Times New Roman" w:hAnsi="Arial" w:cs="Arial"/>
                <w:b/>
                <w:bCs/>
                <w:sz w:val="20"/>
                <w:szCs w:val="20"/>
                <w:lang w:eastAsia="en-GB"/>
              </w:rPr>
              <w:t>-</w:t>
            </w:r>
          </w:p>
        </w:tc>
        <w:tc>
          <w:tcPr>
            <w:tcW w:w="778" w:type="dxa"/>
            <w:tcBorders>
              <w:top w:val="nil"/>
              <w:left w:val="nil"/>
              <w:bottom w:val="nil"/>
              <w:right w:val="nil"/>
            </w:tcBorders>
            <w:shd w:val="clear" w:color="auto" w:fill="auto"/>
            <w:noWrap/>
            <w:vAlign w:val="center"/>
            <w:hideMark/>
          </w:tcPr>
          <w:p w14:paraId="5736FFD6" w14:textId="77777777" w:rsidR="00FE64E5" w:rsidRPr="00E64186" w:rsidRDefault="00E64186" w:rsidP="00FE64E5">
            <w:pPr>
              <w:spacing w:after="0" w:line="240" w:lineRule="auto"/>
              <w:jc w:val="right"/>
              <w:rPr>
                <w:rFonts w:ascii="Arial" w:eastAsia="Times New Roman" w:hAnsi="Arial" w:cs="Arial"/>
                <w:sz w:val="20"/>
                <w:szCs w:val="20"/>
                <w:lang w:eastAsia="en-GB"/>
              </w:rPr>
            </w:pPr>
            <w:r>
              <w:rPr>
                <w:rFonts w:ascii="Arial" w:eastAsia="Times New Roman" w:hAnsi="Arial" w:cs="Arial"/>
                <w:bCs/>
                <w:sz w:val="20"/>
                <w:szCs w:val="20"/>
                <w:lang w:eastAsia="en-GB"/>
              </w:rPr>
              <w:t>213</w:t>
            </w:r>
          </w:p>
        </w:tc>
      </w:tr>
      <w:tr w:rsidR="00FE64E5" w:rsidRPr="00451E25" w14:paraId="309FD084" w14:textId="77777777" w:rsidTr="006D78AE">
        <w:trPr>
          <w:trHeight w:val="323"/>
        </w:trPr>
        <w:tc>
          <w:tcPr>
            <w:tcW w:w="4062" w:type="dxa"/>
            <w:tcBorders>
              <w:top w:val="nil"/>
              <w:left w:val="nil"/>
              <w:bottom w:val="nil"/>
              <w:right w:val="nil"/>
            </w:tcBorders>
            <w:shd w:val="clear" w:color="auto" w:fill="auto"/>
            <w:vAlign w:val="center"/>
            <w:hideMark/>
          </w:tcPr>
          <w:p w14:paraId="7A0FC413" w14:textId="77777777" w:rsidR="00FE64E5" w:rsidRPr="00451E25" w:rsidRDefault="00FE64E5" w:rsidP="00FE64E5">
            <w:pPr>
              <w:spacing w:after="0" w:line="240" w:lineRule="auto"/>
              <w:rPr>
                <w:rFonts w:ascii="Arial" w:eastAsia="Times New Roman" w:hAnsi="Arial" w:cs="Arial"/>
                <w:sz w:val="20"/>
                <w:szCs w:val="20"/>
                <w:lang w:eastAsia="en-GB"/>
              </w:rPr>
            </w:pPr>
            <w:r w:rsidRPr="00451E25">
              <w:rPr>
                <w:rFonts w:ascii="Arial" w:eastAsia="Times New Roman" w:hAnsi="Arial" w:cs="Arial"/>
                <w:sz w:val="20"/>
                <w:szCs w:val="20"/>
                <w:lang w:eastAsia="en-GB"/>
              </w:rPr>
              <w:t>Cash at bank and in hand</w:t>
            </w:r>
          </w:p>
        </w:tc>
        <w:tc>
          <w:tcPr>
            <w:tcW w:w="776" w:type="dxa"/>
            <w:tcBorders>
              <w:top w:val="nil"/>
              <w:left w:val="nil"/>
              <w:bottom w:val="nil"/>
              <w:right w:val="nil"/>
            </w:tcBorders>
            <w:shd w:val="clear" w:color="auto" w:fill="auto"/>
            <w:noWrap/>
            <w:vAlign w:val="bottom"/>
            <w:hideMark/>
          </w:tcPr>
          <w:p w14:paraId="49E20802" w14:textId="77777777" w:rsidR="00FE64E5" w:rsidRPr="00543D10" w:rsidRDefault="00FE64E5" w:rsidP="00FE64E5">
            <w:pPr>
              <w:spacing w:after="0" w:line="240" w:lineRule="auto"/>
              <w:rPr>
                <w:rFonts w:ascii="Arial" w:eastAsia="Times New Roman" w:hAnsi="Arial" w:cs="Arial"/>
                <w:sz w:val="20"/>
                <w:szCs w:val="20"/>
                <w:lang w:eastAsia="en-GB"/>
              </w:rPr>
            </w:pPr>
            <w:r w:rsidRPr="00543D10">
              <w:rPr>
                <w:rFonts w:ascii="Arial" w:eastAsia="Times New Roman" w:hAnsi="Arial" w:cs="Arial"/>
                <w:sz w:val="20"/>
                <w:szCs w:val="20"/>
                <w:lang w:eastAsia="en-GB"/>
              </w:rPr>
              <w:t>15</w:t>
            </w:r>
          </w:p>
        </w:tc>
        <w:tc>
          <w:tcPr>
            <w:tcW w:w="1073" w:type="dxa"/>
            <w:tcBorders>
              <w:top w:val="nil"/>
              <w:left w:val="nil"/>
              <w:bottom w:val="single" w:sz="4" w:space="0" w:color="auto"/>
              <w:right w:val="nil"/>
            </w:tcBorders>
            <w:shd w:val="clear" w:color="auto" w:fill="auto"/>
            <w:noWrap/>
            <w:vAlign w:val="center"/>
          </w:tcPr>
          <w:p w14:paraId="7F5A1F59" w14:textId="77777777" w:rsidR="00FE64E5" w:rsidRPr="00543D10" w:rsidRDefault="00E64186" w:rsidP="00FE64E5">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33,497</w:t>
            </w:r>
          </w:p>
        </w:tc>
        <w:tc>
          <w:tcPr>
            <w:tcW w:w="1035" w:type="dxa"/>
            <w:tcBorders>
              <w:top w:val="nil"/>
              <w:left w:val="nil"/>
              <w:bottom w:val="single" w:sz="4" w:space="0" w:color="auto"/>
              <w:right w:val="nil"/>
            </w:tcBorders>
            <w:shd w:val="clear" w:color="auto" w:fill="auto"/>
            <w:noWrap/>
            <w:vAlign w:val="center"/>
            <w:hideMark/>
          </w:tcPr>
          <w:p w14:paraId="3F718561" w14:textId="77777777" w:rsidR="00FE64E5" w:rsidRPr="00FE64E5" w:rsidRDefault="00E64186" w:rsidP="00FE64E5">
            <w:pPr>
              <w:spacing w:after="0" w:line="240" w:lineRule="auto"/>
              <w:jc w:val="right"/>
              <w:rPr>
                <w:rFonts w:ascii="Arial" w:eastAsia="Times New Roman" w:hAnsi="Arial" w:cs="Arial"/>
                <w:sz w:val="20"/>
                <w:szCs w:val="20"/>
                <w:lang w:eastAsia="en-GB"/>
              </w:rPr>
            </w:pPr>
            <w:r>
              <w:rPr>
                <w:rFonts w:ascii="Arial" w:eastAsia="Times New Roman" w:hAnsi="Arial" w:cs="Arial"/>
                <w:bCs/>
                <w:sz w:val="20"/>
                <w:szCs w:val="20"/>
                <w:lang w:eastAsia="en-GB"/>
              </w:rPr>
              <w:t>16,942</w:t>
            </w:r>
          </w:p>
        </w:tc>
        <w:tc>
          <w:tcPr>
            <w:tcW w:w="1348" w:type="dxa"/>
            <w:tcBorders>
              <w:top w:val="nil"/>
              <w:left w:val="nil"/>
              <w:bottom w:val="single" w:sz="4" w:space="0" w:color="auto"/>
              <w:right w:val="nil"/>
            </w:tcBorders>
            <w:shd w:val="clear" w:color="auto" w:fill="auto"/>
            <w:noWrap/>
            <w:vAlign w:val="center"/>
          </w:tcPr>
          <w:p w14:paraId="0116B162" w14:textId="77777777" w:rsidR="00FE64E5" w:rsidRPr="00543D10" w:rsidRDefault="00DA53CF" w:rsidP="00FE64E5">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2,462</w:t>
            </w:r>
          </w:p>
        </w:tc>
        <w:tc>
          <w:tcPr>
            <w:tcW w:w="778" w:type="dxa"/>
            <w:tcBorders>
              <w:top w:val="nil"/>
              <w:left w:val="nil"/>
              <w:bottom w:val="single" w:sz="4" w:space="0" w:color="auto"/>
              <w:right w:val="nil"/>
            </w:tcBorders>
            <w:shd w:val="clear" w:color="auto" w:fill="auto"/>
            <w:noWrap/>
            <w:vAlign w:val="center"/>
            <w:hideMark/>
          </w:tcPr>
          <w:p w14:paraId="5E9FB997" w14:textId="77777777" w:rsidR="00FE64E5" w:rsidRPr="00FE64E5" w:rsidRDefault="00E64186" w:rsidP="00FE64E5">
            <w:pPr>
              <w:spacing w:after="0" w:line="240" w:lineRule="auto"/>
              <w:jc w:val="right"/>
              <w:rPr>
                <w:rFonts w:ascii="Arial" w:eastAsia="Times New Roman" w:hAnsi="Arial" w:cs="Arial"/>
                <w:sz w:val="20"/>
                <w:szCs w:val="20"/>
                <w:lang w:eastAsia="en-GB"/>
              </w:rPr>
            </w:pPr>
            <w:r>
              <w:rPr>
                <w:rFonts w:ascii="Arial" w:eastAsia="Times New Roman" w:hAnsi="Arial" w:cs="Arial"/>
                <w:bCs/>
                <w:sz w:val="20"/>
                <w:szCs w:val="20"/>
                <w:lang w:eastAsia="en-GB"/>
              </w:rPr>
              <w:t>5,058</w:t>
            </w:r>
          </w:p>
        </w:tc>
      </w:tr>
      <w:tr w:rsidR="00FE64E5" w:rsidRPr="00451E25" w14:paraId="757A38F5" w14:textId="77777777" w:rsidTr="006D78AE">
        <w:trPr>
          <w:trHeight w:val="323"/>
        </w:trPr>
        <w:tc>
          <w:tcPr>
            <w:tcW w:w="4062" w:type="dxa"/>
            <w:tcBorders>
              <w:top w:val="nil"/>
              <w:left w:val="nil"/>
              <w:bottom w:val="nil"/>
              <w:right w:val="nil"/>
            </w:tcBorders>
            <w:shd w:val="clear" w:color="auto" w:fill="auto"/>
            <w:vAlign w:val="center"/>
            <w:hideMark/>
          </w:tcPr>
          <w:p w14:paraId="7E0F2427" w14:textId="77777777" w:rsidR="00FE64E5" w:rsidRPr="00451E25" w:rsidRDefault="00FE64E5" w:rsidP="00FE64E5">
            <w:pPr>
              <w:spacing w:after="0" w:line="240" w:lineRule="auto"/>
              <w:rPr>
                <w:rFonts w:ascii="Arial" w:eastAsia="Times New Roman" w:hAnsi="Arial" w:cs="Arial"/>
                <w:b/>
                <w:bCs/>
                <w:sz w:val="20"/>
                <w:szCs w:val="20"/>
                <w:lang w:eastAsia="en-GB"/>
              </w:rPr>
            </w:pPr>
            <w:r w:rsidRPr="00451E25">
              <w:rPr>
                <w:rFonts w:ascii="Arial" w:eastAsia="Times New Roman" w:hAnsi="Arial" w:cs="Arial"/>
                <w:b/>
                <w:bCs/>
                <w:sz w:val="20"/>
                <w:szCs w:val="20"/>
                <w:lang w:eastAsia="en-GB"/>
              </w:rPr>
              <w:t>Total current assets</w:t>
            </w:r>
          </w:p>
        </w:tc>
        <w:tc>
          <w:tcPr>
            <w:tcW w:w="776" w:type="dxa"/>
            <w:tcBorders>
              <w:top w:val="nil"/>
              <w:left w:val="nil"/>
              <w:bottom w:val="nil"/>
              <w:right w:val="nil"/>
            </w:tcBorders>
            <w:shd w:val="clear" w:color="auto" w:fill="auto"/>
            <w:noWrap/>
            <w:vAlign w:val="bottom"/>
            <w:hideMark/>
          </w:tcPr>
          <w:p w14:paraId="25EAE1F5" w14:textId="77777777" w:rsidR="00FE64E5" w:rsidRPr="00543D10" w:rsidRDefault="00FE64E5" w:rsidP="00FE64E5">
            <w:pPr>
              <w:spacing w:after="0" w:line="240" w:lineRule="auto"/>
              <w:rPr>
                <w:rFonts w:ascii="Arial" w:eastAsia="Times New Roman" w:hAnsi="Arial" w:cs="Arial"/>
                <w:b/>
                <w:bCs/>
                <w:sz w:val="20"/>
                <w:szCs w:val="20"/>
                <w:lang w:eastAsia="en-GB"/>
              </w:rPr>
            </w:pPr>
          </w:p>
        </w:tc>
        <w:tc>
          <w:tcPr>
            <w:tcW w:w="1073" w:type="dxa"/>
            <w:tcBorders>
              <w:top w:val="nil"/>
              <w:left w:val="nil"/>
              <w:bottom w:val="nil"/>
              <w:right w:val="nil"/>
            </w:tcBorders>
            <w:shd w:val="clear" w:color="auto" w:fill="auto"/>
            <w:noWrap/>
            <w:vAlign w:val="center"/>
          </w:tcPr>
          <w:p w14:paraId="3EEB3C29" w14:textId="77777777" w:rsidR="00FE64E5" w:rsidRPr="00543D10" w:rsidRDefault="007541EF" w:rsidP="00FE64E5">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7</w:t>
            </w:r>
            <w:r w:rsidR="00723BE3">
              <w:rPr>
                <w:rFonts w:ascii="Arial" w:eastAsia="Times New Roman" w:hAnsi="Arial" w:cs="Arial"/>
                <w:b/>
                <w:bCs/>
                <w:sz w:val="20"/>
                <w:szCs w:val="20"/>
                <w:lang w:eastAsia="en-GB"/>
              </w:rPr>
              <w:t>7,219</w:t>
            </w:r>
          </w:p>
        </w:tc>
        <w:tc>
          <w:tcPr>
            <w:tcW w:w="1035" w:type="dxa"/>
            <w:tcBorders>
              <w:top w:val="nil"/>
              <w:left w:val="nil"/>
              <w:bottom w:val="nil"/>
              <w:right w:val="nil"/>
            </w:tcBorders>
            <w:shd w:val="clear" w:color="auto" w:fill="auto"/>
            <w:noWrap/>
            <w:vAlign w:val="center"/>
            <w:hideMark/>
          </w:tcPr>
          <w:p w14:paraId="616FC7A9" w14:textId="77777777" w:rsidR="00FE64E5" w:rsidRPr="00FE64E5" w:rsidRDefault="00FE64E5" w:rsidP="00FE64E5">
            <w:pPr>
              <w:spacing w:after="0" w:line="240" w:lineRule="auto"/>
              <w:jc w:val="right"/>
              <w:rPr>
                <w:rFonts w:ascii="Arial" w:eastAsia="Times New Roman" w:hAnsi="Arial" w:cs="Arial"/>
                <w:sz w:val="20"/>
                <w:szCs w:val="20"/>
                <w:lang w:eastAsia="en-GB"/>
              </w:rPr>
            </w:pPr>
            <w:r w:rsidRPr="00FE64E5">
              <w:rPr>
                <w:rFonts w:ascii="Arial" w:eastAsia="Times New Roman" w:hAnsi="Arial" w:cs="Arial"/>
                <w:bCs/>
                <w:sz w:val="20"/>
                <w:szCs w:val="20"/>
                <w:lang w:eastAsia="en-GB"/>
              </w:rPr>
              <w:t>54,846</w:t>
            </w:r>
          </w:p>
        </w:tc>
        <w:tc>
          <w:tcPr>
            <w:tcW w:w="1348" w:type="dxa"/>
            <w:tcBorders>
              <w:top w:val="nil"/>
              <w:left w:val="nil"/>
              <w:bottom w:val="nil"/>
              <w:right w:val="nil"/>
            </w:tcBorders>
            <w:shd w:val="clear" w:color="auto" w:fill="auto"/>
            <w:noWrap/>
            <w:vAlign w:val="center"/>
          </w:tcPr>
          <w:p w14:paraId="184B8546" w14:textId="77777777" w:rsidR="00FE64E5" w:rsidRPr="00543D10" w:rsidRDefault="00DA53CF">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19,954</w:t>
            </w:r>
          </w:p>
        </w:tc>
        <w:tc>
          <w:tcPr>
            <w:tcW w:w="778" w:type="dxa"/>
            <w:tcBorders>
              <w:top w:val="nil"/>
              <w:left w:val="nil"/>
              <w:bottom w:val="nil"/>
              <w:right w:val="nil"/>
            </w:tcBorders>
            <w:shd w:val="clear" w:color="auto" w:fill="auto"/>
            <w:noWrap/>
            <w:vAlign w:val="center"/>
            <w:hideMark/>
          </w:tcPr>
          <w:p w14:paraId="244490F8" w14:textId="77777777" w:rsidR="00FE64E5" w:rsidRPr="00FE64E5" w:rsidRDefault="00FE64E5" w:rsidP="00FE64E5">
            <w:pPr>
              <w:spacing w:after="0" w:line="240" w:lineRule="auto"/>
              <w:jc w:val="right"/>
              <w:rPr>
                <w:rFonts w:ascii="Arial" w:eastAsia="Times New Roman" w:hAnsi="Arial" w:cs="Arial"/>
                <w:sz w:val="20"/>
                <w:szCs w:val="20"/>
                <w:lang w:eastAsia="en-GB"/>
              </w:rPr>
            </w:pPr>
            <w:r w:rsidRPr="00FE64E5">
              <w:rPr>
                <w:rFonts w:ascii="Arial" w:eastAsia="Times New Roman" w:hAnsi="Arial" w:cs="Arial"/>
                <w:bCs/>
                <w:sz w:val="20"/>
                <w:szCs w:val="20"/>
                <w:lang w:eastAsia="en-GB"/>
              </w:rPr>
              <w:t>21,718</w:t>
            </w:r>
          </w:p>
        </w:tc>
      </w:tr>
      <w:tr w:rsidR="00FE64E5" w:rsidRPr="00451E25" w14:paraId="614ED5A8" w14:textId="77777777" w:rsidTr="006D78AE">
        <w:trPr>
          <w:trHeight w:val="255"/>
        </w:trPr>
        <w:tc>
          <w:tcPr>
            <w:tcW w:w="4062" w:type="dxa"/>
            <w:tcBorders>
              <w:top w:val="nil"/>
              <w:left w:val="nil"/>
              <w:bottom w:val="nil"/>
              <w:right w:val="nil"/>
            </w:tcBorders>
            <w:shd w:val="clear" w:color="auto" w:fill="auto"/>
            <w:vAlign w:val="center"/>
            <w:hideMark/>
          </w:tcPr>
          <w:p w14:paraId="6CE7F80D" w14:textId="77777777" w:rsidR="00FE64E5" w:rsidRPr="00451E25" w:rsidRDefault="00FE64E5" w:rsidP="00FE64E5">
            <w:pPr>
              <w:spacing w:after="0" w:line="240" w:lineRule="auto"/>
              <w:rPr>
                <w:rFonts w:ascii="Arial" w:eastAsia="Times New Roman" w:hAnsi="Arial" w:cs="Arial"/>
                <w:sz w:val="20"/>
                <w:szCs w:val="20"/>
                <w:lang w:eastAsia="en-GB"/>
              </w:rPr>
            </w:pPr>
            <w:r w:rsidRPr="00451E25">
              <w:rPr>
                <w:rFonts w:ascii="Arial" w:eastAsia="Times New Roman" w:hAnsi="Arial" w:cs="Arial"/>
                <w:sz w:val="20"/>
                <w:szCs w:val="20"/>
                <w:lang w:eastAsia="en-GB"/>
              </w:rPr>
              <w:t>Creditors - amounts falling due within one year</w:t>
            </w:r>
          </w:p>
        </w:tc>
        <w:tc>
          <w:tcPr>
            <w:tcW w:w="776" w:type="dxa"/>
            <w:tcBorders>
              <w:top w:val="nil"/>
              <w:left w:val="nil"/>
              <w:bottom w:val="nil"/>
              <w:right w:val="nil"/>
            </w:tcBorders>
            <w:shd w:val="clear" w:color="auto" w:fill="auto"/>
            <w:noWrap/>
            <w:vAlign w:val="bottom"/>
            <w:hideMark/>
          </w:tcPr>
          <w:p w14:paraId="1A23FE0A" w14:textId="77777777" w:rsidR="00FE64E5" w:rsidRPr="00543D10" w:rsidRDefault="00FE64E5" w:rsidP="00FE64E5">
            <w:pPr>
              <w:spacing w:after="0" w:line="240" w:lineRule="auto"/>
              <w:rPr>
                <w:rFonts w:ascii="Arial" w:eastAsia="Times New Roman" w:hAnsi="Arial" w:cs="Arial"/>
                <w:sz w:val="20"/>
                <w:szCs w:val="20"/>
                <w:lang w:eastAsia="en-GB"/>
              </w:rPr>
            </w:pPr>
            <w:r w:rsidRPr="00543D10">
              <w:rPr>
                <w:rFonts w:ascii="Arial" w:eastAsia="Times New Roman" w:hAnsi="Arial" w:cs="Arial"/>
                <w:sz w:val="20"/>
                <w:szCs w:val="20"/>
                <w:lang w:eastAsia="en-GB"/>
              </w:rPr>
              <w:t>16</w:t>
            </w:r>
          </w:p>
        </w:tc>
        <w:tc>
          <w:tcPr>
            <w:tcW w:w="1073" w:type="dxa"/>
            <w:tcBorders>
              <w:top w:val="nil"/>
              <w:left w:val="nil"/>
              <w:bottom w:val="nil"/>
              <w:right w:val="nil"/>
            </w:tcBorders>
            <w:shd w:val="clear" w:color="auto" w:fill="auto"/>
            <w:noWrap/>
            <w:vAlign w:val="center"/>
          </w:tcPr>
          <w:p w14:paraId="71D58E16" w14:textId="77777777" w:rsidR="00FE64E5" w:rsidRPr="00543D10" w:rsidRDefault="00357915" w:rsidP="00FE64E5">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(5</w:t>
            </w:r>
            <w:r w:rsidR="007541EF">
              <w:rPr>
                <w:rFonts w:ascii="Arial" w:eastAsia="Times New Roman" w:hAnsi="Arial" w:cs="Arial"/>
                <w:b/>
                <w:bCs/>
                <w:sz w:val="20"/>
                <w:szCs w:val="20"/>
                <w:lang w:eastAsia="en-GB"/>
              </w:rPr>
              <w:t>7,657</w:t>
            </w:r>
            <w:r w:rsidR="000F1999">
              <w:rPr>
                <w:rFonts w:ascii="Arial" w:eastAsia="Times New Roman" w:hAnsi="Arial" w:cs="Arial"/>
                <w:b/>
                <w:bCs/>
                <w:sz w:val="20"/>
                <w:szCs w:val="20"/>
                <w:lang w:eastAsia="en-GB"/>
              </w:rPr>
              <w:t>)</w:t>
            </w:r>
          </w:p>
        </w:tc>
        <w:tc>
          <w:tcPr>
            <w:tcW w:w="1035" w:type="dxa"/>
            <w:tcBorders>
              <w:top w:val="nil"/>
              <w:left w:val="nil"/>
              <w:bottom w:val="nil"/>
              <w:right w:val="nil"/>
            </w:tcBorders>
            <w:shd w:val="clear" w:color="auto" w:fill="auto"/>
            <w:noWrap/>
            <w:vAlign w:val="center"/>
            <w:hideMark/>
          </w:tcPr>
          <w:p w14:paraId="28B8D4A2" w14:textId="77777777" w:rsidR="00FE64E5" w:rsidRPr="00FE64E5" w:rsidRDefault="00FE64E5" w:rsidP="00FE64E5">
            <w:pPr>
              <w:spacing w:after="0" w:line="240" w:lineRule="auto"/>
              <w:jc w:val="right"/>
              <w:rPr>
                <w:rFonts w:ascii="Arial" w:eastAsia="Times New Roman" w:hAnsi="Arial" w:cs="Arial"/>
                <w:sz w:val="20"/>
                <w:szCs w:val="20"/>
                <w:lang w:eastAsia="en-GB"/>
              </w:rPr>
            </w:pPr>
            <w:r w:rsidRPr="00FE64E5">
              <w:rPr>
                <w:rFonts w:ascii="Arial" w:eastAsia="Times New Roman" w:hAnsi="Arial" w:cs="Arial"/>
                <w:bCs/>
                <w:sz w:val="20"/>
                <w:szCs w:val="20"/>
                <w:lang w:eastAsia="en-GB"/>
              </w:rPr>
              <w:t>(36,425)</w:t>
            </w:r>
          </w:p>
        </w:tc>
        <w:tc>
          <w:tcPr>
            <w:tcW w:w="1348" w:type="dxa"/>
            <w:tcBorders>
              <w:top w:val="nil"/>
              <w:left w:val="nil"/>
              <w:bottom w:val="nil"/>
              <w:right w:val="nil"/>
            </w:tcBorders>
            <w:shd w:val="clear" w:color="auto" w:fill="auto"/>
            <w:noWrap/>
            <w:vAlign w:val="center"/>
          </w:tcPr>
          <w:p w14:paraId="55C22165" w14:textId="77777777" w:rsidR="00FE64E5" w:rsidRPr="00543D10" w:rsidRDefault="00357915" w:rsidP="00FE64E5">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w:t>
            </w:r>
            <w:r w:rsidR="007541EF">
              <w:rPr>
                <w:rFonts w:ascii="Arial" w:eastAsia="Times New Roman" w:hAnsi="Arial" w:cs="Arial"/>
                <w:b/>
                <w:bCs/>
                <w:sz w:val="20"/>
                <w:szCs w:val="20"/>
                <w:lang w:eastAsia="en-GB"/>
              </w:rPr>
              <w:t>19,387</w:t>
            </w:r>
            <w:r w:rsidR="000F1999">
              <w:rPr>
                <w:rFonts w:ascii="Arial" w:eastAsia="Times New Roman" w:hAnsi="Arial" w:cs="Arial"/>
                <w:b/>
                <w:bCs/>
                <w:sz w:val="20"/>
                <w:szCs w:val="20"/>
                <w:lang w:eastAsia="en-GB"/>
              </w:rPr>
              <w:t>)</w:t>
            </w:r>
          </w:p>
        </w:tc>
        <w:tc>
          <w:tcPr>
            <w:tcW w:w="778" w:type="dxa"/>
            <w:tcBorders>
              <w:top w:val="nil"/>
              <w:left w:val="nil"/>
              <w:bottom w:val="nil"/>
              <w:right w:val="nil"/>
            </w:tcBorders>
            <w:shd w:val="clear" w:color="auto" w:fill="auto"/>
            <w:noWrap/>
            <w:vAlign w:val="center"/>
            <w:hideMark/>
          </w:tcPr>
          <w:p w14:paraId="1387F1AA" w14:textId="77777777" w:rsidR="00FE64E5" w:rsidRPr="00FE64E5" w:rsidRDefault="00FE64E5" w:rsidP="00FE64E5">
            <w:pPr>
              <w:spacing w:after="0" w:line="240" w:lineRule="auto"/>
              <w:jc w:val="right"/>
              <w:rPr>
                <w:rFonts w:ascii="Arial" w:eastAsia="Times New Roman" w:hAnsi="Arial" w:cs="Arial"/>
                <w:sz w:val="20"/>
                <w:szCs w:val="20"/>
                <w:lang w:eastAsia="en-GB"/>
              </w:rPr>
            </w:pPr>
            <w:r w:rsidRPr="00FE64E5">
              <w:rPr>
                <w:rFonts w:ascii="Arial" w:eastAsia="Times New Roman" w:hAnsi="Arial" w:cs="Arial"/>
                <w:bCs/>
                <w:sz w:val="20"/>
                <w:szCs w:val="20"/>
                <w:lang w:eastAsia="en-GB"/>
              </w:rPr>
              <w:t>(11,700)</w:t>
            </w:r>
          </w:p>
        </w:tc>
      </w:tr>
      <w:tr w:rsidR="00FE64E5" w:rsidRPr="00451E25" w14:paraId="2B47322F" w14:textId="77777777" w:rsidTr="006D78AE">
        <w:trPr>
          <w:trHeight w:val="323"/>
        </w:trPr>
        <w:tc>
          <w:tcPr>
            <w:tcW w:w="4062" w:type="dxa"/>
            <w:tcBorders>
              <w:top w:val="nil"/>
              <w:left w:val="nil"/>
              <w:bottom w:val="nil"/>
              <w:right w:val="nil"/>
            </w:tcBorders>
            <w:shd w:val="clear" w:color="auto" w:fill="auto"/>
            <w:vAlign w:val="center"/>
            <w:hideMark/>
          </w:tcPr>
          <w:p w14:paraId="28677223" w14:textId="77777777" w:rsidR="00FE64E5" w:rsidRPr="00451E25" w:rsidRDefault="00FE64E5" w:rsidP="00FE64E5">
            <w:pPr>
              <w:spacing w:after="0" w:line="240" w:lineRule="auto"/>
              <w:rPr>
                <w:rFonts w:ascii="Arial" w:eastAsia="Times New Roman" w:hAnsi="Arial" w:cs="Arial"/>
                <w:b/>
                <w:bCs/>
                <w:sz w:val="20"/>
                <w:szCs w:val="20"/>
                <w:lang w:eastAsia="en-GB"/>
              </w:rPr>
            </w:pPr>
            <w:r w:rsidRPr="00451E25">
              <w:rPr>
                <w:rFonts w:ascii="Arial" w:eastAsia="Times New Roman" w:hAnsi="Arial" w:cs="Arial"/>
                <w:b/>
                <w:bCs/>
                <w:sz w:val="20"/>
                <w:szCs w:val="20"/>
                <w:lang w:eastAsia="en-GB"/>
              </w:rPr>
              <w:t>Net current assets</w:t>
            </w:r>
          </w:p>
        </w:tc>
        <w:tc>
          <w:tcPr>
            <w:tcW w:w="776" w:type="dxa"/>
            <w:tcBorders>
              <w:top w:val="nil"/>
              <w:left w:val="nil"/>
              <w:bottom w:val="nil"/>
              <w:right w:val="nil"/>
            </w:tcBorders>
            <w:shd w:val="clear" w:color="auto" w:fill="auto"/>
            <w:noWrap/>
            <w:vAlign w:val="bottom"/>
            <w:hideMark/>
          </w:tcPr>
          <w:p w14:paraId="239275F8" w14:textId="77777777" w:rsidR="00FE64E5" w:rsidRPr="00543D10" w:rsidRDefault="00FE64E5" w:rsidP="00FE64E5">
            <w:pPr>
              <w:spacing w:after="0" w:line="240" w:lineRule="auto"/>
              <w:rPr>
                <w:rFonts w:ascii="Arial" w:eastAsia="Times New Roman" w:hAnsi="Arial" w:cs="Arial"/>
                <w:b/>
                <w:bCs/>
                <w:sz w:val="20"/>
                <w:szCs w:val="20"/>
                <w:lang w:eastAsia="en-GB"/>
              </w:rPr>
            </w:pPr>
          </w:p>
        </w:tc>
        <w:tc>
          <w:tcPr>
            <w:tcW w:w="1073" w:type="dxa"/>
            <w:tcBorders>
              <w:top w:val="single" w:sz="4" w:space="0" w:color="auto"/>
              <w:left w:val="nil"/>
              <w:bottom w:val="single" w:sz="4" w:space="0" w:color="auto"/>
              <w:right w:val="nil"/>
            </w:tcBorders>
            <w:shd w:val="clear" w:color="auto" w:fill="auto"/>
            <w:noWrap/>
            <w:vAlign w:val="center"/>
            <w:hideMark/>
          </w:tcPr>
          <w:p w14:paraId="44C468FC" w14:textId="77777777" w:rsidR="00FE64E5" w:rsidRPr="00543D10" w:rsidRDefault="007541EF" w:rsidP="00FD3059">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1</w:t>
            </w:r>
            <w:r w:rsidR="00723BE3">
              <w:rPr>
                <w:rFonts w:ascii="Arial" w:eastAsia="Times New Roman" w:hAnsi="Arial" w:cs="Arial"/>
                <w:b/>
                <w:bCs/>
                <w:sz w:val="20"/>
                <w:szCs w:val="20"/>
                <w:lang w:eastAsia="en-GB"/>
              </w:rPr>
              <w:t>9,562</w:t>
            </w:r>
          </w:p>
        </w:tc>
        <w:tc>
          <w:tcPr>
            <w:tcW w:w="1035" w:type="dxa"/>
            <w:tcBorders>
              <w:top w:val="single" w:sz="4" w:space="0" w:color="auto"/>
              <w:left w:val="nil"/>
              <w:bottom w:val="single" w:sz="4" w:space="0" w:color="auto"/>
              <w:right w:val="nil"/>
            </w:tcBorders>
            <w:shd w:val="clear" w:color="auto" w:fill="auto"/>
            <w:noWrap/>
            <w:vAlign w:val="center"/>
            <w:hideMark/>
          </w:tcPr>
          <w:p w14:paraId="3DFC66BC" w14:textId="77777777" w:rsidR="00FE64E5" w:rsidRPr="00FE64E5" w:rsidRDefault="00FE64E5" w:rsidP="00FE64E5">
            <w:pPr>
              <w:spacing w:after="0" w:line="240" w:lineRule="auto"/>
              <w:jc w:val="right"/>
              <w:rPr>
                <w:rFonts w:ascii="Arial" w:eastAsia="Times New Roman" w:hAnsi="Arial" w:cs="Arial"/>
                <w:sz w:val="20"/>
                <w:szCs w:val="20"/>
                <w:lang w:eastAsia="en-GB"/>
              </w:rPr>
            </w:pPr>
            <w:r w:rsidRPr="00FE64E5">
              <w:rPr>
                <w:rFonts w:ascii="Arial" w:eastAsia="Times New Roman" w:hAnsi="Arial" w:cs="Arial"/>
                <w:bCs/>
                <w:sz w:val="20"/>
                <w:szCs w:val="20"/>
                <w:lang w:eastAsia="en-GB"/>
              </w:rPr>
              <w:t>18,421</w:t>
            </w:r>
          </w:p>
        </w:tc>
        <w:tc>
          <w:tcPr>
            <w:tcW w:w="1348" w:type="dxa"/>
            <w:tcBorders>
              <w:top w:val="single" w:sz="4" w:space="0" w:color="auto"/>
              <w:left w:val="nil"/>
              <w:bottom w:val="single" w:sz="4" w:space="0" w:color="auto"/>
              <w:right w:val="nil"/>
            </w:tcBorders>
            <w:shd w:val="clear" w:color="auto" w:fill="auto"/>
            <w:noWrap/>
            <w:vAlign w:val="center"/>
            <w:hideMark/>
          </w:tcPr>
          <w:p w14:paraId="16FE1650" w14:textId="77777777" w:rsidR="00FE64E5" w:rsidRPr="00543D10" w:rsidRDefault="00DA53CF">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567</w:t>
            </w:r>
          </w:p>
        </w:tc>
        <w:tc>
          <w:tcPr>
            <w:tcW w:w="778" w:type="dxa"/>
            <w:tcBorders>
              <w:top w:val="single" w:sz="4" w:space="0" w:color="auto"/>
              <w:left w:val="nil"/>
              <w:bottom w:val="single" w:sz="4" w:space="0" w:color="auto"/>
              <w:right w:val="nil"/>
            </w:tcBorders>
            <w:shd w:val="clear" w:color="auto" w:fill="auto"/>
            <w:noWrap/>
            <w:vAlign w:val="center"/>
            <w:hideMark/>
          </w:tcPr>
          <w:p w14:paraId="2CAAB0A3" w14:textId="77777777" w:rsidR="00FE64E5" w:rsidRPr="00FE64E5" w:rsidRDefault="00FE64E5" w:rsidP="00FE64E5">
            <w:pPr>
              <w:spacing w:after="0" w:line="240" w:lineRule="auto"/>
              <w:jc w:val="right"/>
              <w:rPr>
                <w:rFonts w:ascii="Arial" w:eastAsia="Times New Roman" w:hAnsi="Arial" w:cs="Arial"/>
                <w:sz w:val="20"/>
                <w:szCs w:val="20"/>
                <w:lang w:eastAsia="en-GB"/>
              </w:rPr>
            </w:pPr>
            <w:r w:rsidRPr="00FE64E5">
              <w:rPr>
                <w:rFonts w:ascii="Arial" w:eastAsia="Times New Roman" w:hAnsi="Arial" w:cs="Arial"/>
                <w:bCs/>
                <w:sz w:val="20"/>
                <w:szCs w:val="20"/>
                <w:lang w:eastAsia="en-GB"/>
              </w:rPr>
              <w:t>10,018</w:t>
            </w:r>
          </w:p>
        </w:tc>
      </w:tr>
      <w:tr w:rsidR="00FE64E5" w:rsidRPr="00451E25" w14:paraId="16CA1B8E" w14:textId="77777777" w:rsidTr="006D78AE">
        <w:trPr>
          <w:trHeight w:val="570"/>
        </w:trPr>
        <w:tc>
          <w:tcPr>
            <w:tcW w:w="4062" w:type="dxa"/>
            <w:tcBorders>
              <w:top w:val="nil"/>
              <w:left w:val="nil"/>
              <w:bottom w:val="nil"/>
              <w:right w:val="nil"/>
            </w:tcBorders>
            <w:shd w:val="clear" w:color="auto" w:fill="auto"/>
            <w:vAlign w:val="center"/>
            <w:hideMark/>
          </w:tcPr>
          <w:p w14:paraId="655D0E29" w14:textId="77777777" w:rsidR="00FE64E5" w:rsidRPr="00451E25" w:rsidRDefault="00FE64E5" w:rsidP="00FE64E5">
            <w:pPr>
              <w:spacing w:after="0" w:line="240" w:lineRule="auto"/>
              <w:rPr>
                <w:rFonts w:ascii="Arial" w:eastAsia="Times New Roman" w:hAnsi="Arial" w:cs="Arial"/>
                <w:b/>
                <w:bCs/>
                <w:sz w:val="20"/>
                <w:szCs w:val="20"/>
                <w:lang w:eastAsia="en-GB"/>
              </w:rPr>
            </w:pPr>
            <w:r w:rsidRPr="00451E25">
              <w:rPr>
                <w:rFonts w:ascii="Arial" w:eastAsia="Times New Roman" w:hAnsi="Arial" w:cs="Arial"/>
                <w:b/>
                <w:bCs/>
                <w:sz w:val="20"/>
                <w:szCs w:val="20"/>
                <w:lang w:eastAsia="en-GB"/>
              </w:rPr>
              <w:t>Total assets less current liabilities</w:t>
            </w:r>
          </w:p>
        </w:tc>
        <w:tc>
          <w:tcPr>
            <w:tcW w:w="776" w:type="dxa"/>
            <w:tcBorders>
              <w:top w:val="nil"/>
              <w:left w:val="nil"/>
              <w:bottom w:val="nil"/>
              <w:right w:val="nil"/>
            </w:tcBorders>
            <w:shd w:val="clear" w:color="auto" w:fill="auto"/>
            <w:noWrap/>
            <w:vAlign w:val="bottom"/>
            <w:hideMark/>
          </w:tcPr>
          <w:p w14:paraId="3DF539F9" w14:textId="77777777" w:rsidR="00FE64E5" w:rsidRPr="00543D10" w:rsidRDefault="00FE64E5" w:rsidP="00FE64E5">
            <w:pPr>
              <w:spacing w:after="0" w:line="240" w:lineRule="auto"/>
              <w:rPr>
                <w:rFonts w:ascii="Arial" w:eastAsia="Times New Roman" w:hAnsi="Arial" w:cs="Arial"/>
                <w:b/>
                <w:bCs/>
                <w:sz w:val="20"/>
                <w:szCs w:val="20"/>
                <w:lang w:eastAsia="en-GB"/>
              </w:rPr>
            </w:pPr>
          </w:p>
        </w:tc>
        <w:tc>
          <w:tcPr>
            <w:tcW w:w="1073" w:type="dxa"/>
            <w:tcBorders>
              <w:top w:val="nil"/>
              <w:left w:val="nil"/>
              <w:bottom w:val="nil"/>
              <w:right w:val="nil"/>
            </w:tcBorders>
            <w:shd w:val="clear" w:color="auto" w:fill="auto"/>
            <w:noWrap/>
            <w:vAlign w:val="center"/>
          </w:tcPr>
          <w:p w14:paraId="03BDE1B3" w14:textId="77777777" w:rsidR="00FE64E5" w:rsidRPr="00543D10" w:rsidRDefault="000F1999" w:rsidP="00FE64E5">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20</w:t>
            </w:r>
            <w:r w:rsidR="00723BE3">
              <w:rPr>
                <w:rFonts w:ascii="Arial" w:eastAsia="Times New Roman" w:hAnsi="Arial" w:cs="Arial"/>
                <w:b/>
                <w:bCs/>
                <w:sz w:val="20"/>
                <w:szCs w:val="20"/>
                <w:lang w:eastAsia="en-GB"/>
              </w:rPr>
              <w:t>1,587</w:t>
            </w:r>
          </w:p>
        </w:tc>
        <w:tc>
          <w:tcPr>
            <w:tcW w:w="1035" w:type="dxa"/>
            <w:tcBorders>
              <w:top w:val="nil"/>
              <w:left w:val="nil"/>
              <w:bottom w:val="nil"/>
              <w:right w:val="nil"/>
            </w:tcBorders>
            <w:shd w:val="clear" w:color="auto" w:fill="auto"/>
            <w:noWrap/>
            <w:vAlign w:val="center"/>
            <w:hideMark/>
          </w:tcPr>
          <w:p w14:paraId="26883425" w14:textId="77777777" w:rsidR="00FE64E5" w:rsidRPr="00FE64E5" w:rsidRDefault="00FE64E5" w:rsidP="00FE64E5">
            <w:pPr>
              <w:spacing w:after="0" w:line="240" w:lineRule="auto"/>
              <w:jc w:val="right"/>
              <w:rPr>
                <w:rFonts w:ascii="Arial" w:eastAsia="Times New Roman" w:hAnsi="Arial" w:cs="Arial"/>
                <w:sz w:val="20"/>
                <w:szCs w:val="20"/>
                <w:lang w:eastAsia="en-GB"/>
              </w:rPr>
            </w:pPr>
            <w:r w:rsidRPr="00FE64E5">
              <w:rPr>
                <w:rFonts w:ascii="Arial" w:eastAsia="Times New Roman" w:hAnsi="Arial" w:cs="Arial"/>
                <w:bCs/>
                <w:sz w:val="20"/>
                <w:szCs w:val="20"/>
                <w:lang w:eastAsia="en-GB"/>
              </w:rPr>
              <w:t>184,680</w:t>
            </w:r>
          </w:p>
        </w:tc>
        <w:tc>
          <w:tcPr>
            <w:tcW w:w="1348" w:type="dxa"/>
            <w:tcBorders>
              <w:top w:val="nil"/>
              <w:left w:val="nil"/>
              <w:bottom w:val="nil"/>
              <w:right w:val="nil"/>
            </w:tcBorders>
            <w:shd w:val="clear" w:color="auto" w:fill="auto"/>
            <w:noWrap/>
            <w:vAlign w:val="center"/>
          </w:tcPr>
          <w:p w14:paraId="5245380C" w14:textId="77777777" w:rsidR="00FE64E5" w:rsidRPr="00543D10" w:rsidRDefault="000F1999" w:rsidP="00FE64E5">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2</w:t>
            </w:r>
            <w:r w:rsidR="00DA53CF">
              <w:rPr>
                <w:rFonts w:ascii="Arial" w:eastAsia="Times New Roman" w:hAnsi="Arial" w:cs="Arial"/>
                <w:b/>
                <w:bCs/>
                <w:sz w:val="20"/>
                <w:szCs w:val="20"/>
                <w:lang w:eastAsia="en-GB"/>
              </w:rPr>
              <w:t>3,434</w:t>
            </w:r>
          </w:p>
        </w:tc>
        <w:tc>
          <w:tcPr>
            <w:tcW w:w="778" w:type="dxa"/>
            <w:tcBorders>
              <w:top w:val="nil"/>
              <w:left w:val="nil"/>
              <w:bottom w:val="nil"/>
              <w:right w:val="nil"/>
            </w:tcBorders>
            <w:shd w:val="clear" w:color="auto" w:fill="auto"/>
            <w:noWrap/>
            <w:vAlign w:val="center"/>
            <w:hideMark/>
          </w:tcPr>
          <w:p w14:paraId="4483FE93" w14:textId="77777777" w:rsidR="00FE64E5" w:rsidRPr="00FE64E5" w:rsidRDefault="00FE64E5" w:rsidP="00FE64E5">
            <w:pPr>
              <w:spacing w:after="0" w:line="240" w:lineRule="auto"/>
              <w:jc w:val="right"/>
              <w:rPr>
                <w:rFonts w:ascii="Arial" w:eastAsia="Times New Roman" w:hAnsi="Arial" w:cs="Arial"/>
                <w:sz w:val="20"/>
                <w:szCs w:val="20"/>
                <w:lang w:eastAsia="en-GB"/>
              </w:rPr>
            </w:pPr>
            <w:r w:rsidRPr="00FE64E5">
              <w:rPr>
                <w:rFonts w:ascii="Arial" w:eastAsia="Times New Roman" w:hAnsi="Arial" w:cs="Arial"/>
                <w:bCs/>
                <w:sz w:val="20"/>
                <w:szCs w:val="20"/>
                <w:lang w:eastAsia="en-GB"/>
              </w:rPr>
              <w:t>33,558</w:t>
            </w:r>
          </w:p>
        </w:tc>
      </w:tr>
      <w:tr w:rsidR="00FE64E5" w:rsidRPr="00451E25" w14:paraId="585A9161" w14:textId="77777777" w:rsidTr="006D78AE">
        <w:trPr>
          <w:trHeight w:val="510"/>
        </w:trPr>
        <w:tc>
          <w:tcPr>
            <w:tcW w:w="4062" w:type="dxa"/>
            <w:tcBorders>
              <w:top w:val="nil"/>
              <w:left w:val="nil"/>
              <w:bottom w:val="nil"/>
              <w:right w:val="nil"/>
            </w:tcBorders>
            <w:shd w:val="clear" w:color="auto" w:fill="auto"/>
            <w:vAlign w:val="center"/>
            <w:hideMark/>
          </w:tcPr>
          <w:p w14:paraId="628FDB5E" w14:textId="77777777" w:rsidR="00FE64E5" w:rsidRPr="00451E25" w:rsidRDefault="00FE64E5" w:rsidP="00FE64E5">
            <w:pPr>
              <w:spacing w:after="0" w:line="240" w:lineRule="auto"/>
              <w:rPr>
                <w:rFonts w:ascii="Arial" w:eastAsia="Times New Roman" w:hAnsi="Arial" w:cs="Arial"/>
                <w:sz w:val="20"/>
                <w:szCs w:val="20"/>
                <w:lang w:eastAsia="en-GB"/>
              </w:rPr>
            </w:pPr>
            <w:r w:rsidRPr="00451E25">
              <w:rPr>
                <w:rFonts w:ascii="Arial" w:eastAsia="Times New Roman" w:hAnsi="Arial" w:cs="Arial"/>
                <w:sz w:val="20"/>
                <w:szCs w:val="20"/>
                <w:lang w:eastAsia="en-GB"/>
              </w:rPr>
              <w:t>Creditors - amounts falling due after one year</w:t>
            </w:r>
          </w:p>
        </w:tc>
        <w:tc>
          <w:tcPr>
            <w:tcW w:w="776" w:type="dxa"/>
            <w:tcBorders>
              <w:top w:val="nil"/>
              <w:left w:val="nil"/>
              <w:bottom w:val="nil"/>
              <w:right w:val="nil"/>
            </w:tcBorders>
            <w:shd w:val="clear" w:color="auto" w:fill="auto"/>
            <w:noWrap/>
            <w:vAlign w:val="bottom"/>
            <w:hideMark/>
          </w:tcPr>
          <w:p w14:paraId="43DF9B9C" w14:textId="77777777" w:rsidR="00FE64E5" w:rsidRPr="00543D10" w:rsidRDefault="00FE64E5" w:rsidP="00FE64E5">
            <w:pPr>
              <w:spacing w:after="0" w:line="240" w:lineRule="auto"/>
              <w:rPr>
                <w:rFonts w:ascii="Arial" w:eastAsia="Times New Roman" w:hAnsi="Arial" w:cs="Arial"/>
                <w:sz w:val="20"/>
                <w:szCs w:val="20"/>
                <w:lang w:eastAsia="en-GB"/>
              </w:rPr>
            </w:pPr>
            <w:r w:rsidRPr="00543D10">
              <w:rPr>
                <w:rFonts w:ascii="Arial" w:eastAsia="Times New Roman" w:hAnsi="Arial" w:cs="Arial"/>
                <w:sz w:val="20"/>
                <w:szCs w:val="20"/>
                <w:lang w:eastAsia="en-GB"/>
              </w:rPr>
              <w:t>16b</w:t>
            </w:r>
          </w:p>
        </w:tc>
        <w:tc>
          <w:tcPr>
            <w:tcW w:w="1073" w:type="dxa"/>
            <w:tcBorders>
              <w:top w:val="nil"/>
              <w:left w:val="nil"/>
              <w:bottom w:val="nil"/>
              <w:right w:val="nil"/>
            </w:tcBorders>
            <w:shd w:val="clear" w:color="auto" w:fill="auto"/>
            <w:noWrap/>
            <w:vAlign w:val="bottom"/>
          </w:tcPr>
          <w:p w14:paraId="7461902D" w14:textId="77777777" w:rsidR="00FE64E5" w:rsidRPr="00543D10" w:rsidRDefault="00051804" w:rsidP="00FE64E5">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(3,493</w:t>
            </w:r>
            <w:r w:rsidR="000F1999">
              <w:rPr>
                <w:rFonts w:ascii="Arial" w:eastAsia="Times New Roman" w:hAnsi="Arial" w:cs="Arial"/>
                <w:b/>
                <w:bCs/>
                <w:sz w:val="20"/>
                <w:szCs w:val="20"/>
                <w:lang w:eastAsia="en-GB"/>
              </w:rPr>
              <w:t>)</w:t>
            </w:r>
          </w:p>
        </w:tc>
        <w:tc>
          <w:tcPr>
            <w:tcW w:w="1035" w:type="dxa"/>
            <w:tcBorders>
              <w:top w:val="nil"/>
              <w:left w:val="nil"/>
              <w:bottom w:val="nil"/>
              <w:right w:val="nil"/>
            </w:tcBorders>
            <w:shd w:val="clear" w:color="auto" w:fill="auto"/>
            <w:noWrap/>
            <w:vAlign w:val="bottom"/>
            <w:hideMark/>
          </w:tcPr>
          <w:p w14:paraId="5DE50CC0" w14:textId="77777777" w:rsidR="00FE64E5" w:rsidRPr="00FE64E5" w:rsidRDefault="00FE64E5" w:rsidP="00FE64E5">
            <w:pPr>
              <w:spacing w:after="0" w:line="240" w:lineRule="auto"/>
              <w:jc w:val="right"/>
              <w:rPr>
                <w:rFonts w:ascii="Arial" w:eastAsia="Times New Roman" w:hAnsi="Arial" w:cs="Arial"/>
                <w:sz w:val="20"/>
                <w:szCs w:val="20"/>
                <w:lang w:eastAsia="en-GB"/>
              </w:rPr>
            </w:pPr>
            <w:r w:rsidRPr="00FE64E5">
              <w:rPr>
                <w:rFonts w:ascii="Arial" w:eastAsia="Times New Roman" w:hAnsi="Arial" w:cs="Arial"/>
                <w:bCs/>
                <w:sz w:val="20"/>
                <w:szCs w:val="20"/>
                <w:lang w:eastAsia="en-GB"/>
              </w:rPr>
              <w:t>(6,888)</w:t>
            </w:r>
          </w:p>
        </w:tc>
        <w:tc>
          <w:tcPr>
            <w:tcW w:w="1348" w:type="dxa"/>
            <w:tcBorders>
              <w:top w:val="nil"/>
              <w:left w:val="nil"/>
              <w:bottom w:val="nil"/>
              <w:right w:val="nil"/>
            </w:tcBorders>
            <w:shd w:val="clear" w:color="auto" w:fill="auto"/>
            <w:noWrap/>
            <w:vAlign w:val="bottom"/>
          </w:tcPr>
          <w:p w14:paraId="37270C13" w14:textId="77777777" w:rsidR="00FE64E5" w:rsidRPr="00543D10" w:rsidRDefault="00B921F3" w:rsidP="00FE64E5">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(1</w:t>
            </w:r>
            <w:r w:rsidR="003F3DDE">
              <w:rPr>
                <w:rFonts w:ascii="Arial" w:eastAsia="Times New Roman" w:hAnsi="Arial" w:cs="Arial"/>
                <w:b/>
                <w:bCs/>
                <w:sz w:val="20"/>
                <w:szCs w:val="20"/>
                <w:lang w:eastAsia="en-GB"/>
              </w:rPr>
              <w:t>,961)</w:t>
            </w:r>
          </w:p>
        </w:tc>
        <w:tc>
          <w:tcPr>
            <w:tcW w:w="778" w:type="dxa"/>
            <w:tcBorders>
              <w:top w:val="nil"/>
              <w:left w:val="nil"/>
              <w:bottom w:val="nil"/>
              <w:right w:val="nil"/>
            </w:tcBorders>
            <w:shd w:val="clear" w:color="auto" w:fill="auto"/>
            <w:noWrap/>
            <w:vAlign w:val="bottom"/>
            <w:hideMark/>
          </w:tcPr>
          <w:p w14:paraId="70070513" w14:textId="77777777" w:rsidR="00FE64E5" w:rsidRPr="00FE64E5" w:rsidRDefault="00FE64E5" w:rsidP="00FE64E5">
            <w:pPr>
              <w:spacing w:after="0" w:line="240" w:lineRule="auto"/>
              <w:jc w:val="right"/>
              <w:rPr>
                <w:rFonts w:ascii="Arial" w:eastAsia="Times New Roman" w:hAnsi="Arial" w:cs="Arial"/>
                <w:sz w:val="20"/>
                <w:szCs w:val="20"/>
                <w:lang w:eastAsia="en-GB"/>
              </w:rPr>
            </w:pPr>
            <w:r w:rsidRPr="00FE64E5">
              <w:rPr>
                <w:rFonts w:ascii="Arial" w:eastAsia="Times New Roman" w:hAnsi="Arial" w:cs="Arial"/>
                <w:bCs/>
                <w:sz w:val="20"/>
                <w:szCs w:val="20"/>
                <w:lang w:eastAsia="en-GB"/>
              </w:rPr>
              <w:t>(5,499)</w:t>
            </w:r>
          </w:p>
        </w:tc>
      </w:tr>
      <w:tr w:rsidR="00FE64E5" w:rsidRPr="00451E25" w14:paraId="308A9E5B" w14:textId="77777777" w:rsidTr="006D78AE">
        <w:trPr>
          <w:trHeight w:val="323"/>
        </w:trPr>
        <w:tc>
          <w:tcPr>
            <w:tcW w:w="4062" w:type="dxa"/>
            <w:tcBorders>
              <w:top w:val="nil"/>
              <w:left w:val="nil"/>
              <w:bottom w:val="nil"/>
              <w:right w:val="nil"/>
            </w:tcBorders>
            <w:shd w:val="clear" w:color="auto" w:fill="auto"/>
            <w:vAlign w:val="center"/>
            <w:hideMark/>
          </w:tcPr>
          <w:p w14:paraId="25880A3C" w14:textId="77777777" w:rsidR="00FE64E5" w:rsidRPr="00451E25" w:rsidRDefault="00FE64E5" w:rsidP="00FE64E5">
            <w:pPr>
              <w:spacing w:after="0" w:line="240" w:lineRule="auto"/>
              <w:rPr>
                <w:rFonts w:ascii="Arial" w:eastAsia="Times New Roman" w:hAnsi="Arial" w:cs="Arial"/>
                <w:sz w:val="20"/>
                <w:szCs w:val="20"/>
                <w:lang w:eastAsia="en-GB"/>
              </w:rPr>
            </w:pPr>
            <w:r w:rsidRPr="00451E25">
              <w:rPr>
                <w:rFonts w:ascii="Arial" w:eastAsia="Times New Roman" w:hAnsi="Arial" w:cs="Arial"/>
                <w:sz w:val="20"/>
                <w:szCs w:val="20"/>
                <w:lang w:eastAsia="en-GB"/>
              </w:rPr>
              <w:t>Provision for liabilities and charges</w:t>
            </w:r>
          </w:p>
        </w:tc>
        <w:tc>
          <w:tcPr>
            <w:tcW w:w="776" w:type="dxa"/>
            <w:tcBorders>
              <w:top w:val="nil"/>
              <w:left w:val="nil"/>
              <w:bottom w:val="nil"/>
              <w:right w:val="nil"/>
            </w:tcBorders>
            <w:shd w:val="clear" w:color="auto" w:fill="auto"/>
            <w:noWrap/>
            <w:vAlign w:val="bottom"/>
            <w:hideMark/>
          </w:tcPr>
          <w:p w14:paraId="6EFD6B06" w14:textId="77777777" w:rsidR="00FE64E5" w:rsidRPr="00543D10" w:rsidRDefault="00FE64E5" w:rsidP="00FE64E5">
            <w:pPr>
              <w:spacing w:after="0" w:line="240" w:lineRule="auto"/>
              <w:rPr>
                <w:rFonts w:ascii="Arial" w:eastAsia="Times New Roman" w:hAnsi="Arial" w:cs="Arial"/>
                <w:sz w:val="20"/>
                <w:szCs w:val="20"/>
                <w:lang w:eastAsia="en-GB"/>
              </w:rPr>
            </w:pPr>
            <w:r w:rsidRPr="00543D10">
              <w:rPr>
                <w:rFonts w:ascii="Arial" w:eastAsia="Times New Roman" w:hAnsi="Arial" w:cs="Arial"/>
                <w:sz w:val="20"/>
                <w:szCs w:val="20"/>
                <w:lang w:eastAsia="en-GB"/>
              </w:rPr>
              <w:t>17</w:t>
            </w:r>
          </w:p>
        </w:tc>
        <w:tc>
          <w:tcPr>
            <w:tcW w:w="1073" w:type="dxa"/>
            <w:tcBorders>
              <w:top w:val="nil"/>
              <w:left w:val="nil"/>
              <w:bottom w:val="single" w:sz="4" w:space="0" w:color="auto"/>
              <w:right w:val="nil"/>
            </w:tcBorders>
            <w:shd w:val="clear" w:color="auto" w:fill="auto"/>
            <w:noWrap/>
            <w:vAlign w:val="center"/>
          </w:tcPr>
          <w:p w14:paraId="0AFFAD1C" w14:textId="77777777" w:rsidR="00FE64E5" w:rsidRPr="00543D10" w:rsidRDefault="00920C4F" w:rsidP="00FE64E5">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(2,124</w:t>
            </w:r>
            <w:r w:rsidR="000F1999">
              <w:rPr>
                <w:rFonts w:ascii="Arial" w:eastAsia="Times New Roman" w:hAnsi="Arial" w:cs="Arial"/>
                <w:b/>
                <w:bCs/>
                <w:sz w:val="20"/>
                <w:szCs w:val="20"/>
                <w:lang w:eastAsia="en-GB"/>
              </w:rPr>
              <w:t>)</w:t>
            </w:r>
          </w:p>
        </w:tc>
        <w:tc>
          <w:tcPr>
            <w:tcW w:w="1035" w:type="dxa"/>
            <w:tcBorders>
              <w:top w:val="nil"/>
              <w:left w:val="nil"/>
              <w:bottom w:val="single" w:sz="4" w:space="0" w:color="auto"/>
              <w:right w:val="nil"/>
            </w:tcBorders>
            <w:shd w:val="clear" w:color="auto" w:fill="auto"/>
            <w:noWrap/>
            <w:vAlign w:val="center"/>
            <w:hideMark/>
          </w:tcPr>
          <w:p w14:paraId="0DA0BC41" w14:textId="77777777" w:rsidR="00FE64E5" w:rsidRPr="00FE64E5" w:rsidRDefault="00FE64E5" w:rsidP="00FE64E5">
            <w:pPr>
              <w:spacing w:after="0" w:line="240" w:lineRule="auto"/>
              <w:jc w:val="right"/>
              <w:rPr>
                <w:rFonts w:ascii="Arial" w:eastAsia="Times New Roman" w:hAnsi="Arial" w:cs="Arial"/>
                <w:sz w:val="20"/>
                <w:szCs w:val="20"/>
                <w:lang w:eastAsia="en-GB"/>
              </w:rPr>
            </w:pPr>
            <w:r w:rsidRPr="00FE64E5">
              <w:rPr>
                <w:rFonts w:ascii="Arial" w:eastAsia="Times New Roman" w:hAnsi="Arial" w:cs="Arial"/>
                <w:bCs/>
                <w:sz w:val="20"/>
                <w:szCs w:val="20"/>
                <w:lang w:eastAsia="en-GB"/>
              </w:rPr>
              <w:t>(2,112)</w:t>
            </w:r>
          </w:p>
        </w:tc>
        <w:tc>
          <w:tcPr>
            <w:tcW w:w="1348" w:type="dxa"/>
            <w:tcBorders>
              <w:top w:val="nil"/>
              <w:left w:val="nil"/>
              <w:bottom w:val="single" w:sz="4" w:space="0" w:color="auto"/>
              <w:right w:val="nil"/>
            </w:tcBorders>
            <w:shd w:val="clear" w:color="auto" w:fill="auto"/>
            <w:noWrap/>
            <w:vAlign w:val="center"/>
          </w:tcPr>
          <w:p w14:paraId="6A62BC1D" w14:textId="77777777" w:rsidR="00FE64E5" w:rsidRPr="00543D10" w:rsidRDefault="003F3DDE" w:rsidP="00FE64E5">
            <w:pPr>
              <w:spacing w:after="0" w:line="240" w:lineRule="auto"/>
              <w:jc w:val="right"/>
              <w:rPr>
                <w:rFonts w:ascii="Arial" w:eastAsia="Times New Roman" w:hAnsi="Arial" w:cs="Arial"/>
                <w:b/>
                <w:sz w:val="20"/>
                <w:szCs w:val="20"/>
                <w:lang w:eastAsia="en-GB"/>
              </w:rPr>
            </w:pPr>
            <w:r>
              <w:rPr>
                <w:rFonts w:ascii="Arial" w:eastAsia="Times New Roman" w:hAnsi="Arial" w:cs="Arial"/>
                <w:b/>
                <w:sz w:val="20"/>
                <w:szCs w:val="20"/>
                <w:lang w:eastAsia="en-GB"/>
              </w:rPr>
              <w:t>(1,978)</w:t>
            </w:r>
          </w:p>
        </w:tc>
        <w:tc>
          <w:tcPr>
            <w:tcW w:w="778" w:type="dxa"/>
            <w:tcBorders>
              <w:top w:val="nil"/>
              <w:left w:val="nil"/>
              <w:bottom w:val="single" w:sz="4" w:space="0" w:color="auto"/>
              <w:right w:val="nil"/>
            </w:tcBorders>
            <w:shd w:val="clear" w:color="auto" w:fill="auto"/>
            <w:noWrap/>
            <w:vAlign w:val="center"/>
            <w:hideMark/>
          </w:tcPr>
          <w:p w14:paraId="68D78EB5" w14:textId="77777777" w:rsidR="00FE64E5" w:rsidRPr="00FE64E5" w:rsidRDefault="00FE64E5" w:rsidP="00FE64E5">
            <w:pPr>
              <w:spacing w:after="0" w:line="240" w:lineRule="auto"/>
              <w:jc w:val="right"/>
              <w:rPr>
                <w:rFonts w:ascii="Arial" w:eastAsia="Times New Roman" w:hAnsi="Arial" w:cs="Arial"/>
                <w:sz w:val="20"/>
                <w:szCs w:val="20"/>
                <w:lang w:eastAsia="en-GB"/>
              </w:rPr>
            </w:pPr>
            <w:r w:rsidRPr="00FE64E5">
              <w:rPr>
                <w:rFonts w:ascii="Arial" w:eastAsia="Times New Roman" w:hAnsi="Arial" w:cs="Arial"/>
                <w:sz w:val="20"/>
                <w:szCs w:val="20"/>
                <w:lang w:eastAsia="en-GB"/>
              </w:rPr>
              <w:t>(2,112)</w:t>
            </w:r>
          </w:p>
        </w:tc>
      </w:tr>
      <w:tr w:rsidR="00FE64E5" w:rsidRPr="00451E25" w14:paraId="7EADEEDF" w14:textId="77777777" w:rsidTr="006D78AE">
        <w:trPr>
          <w:trHeight w:val="255"/>
        </w:trPr>
        <w:tc>
          <w:tcPr>
            <w:tcW w:w="4062" w:type="dxa"/>
            <w:tcBorders>
              <w:top w:val="nil"/>
              <w:left w:val="nil"/>
              <w:bottom w:val="nil"/>
              <w:right w:val="nil"/>
            </w:tcBorders>
            <w:shd w:val="clear" w:color="auto" w:fill="auto"/>
            <w:vAlign w:val="center"/>
            <w:hideMark/>
          </w:tcPr>
          <w:p w14:paraId="50E9D26A" w14:textId="77777777" w:rsidR="00FE64E5" w:rsidRPr="00451E25" w:rsidRDefault="00FE64E5" w:rsidP="00FE64E5">
            <w:pPr>
              <w:spacing w:after="0" w:line="240" w:lineRule="auto"/>
              <w:rPr>
                <w:rFonts w:ascii="Arial" w:eastAsia="Times New Roman" w:hAnsi="Arial" w:cs="Arial"/>
                <w:b/>
                <w:bCs/>
                <w:sz w:val="20"/>
                <w:szCs w:val="20"/>
                <w:lang w:eastAsia="en-GB"/>
              </w:rPr>
            </w:pPr>
            <w:r w:rsidRPr="00451E25">
              <w:rPr>
                <w:rFonts w:ascii="Arial" w:eastAsia="Times New Roman" w:hAnsi="Arial" w:cs="Arial"/>
                <w:b/>
                <w:bCs/>
                <w:sz w:val="20"/>
                <w:szCs w:val="20"/>
                <w:lang w:eastAsia="en-GB"/>
              </w:rPr>
              <w:t>Net assets before pension liability</w:t>
            </w:r>
          </w:p>
        </w:tc>
        <w:tc>
          <w:tcPr>
            <w:tcW w:w="776" w:type="dxa"/>
            <w:tcBorders>
              <w:top w:val="nil"/>
              <w:left w:val="nil"/>
              <w:bottom w:val="nil"/>
              <w:right w:val="nil"/>
            </w:tcBorders>
            <w:shd w:val="clear" w:color="auto" w:fill="auto"/>
            <w:noWrap/>
            <w:vAlign w:val="bottom"/>
            <w:hideMark/>
          </w:tcPr>
          <w:p w14:paraId="3539FFAE" w14:textId="77777777" w:rsidR="00FE64E5" w:rsidRPr="00543D10" w:rsidRDefault="00FE64E5" w:rsidP="00FE64E5">
            <w:pPr>
              <w:spacing w:after="0" w:line="240" w:lineRule="auto"/>
              <w:rPr>
                <w:rFonts w:ascii="Arial" w:eastAsia="Times New Roman" w:hAnsi="Arial" w:cs="Arial"/>
                <w:b/>
                <w:bCs/>
                <w:sz w:val="20"/>
                <w:szCs w:val="20"/>
                <w:lang w:eastAsia="en-GB"/>
              </w:rPr>
            </w:pPr>
          </w:p>
        </w:tc>
        <w:tc>
          <w:tcPr>
            <w:tcW w:w="1073" w:type="dxa"/>
            <w:tcBorders>
              <w:top w:val="nil"/>
              <w:left w:val="nil"/>
              <w:bottom w:val="nil"/>
              <w:right w:val="nil"/>
            </w:tcBorders>
            <w:shd w:val="clear" w:color="auto" w:fill="auto"/>
            <w:noWrap/>
            <w:vAlign w:val="center"/>
          </w:tcPr>
          <w:p w14:paraId="0D128184" w14:textId="77777777" w:rsidR="00FE64E5" w:rsidRPr="00920C4F" w:rsidRDefault="000F1999" w:rsidP="00FE64E5">
            <w:pPr>
              <w:spacing w:after="0" w:line="240" w:lineRule="auto"/>
              <w:jc w:val="right"/>
              <w:rPr>
                <w:rFonts w:ascii="Arial" w:eastAsia="Times New Roman" w:hAnsi="Arial" w:cs="Arial"/>
                <w:b/>
                <w:bCs/>
                <w:sz w:val="20"/>
                <w:szCs w:val="20"/>
                <w:lang w:eastAsia="en-GB"/>
              </w:rPr>
            </w:pPr>
            <w:r w:rsidRPr="00920C4F">
              <w:rPr>
                <w:rFonts w:ascii="Arial" w:eastAsia="Times New Roman" w:hAnsi="Arial" w:cs="Arial"/>
                <w:b/>
                <w:bCs/>
                <w:sz w:val="20"/>
                <w:szCs w:val="20"/>
                <w:lang w:eastAsia="en-GB"/>
              </w:rPr>
              <w:t>19</w:t>
            </w:r>
            <w:r w:rsidR="00723BE3" w:rsidRPr="00920C4F">
              <w:rPr>
                <w:rFonts w:ascii="Arial" w:eastAsia="Times New Roman" w:hAnsi="Arial" w:cs="Arial"/>
                <w:b/>
                <w:bCs/>
                <w:sz w:val="20"/>
                <w:szCs w:val="20"/>
                <w:lang w:eastAsia="en-GB"/>
              </w:rPr>
              <w:t>5,970</w:t>
            </w:r>
          </w:p>
        </w:tc>
        <w:tc>
          <w:tcPr>
            <w:tcW w:w="1035" w:type="dxa"/>
            <w:tcBorders>
              <w:top w:val="nil"/>
              <w:left w:val="nil"/>
              <w:bottom w:val="nil"/>
              <w:right w:val="nil"/>
            </w:tcBorders>
            <w:shd w:val="clear" w:color="auto" w:fill="auto"/>
            <w:noWrap/>
            <w:vAlign w:val="center"/>
            <w:hideMark/>
          </w:tcPr>
          <w:p w14:paraId="19FF6D7D" w14:textId="77777777" w:rsidR="00FE64E5" w:rsidRPr="00FE64E5" w:rsidRDefault="00FE64E5" w:rsidP="00FE64E5">
            <w:pPr>
              <w:spacing w:after="0" w:line="240" w:lineRule="auto"/>
              <w:jc w:val="right"/>
              <w:rPr>
                <w:rFonts w:ascii="Arial" w:eastAsia="Times New Roman" w:hAnsi="Arial" w:cs="Arial"/>
                <w:sz w:val="20"/>
                <w:szCs w:val="20"/>
                <w:lang w:eastAsia="en-GB"/>
              </w:rPr>
            </w:pPr>
            <w:r w:rsidRPr="00FE64E5">
              <w:rPr>
                <w:rFonts w:ascii="Arial" w:eastAsia="Times New Roman" w:hAnsi="Arial" w:cs="Arial"/>
                <w:bCs/>
                <w:sz w:val="20"/>
                <w:szCs w:val="20"/>
                <w:lang w:eastAsia="en-GB"/>
              </w:rPr>
              <w:t>175,680</w:t>
            </w:r>
          </w:p>
        </w:tc>
        <w:tc>
          <w:tcPr>
            <w:tcW w:w="1348" w:type="dxa"/>
            <w:tcBorders>
              <w:top w:val="nil"/>
              <w:left w:val="nil"/>
              <w:bottom w:val="nil"/>
              <w:right w:val="nil"/>
            </w:tcBorders>
            <w:shd w:val="clear" w:color="auto" w:fill="auto"/>
            <w:noWrap/>
            <w:vAlign w:val="center"/>
          </w:tcPr>
          <w:p w14:paraId="7718014A" w14:textId="77777777" w:rsidR="00FE64E5" w:rsidRPr="00543D10" w:rsidRDefault="00DA53CF" w:rsidP="00FE64E5">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19,495</w:t>
            </w:r>
          </w:p>
        </w:tc>
        <w:tc>
          <w:tcPr>
            <w:tcW w:w="778" w:type="dxa"/>
            <w:tcBorders>
              <w:top w:val="nil"/>
              <w:left w:val="nil"/>
              <w:bottom w:val="nil"/>
              <w:right w:val="nil"/>
            </w:tcBorders>
            <w:shd w:val="clear" w:color="auto" w:fill="auto"/>
            <w:noWrap/>
            <w:vAlign w:val="center"/>
            <w:hideMark/>
          </w:tcPr>
          <w:p w14:paraId="6EF66C84" w14:textId="77777777" w:rsidR="00FE64E5" w:rsidRPr="00FE64E5" w:rsidRDefault="00FE64E5" w:rsidP="00FE64E5">
            <w:pPr>
              <w:spacing w:after="0" w:line="240" w:lineRule="auto"/>
              <w:jc w:val="right"/>
              <w:rPr>
                <w:rFonts w:ascii="Arial" w:eastAsia="Times New Roman" w:hAnsi="Arial" w:cs="Arial"/>
                <w:sz w:val="20"/>
                <w:szCs w:val="20"/>
                <w:lang w:eastAsia="en-GB"/>
              </w:rPr>
            </w:pPr>
            <w:r w:rsidRPr="00FE64E5">
              <w:rPr>
                <w:rFonts w:ascii="Arial" w:eastAsia="Times New Roman" w:hAnsi="Arial" w:cs="Arial"/>
                <w:bCs/>
                <w:sz w:val="20"/>
                <w:szCs w:val="20"/>
                <w:lang w:eastAsia="en-GB"/>
              </w:rPr>
              <w:t>25,947</w:t>
            </w:r>
          </w:p>
        </w:tc>
      </w:tr>
      <w:tr w:rsidR="00FE64E5" w:rsidRPr="00451E25" w14:paraId="7236EF52" w14:textId="77777777" w:rsidTr="006D78AE">
        <w:trPr>
          <w:trHeight w:val="315"/>
        </w:trPr>
        <w:tc>
          <w:tcPr>
            <w:tcW w:w="4062" w:type="dxa"/>
            <w:tcBorders>
              <w:top w:val="nil"/>
              <w:left w:val="nil"/>
              <w:bottom w:val="nil"/>
              <w:right w:val="nil"/>
            </w:tcBorders>
            <w:shd w:val="clear" w:color="auto" w:fill="auto"/>
            <w:vAlign w:val="center"/>
            <w:hideMark/>
          </w:tcPr>
          <w:p w14:paraId="71B1E901" w14:textId="77777777" w:rsidR="00FE64E5" w:rsidRPr="00451E25" w:rsidRDefault="00FE64E5" w:rsidP="00FE64E5">
            <w:pPr>
              <w:spacing w:after="0" w:line="240" w:lineRule="auto"/>
              <w:rPr>
                <w:rFonts w:ascii="Arial" w:eastAsia="Times New Roman" w:hAnsi="Arial" w:cs="Arial"/>
                <w:sz w:val="20"/>
                <w:szCs w:val="20"/>
                <w:lang w:eastAsia="en-GB"/>
              </w:rPr>
            </w:pPr>
            <w:r w:rsidRPr="00451E25">
              <w:rPr>
                <w:rFonts w:ascii="Arial" w:eastAsia="Times New Roman" w:hAnsi="Arial" w:cs="Arial"/>
                <w:sz w:val="20"/>
                <w:szCs w:val="20"/>
                <w:lang w:eastAsia="en-GB"/>
              </w:rPr>
              <w:t xml:space="preserve">Pension </w:t>
            </w:r>
            <w:r>
              <w:rPr>
                <w:rFonts w:ascii="Arial" w:eastAsia="Times New Roman" w:hAnsi="Arial" w:cs="Arial"/>
                <w:sz w:val="20"/>
                <w:szCs w:val="20"/>
                <w:lang w:eastAsia="en-GB"/>
              </w:rPr>
              <w:t>(</w:t>
            </w:r>
            <w:r w:rsidRPr="00451E25">
              <w:rPr>
                <w:rFonts w:ascii="Arial" w:eastAsia="Times New Roman" w:hAnsi="Arial" w:cs="Arial"/>
                <w:sz w:val="20"/>
                <w:szCs w:val="20"/>
                <w:lang w:eastAsia="en-GB"/>
              </w:rPr>
              <w:t>liability</w:t>
            </w:r>
            <w:r>
              <w:rPr>
                <w:rFonts w:ascii="Arial" w:eastAsia="Times New Roman" w:hAnsi="Arial" w:cs="Arial"/>
                <w:sz w:val="20"/>
                <w:szCs w:val="20"/>
                <w:lang w:eastAsia="en-GB"/>
              </w:rPr>
              <w:t>)</w:t>
            </w:r>
            <w:r w:rsidRPr="00451E25">
              <w:rPr>
                <w:rFonts w:ascii="Arial" w:eastAsia="Times New Roman" w:hAnsi="Arial" w:cs="Arial"/>
                <w:sz w:val="20"/>
                <w:szCs w:val="20"/>
                <w:lang w:eastAsia="en-GB"/>
              </w:rPr>
              <w:t xml:space="preserve"> / surplus</w:t>
            </w:r>
          </w:p>
        </w:tc>
        <w:tc>
          <w:tcPr>
            <w:tcW w:w="776" w:type="dxa"/>
            <w:tcBorders>
              <w:top w:val="nil"/>
              <w:left w:val="nil"/>
              <w:bottom w:val="nil"/>
              <w:right w:val="nil"/>
            </w:tcBorders>
            <w:shd w:val="clear" w:color="auto" w:fill="auto"/>
            <w:noWrap/>
            <w:vAlign w:val="bottom"/>
            <w:hideMark/>
          </w:tcPr>
          <w:p w14:paraId="5144BF47" w14:textId="77777777" w:rsidR="00FE64E5" w:rsidRPr="00543D10" w:rsidRDefault="00FE64E5" w:rsidP="00FE64E5">
            <w:pPr>
              <w:spacing w:after="0" w:line="240" w:lineRule="auto"/>
              <w:rPr>
                <w:rFonts w:ascii="Arial" w:eastAsia="Times New Roman" w:hAnsi="Arial" w:cs="Arial"/>
                <w:sz w:val="20"/>
                <w:szCs w:val="20"/>
                <w:lang w:eastAsia="en-GB"/>
              </w:rPr>
            </w:pPr>
            <w:r w:rsidRPr="00543D10">
              <w:rPr>
                <w:rFonts w:ascii="Arial" w:eastAsia="Times New Roman" w:hAnsi="Arial" w:cs="Arial"/>
                <w:sz w:val="20"/>
                <w:szCs w:val="20"/>
                <w:lang w:eastAsia="en-GB"/>
              </w:rPr>
              <w:t>24</w:t>
            </w:r>
          </w:p>
        </w:tc>
        <w:tc>
          <w:tcPr>
            <w:tcW w:w="1073" w:type="dxa"/>
            <w:tcBorders>
              <w:top w:val="nil"/>
              <w:left w:val="nil"/>
              <w:bottom w:val="nil"/>
              <w:right w:val="nil"/>
            </w:tcBorders>
            <w:shd w:val="clear" w:color="auto" w:fill="auto"/>
            <w:noWrap/>
            <w:vAlign w:val="center"/>
          </w:tcPr>
          <w:p w14:paraId="556AE0A2" w14:textId="77777777" w:rsidR="00FE64E5" w:rsidRPr="00543D10" w:rsidRDefault="003F3DDE" w:rsidP="00FE64E5">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(113,081)</w:t>
            </w:r>
          </w:p>
        </w:tc>
        <w:tc>
          <w:tcPr>
            <w:tcW w:w="1035" w:type="dxa"/>
            <w:tcBorders>
              <w:top w:val="nil"/>
              <w:left w:val="nil"/>
              <w:bottom w:val="nil"/>
              <w:right w:val="nil"/>
            </w:tcBorders>
            <w:shd w:val="clear" w:color="auto" w:fill="auto"/>
            <w:noWrap/>
            <w:vAlign w:val="center"/>
            <w:hideMark/>
          </w:tcPr>
          <w:p w14:paraId="00387887" w14:textId="77777777" w:rsidR="00FE64E5" w:rsidRPr="00FE64E5" w:rsidRDefault="00FE64E5" w:rsidP="00FE64E5">
            <w:pPr>
              <w:spacing w:after="0" w:line="240" w:lineRule="auto"/>
              <w:jc w:val="right"/>
              <w:rPr>
                <w:rFonts w:ascii="Arial" w:eastAsia="Times New Roman" w:hAnsi="Arial" w:cs="Arial"/>
                <w:sz w:val="20"/>
                <w:szCs w:val="20"/>
                <w:lang w:eastAsia="en-GB"/>
              </w:rPr>
            </w:pPr>
            <w:r w:rsidRPr="00FE64E5">
              <w:rPr>
                <w:rFonts w:ascii="Arial" w:eastAsia="Times New Roman" w:hAnsi="Arial" w:cs="Arial"/>
                <w:bCs/>
                <w:sz w:val="20"/>
                <w:szCs w:val="20"/>
                <w:lang w:eastAsia="en-GB"/>
              </w:rPr>
              <w:t>(93,599)</w:t>
            </w:r>
          </w:p>
        </w:tc>
        <w:tc>
          <w:tcPr>
            <w:tcW w:w="1348" w:type="dxa"/>
            <w:tcBorders>
              <w:top w:val="nil"/>
              <w:left w:val="nil"/>
              <w:bottom w:val="nil"/>
              <w:right w:val="nil"/>
            </w:tcBorders>
            <w:shd w:val="clear" w:color="auto" w:fill="auto"/>
            <w:noWrap/>
            <w:vAlign w:val="center"/>
          </w:tcPr>
          <w:p w14:paraId="11748613" w14:textId="77777777" w:rsidR="00FE64E5" w:rsidRPr="00543D10" w:rsidRDefault="003F3DDE" w:rsidP="00FE64E5">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(15)</w:t>
            </w:r>
          </w:p>
        </w:tc>
        <w:tc>
          <w:tcPr>
            <w:tcW w:w="778" w:type="dxa"/>
            <w:tcBorders>
              <w:top w:val="nil"/>
              <w:left w:val="nil"/>
              <w:bottom w:val="nil"/>
              <w:right w:val="nil"/>
            </w:tcBorders>
            <w:shd w:val="clear" w:color="auto" w:fill="auto"/>
            <w:noWrap/>
            <w:vAlign w:val="center"/>
            <w:hideMark/>
          </w:tcPr>
          <w:p w14:paraId="3E482EC4" w14:textId="77777777" w:rsidR="00FE64E5" w:rsidRPr="00FE64E5" w:rsidRDefault="00FE64E5" w:rsidP="00FE64E5">
            <w:pPr>
              <w:spacing w:after="0" w:line="240" w:lineRule="auto"/>
              <w:jc w:val="right"/>
              <w:rPr>
                <w:rFonts w:ascii="Arial" w:eastAsia="Times New Roman" w:hAnsi="Arial" w:cs="Arial"/>
                <w:sz w:val="20"/>
                <w:szCs w:val="20"/>
                <w:lang w:eastAsia="en-GB"/>
              </w:rPr>
            </w:pPr>
            <w:r w:rsidRPr="00FE64E5">
              <w:rPr>
                <w:rFonts w:ascii="Arial" w:eastAsia="Times New Roman" w:hAnsi="Arial" w:cs="Arial"/>
                <w:bCs/>
                <w:sz w:val="20"/>
                <w:szCs w:val="20"/>
                <w:lang w:eastAsia="en-GB"/>
              </w:rPr>
              <w:t>14</w:t>
            </w:r>
          </w:p>
        </w:tc>
      </w:tr>
      <w:tr w:rsidR="00FE64E5" w:rsidRPr="00D60034" w14:paraId="155C69B8" w14:textId="77777777" w:rsidTr="006D78AE">
        <w:trPr>
          <w:trHeight w:val="375"/>
        </w:trPr>
        <w:tc>
          <w:tcPr>
            <w:tcW w:w="4062" w:type="dxa"/>
            <w:tcBorders>
              <w:top w:val="nil"/>
              <w:left w:val="nil"/>
              <w:bottom w:val="nil"/>
              <w:right w:val="nil"/>
            </w:tcBorders>
            <w:shd w:val="clear" w:color="auto" w:fill="auto"/>
            <w:vAlign w:val="center"/>
            <w:hideMark/>
          </w:tcPr>
          <w:p w14:paraId="40881234" w14:textId="77777777" w:rsidR="00FE64E5" w:rsidRPr="00451E25" w:rsidRDefault="00FE64E5" w:rsidP="00FE64E5">
            <w:pPr>
              <w:spacing w:after="0" w:line="240" w:lineRule="auto"/>
              <w:rPr>
                <w:rFonts w:ascii="Arial" w:eastAsia="Times New Roman" w:hAnsi="Arial" w:cs="Arial"/>
                <w:b/>
                <w:bCs/>
                <w:sz w:val="20"/>
                <w:szCs w:val="20"/>
                <w:lang w:eastAsia="en-GB"/>
              </w:rPr>
            </w:pPr>
            <w:r w:rsidRPr="00451E25">
              <w:rPr>
                <w:rFonts w:ascii="Arial" w:eastAsia="Times New Roman" w:hAnsi="Arial" w:cs="Arial"/>
                <w:b/>
                <w:bCs/>
                <w:sz w:val="20"/>
                <w:szCs w:val="20"/>
                <w:lang w:eastAsia="en-GB"/>
              </w:rPr>
              <w:t>Net assets after pension liability</w:t>
            </w:r>
          </w:p>
        </w:tc>
        <w:tc>
          <w:tcPr>
            <w:tcW w:w="776" w:type="dxa"/>
            <w:tcBorders>
              <w:top w:val="nil"/>
              <w:left w:val="nil"/>
              <w:bottom w:val="nil"/>
              <w:right w:val="nil"/>
            </w:tcBorders>
            <w:shd w:val="clear" w:color="auto" w:fill="auto"/>
            <w:noWrap/>
            <w:vAlign w:val="bottom"/>
            <w:hideMark/>
          </w:tcPr>
          <w:p w14:paraId="3F2F20A5" w14:textId="77777777" w:rsidR="00FE64E5" w:rsidRPr="00543D10" w:rsidRDefault="00FE64E5" w:rsidP="00FE64E5">
            <w:pPr>
              <w:spacing w:after="0" w:line="240" w:lineRule="auto"/>
              <w:rPr>
                <w:rFonts w:ascii="Arial" w:eastAsia="Times New Roman" w:hAnsi="Arial" w:cs="Arial"/>
                <w:b/>
                <w:bCs/>
                <w:sz w:val="20"/>
                <w:szCs w:val="20"/>
                <w:lang w:eastAsia="en-GB"/>
              </w:rPr>
            </w:pPr>
          </w:p>
        </w:tc>
        <w:tc>
          <w:tcPr>
            <w:tcW w:w="1073" w:type="dxa"/>
            <w:tcBorders>
              <w:top w:val="single" w:sz="4" w:space="0" w:color="auto"/>
              <w:left w:val="nil"/>
              <w:bottom w:val="single" w:sz="4" w:space="0" w:color="auto"/>
              <w:right w:val="nil"/>
            </w:tcBorders>
            <w:shd w:val="clear" w:color="auto" w:fill="auto"/>
            <w:noWrap/>
            <w:vAlign w:val="center"/>
            <w:hideMark/>
          </w:tcPr>
          <w:p w14:paraId="0E0425EC" w14:textId="77777777" w:rsidR="00FE64E5" w:rsidRPr="00543D10" w:rsidRDefault="003F3DDE" w:rsidP="00FE64E5">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8</w:t>
            </w:r>
            <w:r w:rsidR="00723BE3">
              <w:rPr>
                <w:rFonts w:ascii="Arial" w:eastAsia="Times New Roman" w:hAnsi="Arial" w:cs="Arial"/>
                <w:b/>
                <w:bCs/>
                <w:sz w:val="20"/>
                <w:szCs w:val="20"/>
                <w:lang w:eastAsia="en-GB"/>
              </w:rPr>
              <w:t>2,889</w:t>
            </w:r>
          </w:p>
        </w:tc>
        <w:tc>
          <w:tcPr>
            <w:tcW w:w="1035" w:type="dxa"/>
            <w:tcBorders>
              <w:top w:val="single" w:sz="4" w:space="0" w:color="auto"/>
              <w:left w:val="nil"/>
              <w:bottom w:val="single" w:sz="4" w:space="0" w:color="auto"/>
              <w:right w:val="nil"/>
            </w:tcBorders>
            <w:shd w:val="clear" w:color="auto" w:fill="auto"/>
            <w:noWrap/>
            <w:vAlign w:val="center"/>
            <w:hideMark/>
          </w:tcPr>
          <w:p w14:paraId="502F8941" w14:textId="77777777" w:rsidR="00FE64E5" w:rsidRPr="00FE64E5" w:rsidRDefault="00FE64E5" w:rsidP="00FE64E5">
            <w:pPr>
              <w:spacing w:after="0" w:line="240" w:lineRule="auto"/>
              <w:jc w:val="right"/>
              <w:rPr>
                <w:rFonts w:ascii="Arial" w:eastAsia="Times New Roman" w:hAnsi="Arial" w:cs="Arial"/>
                <w:sz w:val="20"/>
                <w:szCs w:val="20"/>
                <w:lang w:eastAsia="en-GB"/>
              </w:rPr>
            </w:pPr>
            <w:r w:rsidRPr="00FE64E5">
              <w:rPr>
                <w:rFonts w:ascii="Arial" w:eastAsia="Times New Roman" w:hAnsi="Arial" w:cs="Arial"/>
                <w:bCs/>
                <w:sz w:val="20"/>
                <w:szCs w:val="20"/>
                <w:lang w:eastAsia="en-GB"/>
              </w:rPr>
              <w:t>82,081</w:t>
            </w:r>
          </w:p>
        </w:tc>
        <w:tc>
          <w:tcPr>
            <w:tcW w:w="1348" w:type="dxa"/>
            <w:tcBorders>
              <w:top w:val="single" w:sz="4" w:space="0" w:color="auto"/>
              <w:left w:val="nil"/>
              <w:bottom w:val="single" w:sz="4" w:space="0" w:color="auto"/>
              <w:right w:val="nil"/>
            </w:tcBorders>
            <w:shd w:val="clear" w:color="auto" w:fill="auto"/>
            <w:noWrap/>
            <w:vAlign w:val="center"/>
            <w:hideMark/>
          </w:tcPr>
          <w:p w14:paraId="4AB15722" w14:textId="77777777" w:rsidR="00FE64E5" w:rsidRPr="00543D10" w:rsidRDefault="00DA53CF" w:rsidP="00FE64E5">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19,480</w:t>
            </w:r>
          </w:p>
        </w:tc>
        <w:tc>
          <w:tcPr>
            <w:tcW w:w="778" w:type="dxa"/>
            <w:tcBorders>
              <w:top w:val="single" w:sz="4" w:space="0" w:color="auto"/>
              <w:left w:val="nil"/>
              <w:bottom w:val="single" w:sz="4" w:space="0" w:color="auto"/>
              <w:right w:val="nil"/>
            </w:tcBorders>
            <w:shd w:val="clear" w:color="auto" w:fill="auto"/>
            <w:noWrap/>
            <w:vAlign w:val="center"/>
            <w:hideMark/>
          </w:tcPr>
          <w:p w14:paraId="106888FF" w14:textId="77777777" w:rsidR="00FE64E5" w:rsidRPr="00FE64E5" w:rsidRDefault="00FE64E5" w:rsidP="00FE64E5">
            <w:pPr>
              <w:spacing w:after="0" w:line="240" w:lineRule="auto"/>
              <w:jc w:val="right"/>
              <w:rPr>
                <w:rFonts w:ascii="Arial" w:eastAsia="Times New Roman" w:hAnsi="Arial" w:cs="Arial"/>
                <w:sz w:val="20"/>
                <w:szCs w:val="20"/>
                <w:lang w:eastAsia="en-GB"/>
              </w:rPr>
            </w:pPr>
            <w:r w:rsidRPr="00FE64E5">
              <w:rPr>
                <w:rFonts w:ascii="Arial" w:eastAsia="Times New Roman" w:hAnsi="Arial" w:cs="Arial"/>
                <w:bCs/>
                <w:sz w:val="20"/>
                <w:szCs w:val="20"/>
                <w:lang w:eastAsia="en-GB"/>
              </w:rPr>
              <w:t>25,961</w:t>
            </w:r>
          </w:p>
        </w:tc>
      </w:tr>
    </w:tbl>
    <w:p w14:paraId="15506B79" w14:textId="77777777" w:rsidR="00D93D05" w:rsidRPr="004E0501" w:rsidRDefault="00D93D05" w:rsidP="00F04499">
      <w:pPr>
        <w:rPr>
          <w:rFonts w:ascii="Arial" w:hAnsi="Arial" w:cs="Arial"/>
          <w:sz w:val="24"/>
          <w:szCs w:val="24"/>
        </w:rPr>
      </w:pPr>
    </w:p>
    <w:tbl>
      <w:tblPr>
        <w:tblW w:w="11104" w:type="dxa"/>
        <w:jc w:val="center"/>
        <w:tblLook w:val="04A0" w:firstRow="1" w:lastRow="0" w:firstColumn="1" w:lastColumn="0" w:noHBand="0" w:noVBand="1"/>
      </w:tblPr>
      <w:tblGrid>
        <w:gridCol w:w="2887"/>
        <w:gridCol w:w="659"/>
        <w:gridCol w:w="1047"/>
        <w:gridCol w:w="734"/>
        <w:gridCol w:w="1009"/>
        <w:gridCol w:w="352"/>
        <w:gridCol w:w="622"/>
        <w:gridCol w:w="352"/>
        <w:gridCol w:w="900"/>
        <w:gridCol w:w="352"/>
        <w:gridCol w:w="482"/>
        <w:gridCol w:w="960"/>
        <w:gridCol w:w="748"/>
      </w:tblGrid>
      <w:tr w:rsidR="00DC1512" w:rsidRPr="00D60034" w14:paraId="525F4375" w14:textId="77777777" w:rsidTr="00EE6FBB">
        <w:trPr>
          <w:gridAfter w:val="1"/>
          <w:wAfter w:w="748" w:type="dxa"/>
          <w:trHeight w:val="245"/>
          <w:jc w:val="center"/>
        </w:trPr>
        <w:tc>
          <w:tcPr>
            <w:tcW w:w="2887" w:type="dxa"/>
            <w:tcBorders>
              <w:top w:val="nil"/>
              <w:left w:val="nil"/>
              <w:bottom w:val="nil"/>
              <w:right w:val="nil"/>
            </w:tcBorders>
            <w:shd w:val="clear" w:color="auto" w:fill="auto"/>
            <w:vAlign w:val="center"/>
          </w:tcPr>
          <w:p w14:paraId="4937BA34" w14:textId="77777777" w:rsidR="00DC1512" w:rsidRDefault="00DC1512" w:rsidP="00676596">
            <w:pPr>
              <w:spacing w:after="0" w:line="240" w:lineRule="auto"/>
              <w:rPr>
                <w:rFonts w:ascii="Arial" w:eastAsia="Times New Roman" w:hAnsi="Arial" w:cs="Arial"/>
                <w:b/>
                <w:bCs/>
                <w:sz w:val="20"/>
                <w:szCs w:val="20"/>
                <w:lang w:eastAsia="en-GB"/>
              </w:rPr>
            </w:pPr>
          </w:p>
        </w:tc>
        <w:tc>
          <w:tcPr>
            <w:tcW w:w="659" w:type="dxa"/>
            <w:tcBorders>
              <w:top w:val="nil"/>
              <w:left w:val="nil"/>
              <w:bottom w:val="nil"/>
              <w:right w:val="nil"/>
            </w:tcBorders>
            <w:shd w:val="clear" w:color="auto" w:fill="auto"/>
            <w:noWrap/>
            <w:vAlign w:val="bottom"/>
          </w:tcPr>
          <w:p w14:paraId="79EF2E09" w14:textId="77777777" w:rsidR="00DC1512" w:rsidRPr="00D60034" w:rsidRDefault="00DC1512" w:rsidP="00676596">
            <w:pPr>
              <w:spacing w:after="0" w:line="240" w:lineRule="auto"/>
              <w:rPr>
                <w:rFonts w:ascii="Arial" w:eastAsia="Times New Roman" w:hAnsi="Arial" w:cs="Arial"/>
                <w:b/>
                <w:bCs/>
                <w:sz w:val="20"/>
                <w:szCs w:val="20"/>
                <w:lang w:eastAsia="en-GB"/>
              </w:rPr>
            </w:pPr>
          </w:p>
        </w:tc>
        <w:tc>
          <w:tcPr>
            <w:tcW w:w="3142" w:type="dxa"/>
            <w:gridSpan w:val="4"/>
            <w:tcBorders>
              <w:top w:val="nil"/>
              <w:left w:val="nil"/>
              <w:bottom w:val="nil"/>
              <w:right w:val="nil"/>
            </w:tcBorders>
            <w:shd w:val="clear" w:color="auto" w:fill="auto"/>
            <w:noWrap/>
            <w:vAlign w:val="center"/>
          </w:tcPr>
          <w:p w14:paraId="67C6049B" w14:textId="77777777" w:rsidR="00DC1512" w:rsidRPr="00D60034" w:rsidRDefault="00DC1512" w:rsidP="00676596">
            <w:pPr>
              <w:spacing w:after="0" w:line="240" w:lineRule="auto"/>
              <w:rPr>
                <w:rFonts w:ascii="Arial" w:eastAsia="Times New Roman" w:hAnsi="Arial" w:cs="Arial"/>
                <w:sz w:val="20"/>
                <w:szCs w:val="20"/>
                <w:lang w:eastAsia="en-GB"/>
              </w:rPr>
            </w:pPr>
          </w:p>
        </w:tc>
        <w:tc>
          <w:tcPr>
            <w:tcW w:w="974" w:type="dxa"/>
            <w:gridSpan w:val="2"/>
            <w:tcBorders>
              <w:top w:val="nil"/>
              <w:left w:val="nil"/>
              <w:bottom w:val="nil"/>
              <w:right w:val="nil"/>
            </w:tcBorders>
            <w:shd w:val="clear" w:color="auto" w:fill="auto"/>
            <w:noWrap/>
            <w:vAlign w:val="center"/>
          </w:tcPr>
          <w:p w14:paraId="32AB9988" w14:textId="77777777" w:rsidR="00DC1512" w:rsidRPr="00D60034" w:rsidRDefault="00DC1512" w:rsidP="00676596">
            <w:pPr>
              <w:spacing w:after="0" w:line="240" w:lineRule="auto"/>
              <w:rPr>
                <w:rFonts w:ascii="Arial" w:eastAsia="Times New Roman" w:hAnsi="Arial" w:cs="Arial"/>
                <w:sz w:val="20"/>
                <w:szCs w:val="20"/>
                <w:lang w:eastAsia="en-GB"/>
              </w:rPr>
            </w:pPr>
          </w:p>
        </w:tc>
        <w:tc>
          <w:tcPr>
            <w:tcW w:w="1252" w:type="dxa"/>
            <w:gridSpan w:val="2"/>
            <w:tcBorders>
              <w:top w:val="nil"/>
              <w:left w:val="nil"/>
              <w:bottom w:val="nil"/>
              <w:right w:val="nil"/>
            </w:tcBorders>
            <w:shd w:val="clear" w:color="auto" w:fill="auto"/>
            <w:noWrap/>
            <w:vAlign w:val="center"/>
          </w:tcPr>
          <w:p w14:paraId="7C2DCD78" w14:textId="77777777" w:rsidR="00DC1512" w:rsidRPr="00D60034" w:rsidRDefault="00DC1512" w:rsidP="00676596">
            <w:pPr>
              <w:spacing w:after="0" w:line="240" w:lineRule="auto"/>
              <w:rPr>
                <w:rFonts w:ascii="Arial" w:eastAsia="Times New Roman" w:hAnsi="Arial" w:cs="Arial"/>
                <w:sz w:val="20"/>
                <w:szCs w:val="20"/>
                <w:lang w:eastAsia="en-GB"/>
              </w:rPr>
            </w:pPr>
          </w:p>
        </w:tc>
        <w:tc>
          <w:tcPr>
            <w:tcW w:w="1442" w:type="dxa"/>
            <w:gridSpan w:val="2"/>
            <w:tcBorders>
              <w:top w:val="nil"/>
              <w:left w:val="nil"/>
              <w:bottom w:val="nil"/>
              <w:right w:val="nil"/>
            </w:tcBorders>
            <w:shd w:val="clear" w:color="auto" w:fill="auto"/>
            <w:noWrap/>
            <w:vAlign w:val="center"/>
          </w:tcPr>
          <w:p w14:paraId="04307759" w14:textId="77777777" w:rsidR="00DC1512" w:rsidRPr="00D60034" w:rsidRDefault="00DC1512" w:rsidP="00676596">
            <w:pPr>
              <w:spacing w:after="0" w:line="240" w:lineRule="auto"/>
              <w:rPr>
                <w:rFonts w:ascii="Arial" w:eastAsia="Times New Roman" w:hAnsi="Arial" w:cs="Arial"/>
                <w:sz w:val="20"/>
                <w:szCs w:val="20"/>
                <w:lang w:eastAsia="en-GB"/>
              </w:rPr>
            </w:pPr>
          </w:p>
        </w:tc>
      </w:tr>
      <w:tr w:rsidR="00DC1512" w:rsidRPr="00D60034" w14:paraId="2A46466E" w14:textId="77777777" w:rsidTr="00EE6FBB">
        <w:trPr>
          <w:trHeight w:val="245"/>
          <w:jc w:val="center"/>
        </w:trPr>
        <w:tc>
          <w:tcPr>
            <w:tcW w:w="11104" w:type="dxa"/>
            <w:gridSpan w:val="13"/>
            <w:tcBorders>
              <w:top w:val="nil"/>
              <w:left w:val="nil"/>
              <w:bottom w:val="nil"/>
              <w:right w:val="nil"/>
            </w:tcBorders>
            <w:shd w:val="clear" w:color="auto" w:fill="auto"/>
            <w:vAlign w:val="center"/>
            <w:hideMark/>
          </w:tcPr>
          <w:p w14:paraId="2BABCD33" w14:textId="77777777" w:rsidR="00DC1512" w:rsidRDefault="00DC1512" w:rsidP="00676596">
            <w:pPr>
              <w:spacing w:after="0" w:line="240" w:lineRule="auto"/>
              <w:rPr>
                <w:rFonts w:ascii="Arial" w:eastAsia="Times New Roman" w:hAnsi="Arial" w:cs="Arial"/>
                <w:b/>
                <w:bCs/>
                <w:sz w:val="20"/>
                <w:szCs w:val="20"/>
                <w:lang w:eastAsia="en-GB"/>
              </w:rPr>
            </w:pPr>
          </w:p>
          <w:p w14:paraId="78EBF45E" w14:textId="77777777" w:rsidR="00DC1512" w:rsidRDefault="00DC1512" w:rsidP="00676596">
            <w:pPr>
              <w:spacing w:after="0" w:line="240" w:lineRule="auto"/>
              <w:rPr>
                <w:rFonts w:ascii="Arial" w:eastAsia="Times New Roman" w:hAnsi="Arial" w:cs="Arial"/>
                <w:b/>
                <w:bCs/>
                <w:sz w:val="20"/>
                <w:szCs w:val="20"/>
                <w:lang w:eastAsia="en-GB"/>
              </w:rPr>
            </w:pPr>
          </w:p>
          <w:p w14:paraId="0F0AA7FF" w14:textId="77777777" w:rsidR="00DC1512" w:rsidRDefault="00DC1512" w:rsidP="00676596">
            <w:pPr>
              <w:spacing w:after="0" w:line="240" w:lineRule="auto"/>
              <w:rPr>
                <w:rFonts w:ascii="Arial" w:eastAsia="Times New Roman" w:hAnsi="Arial" w:cs="Arial"/>
                <w:b/>
                <w:bCs/>
                <w:sz w:val="20"/>
                <w:szCs w:val="20"/>
                <w:lang w:eastAsia="en-GB"/>
              </w:rPr>
            </w:pPr>
          </w:p>
          <w:p w14:paraId="26DBA034" w14:textId="77777777" w:rsidR="00DC1512" w:rsidRDefault="00DC1512" w:rsidP="00676596">
            <w:pPr>
              <w:spacing w:after="0" w:line="240" w:lineRule="auto"/>
              <w:rPr>
                <w:rFonts w:ascii="Arial" w:eastAsia="Times New Roman" w:hAnsi="Arial" w:cs="Arial"/>
                <w:b/>
                <w:bCs/>
                <w:sz w:val="20"/>
                <w:szCs w:val="20"/>
                <w:lang w:eastAsia="en-GB"/>
              </w:rPr>
            </w:pPr>
          </w:p>
          <w:p w14:paraId="529DB811" w14:textId="77777777" w:rsidR="00DC1512" w:rsidRDefault="00DC1512" w:rsidP="00676596">
            <w:pPr>
              <w:spacing w:after="0" w:line="240" w:lineRule="auto"/>
              <w:rPr>
                <w:rFonts w:ascii="Arial" w:eastAsia="Times New Roman" w:hAnsi="Arial" w:cs="Arial"/>
                <w:b/>
                <w:bCs/>
                <w:sz w:val="20"/>
                <w:szCs w:val="20"/>
                <w:lang w:eastAsia="en-GB"/>
              </w:rPr>
            </w:pPr>
          </w:p>
          <w:p w14:paraId="07AB4177" w14:textId="77777777" w:rsidR="00DC1512" w:rsidRDefault="00DC1512" w:rsidP="00676596">
            <w:pPr>
              <w:spacing w:after="0" w:line="240" w:lineRule="auto"/>
              <w:rPr>
                <w:rFonts w:ascii="Arial" w:eastAsia="Times New Roman" w:hAnsi="Arial" w:cs="Arial"/>
                <w:b/>
                <w:bCs/>
                <w:sz w:val="20"/>
                <w:szCs w:val="20"/>
                <w:lang w:eastAsia="en-GB"/>
              </w:rPr>
            </w:pPr>
          </w:p>
          <w:p w14:paraId="4FFB2B2D" w14:textId="77777777" w:rsidR="002B7836" w:rsidRDefault="002B7836" w:rsidP="00676596">
            <w:pPr>
              <w:spacing w:after="0" w:line="240" w:lineRule="auto"/>
              <w:rPr>
                <w:rFonts w:ascii="Arial" w:eastAsia="Times New Roman" w:hAnsi="Arial" w:cs="Arial"/>
                <w:b/>
                <w:bCs/>
                <w:sz w:val="20"/>
                <w:szCs w:val="20"/>
                <w:lang w:eastAsia="en-GB"/>
              </w:rPr>
            </w:pPr>
          </w:p>
          <w:p w14:paraId="71B438FB" w14:textId="77777777" w:rsidR="002B7836" w:rsidRDefault="002B7836" w:rsidP="00676596">
            <w:pPr>
              <w:spacing w:after="0" w:line="240" w:lineRule="auto"/>
              <w:rPr>
                <w:rFonts w:ascii="Arial" w:eastAsia="Times New Roman" w:hAnsi="Arial" w:cs="Arial"/>
                <w:b/>
                <w:bCs/>
                <w:sz w:val="20"/>
                <w:szCs w:val="20"/>
                <w:lang w:eastAsia="en-GB"/>
              </w:rPr>
            </w:pPr>
          </w:p>
          <w:p w14:paraId="29FAFB02" w14:textId="77777777" w:rsidR="002E0F29" w:rsidRDefault="002E0F29" w:rsidP="00DC1512">
            <w:pPr>
              <w:spacing w:after="0" w:line="240" w:lineRule="auto"/>
              <w:ind w:left="599" w:hanging="599"/>
              <w:rPr>
                <w:rFonts w:ascii="Arial" w:hAnsi="Arial" w:cs="Arial"/>
                <w:b/>
                <w:i/>
                <w:sz w:val="24"/>
                <w:szCs w:val="24"/>
              </w:rPr>
            </w:pPr>
          </w:p>
          <w:p w14:paraId="1C7C3F17" w14:textId="77777777" w:rsidR="002E0F29" w:rsidRDefault="002E0F29" w:rsidP="00DC1512">
            <w:pPr>
              <w:spacing w:after="0" w:line="240" w:lineRule="auto"/>
              <w:ind w:left="599" w:hanging="599"/>
              <w:rPr>
                <w:rFonts w:ascii="Arial" w:hAnsi="Arial" w:cs="Arial"/>
                <w:b/>
                <w:i/>
                <w:sz w:val="24"/>
                <w:szCs w:val="24"/>
              </w:rPr>
            </w:pPr>
          </w:p>
          <w:p w14:paraId="658D1425" w14:textId="77777777" w:rsidR="0002280B" w:rsidRDefault="00BB7D93" w:rsidP="00DC1512">
            <w:pPr>
              <w:spacing w:after="0" w:line="240" w:lineRule="auto"/>
              <w:ind w:left="599" w:hanging="599"/>
              <w:rPr>
                <w:rFonts w:ascii="Arial" w:hAnsi="Arial" w:cs="Arial"/>
                <w:b/>
                <w:i/>
                <w:sz w:val="24"/>
                <w:szCs w:val="24"/>
              </w:rPr>
            </w:pPr>
            <w:r w:rsidRPr="00FB1205">
              <w:rPr>
                <w:rFonts w:ascii="Arial" w:hAnsi="Arial" w:cs="Arial"/>
                <w:b/>
                <w:i/>
                <w:sz w:val="24"/>
                <w:szCs w:val="24"/>
              </w:rPr>
              <w:lastRenderedPageBreak/>
              <w:t>Group and company</w:t>
            </w:r>
            <w:r w:rsidR="0002280B">
              <w:rPr>
                <w:rFonts w:ascii="Arial" w:hAnsi="Arial" w:cs="Arial"/>
                <w:b/>
                <w:i/>
                <w:sz w:val="24"/>
                <w:szCs w:val="24"/>
              </w:rPr>
              <w:t xml:space="preserve"> balance sheets (continued)</w:t>
            </w:r>
          </w:p>
          <w:p w14:paraId="704AB185" w14:textId="77777777" w:rsidR="00DC1512" w:rsidRPr="00E64186" w:rsidRDefault="00DC1512" w:rsidP="00DC1512">
            <w:pPr>
              <w:spacing w:after="0" w:line="240" w:lineRule="auto"/>
              <w:ind w:left="599" w:hanging="599"/>
              <w:rPr>
                <w:rFonts w:ascii="Arial" w:eastAsia="Times New Roman" w:hAnsi="Arial" w:cs="Arial"/>
                <w:b/>
                <w:bCs/>
                <w:i/>
                <w:sz w:val="24"/>
                <w:szCs w:val="24"/>
                <w:lang w:eastAsia="en-GB"/>
              </w:rPr>
            </w:pPr>
            <w:r w:rsidRPr="00E64186">
              <w:rPr>
                <w:rFonts w:ascii="Arial" w:hAnsi="Arial" w:cs="Arial"/>
                <w:b/>
                <w:i/>
                <w:sz w:val="20"/>
                <w:szCs w:val="20"/>
              </w:rPr>
              <w:t xml:space="preserve">as at 31 August </w:t>
            </w:r>
            <w:r w:rsidR="0037645F" w:rsidRPr="00E64186">
              <w:rPr>
                <w:rFonts w:ascii="Arial" w:hAnsi="Arial" w:cs="Arial"/>
                <w:b/>
                <w:i/>
                <w:sz w:val="20"/>
                <w:szCs w:val="20"/>
              </w:rPr>
              <w:t>2020</w:t>
            </w:r>
          </w:p>
          <w:tbl>
            <w:tblPr>
              <w:tblpPr w:leftFromText="180" w:rightFromText="180" w:vertAnchor="text" w:horzAnchor="margin" w:tblpY="91"/>
              <w:tblOverlap w:val="never"/>
              <w:tblW w:w="9229" w:type="dxa"/>
              <w:tblLook w:val="04A0" w:firstRow="1" w:lastRow="0" w:firstColumn="1" w:lastColumn="0" w:noHBand="0" w:noVBand="1"/>
            </w:tblPr>
            <w:tblGrid>
              <w:gridCol w:w="4315"/>
              <w:gridCol w:w="835"/>
              <w:gridCol w:w="938"/>
              <w:gridCol w:w="1086"/>
              <w:gridCol w:w="1215"/>
              <w:gridCol w:w="840"/>
            </w:tblGrid>
            <w:tr w:rsidR="009C033F" w:rsidRPr="00D60034" w14:paraId="07F2B644" w14:textId="77777777" w:rsidTr="00EE6FBB">
              <w:trPr>
                <w:trHeight w:val="245"/>
              </w:trPr>
              <w:tc>
                <w:tcPr>
                  <w:tcW w:w="4315" w:type="dxa"/>
                  <w:tcBorders>
                    <w:top w:val="single" w:sz="4" w:space="0" w:color="auto"/>
                    <w:left w:val="nil"/>
                    <w:bottom w:val="nil"/>
                    <w:right w:val="nil"/>
                  </w:tcBorders>
                  <w:shd w:val="clear" w:color="auto" w:fill="auto"/>
                  <w:vAlign w:val="center"/>
                  <w:hideMark/>
                </w:tcPr>
                <w:p w14:paraId="7C893299" w14:textId="77777777" w:rsidR="009C033F" w:rsidRPr="00D60034" w:rsidRDefault="009C033F" w:rsidP="009C033F">
                  <w:pPr>
                    <w:rPr>
                      <w:rFonts w:ascii="Arial" w:eastAsia="Times New Roman" w:hAnsi="Arial" w:cs="Arial"/>
                      <w:sz w:val="20"/>
                      <w:szCs w:val="20"/>
                      <w:lang w:eastAsia="en-GB"/>
                    </w:rPr>
                  </w:pPr>
                  <w:r w:rsidRPr="00D60034">
                    <w:rPr>
                      <w:rFonts w:ascii="Arial" w:eastAsia="Times New Roman" w:hAnsi="Arial" w:cs="Arial"/>
                      <w:sz w:val="20"/>
                      <w:szCs w:val="20"/>
                      <w:lang w:eastAsia="en-GB"/>
                    </w:rPr>
                    <w:t> </w:t>
                  </w:r>
                </w:p>
              </w:tc>
              <w:tc>
                <w:tcPr>
                  <w:tcW w:w="835" w:type="dxa"/>
                  <w:tcBorders>
                    <w:top w:val="single" w:sz="4" w:space="0" w:color="auto"/>
                    <w:left w:val="nil"/>
                    <w:bottom w:val="nil"/>
                    <w:right w:val="nil"/>
                  </w:tcBorders>
                  <w:shd w:val="clear" w:color="auto" w:fill="auto"/>
                  <w:noWrap/>
                  <w:vAlign w:val="center"/>
                  <w:hideMark/>
                </w:tcPr>
                <w:p w14:paraId="36671E61" w14:textId="77777777" w:rsidR="009C033F" w:rsidRPr="00D60034" w:rsidRDefault="009C033F" w:rsidP="009C033F">
                  <w:pPr>
                    <w:spacing w:after="0" w:line="240" w:lineRule="auto"/>
                    <w:rPr>
                      <w:rFonts w:ascii="Arial" w:eastAsia="Times New Roman" w:hAnsi="Arial" w:cs="Arial"/>
                      <w:sz w:val="20"/>
                      <w:szCs w:val="20"/>
                      <w:lang w:eastAsia="en-GB"/>
                    </w:rPr>
                  </w:pPr>
                  <w:r w:rsidRPr="00D60034">
                    <w:rPr>
                      <w:rFonts w:ascii="Arial" w:eastAsia="Times New Roman" w:hAnsi="Arial" w:cs="Arial"/>
                      <w:sz w:val="20"/>
                      <w:szCs w:val="20"/>
                      <w:lang w:eastAsia="en-GB"/>
                    </w:rPr>
                    <w:t> </w:t>
                  </w:r>
                </w:p>
              </w:tc>
              <w:tc>
                <w:tcPr>
                  <w:tcW w:w="2024" w:type="dxa"/>
                  <w:gridSpan w:val="2"/>
                  <w:tcBorders>
                    <w:top w:val="single" w:sz="4" w:space="0" w:color="auto"/>
                    <w:left w:val="nil"/>
                    <w:bottom w:val="nil"/>
                    <w:right w:val="nil"/>
                  </w:tcBorders>
                  <w:shd w:val="clear" w:color="auto" w:fill="auto"/>
                  <w:noWrap/>
                  <w:vAlign w:val="center"/>
                  <w:hideMark/>
                </w:tcPr>
                <w:p w14:paraId="2D054063" w14:textId="77777777" w:rsidR="009C033F" w:rsidRPr="00D60034" w:rsidRDefault="009C033F" w:rsidP="009C033F">
                  <w:pPr>
                    <w:spacing w:after="0" w:line="240" w:lineRule="auto"/>
                    <w:jc w:val="center"/>
                    <w:rPr>
                      <w:rFonts w:ascii="Arial" w:eastAsia="Times New Roman" w:hAnsi="Arial" w:cs="Arial"/>
                      <w:b/>
                      <w:bCs/>
                      <w:sz w:val="20"/>
                      <w:szCs w:val="20"/>
                      <w:lang w:eastAsia="en-GB"/>
                    </w:rPr>
                  </w:pPr>
                  <w:r w:rsidRPr="00D60034">
                    <w:rPr>
                      <w:rFonts w:ascii="Arial" w:eastAsia="Times New Roman" w:hAnsi="Arial" w:cs="Arial"/>
                      <w:b/>
                      <w:bCs/>
                      <w:sz w:val="20"/>
                      <w:szCs w:val="20"/>
                      <w:lang w:eastAsia="en-GB"/>
                    </w:rPr>
                    <w:t>Group</w:t>
                  </w:r>
                </w:p>
              </w:tc>
              <w:tc>
                <w:tcPr>
                  <w:tcW w:w="2055" w:type="dxa"/>
                  <w:gridSpan w:val="2"/>
                  <w:tcBorders>
                    <w:top w:val="single" w:sz="4" w:space="0" w:color="auto"/>
                    <w:left w:val="nil"/>
                    <w:bottom w:val="nil"/>
                    <w:right w:val="nil"/>
                  </w:tcBorders>
                  <w:shd w:val="clear" w:color="auto" w:fill="auto"/>
                  <w:noWrap/>
                  <w:vAlign w:val="center"/>
                  <w:hideMark/>
                </w:tcPr>
                <w:p w14:paraId="3D83E4F1" w14:textId="77777777" w:rsidR="009C033F" w:rsidRPr="00D60034" w:rsidRDefault="009C033F" w:rsidP="009C033F">
                  <w:pPr>
                    <w:spacing w:after="0" w:line="240" w:lineRule="auto"/>
                    <w:jc w:val="center"/>
                    <w:rPr>
                      <w:rFonts w:ascii="Arial" w:eastAsia="Times New Roman" w:hAnsi="Arial" w:cs="Arial"/>
                      <w:b/>
                      <w:bCs/>
                      <w:sz w:val="20"/>
                      <w:szCs w:val="20"/>
                      <w:lang w:eastAsia="en-GB"/>
                    </w:rPr>
                  </w:pPr>
                  <w:r w:rsidRPr="00D60034">
                    <w:rPr>
                      <w:rFonts w:ascii="Arial" w:eastAsia="Times New Roman" w:hAnsi="Arial" w:cs="Arial"/>
                      <w:b/>
                      <w:bCs/>
                      <w:sz w:val="20"/>
                      <w:szCs w:val="20"/>
                      <w:lang w:eastAsia="en-GB"/>
                    </w:rPr>
                    <w:t>Company</w:t>
                  </w:r>
                </w:p>
              </w:tc>
            </w:tr>
            <w:tr w:rsidR="009C033F" w:rsidRPr="00D60034" w14:paraId="745A3C4A" w14:textId="77777777" w:rsidTr="00EE6FBB">
              <w:trPr>
                <w:trHeight w:val="245"/>
              </w:trPr>
              <w:tc>
                <w:tcPr>
                  <w:tcW w:w="4315" w:type="dxa"/>
                  <w:tcBorders>
                    <w:top w:val="nil"/>
                    <w:left w:val="nil"/>
                    <w:bottom w:val="nil"/>
                    <w:right w:val="nil"/>
                  </w:tcBorders>
                  <w:shd w:val="clear" w:color="auto" w:fill="auto"/>
                  <w:vAlign w:val="center"/>
                  <w:hideMark/>
                </w:tcPr>
                <w:p w14:paraId="0546F179" w14:textId="77777777" w:rsidR="009C033F" w:rsidRPr="00D60034" w:rsidRDefault="009C033F" w:rsidP="009C033F">
                  <w:pPr>
                    <w:spacing w:after="0" w:line="240" w:lineRule="auto"/>
                    <w:rPr>
                      <w:rFonts w:ascii="Arial" w:eastAsia="Times New Roman" w:hAnsi="Arial" w:cs="Arial"/>
                      <w:b/>
                      <w:bCs/>
                      <w:sz w:val="20"/>
                      <w:szCs w:val="20"/>
                      <w:lang w:eastAsia="en-GB"/>
                    </w:rPr>
                  </w:pPr>
                </w:p>
              </w:tc>
              <w:tc>
                <w:tcPr>
                  <w:tcW w:w="835" w:type="dxa"/>
                  <w:tcBorders>
                    <w:top w:val="nil"/>
                    <w:left w:val="nil"/>
                    <w:bottom w:val="nil"/>
                    <w:right w:val="nil"/>
                  </w:tcBorders>
                  <w:shd w:val="clear" w:color="auto" w:fill="auto"/>
                  <w:noWrap/>
                  <w:vAlign w:val="center"/>
                  <w:hideMark/>
                </w:tcPr>
                <w:p w14:paraId="0DAA6D3A" w14:textId="77777777" w:rsidR="009C033F" w:rsidRPr="00D60034" w:rsidRDefault="009C033F" w:rsidP="009C033F">
                  <w:pPr>
                    <w:spacing w:after="0" w:line="240" w:lineRule="auto"/>
                    <w:jc w:val="center"/>
                    <w:rPr>
                      <w:rFonts w:ascii="Arial" w:eastAsia="Times New Roman" w:hAnsi="Arial" w:cs="Arial"/>
                      <w:b/>
                      <w:bCs/>
                      <w:sz w:val="20"/>
                      <w:szCs w:val="20"/>
                      <w:lang w:eastAsia="en-GB"/>
                    </w:rPr>
                  </w:pPr>
                  <w:r w:rsidRPr="00D60034">
                    <w:rPr>
                      <w:rFonts w:ascii="Arial" w:eastAsia="Times New Roman" w:hAnsi="Arial" w:cs="Arial"/>
                      <w:b/>
                      <w:bCs/>
                      <w:sz w:val="20"/>
                      <w:szCs w:val="20"/>
                      <w:lang w:eastAsia="en-GB"/>
                    </w:rPr>
                    <w:t>Note</w:t>
                  </w:r>
                </w:p>
              </w:tc>
              <w:tc>
                <w:tcPr>
                  <w:tcW w:w="938" w:type="dxa"/>
                  <w:tcBorders>
                    <w:top w:val="nil"/>
                    <w:left w:val="nil"/>
                    <w:bottom w:val="nil"/>
                    <w:right w:val="nil"/>
                  </w:tcBorders>
                  <w:shd w:val="clear" w:color="auto" w:fill="auto"/>
                  <w:noWrap/>
                  <w:vAlign w:val="center"/>
                  <w:hideMark/>
                </w:tcPr>
                <w:p w14:paraId="5E2CFB5F" w14:textId="77777777" w:rsidR="009C033F" w:rsidRPr="00D60034" w:rsidRDefault="009C033F" w:rsidP="009C033F">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2020</w:t>
                  </w:r>
                </w:p>
              </w:tc>
              <w:tc>
                <w:tcPr>
                  <w:tcW w:w="1086" w:type="dxa"/>
                  <w:tcBorders>
                    <w:top w:val="nil"/>
                    <w:left w:val="nil"/>
                    <w:bottom w:val="nil"/>
                    <w:right w:val="nil"/>
                  </w:tcBorders>
                  <w:shd w:val="clear" w:color="auto" w:fill="auto"/>
                  <w:noWrap/>
                  <w:vAlign w:val="center"/>
                  <w:hideMark/>
                </w:tcPr>
                <w:p w14:paraId="7EB45947" w14:textId="77777777" w:rsidR="009C033F" w:rsidRPr="00D60034" w:rsidRDefault="009C033F" w:rsidP="009C033F">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2019</w:t>
                  </w:r>
                </w:p>
              </w:tc>
              <w:tc>
                <w:tcPr>
                  <w:tcW w:w="1215" w:type="dxa"/>
                  <w:tcBorders>
                    <w:top w:val="nil"/>
                    <w:left w:val="nil"/>
                    <w:bottom w:val="nil"/>
                    <w:right w:val="nil"/>
                  </w:tcBorders>
                  <w:shd w:val="clear" w:color="auto" w:fill="auto"/>
                  <w:noWrap/>
                  <w:vAlign w:val="center"/>
                  <w:hideMark/>
                </w:tcPr>
                <w:p w14:paraId="67D1FCF7" w14:textId="77777777" w:rsidR="009C033F" w:rsidRPr="00D60034" w:rsidRDefault="009C033F" w:rsidP="009C033F">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2020</w:t>
                  </w:r>
                </w:p>
              </w:tc>
              <w:tc>
                <w:tcPr>
                  <w:tcW w:w="839" w:type="dxa"/>
                  <w:tcBorders>
                    <w:top w:val="nil"/>
                    <w:left w:val="nil"/>
                    <w:bottom w:val="nil"/>
                    <w:right w:val="nil"/>
                  </w:tcBorders>
                  <w:shd w:val="clear" w:color="auto" w:fill="auto"/>
                  <w:noWrap/>
                  <w:vAlign w:val="center"/>
                  <w:hideMark/>
                </w:tcPr>
                <w:p w14:paraId="7DE27973" w14:textId="77777777" w:rsidR="009C033F" w:rsidRPr="00D60034" w:rsidRDefault="009C033F" w:rsidP="009C033F">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2019</w:t>
                  </w:r>
                </w:p>
              </w:tc>
            </w:tr>
            <w:tr w:rsidR="009C033F" w:rsidRPr="00D60034" w14:paraId="6FC26999" w14:textId="77777777" w:rsidTr="00EE6FBB">
              <w:trPr>
                <w:trHeight w:val="245"/>
              </w:trPr>
              <w:tc>
                <w:tcPr>
                  <w:tcW w:w="4315" w:type="dxa"/>
                  <w:tcBorders>
                    <w:top w:val="nil"/>
                    <w:left w:val="nil"/>
                    <w:bottom w:val="single" w:sz="4" w:space="0" w:color="auto"/>
                    <w:right w:val="nil"/>
                  </w:tcBorders>
                  <w:shd w:val="clear" w:color="auto" w:fill="auto"/>
                  <w:vAlign w:val="center"/>
                  <w:hideMark/>
                </w:tcPr>
                <w:p w14:paraId="44C7EB7A" w14:textId="77777777" w:rsidR="009C033F" w:rsidRPr="00D60034" w:rsidRDefault="009C033F" w:rsidP="009C033F">
                  <w:pPr>
                    <w:spacing w:after="0" w:line="240" w:lineRule="auto"/>
                    <w:rPr>
                      <w:rFonts w:ascii="Arial" w:eastAsia="Times New Roman" w:hAnsi="Arial" w:cs="Arial"/>
                      <w:sz w:val="20"/>
                      <w:szCs w:val="20"/>
                      <w:lang w:eastAsia="en-GB"/>
                    </w:rPr>
                  </w:pPr>
                  <w:r w:rsidRPr="00D60034">
                    <w:rPr>
                      <w:rFonts w:ascii="Arial" w:eastAsia="Times New Roman" w:hAnsi="Arial" w:cs="Arial"/>
                      <w:sz w:val="20"/>
                      <w:szCs w:val="20"/>
                      <w:lang w:eastAsia="en-GB"/>
                    </w:rPr>
                    <w:t> </w:t>
                  </w:r>
                </w:p>
              </w:tc>
              <w:tc>
                <w:tcPr>
                  <w:tcW w:w="835" w:type="dxa"/>
                  <w:tcBorders>
                    <w:top w:val="nil"/>
                    <w:left w:val="nil"/>
                    <w:bottom w:val="single" w:sz="4" w:space="0" w:color="auto"/>
                    <w:right w:val="nil"/>
                  </w:tcBorders>
                  <w:shd w:val="clear" w:color="auto" w:fill="auto"/>
                  <w:noWrap/>
                  <w:vAlign w:val="center"/>
                  <w:hideMark/>
                </w:tcPr>
                <w:p w14:paraId="44A18641" w14:textId="77777777" w:rsidR="009C033F" w:rsidRPr="00D60034" w:rsidRDefault="009C033F" w:rsidP="009C033F">
                  <w:pPr>
                    <w:spacing w:after="0" w:line="240" w:lineRule="auto"/>
                    <w:rPr>
                      <w:rFonts w:ascii="Arial" w:eastAsia="Times New Roman" w:hAnsi="Arial" w:cs="Arial"/>
                      <w:sz w:val="20"/>
                      <w:szCs w:val="20"/>
                      <w:lang w:eastAsia="en-GB"/>
                    </w:rPr>
                  </w:pPr>
                  <w:r w:rsidRPr="00D60034">
                    <w:rPr>
                      <w:rFonts w:ascii="Arial" w:eastAsia="Times New Roman" w:hAnsi="Arial" w:cs="Arial"/>
                      <w:sz w:val="20"/>
                      <w:szCs w:val="20"/>
                      <w:lang w:eastAsia="en-GB"/>
                    </w:rPr>
                    <w:t> </w:t>
                  </w:r>
                </w:p>
              </w:tc>
              <w:tc>
                <w:tcPr>
                  <w:tcW w:w="938" w:type="dxa"/>
                  <w:tcBorders>
                    <w:top w:val="nil"/>
                    <w:left w:val="nil"/>
                    <w:bottom w:val="single" w:sz="4" w:space="0" w:color="auto"/>
                    <w:right w:val="nil"/>
                  </w:tcBorders>
                  <w:shd w:val="clear" w:color="auto" w:fill="auto"/>
                  <w:noWrap/>
                  <w:vAlign w:val="center"/>
                  <w:hideMark/>
                </w:tcPr>
                <w:p w14:paraId="03A84AC7" w14:textId="77777777" w:rsidR="009C033F" w:rsidRPr="00D60034" w:rsidRDefault="009C033F" w:rsidP="009C033F">
                  <w:pPr>
                    <w:spacing w:after="0" w:line="240" w:lineRule="auto"/>
                    <w:jc w:val="right"/>
                    <w:rPr>
                      <w:rFonts w:ascii="Arial" w:eastAsia="Times New Roman" w:hAnsi="Arial" w:cs="Arial"/>
                      <w:b/>
                      <w:bCs/>
                      <w:sz w:val="20"/>
                      <w:szCs w:val="20"/>
                      <w:lang w:eastAsia="en-GB"/>
                    </w:rPr>
                  </w:pPr>
                  <w:r w:rsidRPr="00D60034">
                    <w:rPr>
                      <w:rFonts w:ascii="Arial" w:eastAsia="Times New Roman" w:hAnsi="Arial" w:cs="Arial"/>
                      <w:b/>
                      <w:bCs/>
                      <w:sz w:val="20"/>
                      <w:szCs w:val="20"/>
                      <w:lang w:eastAsia="en-GB"/>
                    </w:rPr>
                    <w:t>£'000</w:t>
                  </w:r>
                </w:p>
              </w:tc>
              <w:tc>
                <w:tcPr>
                  <w:tcW w:w="1086" w:type="dxa"/>
                  <w:tcBorders>
                    <w:top w:val="nil"/>
                    <w:left w:val="nil"/>
                    <w:bottom w:val="single" w:sz="4" w:space="0" w:color="auto"/>
                    <w:right w:val="nil"/>
                  </w:tcBorders>
                  <w:shd w:val="clear" w:color="auto" w:fill="auto"/>
                  <w:noWrap/>
                  <w:vAlign w:val="center"/>
                  <w:hideMark/>
                </w:tcPr>
                <w:p w14:paraId="6A495BA1" w14:textId="77777777" w:rsidR="009C033F" w:rsidRPr="00D60034" w:rsidRDefault="009C033F" w:rsidP="009C033F">
                  <w:pPr>
                    <w:spacing w:after="0" w:line="240" w:lineRule="auto"/>
                    <w:jc w:val="right"/>
                    <w:rPr>
                      <w:rFonts w:ascii="Arial" w:eastAsia="Times New Roman" w:hAnsi="Arial" w:cs="Arial"/>
                      <w:sz w:val="20"/>
                      <w:szCs w:val="20"/>
                      <w:lang w:eastAsia="en-GB"/>
                    </w:rPr>
                  </w:pPr>
                  <w:r w:rsidRPr="00D60034">
                    <w:rPr>
                      <w:rFonts w:ascii="Arial" w:eastAsia="Times New Roman" w:hAnsi="Arial" w:cs="Arial"/>
                      <w:sz w:val="20"/>
                      <w:szCs w:val="20"/>
                      <w:lang w:eastAsia="en-GB"/>
                    </w:rPr>
                    <w:t>£'000</w:t>
                  </w:r>
                </w:p>
              </w:tc>
              <w:tc>
                <w:tcPr>
                  <w:tcW w:w="1215" w:type="dxa"/>
                  <w:tcBorders>
                    <w:top w:val="nil"/>
                    <w:left w:val="nil"/>
                    <w:bottom w:val="single" w:sz="4" w:space="0" w:color="auto"/>
                    <w:right w:val="nil"/>
                  </w:tcBorders>
                  <w:shd w:val="clear" w:color="auto" w:fill="auto"/>
                  <w:noWrap/>
                  <w:vAlign w:val="center"/>
                  <w:hideMark/>
                </w:tcPr>
                <w:p w14:paraId="1B4D1731" w14:textId="77777777" w:rsidR="009C033F" w:rsidRPr="00D60034" w:rsidRDefault="009C033F" w:rsidP="009C033F">
                  <w:pPr>
                    <w:spacing w:after="0" w:line="240" w:lineRule="auto"/>
                    <w:jc w:val="right"/>
                    <w:rPr>
                      <w:rFonts w:ascii="Arial" w:eastAsia="Times New Roman" w:hAnsi="Arial" w:cs="Arial"/>
                      <w:b/>
                      <w:bCs/>
                      <w:sz w:val="20"/>
                      <w:szCs w:val="20"/>
                      <w:lang w:eastAsia="en-GB"/>
                    </w:rPr>
                  </w:pPr>
                  <w:r w:rsidRPr="00D60034">
                    <w:rPr>
                      <w:rFonts w:ascii="Arial" w:eastAsia="Times New Roman" w:hAnsi="Arial" w:cs="Arial"/>
                      <w:b/>
                      <w:bCs/>
                      <w:sz w:val="20"/>
                      <w:szCs w:val="20"/>
                      <w:lang w:eastAsia="en-GB"/>
                    </w:rPr>
                    <w:t>£'000</w:t>
                  </w:r>
                </w:p>
              </w:tc>
              <w:tc>
                <w:tcPr>
                  <w:tcW w:w="839" w:type="dxa"/>
                  <w:tcBorders>
                    <w:top w:val="nil"/>
                    <w:left w:val="nil"/>
                    <w:bottom w:val="single" w:sz="4" w:space="0" w:color="auto"/>
                    <w:right w:val="nil"/>
                  </w:tcBorders>
                  <w:shd w:val="clear" w:color="auto" w:fill="auto"/>
                  <w:noWrap/>
                  <w:vAlign w:val="center"/>
                  <w:hideMark/>
                </w:tcPr>
                <w:p w14:paraId="777F7542" w14:textId="77777777" w:rsidR="009C033F" w:rsidRPr="00D60034" w:rsidRDefault="009C033F" w:rsidP="009C033F">
                  <w:pPr>
                    <w:spacing w:after="0" w:line="240" w:lineRule="auto"/>
                    <w:jc w:val="right"/>
                    <w:rPr>
                      <w:rFonts w:ascii="Arial" w:eastAsia="Times New Roman" w:hAnsi="Arial" w:cs="Arial"/>
                      <w:sz w:val="20"/>
                      <w:szCs w:val="20"/>
                      <w:lang w:eastAsia="en-GB"/>
                    </w:rPr>
                  </w:pPr>
                  <w:r w:rsidRPr="00D60034">
                    <w:rPr>
                      <w:rFonts w:ascii="Arial" w:eastAsia="Times New Roman" w:hAnsi="Arial" w:cs="Arial"/>
                      <w:sz w:val="20"/>
                      <w:szCs w:val="20"/>
                      <w:lang w:eastAsia="en-GB"/>
                    </w:rPr>
                    <w:t>£'000</w:t>
                  </w:r>
                </w:p>
              </w:tc>
            </w:tr>
          </w:tbl>
          <w:p w14:paraId="1059FFE8" w14:textId="77777777" w:rsidR="00DC1512" w:rsidRDefault="00DC1512" w:rsidP="00676596">
            <w:pPr>
              <w:spacing w:after="0" w:line="240" w:lineRule="auto"/>
              <w:rPr>
                <w:rFonts w:ascii="Arial" w:eastAsia="Times New Roman" w:hAnsi="Arial" w:cs="Arial"/>
                <w:b/>
                <w:bCs/>
                <w:sz w:val="20"/>
                <w:szCs w:val="20"/>
                <w:lang w:eastAsia="en-GB"/>
              </w:rPr>
            </w:pPr>
          </w:p>
          <w:p w14:paraId="67BB1B5B" w14:textId="77777777" w:rsidR="009C033F" w:rsidRDefault="009C033F" w:rsidP="005E6F49">
            <w:pPr>
              <w:spacing w:after="0" w:line="240" w:lineRule="auto"/>
              <w:rPr>
                <w:rFonts w:ascii="Arial" w:eastAsia="Times New Roman" w:hAnsi="Arial" w:cs="Arial"/>
                <w:b/>
                <w:bCs/>
                <w:sz w:val="20"/>
                <w:szCs w:val="20"/>
                <w:lang w:eastAsia="en-GB"/>
              </w:rPr>
            </w:pPr>
          </w:p>
          <w:p w14:paraId="1015551E" w14:textId="77777777" w:rsidR="009C033F" w:rsidRDefault="009C033F" w:rsidP="005E6F49">
            <w:pPr>
              <w:spacing w:after="0" w:line="240" w:lineRule="auto"/>
              <w:rPr>
                <w:rFonts w:ascii="Arial" w:eastAsia="Times New Roman" w:hAnsi="Arial" w:cs="Arial"/>
                <w:b/>
                <w:bCs/>
                <w:sz w:val="20"/>
                <w:szCs w:val="20"/>
                <w:lang w:eastAsia="en-GB"/>
              </w:rPr>
            </w:pPr>
          </w:p>
          <w:p w14:paraId="1D6F1852" w14:textId="77777777" w:rsidR="009C033F" w:rsidRDefault="009C033F" w:rsidP="005E6F49">
            <w:pPr>
              <w:spacing w:after="0" w:line="240" w:lineRule="auto"/>
              <w:rPr>
                <w:rFonts w:ascii="Arial" w:eastAsia="Times New Roman" w:hAnsi="Arial" w:cs="Arial"/>
                <w:b/>
                <w:bCs/>
                <w:sz w:val="20"/>
                <w:szCs w:val="20"/>
                <w:lang w:eastAsia="en-GB"/>
              </w:rPr>
            </w:pPr>
          </w:p>
          <w:p w14:paraId="4A04D303" w14:textId="77777777" w:rsidR="009C033F" w:rsidRDefault="009C033F" w:rsidP="005E6F49">
            <w:pPr>
              <w:spacing w:after="0" w:line="240" w:lineRule="auto"/>
              <w:rPr>
                <w:rFonts w:ascii="Arial" w:eastAsia="Times New Roman" w:hAnsi="Arial" w:cs="Arial"/>
                <w:b/>
                <w:bCs/>
                <w:sz w:val="20"/>
                <w:szCs w:val="20"/>
                <w:lang w:eastAsia="en-GB"/>
              </w:rPr>
            </w:pPr>
          </w:p>
          <w:p w14:paraId="361FF009" w14:textId="77777777" w:rsidR="009C033F" w:rsidRDefault="009C033F" w:rsidP="005E6F49">
            <w:pPr>
              <w:spacing w:after="0" w:line="240" w:lineRule="auto"/>
              <w:rPr>
                <w:rFonts w:ascii="Arial" w:eastAsia="Times New Roman" w:hAnsi="Arial" w:cs="Arial"/>
                <w:b/>
                <w:bCs/>
                <w:sz w:val="20"/>
                <w:szCs w:val="20"/>
                <w:lang w:eastAsia="en-GB"/>
              </w:rPr>
            </w:pPr>
          </w:p>
          <w:p w14:paraId="024849DD" w14:textId="77777777" w:rsidR="00DC1512" w:rsidRPr="00D60034" w:rsidRDefault="00DC1512" w:rsidP="005E6F49">
            <w:pPr>
              <w:spacing w:after="0" w:line="240" w:lineRule="auto"/>
              <w:rPr>
                <w:rFonts w:ascii="Arial" w:eastAsia="Times New Roman" w:hAnsi="Arial" w:cs="Arial"/>
                <w:sz w:val="20"/>
                <w:szCs w:val="20"/>
                <w:lang w:eastAsia="en-GB"/>
              </w:rPr>
            </w:pPr>
            <w:r w:rsidRPr="00D60034">
              <w:rPr>
                <w:rFonts w:ascii="Arial" w:eastAsia="Times New Roman" w:hAnsi="Arial" w:cs="Arial"/>
                <w:b/>
                <w:bCs/>
                <w:sz w:val="20"/>
                <w:szCs w:val="20"/>
                <w:lang w:eastAsia="en-GB"/>
              </w:rPr>
              <w:t>Funds</w:t>
            </w:r>
          </w:p>
        </w:tc>
      </w:tr>
      <w:tr w:rsidR="00FE64E5" w:rsidRPr="00D60034" w14:paraId="0A447399" w14:textId="77777777" w:rsidTr="00EE6FBB">
        <w:trPr>
          <w:gridAfter w:val="2"/>
          <w:wAfter w:w="1708" w:type="dxa"/>
          <w:trHeight w:val="245"/>
          <w:jc w:val="center"/>
        </w:trPr>
        <w:tc>
          <w:tcPr>
            <w:tcW w:w="4593" w:type="dxa"/>
            <w:gridSpan w:val="3"/>
            <w:tcBorders>
              <w:top w:val="nil"/>
              <w:left w:val="nil"/>
              <w:bottom w:val="nil"/>
              <w:right w:val="nil"/>
            </w:tcBorders>
            <w:shd w:val="clear" w:color="auto" w:fill="auto"/>
            <w:vAlign w:val="center"/>
            <w:hideMark/>
          </w:tcPr>
          <w:p w14:paraId="6508A4B5" w14:textId="77777777" w:rsidR="00FE64E5" w:rsidRPr="00D60034" w:rsidRDefault="00FE64E5" w:rsidP="000C17F5">
            <w:pPr>
              <w:spacing w:after="0" w:line="276" w:lineRule="auto"/>
              <w:rPr>
                <w:rFonts w:ascii="Arial" w:eastAsia="Times New Roman" w:hAnsi="Arial" w:cs="Arial"/>
                <w:sz w:val="20"/>
                <w:szCs w:val="20"/>
                <w:lang w:eastAsia="en-GB"/>
              </w:rPr>
            </w:pPr>
            <w:r w:rsidRPr="00D60034">
              <w:rPr>
                <w:rFonts w:ascii="Arial" w:eastAsia="Times New Roman" w:hAnsi="Arial" w:cs="Arial"/>
                <w:sz w:val="20"/>
                <w:szCs w:val="20"/>
                <w:lang w:eastAsia="en-GB"/>
              </w:rPr>
              <w:lastRenderedPageBreak/>
              <w:t>Designated funds</w:t>
            </w:r>
          </w:p>
        </w:tc>
        <w:tc>
          <w:tcPr>
            <w:tcW w:w="734" w:type="dxa"/>
            <w:tcBorders>
              <w:top w:val="nil"/>
              <w:left w:val="nil"/>
              <w:bottom w:val="nil"/>
              <w:right w:val="nil"/>
            </w:tcBorders>
            <w:shd w:val="clear" w:color="auto" w:fill="auto"/>
            <w:noWrap/>
            <w:vAlign w:val="bottom"/>
            <w:hideMark/>
          </w:tcPr>
          <w:p w14:paraId="17A38DD2" w14:textId="77777777" w:rsidR="00FE64E5" w:rsidRPr="00D60034" w:rsidRDefault="00FE64E5" w:rsidP="000C17F5">
            <w:pPr>
              <w:spacing w:after="0" w:line="276" w:lineRule="auto"/>
              <w:rPr>
                <w:rFonts w:ascii="Arial" w:eastAsia="Times New Roman" w:hAnsi="Arial" w:cs="Arial"/>
                <w:sz w:val="20"/>
                <w:szCs w:val="20"/>
                <w:lang w:eastAsia="en-GB"/>
              </w:rPr>
            </w:pPr>
            <w:r w:rsidRPr="00D60034">
              <w:rPr>
                <w:rFonts w:ascii="Arial" w:eastAsia="Times New Roman" w:hAnsi="Arial" w:cs="Arial"/>
                <w:sz w:val="20"/>
                <w:szCs w:val="20"/>
                <w:lang w:eastAsia="en-GB"/>
              </w:rPr>
              <w:t>18</w:t>
            </w:r>
          </w:p>
        </w:tc>
        <w:tc>
          <w:tcPr>
            <w:tcW w:w="1009" w:type="dxa"/>
            <w:tcBorders>
              <w:top w:val="nil"/>
              <w:left w:val="nil"/>
              <w:bottom w:val="nil"/>
              <w:right w:val="nil"/>
            </w:tcBorders>
            <w:shd w:val="clear" w:color="auto" w:fill="auto"/>
            <w:noWrap/>
            <w:vAlign w:val="center"/>
          </w:tcPr>
          <w:p w14:paraId="78847180" w14:textId="77777777" w:rsidR="00FE64E5" w:rsidRPr="00D60034" w:rsidRDefault="007541EF" w:rsidP="000C17F5">
            <w:pPr>
              <w:spacing w:after="0" w:line="276" w:lineRule="auto"/>
              <w:ind w:right="-14"/>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1,511</w:t>
            </w:r>
          </w:p>
        </w:tc>
        <w:tc>
          <w:tcPr>
            <w:tcW w:w="974" w:type="dxa"/>
            <w:gridSpan w:val="2"/>
            <w:tcBorders>
              <w:top w:val="nil"/>
              <w:left w:val="nil"/>
              <w:bottom w:val="nil"/>
              <w:right w:val="nil"/>
            </w:tcBorders>
            <w:shd w:val="clear" w:color="auto" w:fill="auto"/>
            <w:noWrap/>
            <w:vAlign w:val="center"/>
            <w:hideMark/>
          </w:tcPr>
          <w:p w14:paraId="0C032EE5" w14:textId="77777777" w:rsidR="00FE64E5" w:rsidRPr="00FE64E5" w:rsidRDefault="00FE64E5" w:rsidP="000C17F5">
            <w:pPr>
              <w:spacing w:after="0" w:line="276" w:lineRule="auto"/>
              <w:jc w:val="right"/>
              <w:rPr>
                <w:rFonts w:ascii="Arial" w:eastAsia="Times New Roman" w:hAnsi="Arial" w:cs="Arial"/>
                <w:sz w:val="20"/>
                <w:szCs w:val="20"/>
                <w:lang w:eastAsia="en-GB"/>
              </w:rPr>
            </w:pPr>
            <w:r w:rsidRPr="00FE64E5">
              <w:rPr>
                <w:rFonts w:ascii="Arial" w:eastAsia="Times New Roman" w:hAnsi="Arial" w:cs="Arial"/>
                <w:bCs/>
                <w:sz w:val="20"/>
                <w:szCs w:val="20"/>
                <w:lang w:eastAsia="en-GB"/>
              </w:rPr>
              <w:t>1,733</w:t>
            </w:r>
          </w:p>
        </w:tc>
        <w:tc>
          <w:tcPr>
            <w:tcW w:w="1252" w:type="dxa"/>
            <w:gridSpan w:val="2"/>
            <w:tcBorders>
              <w:top w:val="nil"/>
              <w:left w:val="nil"/>
              <w:bottom w:val="nil"/>
              <w:right w:val="nil"/>
            </w:tcBorders>
            <w:shd w:val="clear" w:color="auto" w:fill="auto"/>
            <w:noWrap/>
            <w:vAlign w:val="center"/>
          </w:tcPr>
          <w:p w14:paraId="712AB02D" w14:textId="77777777" w:rsidR="00FE64E5" w:rsidRPr="00D60034" w:rsidRDefault="002F78F2" w:rsidP="000C17F5">
            <w:pPr>
              <w:spacing w:after="0" w:line="276"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1,306</w:t>
            </w:r>
          </w:p>
        </w:tc>
        <w:tc>
          <w:tcPr>
            <w:tcW w:w="834" w:type="dxa"/>
            <w:gridSpan w:val="2"/>
            <w:tcBorders>
              <w:top w:val="nil"/>
              <w:left w:val="nil"/>
              <w:bottom w:val="nil"/>
              <w:right w:val="nil"/>
            </w:tcBorders>
            <w:shd w:val="clear" w:color="auto" w:fill="auto"/>
            <w:noWrap/>
            <w:vAlign w:val="center"/>
            <w:hideMark/>
          </w:tcPr>
          <w:p w14:paraId="0DB595E7" w14:textId="77777777" w:rsidR="00FE64E5" w:rsidRPr="00FE64E5" w:rsidRDefault="00FE64E5" w:rsidP="000C17F5">
            <w:pPr>
              <w:spacing w:after="0" w:line="276" w:lineRule="auto"/>
              <w:jc w:val="right"/>
              <w:rPr>
                <w:rFonts w:ascii="Arial" w:eastAsia="Times New Roman" w:hAnsi="Arial" w:cs="Arial"/>
                <w:sz w:val="20"/>
                <w:szCs w:val="20"/>
                <w:lang w:eastAsia="en-GB"/>
              </w:rPr>
            </w:pPr>
            <w:r w:rsidRPr="00FE64E5">
              <w:rPr>
                <w:rFonts w:ascii="Arial" w:eastAsia="Times New Roman" w:hAnsi="Arial" w:cs="Arial"/>
                <w:bCs/>
                <w:sz w:val="20"/>
                <w:szCs w:val="20"/>
                <w:lang w:eastAsia="en-GB"/>
              </w:rPr>
              <w:t>1,528</w:t>
            </w:r>
          </w:p>
        </w:tc>
      </w:tr>
      <w:tr w:rsidR="00FE64E5" w:rsidRPr="00543D10" w14:paraId="67F940C6" w14:textId="77777777" w:rsidTr="00EE6FBB">
        <w:trPr>
          <w:gridAfter w:val="2"/>
          <w:wAfter w:w="1708" w:type="dxa"/>
          <w:trHeight w:val="245"/>
          <w:jc w:val="center"/>
        </w:trPr>
        <w:tc>
          <w:tcPr>
            <w:tcW w:w="4593" w:type="dxa"/>
            <w:gridSpan w:val="3"/>
            <w:tcBorders>
              <w:top w:val="nil"/>
              <w:left w:val="nil"/>
              <w:right w:val="nil"/>
            </w:tcBorders>
            <w:shd w:val="clear" w:color="auto" w:fill="auto"/>
            <w:vAlign w:val="center"/>
            <w:hideMark/>
          </w:tcPr>
          <w:p w14:paraId="7F135C4A" w14:textId="77777777" w:rsidR="00FE64E5" w:rsidRPr="00543D10" w:rsidRDefault="00FE64E5" w:rsidP="000C17F5">
            <w:pPr>
              <w:spacing w:after="0" w:line="276" w:lineRule="auto"/>
              <w:rPr>
                <w:rFonts w:ascii="Arial" w:eastAsia="Times New Roman" w:hAnsi="Arial" w:cs="Arial"/>
                <w:sz w:val="20"/>
                <w:szCs w:val="20"/>
                <w:lang w:eastAsia="en-GB"/>
              </w:rPr>
            </w:pPr>
            <w:r w:rsidRPr="00543D10">
              <w:rPr>
                <w:rFonts w:ascii="Arial" w:eastAsia="Times New Roman" w:hAnsi="Arial" w:cs="Arial"/>
                <w:sz w:val="20"/>
                <w:szCs w:val="20"/>
                <w:lang w:eastAsia="en-GB"/>
              </w:rPr>
              <w:t>General funds</w:t>
            </w:r>
          </w:p>
        </w:tc>
        <w:tc>
          <w:tcPr>
            <w:tcW w:w="734" w:type="dxa"/>
            <w:tcBorders>
              <w:top w:val="nil"/>
              <w:left w:val="nil"/>
              <w:bottom w:val="nil"/>
              <w:right w:val="nil"/>
            </w:tcBorders>
            <w:shd w:val="clear" w:color="auto" w:fill="auto"/>
            <w:noWrap/>
            <w:vAlign w:val="bottom"/>
            <w:hideMark/>
          </w:tcPr>
          <w:p w14:paraId="24C88D6D" w14:textId="77777777" w:rsidR="00FE64E5" w:rsidRPr="00543D10" w:rsidRDefault="00FE64E5" w:rsidP="000C17F5">
            <w:pPr>
              <w:spacing w:after="0" w:line="276" w:lineRule="auto"/>
              <w:rPr>
                <w:rFonts w:ascii="Arial" w:eastAsia="Times New Roman" w:hAnsi="Arial" w:cs="Arial"/>
                <w:sz w:val="20"/>
                <w:szCs w:val="20"/>
                <w:lang w:eastAsia="en-GB"/>
              </w:rPr>
            </w:pPr>
            <w:r w:rsidRPr="00543D10">
              <w:rPr>
                <w:rFonts w:ascii="Arial" w:eastAsia="Times New Roman" w:hAnsi="Arial" w:cs="Arial"/>
                <w:sz w:val="20"/>
                <w:szCs w:val="20"/>
                <w:lang w:eastAsia="en-GB"/>
              </w:rPr>
              <w:t>18</w:t>
            </w:r>
          </w:p>
        </w:tc>
        <w:tc>
          <w:tcPr>
            <w:tcW w:w="1009" w:type="dxa"/>
            <w:tcBorders>
              <w:top w:val="nil"/>
              <w:left w:val="nil"/>
              <w:bottom w:val="single" w:sz="4" w:space="0" w:color="auto"/>
              <w:right w:val="nil"/>
            </w:tcBorders>
            <w:shd w:val="clear" w:color="auto" w:fill="auto"/>
            <w:noWrap/>
            <w:vAlign w:val="center"/>
          </w:tcPr>
          <w:p w14:paraId="3CE662E4" w14:textId="77777777" w:rsidR="00FE64E5" w:rsidRPr="00543D10" w:rsidRDefault="002F78F2" w:rsidP="000C17F5">
            <w:pPr>
              <w:spacing w:after="0" w:line="276" w:lineRule="auto"/>
              <w:ind w:right="-14"/>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2</w:t>
            </w:r>
            <w:r w:rsidR="00BB27D0">
              <w:rPr>
                <w:rFonts w:ascii="Arial" w:eastAsia="Times New Roman" w:hAnsi="Arial" w:cs="Arial"/>
                <w:b/>
                <w:bCs/>
                <w:sz w:val="20"/>
                <w:szCs w:val="20"/>
                <w:lang w:eastAsia="en-GB"/>
              </w:rPr>
              <w:t>3,556</w:t>
            </w:r>
          </w:p>
        </w:tc>
        <w:tc>
          <w:tcPr>
            <w:tcW w:w="974" w:type="dxa"/>
            <w:gridSpan w:val="2"/>
            <w:tcBorders>
              <w:top w:val="nil"/>
              <w:left w:val="nil"/>
              <w:bottom w:val="single" w:sz="4" w:space="0" w:color="auto"/>
              <w:right w:val="nil"/>
            </w:tcBorders>
            <w:shd w:val="clear" w:color="auto" w:fill="auto"/>
            <w:noWrap/>
            <w:vAlign w:val="center"/>
            <w:hideMark/>
          </w:tcPr>
          <w:p w14:paraId="6D6CABED" w14:textId="77777777" w:rsidR="00FE64E5" w:rsidRPr="00FE64E5" w:rsidRDefault="00FE64E5" w:rsidP="000C17F5">
            <w:pPr>
              <w:spacing w:after="0" w:line="276" w:lineRule="auto"/>
              <w:jc w:val="right"/>
              <w:rPr>
                <w:rFonts w:ascii="Arial" w:eastAsia="Times New Roman" w:hAnsi="Arial" w:cs="Arial"/>
                <w:sz w:val="20"/>
                <w:szCs w:val="20"/>
                <w:lang w:eastAsia="en-GB"/>
              </w:rPr>
            </w:pPr>
            <w:r w:rsidRPr="00FE64E5">
              <w:rPr>
                <w:rFonts w:ascii="Arial" w:eastAsia="Times New Roman" w:hAnsi="Arial" w:cs="Arial"/>
                <w:bCs/>
                <w:sz w:val="20"/>
                <w:szCs w:val="20"/>
                <w:lang w:eastAsia="en-GB"/>
              </w:rPr>
              <w:t>35,430</w:t>
            </w:r>
          </w:p>
        </w:tc>
        <w:tc>
          <w:tcPr>
            <w:tcW w:w="1252" w:type="dxa"/>
            <w:gridSpan w:val="2"/>
            <w:tcBorders>
              <w:top w:val="nil"/>
              <w:left w:val="nil"/>
              <w:bottom w:val="single" w:sz="4" w:space="0" w:color="auto"/>
              <w:right w:val="nil"/>
            </w:tcBorders>
            <w:shd w:val="clear" w:color="auto" w:fill="auto"/>
            <w:noWrap/>
            <w:vAlign w:val="center"/>
          </w:tcPr>
          <w:p w14:paraId="7D0CA0E6" w14:textId="77777777" w:rsidR="00FE64E5" w:rsidRPr="00543D10" w:rsidRDefault="00865A9E" w:rsidP="000C17F5">
            <w:pPr>
              <w:spacing w:after="0" w:line="276"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14,425</w:t>
            </w:r>
          </w:p>
        </w:tc>
        <w:tc>
          <w:tcPr>
            <w:tcW w:w="834" w:type="dxa"/>
            <w:gridSpan w:val="2"/>
            <w:tcBorders>
              <w:top w:val="nil"/>
              <w:left w:val="nil"/>
              <w:bottom w:val="single" w:sz="4" w:space="0" w:color="auto"/>
              <w:right w:val="nil"/>
            </w:tcBorders>
            <w:shd w:val="clear" w:color="auto" w:fill="auto"/>
            <w:noWrap/>
            <w:vAlign w:val="center"/>
            <w:hideMark/>
          </w:tcPr>
          <w:p w14:paraId="688596DB" w14:textId="77777777" w:rsidR="00FE64E5" w:rsidRPr="00FE64E5" w:rsidRDefault="00FE64E5" w:rsidP="000C17F5">
            <w:pPr>
              <w:spacing w:after="0" w:line="276" w:lineRule="auto"/>
              <w:jc w:val="right"/>
              <w:rPr>
                <w:rFonts w:ascii="Arial" w:eastAsia="Times New Roman" w:hAnsi="Arial" w:cs="Arial"/>
                <w:sz w:val="20"/>
                <w:szCs w:val="20"/>
                <w:lang w:eastAsia="en-GB"/>
              </w:rPr>
            </w:pPr>
            <w:r w:rsidRPr="00FE64E5">
              <w:rPr>
                <w:rFonts w:ascii="Arial" w:eastAsia="Times New Roman" w:hAnsi="Arial" w:cs="Arial"/>
                <w:bCs/>
                <w:sz w:val="20"/>
                <w:szCs w:val="20"/>
                <w:lang w:eastAsia="en-GB"/>
              </w:rPr>
              <w:t>20,612</w:t>
            </w:r>
          </w:p>
        </w:tc>
      </w:tr>
      <w:tr w:rsidR="00FE64E5" w:rsidRPr="00543D10" w14:paraId="378836AC" w14:textId="77777777" w:rsidTr="00EE6FBB">
        <w:trPr>
          <w:gridAfter w:val="2"/>
          <w:wAfter w:w="1708" w:type="dxa"/>
          <w:trHeight w:val="193"/>
          <w:jc w:val="center"/>
        </w:trPr>
        <w:tc>
          <w:tcPr>
            <w:tcW w:w="4593" w:type="dxa"/>
            <w:gridSpan w:val="3"/>
            <w:tcBorders>
              <w:top w:val="nil"/>
              <w:left w:val="nil"/>
              <w:bottom w:val="nil"/>
              <w:right w:val="nil"/>
            </w:tcBorders>
            <w:shd w:val="clear" w:color="auto" w:fill="auto"/>
            <w:vAlign w:val="center"/>
            <w:hideMark/>
          </w:tcPr>
          <w:p w14:paraId="6036D760" w14:textId="77777777" w:rsidR="00FE64E5" w:rsidRPr="00543D10" w:rsidRDefault="00FE64E5" w:rsidP="000C17F5">
            <w:pPr>
              <w:spacing w:after="0" w:line="276" w:lineRule="auto"/>
              <w:rPr>
                <w:rFonts w:ascii="Arial" w:eastAsia="Times New Roman" w:hAnsi="Arial" w:cs="Arial"/>
                <w:b/>
                <w:bCs/>
                <w:sz w:val="20"/>
                <w:szCs w:val="20"/>
                <w:lang w:eastAsia="en-GB"/>
              </w:rPr>
            </w:pPr>
            <w:r w:rsidRPr="00543D10">
              <w:rPr>
                <w:rFonts w:ascii="Arial" w:eastAsia="Times New Roman" w:hAnsi="Arial" w:cs="Arial"/>
                <w:b/>
                <w:bCs/>
                <w:sz w:val="20"/>
                <w:szCs w:val="20"/>
                <w:lang w:eastAsia="en-GB"/>
              </w:rPr>
              <w:t>Total unrestricted funds excluding pension liability</w:t>
            </w:r>
          </w:p>
        </w:tc>
        <w:tc>
          <w:tcPr>
            <w:tcW w:w="734" w:type="dxa"/>
            <w:tcBorders>
              <w:top w:val="nil"/>
              <w:left w:val="nil"/>
              <w:bottom w:val="nil"/>
              <w:right w:val="nil"/>
            </w:tcBorders>
            <w:shd w:val="clear" w:color="auto" w:fill="auto"/>
            <w:noWrap/>
            <w:vAlign w:val="bottom"/>
            <w:hideMark/>
          </w:tcPr>
          <w:p w14:paraId="32F169D9" w14:textId="77777777" w:rsidR="00FE64E5" w:rsidRPr="00543D10" w:rsidRDefault="00FE64E5" w:rsidP="000C17F5">
            <w:pPr>
              <w:spacing w:after="0" w:line="276" w:lineRule="auto"/>
              <w:rPr>
                <w:rFonts w:ascii="Arial" w:eastAsia="Times New Roman" w:hAnsi="Arial" w:cs="Arial"/>
                <w:b/>
                <w:bCs/>
                <w:sz w:val="20"/>
                <w:szCs w:val="20"/>
                <w:lang w:eastAsia="en-GB"/>
              </w:rPr>
            </w:pPr>
          </w:p>
        </w:tc>
        <w:tc>
          <w:tcPr>
            <w:tcW w:w="1009" w:type="dxa"/>
            <w:tcBorders>
              <w:top w:val="nil"/>
              <w:left w:val="nil"/>
              <w:bottom w:val="nil"/>
              <w:right w:val="nil"/>
            </w:tcBorders>
            <w:shd w:val="clear" w:color="auto" w:fill="auto"/>
            <w:noWrap/>
            <w:vAlign w:val="center"/>
          </w:tcPr>
          <w:p w14:paraId="727679DA" w14:textId="77777777" w:rsidR="00FE64E5" w:rsidRPr="00543D10" w:rsidRDefault="007541EF" w:rsidP="000C17F5">
            <w:pPr>
              <w:spacing w:after="0" w:line="276" w:lineRule="auto"/>
              <w:ind w:right="-14"/>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2</w:t>
            </w:r>
            <w:r w:rsidR="00BB27D0">
              <w:rPr>
                <w:rFonts w:ascii="Arial" w:eastAsia="Times New Roman" w:hAnsi="Arial" w:cs="Arial"/>
                <w:b/>
                <w:bCs/>
                <w:sz w:val="20"/>
                <w:szCs w:val="20"/>
                <w:lang w:eastAsia="en-GB"/>
              </w:rPr>
              <w:t>5,067</w:t>
            </w:r>
          </w:p>
        </w:tc>
        <w:tc>
          <w:tcPr>
            <w:tcW w:w="974" w:type="dxa"/>
            <w:gridSpan w:val="2"/>
            <w:tcBorders>
              <w:top w:val="nil"/>
              <w:left w:val="nil"/>
              <w:bottom w:val="nil"/>
              <w:right w:val="nil"/>
            </w:tcBorders>
            <w:shd w:val="clear" w:color="auto" w:fill="auto"/>
            <w:noWrap/>
            <w:vAlign w:val="center"/>
            <w:hideMark/>
          </w:tcPr>
          <w:p w14:paraId="462DA019" w14:textId="77777777" w:rsidR="00FE64E5" w:rsidRPr="00FE64E5" w:rsidRDefault="00FE64E5" w:rsidP="000C17F5">
            <w:pPr>
              <w:spacing w:after="0" w:line="276" w:lineRule="auto"/>
              <w:jc w:val="right"/>
              <w:rPr>
                <w:rFonts w:ascii="Arial" w:eastAsia="Times New Roman" w:hAnsi="Arial" w:cs="Arial"/>
                <w:sz w:val="20"/>
                <w:szCs w:val="20"/>
                <w:lang w:eastAsia="en-GB"/>
              </w:rPr>
            </w:pPr>
            <w:r w:rsidRPr="00FE64E5">
              <w:rPr>
                <w:rFonts w:ascii="Arial" w:eastAsia="Times New Roman" w:hAnsi="Arial" w:cs="Arial"/>
                <w:bCs/>
                <w:sz w:val="20"/>
                <w:szCs w:val="20"/>
                <w:lang w:eastAsia="en-GB"/>
              </w:rPr>
              <w:t>37,163</w:t>
            </w:r>
          </w:p>
        </w:tc>
        <w:tc>
          <w:tcPr>
            <w:tcW w:w="1252" w:type="dxa"/>
            <w:gridSpan w:val="2"/>
            <w:tcBorders>
              <w:top w:val="nil"/>
              <w:left w:val="nil"/>
              <w:bottom w:val="nil"/>
              <w:right w:val="nil"/>
            </w:tcBorders>
            <w:shd w:val="clear" w:color="auto" w:fill="auto"/>
            <w:noWrap/>
            <w:vAlign w:val="center"/>
          </w:tcPr>
          <w:p w14:paraId="5F63BB51" w14:textId="77777777" w:rsidR="00FE64E5" w:rsidRPr="00543D10" w:rsidRDefault="002F78F2" w:rsidP="000C17F5">
            <w:pPr>
              <w:spacing w:after="0" w:line="276"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1</w:t>
            </w:r>
            <w:r w:rsidR="00865A9E">
              <w:rPr>
                <w:rFonts w:ascii="Arial" w:eastAsia="Times New Roman" w:hAnsi="Arial" w:cs="Arial"/>
                <w:b/>
                <w:bCs/>
                <w:sz w:val="20"/>
                <w:szCs w:val="20"/>
                <w:lang w:eastAsia="en-GB"/>
              </w:rPr>
              <w:t>5,731</w:t>
            </w:r>
          </w:p>
        </w:tc>
        <w:tc>
          <w:tcPr>
            <w:tcW w:w="834" w:type="dxa"/>
            <w:gridSpan w:val="2"/>
            <w:tcBorders>
              <w:top w:val="nil"/>
              <w:left w:val="nil"/>
              <w:bottom w:val="nil"/>
              <w:right w:val="nil"/>
            </w:tcBorders>
            <w:shd w:val="clear" w:color="auto" w:fill="auto"/>
            <w:noWrap/>
            <w:vAlign w:val="center"/>
            <w:hideMark/>
          </w:tcPr>
          <w:p w14:paraId="10160345" w14:textId="77777777" w:rsidR="00FE64E5" w:rsidRPr="00FE64E5" w:rsidRDefault="00FE64E5" w:rsidP="000C17F5">
            <w:pPr>
              <w:spacing w:after="0" w:line="276" w:lineRule="auto"/>
              <w:jc w:val="right"/>
              <w:rPr>
                <w:rFonts w:ascii="Arial" w:eastAsia="Times New Roman" w:hAnsi="Arial" w:cs="Arial"/>
                <w:sz w:val="20"/>
                <w:szCs w:val="20"/>
                <w:lang w:eastAsia="en-GB"/>
              </w:rPr>
            </w:pPr>
            <w:r w:rsidRPr="00FE64E5">
              <w:rPr>
                <w:rFonts w:ascii="Arial" w:eastAsia="Times New Roman" w:hAnsi="Arial" w:cs="Arial"/>
                <w:bCs/>
                <w:sz w:val="20"/>
                <w:szCs w:val="20"/>
                <w:lang w:eastAsia="en-GB"/>
              </w:rPr>
              <w:t>22,140</w:t>
            </w:r>
          </w:p>
        </w:tc>
      </w:tr>
      <w:tr w:rsidR="00FE64E5" w:rsidRPr="00543D10" w14:paraId="28DA267E" w14:textId="77777777" w:rsidTr="00EE6FBB">
        <w:trPr>
          <w:gridAfter w:val="2"/>
          <w:wAfter w:w="1708" w:type="dxa"/>
          <w:trHeight w:val="245"/>
          <w:jc w:val="center"/>
        </w:trPr>
        <w:tc>
          <w:tcPr>
            <w:tcW w:w="4593" w:type="dxa"/>
            <w:gridSpan w:val="3"/>
            <w:tcBorders>
              <w:top w:val="nil"/>
              <w:left w:val="nil"/>
              <w:right w:val="nil"/>
            </w:tcBorders>
            <w:shd w:val="clear" w:color="auto" w:fill="auto"/>
            <w:vAlign w:val="center"/>
            <w:hideMark/>
          </w:tcPr>
          <w:p w14:paraId="7FA63EB2" w14:textId="77777777" w:rsidR="00FE64E5" w:rsidRPr="00543D10" w:rsidRDefault="00FE64E5" w:rsidP="000C17F5">
            <w:pPr>
              <w:spacing w:after="0" w:line="276" w:lineRule="auto"/>
              <w:rPr>
                <w:rFonts w:ascii="Arial" w:eastAsia="Times New Roman" w:hAnsi="Arial" w:cs="Arial"/>
                <w:sz w:val="20"/>
                <w:szCs w:val="20"/>
                <w:lang w:eastAsia="en-GB"/>
              </w:rPr>
            </w:pPr>
            <w:r w:rsidRPr="00543D10">
              <w:rPr>
                <w:rFonts w:ascii="Arial" w:eastAsia="Times New Roman" w:hAnsi="Arial" w:cs="Arial"/>
                <w:sz w:val="20"/>
                <w:szCs w:val="20"/>
                <w:lang w:eastAsia="en-GB"/>
              </w:rPr>
              <w:t>Pension (liability) / surplus</w:t>
            </w:r>
          </w:p>
        </w:tc>
        <w:tc>
          <w:tcPr>
            <w:tcW w:w="734" w:type="dxa"/>
            <w:tcBorders>
              <w:top w:val="nil"/>
              <w:left w:val="nil"/>
              <w:bottom w:val="nil"/>
              <w:right w:val="nil"/>
            </w:tcBorders>
            <w:shd w:val="clear" w:color="auto" w:fill="auto"/>
            <w:noWrap/>
            <w:vAlign w:val="bottom"/>
            <w:hideMark/>
          </w:tcPr>
          <w:p w14:paraId="27C0272E" w14:textId="77777777" w:rsidR="00FE64E5" w:rsidRPr="00543D10" w:rsidRDefault="00FE64E5" w:rsidP="000C17F5">
            <w:pPr>
              <w:spacing w:after="0" w:line="276" w:lineRule="auto"/>
              <w:rPr>
                <w:rFonts w:ascii="Arial" w:eastAsia="Times New Roman" w:hAnsi="Arial" w:cs="Arial"/>
                <w:sz w:val="20"/>
                <w:szCs w:val="20"/>
                <w:lang w:eastAsia="en-GB"/>
              </w:rPr>
            </w:pPr>
          </w:p>
        </w:tc>
        <w:tc>
          <w:tcPr>
            <w:tcW w:w="1009" w:type="dxa"/>
            <w:tcBorders>
              <w:top w:val="nil"/>
              <w:left w:val="nil"/>
              <w:bottom w:val="single" w:sz="4" w:space="0" w:color="auto"/>
              <w:right w:val="nil"/>
            </w:tcBorders>
            <w:shd w:val="clear" w:color="auto" w:fill="auto"/>
            <w:noWrap/>
            <w:vAlign w:val="center"/>
          </w:tcPr>
          <w:p w14:paraId="11ABD493" w14:textId="77777777" w:rsidR="00FE64E5" w:rsidRPr="00543D10" w:rsidRDefault="002F78F2" w:rsidP="000C17F5">
            <w:pPr>
              <w:spacing w:after="0" w:line="276" w:lineRule="auto"/>
              <w:ind w:right="-14"/>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(64,655)</w:t>
            </w:r>
          </w:p>
        </w:tc>
        <w:tc>
          <w:tcPr>
            <w:tcW w:w="974" w:type="dxa"/>
            <w:gridSpan w:val="2"/>
            <w:tcBorders>
              <w:top w:val="nil"/>
              <w:left w:val="nil"/>
              <w:bottom w:val="single" w:sz="4" w:space="0" w:color="auto"/>
              <w:right w:val="nil"/>
            </w:tcBorders>
            <w:shd w:val="clear" w:color="auto" w:fill="auto"/>
            <w:noWrap/>
            <w:vAlign w:val="center"/>
            <w:hideMark/>
          </w:tcPr>
          <w:p w14:paraId="0806BC1C" w14:textId="77777777" w:rsidR="00FE64E5" w:rsidRPr="00FE64E5" w:rsidRDefault="00FE64E5" w:rsidP="000C17F5">
            <w:pPr>
              <w:spacing w:after="0" w:line="276" w:lineRule="auto"/>
              <w:jc w:val="right"/>
              <w:rPr>
                <w:rFonts w:ascii="Arial" w:eastAsia="Times New Roman" w:hAnsi="Arial" w:cs="Arial"/>
                <w:sz w:val="20"/>
                <w:szCs w:val="20"/>
                <w:lang w:eastAsia="en-GB"/>
              </w:rPr>
            </w:pPr>
            <w:r w:rsidRPr="00FE64E5">
              <w:rPr>
                <w:rFonts w:ascii="Arial" w:eastAsia="Times New Roman" w:hAnsi="Arial" w:cs="Arial"/>
                <w:bCs/>
                <w:sz w:val="20"/>
                <w:szCs w:val="20"/>
                <w:lang w:eastAsia="en-GB"/>
              </w:rPr>
              <w:t>(60,537)</w:t>
            </w:r>
          </w:p>
        </w:tc>
        <w:tc>
          <w:tcPr>
            <w:tcW w:w="1252" w:type="dxa"/>
            <w:gridSpan w:val="2"/>
            <w:tcBorders>
              <w:top w:val="nil"/>
              <w:left w:val="nil"/>
              <w:bottom w:val="single" w:sz="4" w:space="0" w:color="auto"/>
              <w:right w:val="nil"/>
            </w:tcBorders>
            <w:shd w:val="clear" w:color="auto" w:fill="auto"/>
            <w:noWrap/>
            <w:vAlign w:val="center"/>
          </w:tcPr>
          <w:p w14:paraId="056B3433" w14:textId="77777777" w:rsidR="00FE64E5" w:rsidRPr="00543D10" w:rsidRDefault="002F78F2" w:rsidP="000C17F5">
            <w:pPr>
              <w:spacing w:after="0" w:line="276"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(15)</w:t>
            </w:r>
          </w:p>
        </w:tc>
        <w:tc>
          <w:tcPr>
            <w:tcW w:w="834" w:type="dxa"/>
            <w:gridSpan w:val="2"/>
            <w:tcBorders>
              <w:top w:val="nil"/>
              <w:left w:val="nil"/>
              <w:bottom w:val="single" w:sz="4" w:space="0" w:color="auto"/>
              <w:right w:val="nil"/>
            </w:tcBorders>
            <w:shd w:val="clear" w:color="auto" w:fill="auto"/>
            <w:noWrap/>
            <w:vAlign w:val="center"/>
            <w:hideMark/>
          </w:tcPr>
          <w:p w14:paraId="7CBE3A93" w14:textId="77777777" w:rsidR="00FE64E5" w:rsidRPr="00FE64E5" w:rsidRDefault="00FE64E5" w:rsidP="000C17F5">
            <w:pPr>
              <w:spacing w:after="0" w:line="276" w:lineRule="auto"/>
              <w:jc w:val="right"/>
              <w:rPr>
                <w:rFonts w:ascii="Arial" w:eastAsia="Times New Roman" w:hAnsi="Arial" w:cs="Arial"/>
                <w:sz w:val="20"/>
                <w:szCs w:val="20"/>
                <w:lang w:eastAsia="en-GB"/>
              </w:rPr>
            </w:pPr>
            <w:r w:rsidRPr="00FE64E5">
              <w:rPr>
                <w:rFonts w:ascii="Arial" w:eastAsia="Times New Roman" w:hAnsi="Arial" w:cs="Arial"/>
                <w:bCs/>
                <w:sz w:val="20"/>
                <w:szCs w:val="20"/>
                <w:lang w:eastAsia="en-GB"/>
              </w:rPr>
              <w:t>14</w:t>
            </w:r>
          </w:p>
        </w:tc>
      </w:tr>
      <w:tr w:rsidR="00FE64E5" w:rsidRPr="00543D10" w14:paraId="0BD80B0D" w14:textId="77777777" w:rsidTr="00EE6FBB">
        <w:trPr>
          <w:gridAfter w:val="2"/>
          <w:wAfter w:w="1708" w:type="dxa"/>
          <w:trHeight w:val="245"/>
          <w:jc w:val="center"/>
        </w:trPr>
        <w:tc>
          <w:tcPr>
            <w:tcW w:w="4593" w:type="dxa"/>
            <w:gridSpan w:val="3"/>
            <w:tcBorders>
              <w:top w:val="nil"/>
              <w:left w:val="nil"/>
              <w:bottom w:val="nil"/>
              <w:right w:val="nil"/>
            </w:tcBorders>
            <w:shd w:val="clear" w:color="auto" w:fill="auto"/>
            <w:vAlign w:val="center"/>
            <w:hideMark/>
          </w:tcPr>
          <w:p w14:paraId="54038ACF" w14:textId="77777777" w:rsidR="00FE64E5" w:rsidRPr="00543D10" w:rsidRDefault="00FE64E5" w:rsidP="000C17F5">
            <w:pPr>
              <w:spacing w:after="0" w:line="276" w:lineRule="auto"/>
              <w:rPr>
                <w:rFonts w:ascii="Arial" w:eastAsia="Times New Roman" w:hAnsi="Arial" w:cs="Arial"/>
                <w:b/>
                <w:bCs/>
                <w:sz w:val="20"/>
                <w:szCs w:val="20"/>
                <w:lang w:eastAsia="en-GB"/>
              </w:rPr>
            </w:pPr>
            <w:r w:rsidRPr="00543D10">
              <w:rPr>
                <w:rFonts w:ascii="Arial" w:eastAsia="Times New Roman" w:hAnsi="Arial" w:cs="Arial"/>
                <w:b/>
                <w:bCs/>
                <w:sz w:val="20"/>
                <w:szCs w:val="20"/>
                <w:lang w:eastAsia="en-GB"/>
              </w:rPr>
              <w:t>Total unrestricted funds</w:t>
            </w:r>
          </w:p>
        </w:tc>
        <w:tc>
          <w:tcPr>
            <w:tcW w:w="734" w:type="dxa"/>
            <w:tcBorders>
              <w:top w:val="nil"/>
              <w:left w:val="nil"/>
              <w:bottom w:val="nil"/>
              <w:right w:val="nil"/>
            </w:tcBorders>
            <w:shd w:val="clear" w:color="auto" w:fill="auto"/>
            <w:noWrap/>
            <w:vAlign w:val="bottom"/>
            <w:hideMark/>
          </w:tcPr>
          <w:p w14:paraId="26F11BA4" w14:textId="77777777" w:rsidR="00FE64E5" w:rsidRPr="00543D10" w:rsidRDefault="00FE64E5" w:rsidP="000C17F5">
            <w:pPr>
              <w:spacing w:after="0" w:line="276" w:lineRule="auto"/>
              <w:rPr>
                <w:rFonts w:ascii="Arial" w:eastAsia="Times New Roman" w:hAnsi="Arial" w:cs="Arial"/>
                <w:sz w:val="20"/>
                <w:szCs w:val="20"/>
                <w:lang w:eastAsia="en-GB"/>
              </w:rPr>
            </w:pPr>
            <w:r w:rsidRPr="00543D10">
              <w:rPr>
                <w:rFonts w:ascii="Arial" w:eastAsia="Times New Roman" w:hAnsi="Arial" w:cs="Arial"/>
                <w:sz w:val="20"/>
                <w:szCs w:val="20"/>
                <w:lang w:eastAsia="en-GB"/>
              </w:rPr>
              <w:t>18</w:t>
            </w:r>
          </w:p>
        </w:tc>
        <w:tc>
          <w:tcPr>
            <w:tcW w:w="1009" w:type="dxa"/>
            <w:tcBorders>
              <w:top w:val="nil"/>
              <w:left w:val="nil"/>
              <w:bottom w:val="nil"/>
              <w:right w:val="nil"/>
            </w:tcBorders>
            <w:shd w:val="clear" w:color="auto" w:fill="auto"/>
            <w:noWrap/>
            <w:vAlign w:val="center"/>
          </w:tcPr>
          <w:p w14:paraId="0ABE2066" w14:textId="77777777" w:rsidR="00FE64E5" w:rsidRPr="00543D10" w:rsidRDefault="007541EF" w:rsidP="000C17F5">
            <w:pPr>
              <w:spacing w:after="0" w:line="276" w:lineRule="auto"/>
              <w:ind w:right="-14"/>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w:t>
            </w:r>
            <w:r w:rsidR="00BB27D0">
              <w:rPr>
                <w:rFonts w:ascii="Arial" w:eastAsia="Times New Roman" w:hAnsi="Arial" w:cs="Arial"/>
                <w:b/>
                <w:bCs/>
                <w:sz w:val="20"/>
                <w:szCs w:val="20"/>
                <w:lang w:eastAsia="en-GB"/>
              </w:rPr>
              <w:t>39,588</w:t>
            </w:r>
            <w:r w:rsidR="002F78F2">
              <w:rPr>
                <w:rFonts w:ascii="Arial" w:eastAsia="Times New Roman" w:hAnsi="Arial" w:cs="Arial"/>
                <w:b/>
                <w:bCs/>
                <w:sz w:val="20"/>
                <w:szCs w:val="20"/>
                <w:lang w:eastAsia="en-GB"/>
              </w:rPr>
              <w:t>)</w:t>
            </w:r>
          </w:p>
        </w:tc>
        <w:tc>
          <w:tcPr>
            <w:tcW w:w="974" w:type="dxa"/>
            <w:gridSpan w:val="2"/>
            <w:tcBorders>
              <w:top w:val="nil"/>
              <w:left w:val="nil"/>
              <w:bottom w:val="nil"/>
              <w:right w:val="nil"/>
            </w:tcBorders>
            <w:shd w:val="clear" w:color="auto" w:fill="auto"/>
            <w:noWrap/>
            <w:vAlign w:val="center"/>
            <w:hideMark/>
          </w:tcPr>
          <w:p w14:paraId="3AED96E9" w14:textId="77777777" w:rsidR="00FE64E5" w:rsidRPr="000266EA" w:rsidRDefault="00FE64E5" w:rsidP="000C17F5">
            <w:pPr>
              <w:spacing w:after="0" w:line="276" w:lineRule="auto"/>
              <w:jc w:val="right"/>
              <w:rPr>
                <w:rFonts w:ascii="Arial" w:eastAsia="Times New Roman" w:hAnsi="Arial" w:cs="Arial"/>
                <w:sz w:val="20"/>
                <w:szCs w:val="20"/>
                <w:highlight w:val="yellow"/>
                <w:lang w:eastAsia="en-GB"/>
              </w:rPr>
            </w:pPr>
            <w:r w:rsidRPr="009B32DE">
              <w:rPr>
                <w:rFonts w:ascii="Arial" w:eastAsia="Times New Roman" w:hAnsi="Arial" w:cs="Arial"/>
                <w:bCs/>
                <w:sz w:val="20"/>
                <w:szCs w:val="20"/>
                <w:lang w:eastAsia="en-GB"/>
              </w:rPr>
              <w:t>(23,374)</w:t>
            </w:r>
          </w:p>
        </w:tc>
        <w:tc>
          <w:tcPr>
            <w:tcW w:w="1252" w:type="dxa"/>
            <w:gridSpan w:val="2"/>
            <w:tcBorders>
              <w:top w:val="nil"/>
              <w:left w:val="nil"/>
              <w:bottom w:val="nil"/>
              <w:right w:val="nil"/>
            </w:tcBorders>
            <w:shd w:val="clear" w:color="auto" w:fill="auto"/>
            <w:noWrap/>
            <w:vAlign w:val="center"/>
          </w:tcPr>
          <w:p w14:paraId="47C348C7" w14:textId="77777777" w:rsidR="00FE64E5" w:rsidRPr="00543D10" w:rsidRDefault="00865A9E" w:rsidP="000C17F5">
            <w:pPr>
              <w:spacing w:after="0" w:line="276"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15,716</w:t>
            </w:r>
          </w:p>
        </w:tc>
        <w:tc>
          <w:tcPr>
            <w:tcW w:w="834" w:type="dxa"/>
            <w:gridSpan w:val="2"/>
            <w:tcBorders>
              <w:top w:val="nil"/>
              <w:left w:val="nil"/>
              <w:bottom w:val="nil"/>
              <w:right w:val="nil"/>
            </w:tcBorders>
            <w:shd w:val="clear" w:color="auto" w:fill="auto"/>
            <w:noWrap/>
            <w:vAlign w:val="center"/>
            <w:hideMark/>
          </w:tcPr>
          <w:p w14:paraId="29CBD5DB" w14:textId="77777777" w:rsidR="00FE64E5" w:rsidRPr="00FE64E5" w:rsidRDefault="00FE64E5" w:rsidP="000C17F5">
            <w:pPr>
              <w:spacing w:after="0" w:line="276" w:lineRule="auto"/>
              <w:jc w:val="right"/>
              <w:rPr>
                <w:rFonts w:ascii="Arial" w:eastAsia="Times New Roman" w:hAnsi="Arial" w:cs="Arial"/>
                <w:sz w:val="20"/>
                <w:szCs w:val="20"/>
                <w:lang w:eastAsia="en-GB"/>
              </w:rPr>
            </w:pPr>
            <w:r w:rsidRPr="00FE64E5">
              <w:rPr>
                <w:rFonts w:ascii="Arial" w:eastAsia="Times New Roman" w:hAnsi="Arial" w:cs="Arial"/>
                <w:bCs/>
                <w:sz w:val="20"/>
                <w:szCs w:val="20"/>
                <w:lang w:eastAsia="en-GB"/>
              </w:rPr>
              <w:t>22,154</w:t>
            </w:r>
          </w:p>
        </w:tc>
      </w:tr>
      <w:tr w:rsidR="00FE64E5" w:rsidRPr="00543D10" w14:paraId="47035A87" w14:textId="77777777" w:rsidTr="00EE6FBB">
        <w:trPr>
          <w:gridAfter w:val="2"/>
          <w:wAfter w:w="1708" w:type="dxa"/>
          <w:trHeight w:val="245"/>
          <w:jc w:val="center"/>
        </w:trPr>
        <w:tc>
          <w:tcPr>
            <w:tcW w:w="4593" w:type="dxa"/>
            <w:gridSpan w:val="3"/>
            <w:tcBorders>
              <w:top w:val="nil"/>
              <w:left w:val="nil"/>
              <w:bottom w:val="nil"/>
              <w:right w:val="nil"/>
            </w:tcBorders>
            <w:shd w:val="clear" w:color="auto" w:fill="auto"/>
            <w:vAlign w:val="center"/>
            <w:hideMark/>
          </w:tcPr>
          <w:p w14:paraId="7A2CB90D" w14:textId="77777777" w:rsidR="00FE64E5" w:rsidRPr="00543D10" w:rsidRDefault="00FE64E5" w:rsidP="000C17F5">
            <w:pPr>
              <w:spacing w:after="0" w:line="276" w:lineRule="auto"/>
              <w:rPr>
                <w:rFonts w:ascii="Arial" w:eastAsia="Times New Roman" w:hAnsi="Arial" w:cs="Arial"/>
                <w:sz w:val="20"/>
                <w:szCs w:val="20"/>
                <w:lang w:eastAsia="en-GB"/>
              </w:rPr>
            </w:pPr>
            <w:r w:rsidRPr="00543D10">
              <w:rPr>
                <w:rFonts w:ascii="Arial" w:eastAsia="Times New Roman" w:hAnsi="Arial" w:cs="Arial"/>
                <w:sz w:val="20"/>
                <w:szCs w:val="20"/>
                <w:lang w:eastAsia="en-GB"/>
              </w:rPr>
              <w:t>Restricted funds</w:t>
            </w:r>
          </w:p>
        </w:tc>
        <w:tc>
          <w:tcPr>
            <w:tcW w:w="734" w:type="dxa"/>
            <w:tcBorders>
              <w:top w:val="nil"/>
              <w:left w:val="nil"/>
              <w:bottom w:val="nil"/>
              <w:right w:val="nil"/>
            </w:tcBorders>
            <w:shd w:val="clear" w:color="auto" w:fill="auto"/>
            <w:noWrap/>
            <w:vAlign w:val="bottom"/>
            <w:hideMark/>
          </w:tcPr>
          <w:p w14:paraId="20C424EE" w14:textId="77777777" w:rsidR="00FE64E5" w:rsidRPr="00543D10" w:rsidRDefault="00FE64E5" w:rsidP="000C17F5">
            <w:pPr>
              <w:spacing w:after="0" w:line="276" w:lineRule="auto"/>
              <w:rPr>
                <w:rFonts w:ascii="Arial" w:eastAsia="Times New Roman" w:hAnsi="Arial" w:cs="Arial"/>
                <w:sz w:val="20"/>
                <w:szCs w:val="20"/>
                <w:lang w:eastAsia="en-GB"/>
              </w:rPr>
            </w:pPr>
            <w:r w:rsidRPr="00543D10">
              <w:rPr>
                <w:rFonts w:ascii="Arial" w:eastAsia="Times New Roman" w:hAnsi="Arial" w:cs="Arial"/>
                <w:sz w:val="20"/>
                <w:szCs w:val="20"/>
                <w:lang w:eastAsia="en-GB"/>
              </w:rPr>
              <w:t>19</w:t>
            </w:r>
          </w:p>
        </w:tc>
        <w:tc>
          <w:tcPr>
            <w:tcW w:w="1009" w:type="dxa"/>
            <w:tcBorders>
              <w:top w:val="nil"/>
              <w:left w:val="nil"/>
              <w:bottom w:val="nil"/>
              <w:right w:val="nil"/>
            </w:tcBorders>
            <w:shd w:val="clear" w:color="auto" w:fill="auto"/>
            <w:noWrap/>
            <w:vAlign w:val="center"/>
          </w:tcPr>
          <w:p w14:paraId="1FC98605" w14:textId="77777777" w:rsidR="00FE64E5" w:rsidRPr="00543D10" w:rsidRDefault="00723BE3" w:rsidP="000C17F5">
            <w:pPr>
              <w:spacing w:after="0" w:line="276" w:lineRule="auto"/>
              <w:ind w:right="-14"/>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122,477</w:t>
            </w:r>
          </w:p>
        </w:tc>
        <w:tc>
          <w:tcPr>
            <w:tcW w:w="974" w:type="dxa"/>
            <w:gridSpan w:val="2"/>
            <w:tcBorders>
              <w:top w:val="nil"/>
              <w:left w:val="nil"/>
              <w:bottom w:val="nil"/>
              <w:right w:val="nil"/>
            </w:tcBorders>
            <w:shd w:val="clear" w:color="auto" w:fill="auto"/>
            <w:noWrap/>
            <w:vAlign w:val="center"/>
            <w:hideMark/>
          </w:tcPr>
          <w:p w14:paraId="11273334" w14:textId="77777777" w:rsidR="00FE64E5" w:rsidRPr="00FE64E5" w:rsidRDefault="00FE64E5" w:rsidP="000C17F5">
            <w:pPr>
              <w:spacing w:after="0" w:line="276" w:lineRule="auto"/>
              <w:jc w:val="right"/>
              <w:rPr>
                <w:rFonts w:ascii="Arial" w:eastAsia="Times New Roman" w:hAnsi="Arial" w:cs="Arial"/>
                <w:sz w:val="20"/>
                <w:szCs w:val="20"/>
                <w:lang w:eastAsia="en-GB"/>
              </w:rPr>
            </w:pPr>
            <w:r w:rsidRPr="00FE64E5">
              <w:rPr>
                <w:rFonts w:ascii="Arial" w:eastAsia="Times New Roman" w:hAnsi="Arial" w:cs="Arial"/>
                <w:bCs/>
                <w:sz w:val="20"/>
                <w:szCs w:val="20"/>
                <w:lang w:eastAsia="en-GB"/>
              </w:rPr>
              <w:t>105,455</w:t>
            </w:r>
          </w:p>
        </w:tc>
        <w:tc>
          <w:tcPr>
            <w:tcW w:w="1252" w:type="dxa"/>
            <w:gridSpan w:val="2"/>
            <w:tcBorders>
              <w:top w:val="nil"/>
              <w:left w:val="nil"/>
              <w:bottom w:val="nil"/>
              <w:right w:val="nil"/>
            </w:tcBorders>
            <w:shd w:val="clear" w:color="auto" w:fill="auto"/>
            <w:noWrap/>
            <w:vAlign w:val="center"/>
          </w:tcPr>
          <w:p w14:paraId="27E40D03" w14:textId="77777777" w:rsidR="00FE64E5" w:rsidRPr="00543D10" w:rsidRDefault="00865A9E" w:rsidP="000C17F5">
            <w:pPr>
              <w:spacing w:after="0" w:line="276"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3,764</w:t>
            </w:r>
          </w:p>
        </w:tc>
        <w:tc>
          <w:tcPr>
            <w:tcW w:w="834" w:type="dxa"/>
            <w:gridSpan w:val="2"/>
            <w:tcBorders>
              <w:top w:val="nil"/>
              <w:left w:val="nil"/>
              <w:bottom w:val="nil"/>
              <w:right w:val="nil"/>
            </w:tcBorders>
            <w:shd w:val="clear" w:color="auto" w:fill="auto"/>
            <w:noWrap/>
            <w:vAlign w:val="center"/>
            <w:hideMark/>
          </w:tcPr>
          <w:p w14:paraId="72D3EBA0" w14:textId="77777777" w:rsidR="00FE64E5" w:rsidRPr="00FE64E5" w:rsidRDefault="00FE64E5" w:rsidP="000C17F5">
            <w:pPr>
              <w:spacing w:after="0" w:line="276" w:lineRule="auto"/>
              <w:jc w:val="right"/>
              <w:rPr>
                <w:rFonts w:ascii="Arial" w:eastAsia="Times New Roman" w:hAnsi="Arial" w:cs="Arial"/>
                <w:sz w:val="20"/>
                <w:szCs w:val="20"/>
                <w:lang w:eastAsia="en-GB"/>
              </w:rPr>
            </w:pPr>
            <w:r w:rsidRPr="00FE64E5">
              <w:rPr>
                <w:rFonts w:ascii="Arial" w:eastAsia="Times New Roman" w:hAnsi="Arial" w:cs="Arial"/>
                <w:bCs/>
                <w:sz w:val="20"/>
                <w:szCs w:val="20"/>
                <w:lang w:eastAsia="en-GB"/>
              </w:rPr>
              <w:t>3,807</w:t>
            </w:r>
          </w:p>
        </w:tc>
      </w:tr>
      <w:tr w:rsidR="00FE64E5" w:rsidRPr="00543D10" w14:paraId="7FD6FC38" w14:textId="77777777" w:rsidTr="00EE6FBB">
        <w:trPr>
          <w:gridAfter w:val="2"/>
          <w:wAfter w:w="1708" w:type="dxa"/>
          <w:trHeight w:val="410"/>
          <w:jc w:val="center"/>
        </w:trPr>
        <w:tc>
          <w:tcPr>
            <w:tcW w:w="4593" w:type="dxa"/>
            <w:gridSpan w:val="3"/>
            <w:tcBorders>
              <w:left w:val="nil"/>
              <w:right w:val="nil"/>
            </w:tcBorders>
            <w:shd w:val="clear" w:color="auto" w:fill="auto"/>
            <w:vAlign w:val="center"/>
            <w:hideMark/>
          </w:tcPr>
          <w:p w14:paraId="66B4BB31" w14:textId="77777777" w:rsidR="00FE64E5" w:rsidRPr="00543D10" w:rsidRDefault="00FE64E5" w:rsidP="00723BE3">
            <w:pPr>
              <w:spacing w:after="0" w:line="240" w:lineRule="auto"/>
              <w:rPr>
                <w:rFonts w:ascii="Arial" w:eastAsia="Times New Roman" w:hAnsi="Arial" w:cs="Arial"/>
                <w:b/>
                <w:bCs/>
                <w:sz w:val="20"/>
                <w:szCs w:val="20"/>
                <w:lang w:eastAsia="en-GB"/>
              </w:rPr>
            </w:pPr>
            <w:r w:rsidRPr="00543D10">
              <w:rPr>
                <w:rFonts w:ascii="Arial" w:eastAsia="Times New Roman" w:hAnsi="Arial" w:cs="Arial"/>
                <w:b/>
                <w:bCs/>
                <w:sz w:val="20"/>
                <w:szCs w:val="20"/>
                <w:lang w:eastAsia="en-GB"/>
              </w:rPr>
              <w:t xml:space="preserve">Total Funds </w:t>
            </w:r>
          </w:p>
        </w:tc>
        <w:tc>
          <w:tcPr>
            <w:tcW w:w="734" w:type="dxa"/>
            <w:tcBorders>
              <w:top w:val="nil"/>
              <w:left w:val="nil"/>
              <w:bottom w:val="nil"/>
              <w:right w:val="nil"/>
            </w:tcBorders>
            <w:shd w:val="clear" w:color="auto" w:fill="auto"/>
            <w:noWrap/>
            <w:vAlign w:val="bottom"/>
            <w:hideMark/>
          </w:tcPr>
          <w:p w14:paraId="3E7E31F3" w14:textId="77777777" w:rsidR="00FE64E5" w:rsidRPr="00723BE3" w:rsidRDefault="00723BE3" w:rsidP="000C17F5">
            <w:pPr>
              <w:spacing w:after="0" w:line="240" w:lineRule="auto"/>
              <w:rPr>
                <w:rFonts w:ascii="Arial" w:eastAsia="Times New Roman" w:hAnsi="Arial" w:cs="Arial"/>
                <w:bCs/>
                <w:sz w:val="20"/>
                <w:szCs w:val="20"/>
                <w:lang w:eastAsia="en-GB"/>
              </w:rPr>
            </w:pPr>
            <w:r w:rsidRPr="00723BE3">
              <w:rPr>
                <w:rFonts w:ascii="Arial" w:eastAsia="Times New Roman" w:hAnsi="Arial" w:cs="Arial"/>
                <w:bCs/>
                <w:sz w:val="20"/>
                <w:szCs w:val="20"/>
                <w:lang w:eastAsia="en-GB"/>
              </w:rPr>
              <w:t>20</w:t>
            </w:r>
          </w:p>
        </w:tc>
        <w:tc>
          <w:tcPr>
            <w:tcW w:w="1009" w:type="dxa"/>
            <w:tcBorders>
              <w:top w:val="single" w:sz="4" w:space="0" w:color="auto"/>
              <w:left w:val="nil"/>
              <w:bottom w:val="single" w:sz="4" w:space="0" w:color="auto"/>
              <w:right w:val="nil"/>
            </w:tcBorders>
            <w:shd w:val="clear" w:color="auto" w:fill="auto"/>
            <w:noWrap/>
            <w:vAlign w:val="center"/>
          </w:tcPr>
          <w:p w14:paraId="0A4F0761" w14:textId="77777777" w:rsidR="00FE64E5" w:rsidRPr="00543D10" w:rsidRDefault="007541EF" w:rsidP="006647C2">
            <w:pPr>
              <w:spacing w:after="0" w:line="240" w:lineRule="auto"/>
              <w:ind w:right="-14"/>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8</w:t>
            </w:r>
            <w:r w:rsidR="00723BE3">
              <w:rPr>
                <w:rFonts w:ascii="Arial" w:eastAsia="Times New Roman" w:hAnsi="Arial" w:cs="Arial"/>
                <w:b/>
                <w:bCs/>
                <w:sz w:val="20"/>
                <w:szCs w:val="20"/>
                <w:lang w:eastAsia="en-GB"/>
              </w:rPr>
              <w:t>2,889</w:t>
            </w:r>
          </w:p>
        </w:tc>
        <w:tc>
          <w:tcPr>
            <w:tcW w:w="974" w:type="dxa"/>
            <w:gridSpan w:val="2"/>
            <w:tcBorders>
              <w:top w:val="single" w:sz="4" w:space="0" w:color="auto"/>
              <w:left w:val="nil"/>
              <w:bottom w:val="single" w:sz="4" w:space="0" w:color="auto"/>
              <w:right w:val="nil"/>
            </w:tcBorders>
            <w:shd w:val="clear" w:color="auto" w:fill="auto"/>
            <w:noWrap/>
            <w:vAlign w:val="center"/>
            <w:hideMark/>
          </w:tcPr>
          <w:p w14:paraId="14DACE63" w14:textId="77777777" w:rsidR="00FE64E5" w:rsidRPr="00FE64E5" w:rsidRDefault="00FE64E5" w:rsidP="00FE64E5">
            <w:pPr>
              <w:spacing w:after="0" w:line="240" w:lineRule="auto"/>
              <w:jc w:val="right"/>
              <w:rPr>
                <w:rFonts w:ascii="Arial" w:eastAsia="Times New Roman" w:hAnsi="Arial" w:cs="Arial"/>
                <w:sz w:val="20"/>
                <w:szCs w:val="20"/>
                <w:lang w:eastAsia="en-GB"/>
              </w:rPr>
            </w:pPr>
            <w:r w:rsidRPr="00FE64E5">
              <w:rPr>
                <w:rFonts w:ascii="Arial" w:eastAsia="Times New Roman" w:hAnsi="Arial" w:cs="Arial"/>
                <w:bCs/>
                <w:sz w:val="20"/>
                <w:szCs w:val="20"/>
                <w:lang w:eastAsia="en-GB"/>
              </w:rPr>
              <w:t>82,081</w:t>
            </w:r>
          </w:p>
        </w:tc>
        <w:tc>
          <w:tcPr>
            <w:tcW w:w="1252" w:type="dxa"/>
            <w:gridSpan w:val="2"/>
            <w:tcBorders>
              <w:top w:val="single" w:sz="4" w:space="0" w:color="auto"/>
              <w:left w:val="nil"/>
              <w:bottom w:val="single" w:sz="4" w:space="0" w:color="auto"/>
              <w:right w:val="nil"/>
            </w:tcBorders>
            <w:shd w:val="clear" w:color="auto" w:fill="auto"/>
            <w:noWrap/>
            <w:vAlign w:val="center"/>
            <w:hideMark/>
          </w:tcPr>
          <w:p w14:paraId="292C5DA5" w14:textId="77777777" w:rsidR="00FE64E5" w:rsidRPr="00543D10" w:rsidRDefault="00DA53CF" w:rsidP="00FE64E5">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19,480</w:t>
            </w:r>
          </w:p>
        </w:tc>
        <w:tc>
          <w:tcPr>
            <w:tcW w:w="834" w:type="dxa"/>
            <w:gridSpan w:val="2"/>
            <w:tcBorders>
              <w:top w:val="single" w:sz="4" w:space="0" w:color="auto"/>
              <w:left w:val="nil"/>
              <w:bottom w:val="single" w:sz="4" w:space="0" w:color="auto"/>
              <w:right w:val="nil"/>
            </w:tcBorders>
            <w:shd w:val="clear" w:color="auto" w:fill="auto"/>
            <w:noWrap/>
            <w:vAlign w:val="center"/>
            <w:hideMark/>
          </w:tcPr>
          <w:p w14:paraId="261146D4" w14:textId="77777777" w:rsidR="00FE64E5" w:rsidRPr="00FE64E5" w:rsidRDefault="00FE64E5" w:rsidP="00FE64E5">
            <w:pPr>
              <w:spacing w:after="0" w:line="240" w:lineRule="auto"/>
              <w:jc w:val="right"/>
              <w:rPr>
                <w:rFonts w:ascii="Arial" w:eastAsia="Times New Roman" w:hAnsi="Arial" w:cs="Arial"/>
                <w:sz w:val="20"/>
                <w:szCs w:val="20"/>
                <w:lang w:eastAsia="en-GB"/>
              </w:rPr>
            </w:pPr>
            <w:r w:rsidRPr="00FE64E5">
              <w:rPr>
                <w:rFonts w:ascii="Arial" w:eastAsia="Times New Roman" w:hAnsi="Arial" w:cs="Arial"/>
                <w:bCs/>
                <w:sz w:val="20"/>
                <w:szCs w:val="20"/>
                <w:lang w:eastAsia="en-GB"/>
              </w:rPr>
              <w:t>25,961</w:t>
            </w:r>
          </w:p>
        </w:tc>
      </w:tr>
    </w:tbl>
    <w:p w14:paraId="7596DBF0" w14:textId="77777777" w:rsidR="00676596" w:rsidRPr="00543D10" w:rsidRDefault="00676596" w:rsidP="00676596">
      <w:pPr>
        <w:rPr>
          <w:u w:val="single"/>
        </w:rPr>
      </w:pPr>
    </w:p>
    <w:p w14:paraId="37808019" w14:textId="77777777" w:rsidR="00676596" w:rsidRPr="009924CD" w:rsidRDefault="00051F92" w:rsidP="006647C2">
      <w:pPr>
        <w:autoSpaceDE w:val="0"/>
        <w:autoSpaceDN w:val="0"/>
        <w:adjustRightInd w:val="0"/>
        <w:spacing w:after="0" w:line="240" w:lineRule="auto"/>
        <w:ind w:left="-567" w:right="686"/>
        <w:jc w:val="both"/>
        <w:rPr>
          <w:rFonts w:ascii="Arial" w:hAnsi="Arial" w:cs="Arial"/>
          <w:sz w:val="24"/>
          <w:szCs w:val="24"/>
        </w:rPr>
      </w:pPr>
      <w:r>
        <w:rPr>
          <w:rFonts w:ascii="Arial" w:hAnsi="Arial" w:cs="Arial"/>
          <w:sz w:val="24"/>
          <w:szCs w:val="24"/>
        </w:rPr>
        <w:t xml:space="preserve">The notes on </w:t>
      </w:r>
      <w:r w:rsidRPr="007205EB">
        <w:rPr>
          <w:rFonts w:ascii="Arial" w:hAnsi="Arial" w:cs="Arial"/>
          <w:sz w:val="24"/>
          <w:szCs w:val="24"/>
        </w:rPr>
        <w:t xml:space="preserve">pages </w:t>
      </w:r>
      <w:r w:rsidR="00230F0E">
        <w:rPr>
          <w:rFonts w:ascii="Arial" w:hAnsi="Arial" w:cs="Arial"/>
          <w:sz w:val="24"/>
          <w:szCs w:val="24"/>
        </w:rPr>
        <w:t>41</w:t>
      </w:r>
      <w:r w:rsidR="00D56B8D" w:rsidRPr="008B1315">
        <w:rPr>
          <w:rFonts w:ascii="Arial" w:hAnsi="Arial" w:cs="Arial"/>
          <w:sz w:val="24"/>
          <w:szCs w:val="24"/>
        </w:rPr>
        <w:t xml:space="preserve"> to </w:t>
      </w:r>
      <w:r w:rsidR="002E0F29">
        <w:rPr>
          <w:rFonts w:ascii="Arial" w:hAnsi="Arial" w:cs="Arial"/>
          <w:sz w:val="24"/>
          <w:szCs w:val="24"/>
        </w:rPr>
        <w:t>88</w:t>
      </w:r>
      <w:r w:rsidR="00676596" w:rsidRPr="008B1315">
        <w:rPr>
          <w:rFonts w:ascii="Arial" w:hAnsi="Arial" w:cs="Arial"/>
          <w:sz w:val="24"/>
          <w:szCs w:val="24"/>
        </w:rPr>
        <w:t xml:space="preserve"> are an integral part of these financial statements. The </w:t>
      </w:r>
      <w:r w:rsidR="009C033F" w:rsidRPr="008B1315">
        <w:rPr>
          <w:rFonts w:ascii="Arial" w:hAnsi="Arial" w:cs="Arial"/>
          <w:sz w:val="24"/>
          <w:szCs w:val="24"/>
        </w:rPr>
        <w:t>financial</w:t>
      </w:r>
      <w:r w:rsidR="00C40688" w:rsidRPr="008B1315">
        <w:rPr>
          <w:rFonts w:ascii="Arial" w:hAnsi="Arial" w:cs="Arial"/>
          <w:sz w:val="24"/>
          <w:szCs w:val="24"/>
        </w:rPr>
        <w:t xml:space="preserve"> </w:t>
      </w:r>
      <w:r w:rsidR="00A45504" w:rsidRPr="008B1315">
        <w:rPr>
          <w:rFonts w:ascii="Arial" w:hAnsi="Arial" w:cs="Arial"/>
          <w:sz w:val="24"/>
          <w:szCs w:val="24"/>
        </w:rPr>
        <w:t xml:space="preserve">statements on pages </w:t>
      </w:r>
      <w:r w:rsidR="00230F0E">
        <w:rPr>
          <w:rFonts w:ascii="Arial" w:hAnsi="Arial" w:cs="Arial"/>
          <w:sz w:val="24"/>
          <w:szCs w:val="24"/>
        </w:rPr>
        <w:t>35</w:t>
      </w:r>
      <w:r w:rsidR="00676596" w:rsidRPr="008B1315">
        <w:rPr>
          <w:rFonts w:ascii="Arial" w:hAnsi="Arial" w:cs="Arial"/>
          <w:sz w:val="24"/>
          <w:szCs w:val="24"/>
        </w:rPr>
        <w:t xml:space="preserve"> to </w:t>
      </w:r>
      <w:r w:rsidR="00723BE3" w:rsidRPr="008B1315">
        <w:rPr>
          <w:rFonts w:ascii="Arial" w:hAnsi="Arial" w:cs="Arial"/>
          <w:sz w:val="24"/>
          <w:szCs w:val="24"/>
        </w:rPr>
        <w:t>8</w:t>
      </w:r>
      <w:r w:rsidR="002E0F29">
        <w:rPr>
          <w:rFonts w:ascii="Arial" w:hAnsi="Arial" w:cs="Arial"/>
          <w:sz w:val="24"/>
          <w:szCs w:val="24"/>
        </w:rPr>
        <w:t>8</w:t>
      </w:r>
      <w:r w:rsidR="00676596" w:rsidRPr="00543D10">
        <w:rPr>
          <w:rFonts w:ascii="Arial" w:hAnsi="Arial" w:cs="Arial"/>
          <w:sz w:val="24"/>
          <w:szCs w:val="24"/>
        </w:rPr>
        <w:t xml:space="preserve"> were approved by the board of directors on </w:t>
      </w:r>
      <w:r w:rsidR="001B2782">
        <w:rPr>
          <w:rFonts w:ascii="Arial" w:hAnsi="Arial" w:cs="Arial"/>
          <w:sz w:val="24"/>
          <w:szCs w:val="24"/>
        </w:rPr>
        <w:t>26</w:t>
      </w:r>
      <w:r w:rsidR="001B2782" w:rsidRPr="001B2782">
        <w:rPr>
          <w:rFonts w:ascii="Arial" w:hAnsi="Arial" w:cs="Arial"/>
          <w:sz w:val="24"/>
          <w:szCs w:val="24"/>
          <w:vertAlign w:val="superscript"/>
        </w:rPr>
        <w:t>th</w:t>
      </w:r>
      <w:r w:rsidR="001B2782">
        <w:rPr>
          <w:rFonts w:ascii="Arial" w:hAnsi="Arial" w:cs="Arial"/>
          <w:sz w:val="24"/>
          <w:szCs w:val="24"/>
        </w:rPr>
        <w:t xml:space="preserve"> </w:t>
      </w:r>
      <w:r w:rsidR="001B2782" w:rsidRPr="001B2782">
        <w:rPr>
          <w:rFonts w:ascii="Arial" w:hAnsi="Arial" w:cs="Arial"/>
          <w:sz w:val="24"/>
          <w:szCs w:val="24"/>
        </w:rPr>
        <w:t>January 2021</w:t>
      </w:r>
      <w:r w:rsidR="00676596" w:rsidRPr="007F2117">
        <w:rPr>
          <w:rFonts w:ascii="Arial" w:hAnsi="Arial" w:cs="Arial"/>
          <w:sz w:val="24"/>
          <w:szCs w:val="24"/>
        </w:rPr>
        <w:t xml:space="preserve"> and w</w:t>
      </w:r>
      <w:r w:rsidR="00676596" w:rsidRPr="009924CD">
        <w:rPr>
          <w:rFonts w:ascii="Arial" w:hAnsi="Arial" w:cs="Arial"/>
          <w:sz w:val="24"/>
          <w:szCs w:val="24"/>
        </w:rPr>
        <w:t>ere signed on its behalf by:</w:t>
      </w:r>
    </w:p>
    <w:p w14:paraId="57BF06F0" w14:textId="77777777" w:rsidR="00676596" w:rsidRPr="009924CD" w:rsidRDefault="00676596" w:rsidP="009C033F">
      <w:pPr>
        <w:autoSpaceDE w:val="0"/>
        <w:autoSpaceDN w:val="0"/>
        <w:adjustRightInd w:val="0"/>
        <w:spacing w:after="0" w:line="240" w:lineRule="auto"/>
        <w:ind w:hanging="284"/>
        <w:rPr>
          <w:rFonts w:ascii="Arial" w:hAnsi="Arial" w:cs="Arial"/>
          <w:sz w:val="24"/>
          <w:szCs w:val="24"/>
        </w:rPr>
      </w:pPr>
    </w:p>
    <w:p w14:paraId="567A0672" w14:textId="77777777" w:rsidR="00676596" w:rsidRPr="009924CD" w:rsidRDefault="00676596" w:rsidP="00676596">
      <w:pPr>
        <w:autoSpaceDE w:val="0"/>
        <w:autoSpaceDN w:val="0"/>
        <w:adjustRightInd w:val="0"/>
        <w:spacing w:after="0" w:line="240" w:lineRule="auto"/>
        <w:rPr>
          <w:rFonts w:ascii="Arial" w:hAnsi="Arial" w:cs="Arial"/>
          <w:sz w:val="24"/>
          <w:szCs w:val="24"/>
        </w:rPr>
      </w:pPr>
    </w:p>
    <w:p w14:paraId="2256146A" w14:textId="77777777" w:rsidR="00676596" w:rsidRPr="009924CD" w:rsidRDefault="00676596" w:rsidP="00676596">
      <w:pPr>
        <w:autoSpaceDE w:val="0"/>
        <w:autoSpaceDN w:val="0"/>
        <w:adjustRightInd w:val="0"/>
        <w:spacing w:after="0" w:line="240" w:lineRule="auto"/>
        <w:rPr>
          <w:rFonts w:ascii="Arial" w:hAnsi="Arial" w:cs="Arial"/>
          <w:sz w:val="24"/>
          <w:szCs w:val="24"/>
        </w:rPr>
      </w:pPr>
    </w:p>
    <w:p w14:paraId="5B59E78B" w14:textId="77777777" w:rsidR="00676596" w:rsidRPr="009924CD" w:rsidRDefault="00676596" w:rsidP="00676596">
      <w:pPr>
        <w:autoSpaceDE w:val="0"/>
        <w:autoSpaceDN w:val="0"/>
        <w:adjustRightInd w:val="0"/>
        <w:spacing w:after="0" w:line="240" w:lineRule="auto"/>
        <w:rPr>
          <w:rFonts w:ascii="Arial" w:hAnsi="Arial" w:cs="Arial"/>
          <w:sz w:val="24"/>
          <w:szCs w:val="24"/>
        </w:rPr>
      </w:pPr>
    </w:p>
    <w:p w14:paraId="2314B2D0" w14:textId="77777777" w:rsidR="00676596" w:rsidRPr="009924CD" w:rsidRDefault="00676596" w:rsidP="00676596">
      <w:pPr>
        <w:autoSpaceDE w:val="0"/>
        <w:autoSpaceDN w:val="0"/>
        <w:adjustRightInd w:val="0"/>
        <w:spacing w:after="0" w:line="240" w:lineRule="auto"/>
        <w:rPr>
          <w:rFonts w:ascii="Arial" w:hAnsi="Arial" w:cs="Arial"/>
          <w:sz w:val="24"/>
          <w:szCs w:val="24"/>
        </w:rPr>
      </w:pPr>
    </w:p>
    <w:p w14:paraId="6C1C9DF1" w14:textId="77777777" w:rsidR="00676596" w:rsidRPr="009924CD" w:rsidRDefault="00676596" w:rsidP="00676596">
      <w:pPr>
        <w:autoSpaceDE w:val="0"/>
        <w:autoSpaceDN w:val="0"/>
        <w:adjustRightInd w:val="0"/>
        <w:spacing w:after="0" w:line="240" w:lineRule="auto"/>
        <w:rPr>
          <w:rFonts w:ascii="Arial" w:hAnsi="Arial" w:cs="Arial"/>
          <w:sz w:val="24"/>
          <w:szCs w:val="24"/>
        </w:rPr>
      </w:pPr>
    </w:p>
    <w:p w14:paraId="20E4123A" w14:textId="77777777" w:rsidR="00676596" w:rsidRPr="009924CD" w:rsidRDefault="005B39D0" w:rsidP="009C033F">
      <w:pPr>
        <w:keepLines/>
        <w:widowControl w:val="0"/>
        <w:autoSpaceDE w:val="0"/>
        <w:autoSpaceDN w:val="0"/>
        <w:adjustRightInd w:val="0"/>
        <w:spacing w:after="240" w:line="240" w:lineRule="auto"/>
        <w:ind w:left="-284"/>
        <w:rPr>
          <w:rFonts w:ascii="Arial" w:hAnsi="Arial" w:cs="Arial"/>
          <w:sz w:val="24"/>
          <w:szCs w:val="24"/>
        </w:rPr>
      </w:pPr>
      <w:r>
        <w:rPr>
          <w:rFonts w:ascii="Arial" w:hAnsi="Arial" w:cs="Arial"/>
          <w:sz w:val="24"/>
          <w:szCs w:val="24"/>
        </w:rPr>
        <w:br/>
      </w:r>
      <w:r w:rsidRPr="00B1233C">
        <w:rPr>
          <w:rFonts w:ascii="Arial" w:hAnsi="Arial" w:cs="Arial"/>
          <w:sz w:val="24"/>
          <w:szCs w:val="24"/>
        </w:rPr>
        <w:t xml:space="preserve">Sir Kenneth </w:t>
      </w:r>
      <w:proofErr w:type="spellStart"/>
      <w:r w:rsidRPr="00B1233C">
        <w:rPr>
          <w:rFonts w:ascii="Arial" w:hAnsi="Arial" w:cs="Arial"/>
          <w:sz w:val="24"/>
          <w:szCs w:val="24"/>
        </w:rPr>
        <w:t>Olisa</w:t>
      </w:r>
      <w:proofErr w:type="spellEnd"/>
      <w:r w:rsidRPr="00B1233C">
        <w:rPr>
          <w:rFonts w:ascii="Arial" w:hAnsi="Arial" w:cs="Arial"/>
          <w:sz w:val="24"/>
          <w:szCs w:val="24"/>
        </w:rPr>
        <w:t>, Chairman</w:t>
      </w:r>
      <w:r>
        <w:rPr>
          <w:rFonts w:ascii="Arial" w:hAnsi="Arial" w:cs="Arial"/>
          <w:sz w:val="24"/>
          <w:szCs w:val="24"/>
        </w:rPr>
        <w:br/>
      </w:r>
    </w:p>
    <w:p w14:paraId="689BEF4B" w14:textId="77777777" w:rsidR="00676596" w:rsidRPr="009924CD" w:rsidRDefault="00676596" w:rsidP="00676596">
      <w:pPr>
        <w:rPr>
          <w:rFonts w:ascii="Arial" w:hAnsi="Arial" w:cs="Arial"/>
          <w:sz w:val="24"/>
          <w:szCs w:val="24"/>
          <w:u w:val="single"/>
        </w:rPr>
      </w:pPr>
    </w:p>
    <w:p w14:paraId="4138013D" w14:textId="77777777" w:rsidR="00676596" w:rsidRDefault="00676596" w:rsidP="00676596">
      <w:pPr>
        <w:rPr>
          <w:u w:val="single"/>
        </w:rPr>
      </w:pPr>
    </w:p>
    <w:p w14:paraId="1C9457B4" w14:textId="77777777" w:rsidR="00676596" w:rsidRDefault="00676596" w:rsidP="00676596">
      <w:pPr>
        <w:rPr>
          <w:u w:val="single"/>
        </w:rPr>
      </w:pPr>
    </w:p>
    <w:p w14:paraId="01F5665E" w14:textId="77777777" w:rsidR="00676596" w:rsidRDefault="00676596" w:rsidP="00676596">
      <w:pPr>
        <w:rPr>
          <w:u w:val="single"/>
        </w:rPr>
      </w:pPr>
    </w:p>
    <w:p w14:paraId="3E64CCAF" w14:textId="77777777" w:rsidR="00676596" w:rsidRDefault="00676596" w:rsidP="00676596">
      <w:pPr>
        <w:rPr>
          <w:u w:val="single"/>
        </w:rPr>
      </w:pPr>
    </w:p>
    <w:p w14:paraId="3C0D39AE" w14:textId="77777777" w:rsidR="00676596" w:rsidRDefault="00676596" w:rsidP="00676596">
      <w:pPr>
        <w:rPr>
          <w:u w:val="single"/>
        </w:rPr>
      </w:pPr>
    </w:p>
    <w:p w14:paraId="626AAC77" w14:textId="77777777" w:rsidR="00676596" w:rsidRDefault="00676596" w:rsidP="00676596">
      <w:pPr>
        <w:rPr>
          <w:u w:val="single"/>
        </w:rPr>
      </w:pPr>
    </w:p>
    <w:p w14:paraId="31672C6B" w14:textId="77777777" w:rsidR="009C033F" w:rsidRDefault="009C033F">
      <w:pPr>
        <w:rPr>
          <w:u w:val="single"/>
        </w:rPr>
      </w:pPr>
      <w:r>
        <w:rPr>
          <w:u w:val="single"/>
        </w:rPr>
        <w:br w:type="page"/>
      </w:r>
    </w:p>
    <w:p w14:paraId="5E1FE0E2" w14:textId="77777777" w:rsidR="00D43FB6" w:rsidRDefault="00676596" w:rsidP="00DC1512">
      <w:pPr>
        <w:tabs>
          <w:tab w:val="left" w:pos="567"/>
        </w:tabs>
        <w:autoSpaceDE w:val="0"/>
        <w:autoSpaceDN w:val="0"/>
        <w:adjustRightInd w:val="0"/>
        <w:spacing w:after="0" w:line="240" w:lineRule="auto"/>
        <w:ind w:left="567" w:hanging="567"/>
        <w:rPr>
          <w:rFonts w:ascii="Arial" w:hAnsi="Arial" w:cs="Arial"/>
          <w:b/>
          <w:sz w:val="32"/>
          <w:szCs w:val="32"/>
        </w:rPr>
      </w:pPr>
      <w:r w:rsidRPr="00AA0FAF">
        <w:rPr>
          <w:rFonts w:ascii="Arial" w:hAnsi="Arial" w:cs="Arial"/>
          <w:b/>
          <w:sz w:val="32"/>
          <w:szCs w:val="32"/>
        </w:rPr>
        <w:lastRenderedPageBreak/>
        <w:t>Group statement of cash flows</w:t>
      </w:r>
      <w:r w:rsidR="005E6F49">
        <w:rPr>
          <w:rFonts w:ascii="Arial" w:hAnsi="Arial" w:cs="Arial"/>
          <w:b/>
          <w:sz w:val="32"/>
          <w:szCs w:val="32"/>
        </w:rPr>
        <w:t xml:space="preserve"> </w:t>
      </w:r>
    </w:p>
    <w:p w14:paraId="08031A0B" w14:textId="77777777" w:rsidR="00676596" w:rsidRPr="005B1CE3" w:rsidRDefault="00676596" w:rsidP="00DC1512">
      <w:pPr>
        <w:tabs>
          <w:tab w:val="left" w:pos="567"/>
        </w:tabs>
        <w:autoSpaceDE w:val="0"/>
        <w:autoSpaceDN w:val="0"/>
        <w:adjustRightInd w:val="0"/>
        <w:spacing w:after="0" w:line="240" w:lineRule="auto"/>
        <w:ind w:left="567" w:hanging="567"/>
        <w:rPr>
          <w:rFonts w:ascii="Arial" w:hAnsi="Arial" w:cs="Arial"/>
          <w:b/>
          <w:i/>
          <w:sz w:val="20"/>
          <w:szCs w:val="20"/>
          <w:u w:val="single"/>
        </w:rPr>
      </w:pPr>
      <w:proofErr w:type="gramStart"/>
      <w:r w:rsidRPr="005B1CE3">
        <w:rPr>
          <w:rFonts w:ascii="Arial" w:hAnsi="Arial" w:cs="Arial"/>
          <w:b/>
          <w:i/>
          <w:sz w:val="20"/>
          <w:szCs w:val="20"/>
        </w:rPr>
        <w:t>for</w:t>
      </w:r>
      <w:proofErr w:type="gramEnd"/>
      <w:r w:rsidRPr="005B1CE3">
        <w:rPr>
          <w:rFonts w:ascii="Arial" w:hAnsi="Arial" w:cs="Arial"/>
          <w:b/>
          <w:i/>
          <w:sz w:val="20"/>
          <w:szCs w:val="20"/>
        </w:rPr>
        <w:t xml:space="preserve"> the year ended 31 August </w:t>
      </w:r>
      <w:r w:rsidR="0037645F" w:rsidRPr="005B1CE3">
        <w:rPr>
          <w:rFonts w:ascii="Arial" w:hAnsi="Arial" w:cs="Arial"/>
          <w:b/>
          <w:i/>
          <w:sz w:val="20"/>
          <w:szCs w:val="20"/>
        </w:rPr>
        <w:t>2020</w:t>
      </w:r>
    </w:p>
    <w:p w14:paraId="7A0AC699" w14:textId="77777777" w:rsidR="00676596" w:rsidRDefault="00676596" w:rsidP="00676596">
      <w:pPr>
        <w:rPr>
          <w:u w:val="single"/>
        </w:rPr>
      </w:pPr>
    </w:p>
    <w:tbl>
      <w:tblPr>
        <w:tblW w:w="9214" w:type="dxa"/>
        <w:tblLayout w:type="fixed"/>
        <w:tblLook w:val="04A0" w:firstRow="1" w:lastRow="0" w:firstColumn="1" w:lastColumn="0" w:noHBand="0" w:noVBand="1"/>
      </w:tblPr>
      <w:tblGrid>
        <w:gridCol w:w="2977"/>
        <w:gridCol w:w="709"/>
        <w:gridCol w:w="1417"/>
        <w:gridCol w:w="1418"/>
        <w:gridCol w:w="1276"/>
        <w:gridCol w:w="1417"/>
      </w:tblGrid>
      <w:tr w:rsidR="00543D10" w:rsidRPr="00543D10" w14:paraId="08889051" w14:textId="77777777" w:rsidTr="00CD5D43">
        <w:trPr>
          <w:trHeight w:val="265"/>
        </w:trPr>
        <w:tc>
          <w:tcPr>
            <w:tcW w:w="2977" w:type="dxa"/>
            <w:tcBorders>
              <w:top w:val="nil"/>
              <w:left w:val="nil"/>
              <w:bottom w:val="nil"/>
              <w:right w:val="nil"/>
            </w:tcBorders>
            <w:shd w:val="clear" w:color="auto" w:fill="auto"/>
            <w:vAlign w:val="center"/>
          </w:tcPr>
          <w:p w14:paraId="0A71DB0A" w14:textId="77777777" w:rsidR="00676596" w:rsidRPr="00543D10" w:rsidRDefault="00676596" w:rsidP="00676596">
            <w:pPr>
              <w:spacing w:after="0" w:line="240" w:lineRule="auto"/>
              <w:rPr>
                <w:rFonts w:ascii="Times New Roman" w:eastAsia="Times New Roman" w:hAnsi="Times New Roman" w:cs="Times New Roman"/>
                <w:sz w:val="24"/>
                <w:szCs w:val="24"/>
                <w:lang w:eastAsia="en-GB"/>
              </w:rPr>
            </w:pPr>
          </w:p>
        </w:tc>
        <w:tc>
          <w:tcPr>
            <w:tcW w:w="709" w:type="dxa"/>
            <w:tcBorders>
              <w:top w:val="nil"/>
              <w:left w:val="nil"/>
              <w:bottom w:val="nil"/>
              <w:right w:val="nil"/>
            </w:tcBorders>
            <w:shd w:val="clear" w:color="auto" w:fill="auto"/>
            <w:noWrap/>
            <w:vAlign w:val="center"/>
          </w:tcPr>
          <w:p w14:paraId="4CECC10F" w14:textId="77777777" w:rsidR="00676596" w:rsidRPr="00543D10" w:rsidRDefault="00676596" w:rsidP="00676596">
            <w:pPr>
              <w:spacing w:after="0" w:line="240" w:lineRule="auto"/>
              <w:rPr>
                <w:rFonts w:ascii="Arial" w:eastAsia="Times New Roman" w:hAnsi="Arial" w:cs="Arial"/>
                <w:b/>
                <w:bCs/>
                <w:sz w:val="20"/>
                <w:szCs w:val="20"/>
                <w:lang w:eastAsia="en-GB"/>
              </w:rPr>
            </w:pPr>
          </w:p>
        </w:tc>
        <w:tc>
          <w:tcPr>
            <w:tcW w:w="1417" w:type="dxa"/>
            <w:tcBorders>
              <w:top w:val="nil"/>
              <w:left w:val="nil"/>
              <w:bottom w:val="nil"/>
              <w:right w:val="nil"/>
            </w:tcBorders>
            <w:shd w:val="clear" w:color="auto" w:fill="auto"/>
            <w:noWrap/>
            <w:vAlign w:val="center"/>
          </w:tcPr>
          <w:p w14:paraId="31B73FA8" w14:textId="77777777" w:rsidR="00676596" w:rsidRPr="00543D10" w:rsidRDefault="0088736E" w:rsidP="0088736E">
            <w:pPr>
              <w:spacing w:after="0" w:line="240" w:lineRule="auto"/>
              <w:jc w:val="right"/>
              <w:rPr>
                <w:rFonts w:ascii="Arial" w:eastAsia="Times New Roman" w:hAnsi="Arial" w:cs="Arial"/>
                <w:b/>
                <w:bCs/>
                <w:sz w:val="20"/>
                <w:szCs w:val="20"/>
                <w:lang w:eastAsia="en-GB"/>
              </w:rPr>
            </w:pPr>
            <w:r w:rsidRPr="00543D10">
              <w:rPr>
                <w:rFonts w:ascii="Arial" w:eastAsia="Times New Roman" w:hAnsi="Arial" w:cs="Arial"/>
                <w:b/>
                <w:bCs/>
                <w:sz w:val="20"/>
                <w:szCs w:val="20"/>
                <w:lang w:eastAsia="en-GB"/>
              </w:rPr>
              <w:t xml:space="preserve">Year ended 31 August </w:t>
            </w:r>
          </w:p>
        </w:tc>
        <w:tc>
          <w:tcPr>
            <w:tcW w:w="1418" w:type="dxa"/>
            <w:tcBorders>
              <w:top w:val="nil"/>
              <w:left w:val="nil"/>
              <w:bottom w:val="nil"/>
              <w:right w:val="nil"/>
            </w:tcBorders>
            <w:shd w:val="clear" w:color="auto" w:fill="auto"/>
            <w:noWrap/>
            <w:vAlign w:val="center"/>
          </w:tcPr>
          <w:p w14:paraId="5E11D663" w14:textId="77777777" w:rsidR="00676596" w:rsidRPr="00543D10" w:rsidRDefault="0088736E" w:rsidP="0088736E">
            <w:pPr>
              <w:spacing w:after="0" w:line="240" w:lineRule="auto"/>
              <w:jc w:val="right"/>
              <w:rPr>
                <w:rFonts w:ascii="Arial" w:eastAsia="Times New Roman" w:hAnsi="Arial" w:cs="Arial"/>
                <w:b/>
                <w:bCs/>
                <w:sz w:val="20"/>
                <w:szCs w:val="20"/>
                <w:lang w:eastAsia="en-GB"/>
              </w:rPr>
            </w:pPr>
            <w:r w:rsidRPr="00543D10">
              <w:rPr>
                <w:rFonts w:ascii="Arial" w:eastAsia="Times New Roman" w:hAnsi="Arial" w:cs="Arial"/>
                <w:b/>
                <w:bCs/>
                <w:sz w:val="20"/>
                <w:szCs w:val="20"/>
                <w:lang w:eastAsia="en-GB"/>
              </w:rPr>
              <w:t xml:space="preserve">Year ended 31 August </w:t>
            </w:r>
          </w:p>
        </w:tc>
        <w:tc>
          <w:tcPr>
            <w:tcW w:w="1276" w:type="dxa"/>
            <w:tcBorders>
              <w:top w:val="nil"/>
              <w:left w:val="nil"/>
              <w:bottom w:val="nil"/>
              <w:right w:val="nil"/>
            </w:tcBorders>
            <w:shd w:val="clear" w:color="auto" w:fill="auto"/>
            <w:noWrap/>
            <w:vAlign w:val="center"/>
          </w:tcPr>
          <w:p w14:paraId="6D5A834E" w14:textId="77777777" w:rsidR="00676596" w:rsidRPr="00543D10" w:rsidRDefault="00255CE0" w:rsidP="0088736E">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Year ended</w:t>
            </w:r>
            <w:r w:rsidR="00676596" w:rsidRPr="00543D10">
              <w:rPr>
                <w:rFonts w:ascii="Arial" w:eastAsia="Times New Roman" w:hAnsi="Arial" w:cs="Arial"/>
                <w:sz w:val="20"/>
                <w:szCs w:val="20"/>
                <w:lang w:eastAsia="en-GB"/>
              </w:rPr>
              <w:t xml:space="preserve">  31 August</w:t>
            </w:r>
          </w:p>
        </w:tc>
        <w:tc>
          <w:tcPr>
            <w:tcW w:w="1417" w:type="dxa"/>
            <w:tcBorders>
              <w:top w:val="nil"/>
              <w:left w:val="nil"/>
              <w:bottom w:val="nil"/>
              <w:right w:val="nil"/>
            </w:tcBorders>
            <w:shd w:val="clear" w:color="auto" w:fill="auto"/>
            <w:noWrap/>
            <w:vAlign w:val="center"/>
          </w:tcPr>
          <w:p w14:paraId="446C4464" w14:textId="77777777" w:rsidR="00676596" w:rsidRPr="00543D10" w:rsidRDefault="00255CE0" w:rsidP="009C033F">
            <w:pPr>
              <w:spacing w:after="0" w:line="240" w:lineRule="auto"/>
              <w:ind w:right="51"/>
              <w:jc w:val="right"/>
              <w:rPr>
                <w:rFonts w:ascii="Arial" w:eastAsia="Times New Roman" w:hAnsi="Arial" w:cs="Arial"/>
                <w:sz w:val="20"/>
                <w:szCs w:val="20"/>
                <w:lang w:eastAsia="en-GB"/>
              </w:rPr>
            </w:pPr>
            <w:r>
              <w:rPr>
                <w:rFonts w:ascii="Arial" w:eastAsia="Times New Roman" w:hAnsi="Arial" w:cs="Arial"/>
                <w:sz w:val="20"/>
                <w:szCs w:val="20"/>
                <w:lang w:eastAsia="en-GB"/>
              </w:rPr>
              <w:t>Year ended</w:t>
            </w:r>
            <w:r w:rsidR="00676596" w:rsidRPr="00543D10">
              <w:rPr>
                <w:rFonts w:ascii="Arial" w:eastAsia="Times New Roman" w:hAnsi="Arial" w:cs="Arial"/>
                <w:sz w:val="20"/>
                <w:szCs w:val="20"/>
                <w:lang w:eastAsia="en-GB"/>
              </w:rPr>
              <w:t xml:space="preserve"> 31 August</w:t>
            </w:r>
          </w:p>
        </w:tc>
      </w:tr>
      <w:tr w:rsidR="00543D10" w:rsidRPr="00543D10" w14:paraId="39ED02FF" w14:textId="77777777" w:rsidTr="00CD5D43">
        <w:trPr>
          <w:trHeight w:val="265"/>
        </w:trPr>
        <w:tc>
          <w:tcPr>
            <w:tcW w:w="2977" w:type="dxa"/>
            <w:tcBorders>
              <w:top w:val="nil"/>
              <w:left w:val="nil"/>
              <w:bottom w:val="nil"/>
              <w:right w:val="nil"/>
            </w:tcBorders>
            <w:shd w:val="clear" w:color="auto" w:fill="auto"/>
            <w:vAlign w:val="center"/>
            <w:hideMark/>
          </w:tcPr>
          <w:p w14:paraId="7A151AAF" w14:textId="77777777" w:rsidR="00676596" w:rsidRPr="00543D10" w:rsidRDefault="00676596" w:rsidP="00676596">
            <w:pPr>
              <w:spacing w:after="0" w:line="240" w:lineRule="auto"/>
              <w:rPr>
                <w:rFonts w:ascii="Times New Roman" w:eastAsia="Times New Roman" w:hAnsi="Times New Roman" w:cs="Times New Roman"/>
                <w:sz w:val="24"/>
                <w:szCs w:val="24"/>
                <w:lang w:eastAsia="en-GB"/>
              </w:rPr>
            </w:pPr>
          </w:p>
        </w:tc>
        <w:tc>
          <w:tcPr>
            <w:tcW w:w="709" w:type="dxa"/>
            <w:tcBorders>
              <w:top w:val="nil"/>
              <w:left w:val="nil"/>
              <w:bottom w:val="nil"/>
              <w:right w:val="nil"/>
            </w:tcBorders>
            <w:shd w:val="clear" w:color="auto" w:fill="auto"/>
            <w:noWrap/>
            <w:vAlign w:val="center"/>
            <w:hideMark/>
          </w:tcPr>
          <w:p w14:paraId="16ADB2AC" w14:textId="77777777" w:rsidR="00676596" w:rsidRPr="00543D10" w:rsidRDefault="00676596" w:rsidP="00676596">
            <w:pPr>
              <w:spacing w:after="0" w:line="240" w:lineRule="auto"/>
              <w:rPr>
                <w:rFonts w:ascii="Arial" w:eastAsia="Times New Roman" w:hAnsi="Arial" w:cs="Arial"/>
                <w:b/>
                <w:bCs/>
                <w:sz w:val="20"/>
                <w:szCs w:val="20"/>
                <w:lang w:eastAsia="en-GB"/>
              </w:rPr>
            </w:pPr>
            <w:r w:rsidRPr="00543D10">
              <w:rPr>
                <w:rFonts w:ascii="Arial" w:eastAsia="Times New Roman" w:hAnsi="Arial" w:cs="Arial"/>
                <w:b/>
                <w:bCs/>
                <w:sz w:val="20"/>
                <w:szCs w:val="20"/>
                <w:lang w:eastAsia="en-GB"/>
              </w:rPr>
              <w:t>Note</w:t>
            </w:r>
          </w:p>
        </w:tc>
        <w:tc>
          <w:tcPr>
            <w:tcW w:w="1417" w:type="dxa"/>
            <w:tcBorders>
              <w:top w:val="nil"/>
              <w:left w:val="nil"/>
              <w:bottom w:val="nil"/>
              <w:right w:val="nil"/>
            </w:tcBorders>
            <w:shd w:val="clear" w:color="auto" w:fill="auto"/>
            <w:noWrap/>
            <w:vAlign w:val="center"/>
            <w:hideMark/>
          </w:tcPr>
          <w:p w14:paraId="20AC3725" w14:textId="77777777" w:rsidR="00676596" w:rsidRPr="00543D10" w:rsidRDefault="0037645F" w:rsidP="005B39D0">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2020</w:t>
            </w:r>
          </w:p>
        </w:tc>
        <w:tc>
          <w:tcPr>
            <w:tcW w:w="1418" w:type="dxa"/>
            <w:tcBorders>
              <w:top w:val="nil"/>
              <w:left w:val="nil"/>
              <w:bottom w:val="nil"/>
              <w:right w:val="nil"/>
            </w:tcBorders>
            <w:shd w:val="clear" w:color="auto" w:fill="auto"/>
            <w:noWrap/>
            <w:vAlign w:val="center"/>
            <w:hideMark/>
          </w:tcPr>
          <w:p w14:paraId="09CC44EF" w14:textId="77777777" w:rsidR="00676596" w:rsidRPr="00543D10" w:rsidRDefault="0037645F" w:rsidP="005B39D0">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2020</w:t>
            </w:r>
          </w:p>
        </w:tc>
        <w:tc>
          <w:tcPr>
            <w:tcW w:w="1276" w:type="dxa"/>
            <w:tcBorders>
              <w:top w:val="nil"/>
              <w:left w:val="nil"/>
              <w:bottom w:val="nil"/>
              <w:right w:val="nil"/>
            </w:tcBorders>
            <w:shd w:val="clear" w:color="auto" w:fill="auto"/>
            <w:noWrap/>
            <w:vAlign w:val="center"/>
            <w:hideMark/>
          </w:tcPr>
          <w:p w14:paraId="7C7D4B07" w14:textId="77777777" w:rsidR="00676596" w:rsidRPr="00543D10" w:rsidRDefault="0037645F" w:rsidP="005B39D0">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2019</w:t>
            </w:r>
          </w:p>
        </w:tc>
        <w:tc>
          <w:tcPr>
            <w:tcW w:w="1417" w:type="dxa"/>
            <w:tcBorders>
              <w:top w:val="nil"/>
              <w:left w:val="nil"/>
              <w:bottom w:val="nil"/>
              <w:right w:val="nil"/>
            </w:tcBorders>
            <w:shd w:val="clear" w:color="auto" w:fill="auto"/>
            <w:noWrap/>
            <w:vAlign w:val="center"/>
            <w:hideMark/>
          </w:tcPr>
          <w:p w14:paraId="6DB45350" w14:textId="77777777" w:rsidR="00676596" w:rsidRPr="00543D10" w:rsidRDefault="0037645F" w:rsidP="009C033F">
            <w:pPr>
              <w:spacing w:after="0" w:line="240" w:lineRule="auto"/>
              <w:ind w:right="51"/>
              <w:jc w:val="right"/>
              <w:rPr>
                <w:rFonts w:ascii="Arial" w:eastAsia="Times New Roman" w:hAnsi="Arial" w:cs="Arial"/>
                <w:sz w:val="20"/>
                <w:szCs w:val="20"/>
                <w:lang w:eastAsia="en-GB"/>
              </w:rPr>
            </w:pPr>
            <w:r>
              <w:rPr>
                <w:rFonts w:ascii="Arial" w:eastAsia="Times New Roman" w:hAnsi="Arial" w:cs="Arial"/>
                <w:sz w:val="20"/>
                <w:szCs w:val="20"/>
                <w:lang w:eastAsia="en-GB"/>
              </w:rPr>
              <w:t>2019</w:t>
            </w:r>
          </w:p>
        </w:tc>
      </w:tr>
      <w:tr w:rsidR="00543D10" w:rsidRPr="00543D10" w14:paraId="1A79F948" w14:textId="77777777" w:rsidTr="00CD5D43">
        <w:trPr>
          <w:trHeight w:val="265"/>
        </w:trPr>
        <w:tc>
          <w:tcPr>
            <w:tcW w:w="2977" w:type="dxa"/>
            <w:tcBorders>
              <w:top w:val="nil"/>
              <w:left w:val="nil"/>
              <w:bottom w:val="single" w:sz="4" w:space="0" w:color="auto"/>
              <w:right w:val="nil"/>
            </w:tcBorders>
            <w:shd w:val="clear" w:color="auto" w:fill="auto"/>
            <w:vAlign w:val="center"/>
            <w:hideMark/>
          </w:tcPr>
          <w:p w14:paraId="5498CFDF" w14:textId="77777777" w:rsidR="00676596" w:rsidRPr="00543D10" w:rsidRDefault="00676596" w:rsidP="00676596">
            <w:pPr>
              <w:spacing w:after="0" w:line="240" w:lineRule="auto"/>
              <w:rPr>
                <w:rFonts w:ascii="Arial" w:eastAsia="Times New Roman" w:hAnsi="Arial" w:cs="Arial"/>
                <w:b/>
                <w:bCs/>
                <w:sz w:val="20"/>
                <w:szCs w:val="20"/>
                <w:lang w:eastAsia="en-GB"/>
              </w:rPr>
            </w:pPr>
            <w:r w:rsidRPr="00543D10">
              <w:rPr>
                <w:rFonts w:ascii="Arial" w:eastAsia="Times New Roman" w:hAnsi="Arial" w:cs="Arial"/>
                <w:b/>
                <w:bCs/>
                <w:sz w:val="20"/>
                <w:szCs w:val="20"/>
                <w:lang w:eastAsia="en-GB"/>
              </w:rPr>
              <w:t> </w:t>
            </w:r>
          </w:p>
        </w:tc>
        <w:tc>
          <w:tcPr>
            <w:tcW w:w="709" w:type="dxa"/>
            <w:tcBorders>
              <w:top w:val="nil"/>
              <w:left w:val="nil"/>
              <w:bottom w:val="single" w:sz="4" w:space="0" w:color="auto"/>
              <w:right w:val="nil"/>
            </w:tcBorders>
            <w:shd w:val="clear" w:color="auto" w:fill="auto"/>
            <w:noWrap/>
            <w:vAlign w:val="center"/>
            <w:hideMark/>
          </w:tcPr>
          <w:p w14:paraId="056B72AF" w14:textId="77777777" w:rsidR="00676596" w:rsidRPr="00543D10" w:rsidRDefault="00676596" w:rsidP="00676596">
            <w:pPr>
              <w:spacing w:after="0" w:line="240" w:lineRule="auto"/>
              <w:rPr>
                <w:rFonts w:ascii="Arial" w:eastAsia="Times New Roman" w:hAnsi="Arial" w:cs="Arial"/>
                <w:sz w:val="20"/>
                <w:szCs w:val="20"/>
                <w:lang w:eastAsia="en-GB"/>
              </w:rPr>
            </w:pPr>
            <w:r w:rsidRPr="00543D10">
              <w:rPr>
                <w:rFonts w:ascii="Arial" w:eastAsia="Times New Roman" w:hAnsi="Arial" w:cs="Arial"/>
                <w:sz w:val="20"/>
                <w:szCs w:val="20"/>
                <w:lang w:eastAsia="en-GB"/>
              </w:rPr>
              <w:t> </w:t>
            </w:r>
          </w:p>
        </w:tc>
        <w:tc>
          <w:tcPr>
            <w:tcW w:w="1417" w:type="dxa"/>
            <w:tcBorders>
              <w:top w:val="nil"/>
              <w:left w:val="nil"/>
              <w:bottom w:val="single" w:sz="4" w:space="0" w:color="auto"/>
              <w:right w:val="nil"/>
            </w:tcBorders>
            <w:shd w:val="clear" w:color="auto" w:fill="auto"/>
            <w:noWrap/>
            <w:vAlign w:val="center"/>
            <w:hideMark/>
          </w:tcPr>
          <w:p w14:paraId="061B60CB" w14:textId="77777777" w:rsidR="00676596" w:rsidRPr="00543D10" w:rsidRDefault="00676596" w:rsidP="005B39D0">
            <w:pPr>
              <w:spacing w:after="0" w:line="240" w:lineRule="auto"/>
              <w:jc w:val="right"/>
              <w:rPr>
                <w:rFonts w:ascii="Arial" w:eastAsia="Times New Roman" w:hAnsi="Arial" w:cs="Arial"/>
                <w:b/>
                <w:bCs/>
                <w:sz w:val="20"/>
                <w:szCs w:val="20"/>
                <w:lang w:eastAsia="en-GB"/>
              </w:rPr>
            </w:pPr>
            <w:r w:rsidRPr="00543D10">
              <w:rPr>
                <w:rFonts w:ascii="Arial" w:eastAsia="Times New Roman" w:hAnsi="Arial" w:cs="Arial"/>
                <w:b/>
                <w:bCs/>
                <w:sz w:val="20"/>
                <w:szCs w:val="20"/>
                <w:lang w:eastAsia="en-GB"/>
              </w:rPr>
              <w:t>£'000</w:t>
            </w:r>
          </w:p>
        </w:tc>
        <w:tc>
          <w:tcPr>
            <w:tcW w:w="1418" w:type="dxa"/>
            <w:tcBorders>
              <w:top w:val="nil"/>
              <w:left w:val="nil"/>
              <w:bottom w:val="single" w:sz="4" w:space="0" w:color="auto"/>
              <w:right w:val="nil"/>
            </w:tcBorders>
            <w:shd w:val="clear" w:color="auto" w:fill="auto"/>
            <w:noWrap/>
            <w:vAlign w:val="center"/>
            <w:hideMark/>
          </w:tcPr>
          <w:p w14:paraId="635D0E95" w14:textId="77777777" w:rsidR="00676596" w:rsidRPr="00543D10" w:rsidRDefault="00676596" w:rsidP="005B39D0">
            <w:pPr>
              <w:spacing w:after="0" w:line="240" w:lineRule="auto"/>
              <w:jc w:val="right"/>
              <w:rPr>
                <w:rFonts w:ascii="Arial" w:eastAsia="Times New Roman" w:hAnsi="Arial" w:cs="Arial"/>
                <w:b/>
                <w:bCs/>
                <w:sz w:val="20"/>
                <w:szCs w:val="20"/>
                <w:lang w:eastAsia="en-GB"/>
              </w:rPr>
            </w:pPr>
            <w:r w:rsidRPr="00543D10">
              <w:rPr>
                <w:rFonts w:ascii="Arial" w:eastAsia="Times New Roman" w:hAnsi="Arial" w:cs="Arial"/>
                <w:b/>
                <w:bCs/>
                <w:sz w:val="20"/>
                <w:szCs w:val="20"/>
                <w:lang w:eastAsia="en-GB"/>
              </w:rPr>
              <w:t>£'000</w:t>
            </w:r>
          </w:p>
        </w:tc>
        <w:tc>
          <w:tcPr>
            <w:tcW w:w="1276" w:type="dxa"/>
            <w:tcBorders>
              <w:top w:val="nil"/>
              <w:left w:val="nil"/>
              <w:bottom w:val="single" w:sz="4" w:space="0" w:color="auto"/>
              <w:right w:val="nil"/>
            </w:tcBorders>
            <w:shd w:val="clear" w:color="auto" w:fill="auto"/>
            <w:noWrap/>
            <w:vAlign w:val="center"/>
            <w:hideMark/>
          </w:tcPr>
          <w:p w14:paraId="040544DF" w14:textId="77777777" w:rsidR="00676596" w:rsidRPr="00543D10" w:rsidRDefault="00676596" w:rsidP="005B39D0">
            <w:pPr>
              <w:spacing w:after="0" w:line="240" w:lineRule="auto"/>
              <w:jc w:val="right"/>
              <w:rPr>
                <w:rFonts w:ascii="Arial" w:eastAsia="Times New Roman" w:hAnsi="Arial" w:cs="Arial"/>
                <w:sz w:val="20"/>
                <w:szCs w:val="20"/>
                <w:lang w:eastAsia="en-GB"/>
              </w:rPr>
            </w:pPr>
            <w:r w:rsidRPr="00543D10">
              <w:rPr>
                <w:rFonts w:ascii="Arial" w:eastAsia="Times New Roman" w:hAnsi="Arial" w:cs="Arial"/>
                <w:sz w:val="20"/>
                <w:szCs w:val="20"/>
                <w:lang w:eastAsia="en-GB"/>
              </w:rPr>
              <w:t>£'000</w:t>
            </w:r>
          </w:p>
        </w:tc>
        <w:tc>
          <w:tcPr>
            <w:tcW w:w="1417" w:type="dxa"/>
            <w:tcBorders>
              <w:top w:val="nil"/>
              <w:left w:val="nil"/>
              <w:bottom w:val="single" w:sz="4" w:space="0" w:color="auto"/>
              <w:right w:val="nil"/>
            </w:tcBorders>
            <w:shd w:val="clear" w:color="auto" w:fill="auto"/>
            <w:noWrap/>
            <w:vAlign w:val="center"/>
            <w:hideMark/>
          </w:tcPr>
          <w:p w14:paraId="592FD136" w14:textId="77777777" w:rsidR="00676596" w:rsidRPr="00543D10" w:rsidRDefault="00676596" w:rsidP="009C033F">
            <w:pPr>
              <w:spacing w:after="0" w:line="240" w:lineRule="auto"/>
              <w:ind w:right="51"/>
              <w:jc w:val="right"/>
              <w:rPr>
                <w:rFonts w:ascii="Arial" w:eastAsia="Times New Roman" w:hAnsi="Arial" w:cs="Arial"/>
                <w:sz w:val="20"/>
                <w:szCs w:val="20"/>
                <w:lang w:eastAsia="en-GB"/>
              </w:rPr>
            </w:pPr>
            <w:r w:rsidRPr="00543D10">
              <w:rPr>
                <w:rFonts w:ascii="Arial" w:eastAsia="Times New Roman" w:hAnsi="Arial" w:cs="Arial"/>
                <w:sz w:val="20"/>
                <w:szCs w:val="20"/>
                <w:lang w:eastAsia="en-GB"/>
              </w:rPr>
              <w:t>£'000</w:t>
            </w:r>
          </w:p>
        </w:tc>
      </w:tr>
      <w:tr w:rsidR="0061265C" w:rsidRPr="00543D10" w14:paraId="11015A7A" w14:textId="77777777" w:rsidTr="00CD5D43">
        <w:trPr>
          <w:trHeight w:val="530"/>
        </w:trPr>
        <w:tc>
          <w:tcPr>
            <w:tcW w:w="2977" w:type="dxa"/>
            <w:tcBorders>
              <w:top w:val="nil"/>
              <w:left w:val="nil"/>
              <w:bottom w:val="nil"/>
              <w:right w:val="nil"/>
            </w:tcBorders>
            <w:shd w:val="clear" w:color="auto" w:fill="auto"/>
            <w:vAlign w:val="center"/>
            <w:hideMark/>
          </w:tcPr>
          <w:p w14:paraId="545D11E0" w14:textId="77777777" w:rsidR="0061265C" w:rsidRPr="00543D10" w:rsidRDefault="0061265C" w:rsidP="0061265C">
            <w:pPr>
              <w:spacing w:after="0" w:line="240" w:lineRule="auto"/>
              <w:rPr>
                <w:rFonts w:ascii="Arial" w:eastAsia="Times New Roman" w:hAnsi="Arial" w:cs="Arial"/>
                <w:b/>
                <w:bCs/>
                <w:sz w:val="20"/>
                <w:szCs w:val="20"/>
                <w:lang w:eastAsia="en-GB"/>
              </w:rPr>
            </w:pPr>
            <w:r w:rsidRPr="00543D10">
              <w:rPr>
                <w:rFonts w:ascii="Arial" w:eastAsia="Times New Roman" w:hAnsi="Arial" w:cs="Arial"/>
                <w:b/>
                <w:bCs/>
                <w:sz w:val="20"/>
                <w:szCs w:val="20"/>
                <w:lang w:eastAsia="en-GB"/>
              </w:rPr>
              <w:t xml:space="preserve">Net cash inflow </w:t>
            </w:r>
            <w:r w:rsidR="008B1315">
              <w:rPr>
                <w:rFonts w:ascii="Arial" w:eastAsia="Times New Roman" w:hAnsi="Arial" w:cs="Arial"/>
                <w:b/>
                <w:bCs/>
                <w:sz w:val="20"/>
                <w:szCs w:val="20"/>
                <w:lang w:eastAsia="en-GB"/>
              </w:rPr>
              <w:t xml:space="preserve">/ (outflow) </w:t>
            </w:r>
            <w:r w:rsidRPr="00543D10">
              <w:rPr>
                <w:rFonts w:ascii="Arial" w:eastAsia="Times New Roman" w:hAnsi="Arial" w:cs="Arial"/>
                <w:b/>
                <w:bCs/>
                <w:sz w:val="20"/>
                <w:szCs w:val="20"/>
                <w:lang w:eastAsia="en-GB"/>
              </w:rPr>
              <w:t>from operating activities</w:t>
            </w:r>
          </w:p>
        </w:tc>
        <w:tc>
          <w:tcPr>
            <w:tcW w:w="709" w:type="dxa"/>
            <w:tcBorders>
              <w:top w:val="nil"/>
              <w:left w:val="nil"/>
              <w:bottom w:val="nil"/>
              <w:right w:val="nil"/>
            </w:tcBorders>
            <w:shd w:val="clear" w:color="auto" w:fill="auto"/>
            <w:noWrap/>
            <w:vAlign w:val="center"/>
            <w:hideMark/>
          </w:tcPr>
          <w:p w14:paraId="1183AC99" w14:textId="77777777" w:rsidR="0061265C" w:rsidRPr="00543D10" w:rsidRDefault="0061265C" w:rsidP="00CD5D43">
            <w:pPr>
              <w:spacing w:after="0" w:line="240" w:lineRule="auto"/>
              <w:jc w:val="center"/>
              <w:rPr>
                <w:rFonts w:ascii="Arial" w:eastAsia="Times New Roman" w:hAnsi="Arial" w:cs="Arial"/>
                <w:sz w:val="20"/>
                <w:szCs w:val="20"/>
                <w:lang w:eastAsia="en-GB"/>
              </w:rPr>
            </w:pPr>
            <w:r w:rsidRPr="00543D10">
              <w:rPr>
                <w:rFonts w:ascii="Arial" w:eastAsia="Times New Roman" w:hAnsi="Arial" w:cs="Arial"/>
                <w:sz w:val="20"/>
                <w:szCs w:val="20"/>
                <w:lang w:eastAsia="en-GB"/>
              </w:rPr>
              <w:t>A</w:t>
            </w:r>
          </w:p>
        </w:tc>
        <w:tc>
          <w:tcPr>
            <w:tcW w:w="1417" w:type="dxa"/>
            <w:tcBorders>
              <w:top w:val="nil"/>
              <w:left w:val="nil"/>
              <w:bottom w:val="nil"/>
              <w:right w:val="nil"/>
            </w:tcBorders>
            <w:shd w:val="clear" w:color="auto" w:fill="auto"/>
            <w:noWrap/>
            <w:vAlign w:val="center"/>
            <w:hideMark/>
          </w:tcPr>
          <w:p w14:paraId="0381247B" w14:textId="77777777" w:rsidR="0061265C" w:rsidRPr="00543D10" w:rsidRDefault="0061265C" w:rsidP="0061265C">
            <w:pPr>
              <w:spacing w:after="0" w:line="240" w:lineRule="auto"/>
              <w:jc w:val="right"/>
              <w:rPr>
                <w:rFonts w:ascii="Arial" w:eastAsia="Times New Roman" w:hAnsi="Arial" w:cs="Arial"/>
                <w:sz w:val="20"/>
                <w:szCs w:val="20"/>
                <w:lang w:eastAsia="en-GB"/>
              </w:rPr>
            </w:pPr>
          </w:p>
        </w:tc>
        <w:tc>
          <w:tcPr>
            <w:tcW w:w="1418" w:type="dxa"/>
            <w:tcBorders>
              <w:top w:val="nil"/>
              <w:left w:val="nil"/>
              <w:bottom w:val="nil"/>
              <w:right w:val="nil"/>
            </w:tcBorders>
            <w:shd w:val="clear" w:color="auto" w:fill="auto"/>
            <w:noWrap/>
            <w:vAlign w:val="center"/>
          </w:tcPr>
          <w:p w14:paraId="0C612D52" w14:textId="77777777" w:rsidR="0061265C" w:rsidRPr="00543D10" w:rsidRDefault="00CF23EC" w:rsidP="00492B26">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38,62</w:t>
            </w:r>
            <w:r w:rsidR="00BA11DA">
              <w:rPr>
                <w:rFonts w:ascii="Arial" w:eastAsia="Times New Roman" w:hAnsi="Arial" w:cs="Arial"/>
                <w:b/>
                <w:bCs/>
                <w:sz w:val="20"/>
                <w:szCs w:val="20"/>
                <w:lang w:eastAsia="en-GB"/>
              </w:rPr>
              <w:t>2</w:t>
            </w:r>
          </w:p>
        </w:tc>
        <w:tc>
          <w:tcPr>
            <w:tcW w:w="1276" w:type="dxa"/>
            <w:tcBorders>
              <w:top w:val="nil"/>
              <w:left w:val="nil"/>
              <w:bottom w:val="nil"/>
              <w:right w:val="nil"/>
            </w:tcBorders>
            <w:shd w:val="clear" w:color="auto" w:fill="auto"/>
            <w:noWrap/>
            <w:vAlign w:val="center"/>
            <w:hideMark/>
          </w:tcPr>
          <w:p w14:paraId="071463D5" w14:textId="77777777" w:rsidR="0061265C" w:rsidRPr="00543D10" w:rsidRDefault="0061265C" w:rsidP="0061265C">
            <w:pPr>
              <w:spacing w:after="0" w:line="240" w:lineRule="auto"/>
              <w:jc w:val="right"/>
              <w:rPr>
                <w:rFonts w:ascii="Arial" w:eastAsia="Times New Roman" w:hAnsi="Arial" w:cs="Arial"/>
                <w:b/>
                <w:bCs/>
                <w:sz w:val="20"/>
                <w:szCs w:val="20"/>
                <w:lang w:eastAsia="en-GB"/>
              </w:rPr>
            </w:pPr>
          </w:p>
        </w:tc>
        <w:tc>
          <w:tcPr>
            <w:tcW w:w="1417" w:type="dxa"/>
            <w:tcBorders>
              <w:top w:val="nil"/>
              <w:left w:val="nil"/>
              <w:bottom w:val="nil"/>
              <w:right w:val="nil"/>
            </w:tcBorders>
            <w:shd w:val="clear" w:color="auto" w:fill="auto"/>
            <w:noWrap/>
            <w:vAlign w:val="center"/>
            <w:hideMark/>
          </w:tcPr>
          <w:p w14:paraId="344688F8" w14:textId="77777777" w:rsidR="0061265C" w:rsidRPr="0061265C" w:rsidRDefault="0061265C" w:rsidP="009C033F">
            <w:pPr>
              <w:spacing w:after="0" w:line="240" w:lineRule="auto"/>
              <w:ind w:right="51"/>
              <w:jc w:val="right"/>
              <w:rPr>
                <w:rFonts w:ascii="Arial" w:eastAsia="Times New Roman" w:hAnsi="Arial" w:cs="Arial"/>
                <w:sz w:val="20"/>
                <w:szCs w:val="20"/>
                <w:lang w:eastAsia="en-GB"/>
              </w:rPr>
            </w:pPr>
            <w:r w:rsidRPr="0061265C">
              <w:rPr>
                <w:rFonts w:ascii="Arial" w:eastAsia="Times New Roman" w:hAnsi="Arial" w:cs="Arial"/>
                <w:bCs/>
                <w:sz w:val="20"/>
                <w:szCs w:val="20"/>
                <w:lang w:eastAsia="en-GB"/>
              </w:rPr>
              <w:t>(13,766)</w:t>
            </w:r>
          </w:p>
        </w:tc>
      </w:tr>
      <w:tr w:rsidR="0061265C" w:rsidRPr="00543D10" w14:paraId="792539B5" w14:textId="77777777" w:rsidTr="00CD5D43">
        <w:trPr>
          <w:trHeight w:val="265"/>
        </w:trPr>
        <w:tc>
          <w:tcPr>
            <w:tcW w:w="2977" w:type="dxa"/>
            <w:tcBorders>
              <w:top w:val="nil"/>
              <w:left w:val="nil"/>
              <w:bottom w:val="nil"/>
              <w:right w:val="nil"/>
            </w:tcBorders>
            <w:shd w:val="clear" w:color="auto" w:fill="auto"/>
            <w:vAlign w:val="center"/>
            <w:hideMark/>
          </w:tcPr>
          <w:p w14:paraId="7BF8BFA0" w14:textId="77777777" w:rsidR="0061265C" w:rsidRPr="00543D10" w:rsidRDefault="0061265C" w:rsidP="0061265C">
            <w:pPr>
              <w:spacing w:after="0" w:line="240" w:lineRule="auto"/>
              <w:rPr>
                <w:rFonts w:ascii="Arial" w:eastAsia="Times New Roman" w:hAnsi="Arial" w:cs="Arial"/>
                <w:sz w:val="20"/>
                <w:szCs w:val="20"/>
                <w:lang w:eastAsia="en-GB"/>
              </w:rPr>
            </w:pPr>
            <w:r w:rsidRPr="00543D10">
              <w:rPr>
                <w:rFonts w:ascii="Arial" w:eastAsia="Times New Roman" w:hAnsi="Arial" w:cs="Arial"/>
                <w:sz w:val="20"/>
                <w:szCs w:val="20"/>
                <w:lang w:eastAsia="en-GB"/>
              </w:rPr>
              <w:t>Taxation</w:t>
            </w:r>
          </w:p>
        </w:tc>
        <w:tc>
          <w:tcPr>
            <w:tcW w:w="709" w:type="dxa"/>
            <w:tcBorders>
              <w:top w:val="nil"/>
              <w:left w:val="nil"/>
              <w:bottom w:val="nil"/>
              <w:right w:val="nil"/>
            </w:tcBorders>
            <w:shd w:val="clear" w:color="auto" w:fill="auto"/>
            <w:noWrap/>
            <w:vAlign w:val="center"/>
            <w:hideMark/>
          </w:tcPr>
          <w:p w14:paraId="10DC5E01" w14:textId="77777777" w:rsidR="0061265C" w:rsidRPr="00543D10" w:rsidRDefault="0061265C" w:rsidP="0061265C">
            <w:pPr>
              <w:spacing w:after="0" w:line="240" w:lineRule="auto"/>
              <w:rPr>
                <w:rFonts w:ascii="Arial" w:eastAsia="Times New Roman" w:hAnsi="Arial" w:cs="Arial"/>
                <w:sz w:val="20"/>
                <w:szCs w:val="20"/>
                <w:lang w:eastAsia="en-GB"/>
              </w:rPr>
            </w:pPr>
          </w:p>
        </w:tc>
        <w:tc>
          <w:tcPr>
            <w:tcW w:w="1417" w:type="dxa"/>
            <w:tcBorders>
              <w:top w:val="nil"/>
              <w:left w:val="nil"/>
              <w:bottom w:val="nil"/>
              <w:right w:val="nil"/>
            </w:tcBorders>
            <w:shd w:val="clear" w:color="auto" w:fill="auto"/>
            <w:noWrap/>
            <w:vAlign w:val="center"/>
            <w:hideMark/>
          </w:tcPr>
          <w:p w14:paraId="710F1005" w14:textId="77777777" w:rsidR="0061265C" w:rsidRPr="00543D10" w:rsidRDefault="0061265C" w:rsidP="0061265C">
            <w:pPr>
              <w:spacing w:after="0" w:line="240" w:lineRule="auto"/>
              <w:jc w:val="right"/>
              <w:rPr>
                <w:rFonts w:ascii="Times New Roman" w:eastAsia="Times New Roman" w:hAnsi="Times New Roman" w:cs="Times New Roman"/>
                <w:sz w:val="20"/>
                <w:szCs w:val="20"/>
                <w:lang w:eastAsia="en-GB"/>
              </w:rPr>
            </w:pPr>
          </w:p>
        </w:tc>
        <w:tc>
          <w:tcPr>
            <w:tcW w:w="1418" w:type="dxa"/>
            <w:tcBorders>
              <w:top w:val="nil"/>
              <w:left w:val="nil"/>
              <w:bottom w:val="nil"/>
              <w:right w:val="nil"/>
            </w:tcBorders>
            <w:shd w:val="clear" w:color="auto" w:fill="auto"/>
            <w:noWrap/>
            <w:vAlign w:val="center"/>
          </w:tcPr>
          <w:p w14:paraId="69E690D7" w14:textId="77777777" w:rsidR="0061265C" w:rsidRPr="00543D10" w:rsidRDefault="0009394E" w:rsidP="0061265C">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w:t>
            </w:r>
          </w:p>
        </w:tc>
        <w:tc>
          <w:tcPr>
            <w:tcW w:w="1276" w:type="dxa"/>
            <w:tcBorders>
              <w:top w:val="nil"/>
              <w:left w:val="nil"/>
              <w:bottom w:val="nil"/>
              <w:right w:val="nil"/>
            </w:tcBorders>
            <w:shd w:val="clear" w:color="auto" w:fill="auto"/>
            <w:noWrap/>
            <w:vAlign w:val="center"/>
            <w:hideMark/>
          </w:tcPr>
          <w:p w14:paraId="4D4F8037" w14:textId="77777777" w:rsidR="0061265C" w:rsidRPr="00543D10" w:rsidRDefault="0061265C" w:rsidP="0061265C">
            <w:pPr>
              <w:spacing w:after="0" w:line="240" w:lineRule="auto"/>
              <w:jc w:val="right"/>
              <w:rPr>
                <w:rFonts w:ascii="Arial" w:eastAsia="Times New Roman" w:hAnsi="Arial" w:cs="Arial"/>
                <w:b/>
                <w:bCs/>
                <w:sz w:val="20"/>
                <w:szCs w:val="20"/>
                <w:lang w:eastAsia="en-GB"/>
              </w:rPr>
            </w:pPr>
          </w:p>
        </w:tc>
        <w:tc>
          <w:tcPr>
            <w:tcW w:w="1417" w:type="dxa"/>
            <w:tcBorders>
              <w:top w:val="nil"/>
              <w:left w:val="nil"/>
              <w:bottom w:val="nil"/>
              <w:right w:val="nil"/>
            </w:tcBorders>
            <w:shd w:val="clear" w:color="auto" w:fill="auto"/>
            <w:noWrap/>
            <w:vAlign w:val="center"/>
            <w:hideMark/>
          </w:tcPr>
          <w:p w14:paraId="7DF69E56" w14:textId="77777777" w:rsidR="0061265C" w:rsidRPr="0061265C" w:rsidRDefault="0061265C" w:rsidP="009C033F">
            <w:pPr>
              <w:spacing w:after="0" w:line="240" w:lineRule="auto"/>
              <w:ind w:right="51"/>
              <w:jc w:val="right"/>
              <w:rPr>
                <w:rFonts w:ascii="Arial" w:eastAsia="Times New Roman" w:hAnsi="Arial" w:cs="Arial"/>
                <w:sz w:val="20"/>
                <w:szCs w:val="20"/>
                <w:lang w:eastAsia="en-GB"/>
              </w:rPr>
            </w:pPr>
            <w:r w:rsidRPr="0061265C">
              <w:rPr>
                <w:rFonts w:ascii="Arial" w:eastAsia="Times New Roman" w:hAnsi="Arial" w:cs="Arial"/>
                <w:bCs/>
                <w:sz w:val="20"/>
                <w:szCs w:val="20"/>
                <w:lang w:eastAsia="en-GB"/>
              </w:rPr>
              <w:t>-</w:t>
            </w:r>
          </w:p>
        </w:tc>
      </w:tr>
      <w:tr w:rsidR="0061265C" w:rsidRPr="00543D10" w14:paraId="658EF4DB" w14:textId="77777777" w:rsidTr="00CD5D43">
        <w:trPr>
          <w:trHeight w:val="530"/>
        </w:trPr>
        <w:tc>
          <w:tcPr>
            <w:tcW w:w="2977" w:type="dxa"/>
            <w:tcBorders>
              <w:top w:val="single" w:sz="4" w:space="0" w:color="auto"/>
              <w:left w:val="nil"/>
              <w:bottom w:val="single" w:sz="4" w:space="0" w:color="auto"/>
              <w:right w:val="nil"/>
            </w:tcBorders>
            <w:shd w:val="clear" w:color="auto" w:fill="auto"/>
            <w:vAlign w:val="center"/>
            <w:hideMark/>
          </w:tcPr>
          <w:p w14:paraId="2423C752" w14:textId="77777777" w:rsidR="0061265C" w:rsidRPr="00543D10" w:rsidRDefault="0061265C" w:rsidP="0000682B">
            <w:pPr>
              <w:spacing w:after="0" w:line="240" w:lineRule="auto"/>
              <w:rPr>
                <w:rFonts w:ascii="Arial" w:eastAsia="Times New Roman" w:hAnsi="Arial" w:cs="Arial"/>
                <w:b/>
                <w:bCs/>
                <w:sz w:val="20"/>
                <w:szCs w:val="20"/>
                <w:lang w:eastAsia="en-GB"/>
              </w:rPr>
            </w:pPr>
            <w:r w:rsidRPr="00543D10">
              <w:rPr>
                <w:rFonts w:ascii="Arial" w:eastAsia="Times New Roman" w:hAnsi="Arial" w:cs="Arial"/>
                <w:b/>
                <w:bCs/>
                <w:sz w:val="20"/>
                <w:szCs w:val="20"/>
                <w:lang w:eastAsia="en-GB"/>
              </w:rPr>
              <w:t xml:space="preserve">Net cash generated </w:t>
            </w:r>
            <w:r w:rsidR="008B1315">
              <w:rPr>
                <w:rFonts w:ascii="Arial" w:eastAsia="Times New Roman" w:hAnsi="Arial" w:cs="Arial"/>
                <w:b/>
                <w:bCs/>
                <w:sz w:val="20"/>
                <w:szCs w:val="20"/>
                <w:lang w:eastAsia="en-GB"/>
              </w:rPr>
              <w:t xml:space="preserve">/ (used in) </w:t>
            </w:r>
            <w:r w:rsidRPr="00543D10">
              <w:rPr>
                <w:rFonts w:ascii="Arial" w:eastAsia="Times New Roman" w:hAnsi="Arial" w:cs="Arial"/>
                <w:b/>
                <w:bCs/>
                <w:sz w:val="20"/>
                <w:szCs w:val="20"/>
                <w:lang w:eastAsia="en-GB"/>
              </w:rPr>
              <w:t>operating activities</w:t>
            </w:r>
          </w:p>
        </w:tc>
        <w:tc>
          <w:tcPr>
            <w:tcW w:w="709" w:type="dxa"/>
            <w:tcBorders>
              <w:top w:val="single" w:sz="4" w:space="0" w:color="auto"/>
              <w:left w:val="nil"/>
              <w:bottom w:val="single" w:sz="4" w:space="0" w:color="auto"/>
              <w:right w:val="nil"/>
            </w:tcBorders>
            <w:shd w:val="clear" w:color="auto" w:fill="auto"/>
            <w:noWrap/>
            <w:vAlign w:val="center"/>
            <w:hideMark/>
          </w:tcPr>
          <w:p w14:paraId="0BA2644B" w14:textId="77777777" w:rsidR="0061265C" w:rsidRPr="00543D10" w:rsidRDefault="0061265C" w:rsidP="0061265C">
            <w:pPr>
              <w:spacing w:after="0" w:line="240" w:lineRule="auto"/>
              <w:rPr>
                <w:rFonts w:ascii="Arial" w:eastAsia="Times New Roman" w:hAnsi="Arial" w:cs="Arial"/>
                <w:b/>
                <w:bCs/>
                <w:sz w:val="20"/>
                <w:szCs w:val="20"/>
                <w:lang w:eastAsia="en-GB"/>
              </w:rPr>
            </w:pPr>
            <w:r w:rsidRPr="00543D10">
              <w:rPr>
                <w:rFonts w:ascii="Arial" w:eastAsia="Times New Roman" w:hAnsi="Arial" w:cs="Arial"/>
                <w:b/>
                <w:bCs/>
                <w:sz w:val="20"/>
                <w:szCs w:val="20"/>
                <w:lang w:eastAsia="en-GB"/>
              </w:rPr>
              <w:t> </w:t>
            </w:r>
          </w:p>
        </w:tc>
        <w:tc>
          <w:tcPr>
            <w:tcW w:w="1417" w:type="dxa"/>
            <w:tcBorders>
              <w:top w:val="single" w:sz="4" w:space="0" w:color="auto"/>
              <w:left w:val="nil"/>
              <w:bottom w:val="single" w:sz="4" w:space="0" w:color="auto"/>
              <w:right w:val="nil"/>
            </w:tcBorders>
            <w:shd w:val="clear" w:color="auto" w:fill="auto"/>
            <w:noWrap/>
            <w:vAlign w:val="center"/>
            <w:hideMark/>
          </w:tcPr>
          <w:p w14:paraId="6FEE3A01" w14:textId="77777777" w:rsidR="0061265C" w:rsidRPr="00543D10" w:rsidRDefault="0061265C" w:rsidP="0061265C">
            <w:pPr>
              <w:spacing w:after="0" w:line="240" w:lineRule="auto"/>
              <w:jc w:val="right"/>
              <w:rPr>
                <w:rFonts w:ascii="Arial" w:eastAsia="Times New Roman" w:hAnsi="Arial" w:cs="Arial"/>
                <w:b/>
                <w:bCs/>
                <w:sz w:val="20"/>
                <w:szCs w:val="20"/>
                <w:lang w:eastAsia="en-GB"/>
              </w:rPr>
            </w:pPr>
          </w:p>
        </w:tc>
        <w:tc>
          <w:tcPr>
            <w:tcW w:w="1418" w:type="dxa"/>
            <w:tcBorders>
              <w:top w:val="single" w:sz="4" w:space="0" w:color="auto"/>
              <w:left w:val="nil"/>
              <w:bottom w:val="single" w:sz="4" w:space="0" w:color="auto"/>
              <w:right w:val="nil"/>
            </w:tcBorders>
            <w:shd w:val="clear" w:color="auto" w:fill="auto"/>
            <w:noWrap/>
            <w:vAlign w:val="center"/>
          </w:tcPr>
          <w:p w14:paraId="21343160" w14:textId="77777777" w:rsidR="0061265C" w:rsidRPr="00543D10" w:rsidRDefault="00CF23EC" w:rsidP="00492B26">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38,62</w:t>
            </w:r>
            <w:r w:rsidR="00BA11DA">
              <w:rPr>
                <w:rFonts w:ascii="Arial" w:eastAsia="Times New Roman" w:hAnsi="Arial" w:cs="Arial"/>
                <w:b/>
                <w:bCs/>
                <w:sz w:val="20"/>
                <w:szCs w:val="20"/>
                <w:lang w:eastAsia="en-GB"/>
              </w:rPr>
              <w:t>2</w:t>
            </w:r>
          </w:p>
        </w:tc>
        <w:tc>
          <w:tcPr>
            <w:tcW w:w="1276" w:type="dxa"/>
            <w:tcBorders>
              <w:top w:val="single" w:sz="4" w:space="0" w:color="auto"/>
              <w:left w:val="nil"/>
              <w:bottom w:val="single" w:sz="4" w:space="0" w:color="auto"/>
              <w:right w:val="nil"/>
            </w:tcBorders>
            <w:shd w:val="clear" w:color="auto" w:fill="auto"/>
            <w:noWrap/>
            <w:vAlign w:val="center"/>
            <w:hideMark/>
          </w:tcPr>
          <w:p w14:paraId="6A56F0D6" w14:textId="77777777" w:rsidR="0061265C" w:rsidRPr="00543D10" w:rsidRDefault="0061265C" w:rsidP="0061265C">
            <w:pPr>
              <w:spacing w:after="0" w:line="240" w:lineRule="auto"/>
              <w:jc w:val="right"/>
              <w:rPr>
                <w:rFonts w:ascii="Arial" w:eastAsia="Times New Roman" w:hAnsi="Arial" w:cs="Arial"/>
                <w:b/>
                <w:bCs/>
                <w:sz w:val="20"/>
                <w:szCs w:val="20"/>
                <w:lang w:eastAsia="en-GB"/>
              </w:rPr>
            </w:pPr>
          </w:p>
        </w:tc>
        <w:tc>
          <w:tcPr>
            <w:tcW w:w="1417" w:type="dxa"/>
            <w:tcBorders>
              <w:top w:val="single" w:sz="4" w:space="0" w:color="auto"/>
              <w:left w:val="nil"/>
              <w:bottom w:val="single" w:sz="4" w:space="0" w:color="auto"/>
              <w:right w:val="nil"/>
            </w:tcBorders>
            <w:shd w:val="clear" w:color="auto" w:fill="auto"/>
            <w:noWrap/>
            <w:vAlign w:val="center"/>
            <w:hideMark/>
          </w:tcPr>
          <w:p w14:paraId="24622E17" w14:textId="77777777" w:rsidR="0061265C" w:rsidRPr="0061265C" w:rsidRDefault="0061265C" w:rsidP="009C033F">
            <w:pPr>
              <w:spacing w:after="0" w:line="240" w:lineRule="auto"/>
              <w:ind w:right="51"/>
              <w:jc w:val="right"/>
              <w:rPr>
                <w:rFonts w:ascii="Arial" w:eastAsia="Times New Roman" w:hAnsi="Arial" w:cs="Arial"/>
                <w:bCs/>
                <w:sz w:val="20"/>
                <w:szCs w:val="20"/>
                <w:lang w:eastAsia="en-GB"/>
              </w:rPr>
            </w:pPr>
            <w:r w:rsidRPr="0061265C">
              <w:rPr>
                <w:rFonts w:ascii="Arial" w:eastAsia="Times New Roman" w:hAnsi="Arial" w:cs="Arial"/>
                <w:bCs/>
                <w:sz w:val="20"/>
                <w:szCs w:val="20"/>
                <w:lang w:eastAsia="en-GB"/>
              </w:rPr>
              <w:t>(13,766)</w:t>
            </w:r>
          </w:p>
        </w:tc>
      </w:tr>
      <w:tr w:rsidR="00543D10" w:rsidRPr="00543D10" w14:paraId="3A728D32" w14:textId="77777777" w:rsidTr="00CD5D43">
        <w:trPr>
          <w:trHeight w:val="530"/>
        </w:trPr>
        <w:tc>
          <w:tcPr>
            <w:tcW w:w="2977" w:type="dxa"/>
            <w:tcBorders>
              <w:top w:val="nil"/>
              <w:left w:val="nil"/>
              <w:bottom w:val="nil"/>
              <w:right w:val="nil"/>
            </w:tcBorders>
            <w:shd w:val="clear" w:color="auto" w:fill="auto"/>
            <w:vAlign w:val="center"/>
            <w:hideMark/>
          </w:tcPr>
          <w:p w14:paraId="385460DB" w14:textId="77777777" w:rsidR="00676596" w:rsidRPr="00543D10" w:rsidRDefault="00676596" w:rsidP="00676596">
            <w:pPr>
              <w:spacing w:after="0" w:line="240" w:lineRule="auto"/>
              <w:rPr>
                <w:rFonts w:ascii="Arial" w:eastAsia="Times New Roman" w:hAnsi="Arial" w:cs="Arial"/>
                <w:b/>
                <w:bCs/>
                <w:sz w:val="20"/>
                <w:szCs w:val="20"/>
                <w:lang w:eastAsia="en-GB"/>
              </w:rPr>
            </w:pPr>
            <w:r w:rsidRPr="00543D10">
              <w:rPr>
                <w:rFonts w:ascii="Arial" w:eastAsia="Times New Roman" w:hAnsi="Arial" w:cs="Arial"/>
                <w:b/>
                <w:bCs/>
                <w:sz w:val="20"/>
                <w:szCs w:val="20"/>
                <w:lang w:eastAsia="en-GB"/>
              </w:rPr>
              <w:t>Cash flow from investing activities</w:t>
            </w:r>
          </w:p>
        </w:tc>
        <w:tc>
          <w:tcPr>
            <w:tcW w:w="709" w:type="dxa"/>
            <w:tcBorders>
              <w:top w:val="nil"/>
              <w:left w:val="nil"/>
              <w:bottom w:val="nil"/>
              <w:right w:val="nil"/>
            </w:tcBorders>
            <w:shd w:val="clear" w:color="auto" w:fill="auto"/>
            <w:noWrap/>
            <w:vAlign w:val="center"/>
            <w:hideMark/>
          </w:tcPr>
          <w:p w14:paraId="18148F99" w14:textId="77777777" w:rsidR="00676596" w:rsidRPr="00543D10" w:rsidRDefault="00676596" w:rsidP="00676596">
            <w:pPr>
              <w:spacing w:after="0" w:line="240" w:lineRule="auto"/>
              <w:rPr>
                <w:rFonts w:ascii="Arial" w:eastAsia="Times New Roman" w:hAnsi="Arial" w:cs="Arial"/>
                <w:b/>
                <w:bCs/>
                <w:sz w:val="20"/>
                <w:szCs w:val="20"/>
                <w:lang w:eastAsia="en-GB"/>
              </w:rPr>
            </w:pPr>
          </w:p>
        </w:tc>
        <w:tc>
          <w:tcPr>
            <w:tcW w:w="1417" w:type="dxa"/>
            <w:tcBorders>
              <w:top w:val="nil"/>
              <w:left w:val="nil"/>
              <w:bottom w:val="nil"/>
              <w:right w:val="nil"/>
            </w:tcBorders>
            <w:shd w:val="clear" w:color="auto" w:fill="auto"/>
            <w:noWrap/>
            <w:vAlign w:val="center"/>
            <w:hideMark/>
          </w:tcPr>
          <w:p w14:paraId="67D5927B" w14:textId="77777777" w:rsidR="00676596" w:rsidRPr="00543D10" w:rsidRDefault="00676596" w:rsidP="005B39D0">
            <w:pPr>
              <w:spacing w:after="0" w:line="240" w:lineRule="auto"/>
              <w:jc w:val="right"/>
              <w:rPr>
                <w:rFonts w:ascii="Times New Roman" w:eastAsia="Times New Roman" w:hAnsi="Times New Roman" w:cs="Times New Roman"/>
                <w:sz w:val="20"/>
                <w:szCs w:val="20"/>
                <w:lang w:eastAsia="en-GB"/>
              </w:rPr>
            </w:pPr>
          </w:p>
        </w:tc>
        <w:tc>
          <w:tcPr>
            <w:tcW w:w="1418" w:type="dxa"/>
            <w:tcBorders>
              <w:top w:val="nil"/>
              <w:left w:val="nil"/>
              <w:bottom w:val="nil"/>
              <w:right w:val="nil"/>
            </w:tcBorders>
            <w:shd w:val="clear" w:color="auto" w:fill="auto"/>
            <w:noWrap/>
            <w:vAlign w:val="center"/>
            <w:hideMark/>
          </w:tcPr>
          <w:p w14:paraId="076177D7" w14:textId="77777777" w:rsidR="00676596" w:rsidRPr="00543D10" w:rsidRDefault="00676596" w:rsidP="005B39D0">
            <w:pPr>
              <w:spacing w:after="0" w:line="240" w:lineRule="auto"/>
              <w:jc w:val="right"/>
              <w:rPr>
                <w:rFonts w:ascii="Times New Roman" w:eastAsia="Times New Roman" w:hAnsi="Times New Roman" w:cs="Times New Roman"/>
                <w:sz w:val="20"/>
                <w:szCs w:val="20"/>
                <w:lang w:eastAsia="en-GB"/>
              </w:rPr>
            </w:pPr>
          </w:p>
        </w:tc>
        <w:tc>
          <w:tcPr>
            <w:tcW w:w="1276" w:type="dxa"/>
            <w:tcBorders>
              <w:top w:val="nil"/>
              <w:left w:val="nil"/>
              <w:bottom w:val="nil"/>
              <w:right w:val="nil"/>
            </w:tcBorders>
            <w:shd w:val="clear" w:color="auto" w:fill="auto"/>
            <w:noWrap/>
            <w:vAlign w:val="center"/>
            <w:hideMark/>
          </w:tcPr>
          <w:p w14:paraId="413F2FF3" w14:textId="77777777" w:rsidR="00676596" w:rsidRPr="00543D10" w:rsidRDefault="00676596" w:rsidP="005B39D0">
            <w:pPr>
              <w:spacing w:after="0" w:line="240" w:lineRule="auto"/>
              <w:jc w:val="right"/>
              <w:rPr>
                <w:rFonts w:ascii="Times New Roman" w:eastAsia="Times New Roman" w:hAnsi="Times New Roman" w:cs="Times New Roman"/>
                <w:sz w:val="20"/>
                <w:szCs w:val="20"/>
                <w:lang w:eastAsia="en-GB"/>
              </w:rPr>
            </w:pPr>
          </w:p>
        </w:tc>
        <w:tc>
          <w:tcPr>
            <w:tcW w:w="1417" w:type="dxa"/>
            <w:tcBorders>
              <w:top w:val="nil"/>
              <w:left w:val="nil"/>
              <w:bottom w:val="nil"/>
              <w:right w:val="nil"/>
            </w:tcBorders>
            <w:shd w:val="clear" w:color="auto" w:fill="auto"/>
            <w:noWrap/>
            <w:vAlign w:val="center"/>
            <w:hideMark/>
          </w:tcPr>
          <w:p w14:paraId="301F43A3" w14:textId="77777777" w:rsidR="00676596" w:rsidRPr="00543D10" w:rsidRDefault="00676596" w:rsidP="009C033F">
            <w:pPr>
              <w:spacing w:after="0" w:line="240" w:lineRule="auto"/>
              <w:ind w:right="51"/>
              <w:jc w:val="right"/>
              <w:rPr>
                <w:rFonts w:ascii="Times New Roman" w:eastAsia="Times New Roman" w:hAnsi="Times New Roman" w:cs="Times New Roman"/>
                <w:sz w:val="20"/>
                <w:szCs w:val="20"/>
                <w:lang w:eastAsia="en-GB"/>
              </w:rPr>
            </w:pPr>
          </w:p>
        </w:tc>
      </w:tr>
      <w:tr w:rsidR="00543D10" w:rsidRPr="00543D10" w14:paraId="50567ADB" w14:textId="77777777" w:rsidTr="00CD5D43">
        <w:trPr>
          <w:trHeight w:val="530"/>
        </w:trPr>
        <w:tc>
          <w:tcPr>
            <w:tcW w:w="2977" w:type="dxa"/>
            <w:tcBorders>
              <w:top w:val="nil"/>
              <w:left w:val="nil"/>
              <w:bottom w:val="nil"/>
              <w:right w:val="nil"/>
            </w:tcBorders>
            <w:shd w:val="clear" w:color="auto" w:fill="auto"/>
            <w:vAlign w:val="center"/>
            <w:hideMark/>
          </w:tcPr>
          <w:p w14:paraId="579F8DDB" w14:textId="77777777" w:rsidR="00676596" w:rsidRPr="00543D10" w:rsidRDefault="00676596" w:rsidP="00676596">
            <w:pPr>
              <w:spacing w:after="0" w:line="240" w:lineRule="auto"/>
              <w:rPr>
                <w:rFonts w:ascii="Arial" w:eastAsia="Times New Roman" w:hAnsi="Arial" w:cs="Arial"/>
                <w:b/>
                <w:bCs/>
                <w:sz w:val="20"/>
                <w:szCs w:val="20"/>
                <w:lang w:eastAsia="en-GB"/>
              </w:rPr>
            </w:pPr>
            <w:r w:rsidRPr="00543D10">
              <w:rPr>
                <w:rFonts w:ascii="Arial" w:eastAsia="Times New Roman" w:hAnsi="Arial" w:cs="Arial"/>
                <w:b/>
                <w:bCs/>
                <w:sz w:val="20"/>
                <w:szCs w:val="20"/>
                <w:lang w:eastAsia="en-GB"/>
              </w:rPr>
              <w:t>Capital expenditure and financial investment</w:t>
            </w:r>
          </w:p>
        </w:tc>
        <w:tc>
          <w:tcPr>
            <w:tcW w:w="709" w:type="dxa"/>
            <w:tcBorders>
              <w:top w:val="nil"/>
              <w:left w:val="nil"/>
              <w:bottom w:val="nil"/>
              <w:right w:val="nil"/>
            </w:tcBorders>
            <w:shd w:val="clear" w:color="auto" w:fill="auto"/>
            <w:noWrap/>
            <w:vAlign w:val="center"/>
            <w:hideMark/>
          </w:tcPr>
          <w:p w14:paraId="1F11EA78" w14:textId="77777777" w:rsidR="00676596" w:rsidRPr="00543D10" w:rsidRDefault="00676596" w:rsidP="00676596">
            <w:pPr>
              <w:spacing w:after="0" w:line="240" w:lineRule="auto"/>
              <w:rPr>
                <w:rFonts w:ascii="Arial" w:eastAsia="Times New Roman" w:hAnsi="Arial" w:cs="Arial"/>
                <w:b/>
                <w:bCs/>
                <w:sz w:val="20"/>
                <w:szCs w:val="20"/>
                <w:lang w:eastAsia="en-GB"/>
              </w:rPr>
            </w:pPr>
          </w:p>
        </w:tc>
        <w:tc>
          <w:tcPr>
            <w:tcW w:w="1417" w:type="dxa"/>
            <w:tcBorders>
              <w:top w:val="nil"/>
              <w:left w:val="nil"/>
              <w:bottom w:val="nil"/>
              <w:right w:val="nil"/>
            </w:tcBorders>
            <w:shd w:val="clear" w:color="auto" w:fill="auto"/>
            <w:noWrap/>
            <w:vAlign w:val="center"/>
          </w:tcPr>
          <w:p w14:paraId="0D5CC441" w14:textId="77777777" w:rsidR="00676596" w:rsidRPr="00847122" w:rsidRDefault="00676596" w:rsidP="005B39D0">
            <w:pPr>
              <w:spacing w:after="0" w:line="240" w:lineRule="auto"/>
              <w:jc w:val="right"/>
              <w:rPr>
                <w:rFonts w:ascii="Times New Roman" w:eastAsia="Times New Roman" w:hAnsi="Times New Roman" w:cs="Times New Roman"/>
                <w:sz w:val="20"/>
                <w:szCs w:val="20"/>
                <w:lang w:eastAsia="en-GB"/>
              </w:rPr>
            </w:pPr>
          </w:p>
        </w:tc>
        <w:tc>
          <w:tcPr>
            <w:tcW w:w="1418" w:type="dxa"/>
            <w:tcBorders>
              <w:top w:val="nil"/>
              <w:left w:val="nil"/>
              <w:bottom w:val="nil"/>
              <w:right w:val="nil"/>
            </w:tcBorders>
            <w:shd w:val="clear" w:color="auto" w:fill="auto"/>
            <w:noWrap/>
            <w:vAlign w:val="center"/>
          </w:tcPr>
          <w:p w14:paraId="3AE1B01B" w14:textId="77777777" w:rsidR="00676596" w:rsidRPr="00847122" w:rsidRDefault="00676596" w:rsidP="005B39D0">
            <w:pPr>
              <w:spacing w:after="0" w:line="240" w:lineRule="auto"/>
              <w:jc w:val="right"/>
              <w:rPr>
                <w:rFonts w:ascii="Times New Roman" w:eastAsia="Times New Roman" w:hAnsi="Times New Roman" w:cs="Times New Roman"/>
                <w:sz w:val="20"/>
                <w:szCs w:val="20"/>
                <w:lang w:eastAsia="en-GB"/>
              </w:rPr>
            </w:pPr>
          </w:p>
        </w:tc>
        <w:tc>
          <w:tcPr>
            <w:tcW w:w="1276" w:type="dxa"/>
            <w:tcBorders>
              <w:top w:val="nil"/>
              <w:left w:val="nil"/>
              <w:bottom w:val="nil"/>
              <w:right w:val="nil"/>
            </w:tcBorders>
            <w:shd w:val="clear" w:color="auto" w:fill="auto"/>
            <w:noWrap/>
            <w:vAlign w:val="center"/>
            <w:hideMark/>
          </w:tcPr>
          <w:p w14:paraId="7F2DC203" w14:textId="77777777" w:rsidR="00676596" w:rsidRPr="00847122" w:rsidRDefault="00676596" w:rsidP="005B39D0">
            <w:pPr>
              <w:spacing w:after="0" w:line="240" w:lineRule="auto"/>
              <w:jc w:val="right"/>
              <w:rPr>
                <w:rFonts w:ascii="Times New Roman" w:eastAsia="Times New Roman" w:hAnsi="Times New Roman" w:cs="Times New Roman"/>
                <w:sz w:val="20"/>
                <w:szCs w:val="20"/>
                <w:lang w:eastAsia="en-GB"/>
              </w:rPr>
            </w:pPr>
          </w:p>
        </w:tc>
        <w:tc>
          <w:tcPr>
            <w:tcW w:w="1417" w:type="dxa"/>
            <w:tcBorders>
              <w:top w:val="nil"/>
              <w:left w:val="nil"/>
              <w:bottom w:val="nil"/>
              <w:right w:val="nil"/>
            </w:tcBorders>
            <w:shd w:val="clear" w:color="auto" w:fill="auto"/>
            <w:noWrap/>
            <w:vAlign w:val="center"/>
            <w:hideMark/>
          </w:tcPr>
          <w:p w14:paraId="1978F4DD" w14:textId="77777777" w:rsidR="00676596" w:rsidRPr="00847122" w:rsidRDefault="00676596" w:rsidP="005B39D0">
            <w:pPr>
              <w:spacing w:after="0" w:line="240" w:lineRule="auto"/>
              <w:jc w:val="right"/>
              <w:rPr>
                <w:rFonts w:ascii="Times New Roman" w:eastAsia="Times New Roman" w:hAnsi="Times New Roman" w:cs="Times New Roman"/>
                <w:sz w:val="20"/>
                <w:szCs w:val="20"/>
                <w:lang w:eastAsia="en-GB"/>
              </w:rPr>
            </w:pPr>
          </w:p>
        </w:tc>
      </w:tr>
      <w:tr w:rsidR="0061265C" w:rsidRPr="00543D10" w14:paraId="2C08F22D" w14:textId="77777777" w:rsidTr="00CD5D43">
        <w:trPr>
          <w:trHeight w:val="265"/>
        </w:trPr>
        <w:tc>
          <w:tcPr>
            <w:tcW w:w="2977" w:type="dxa"/>
            <w:tcBorders>
              <w:top w:val="nil"/>
              <w:left w:val="nil"/>
              <w:bottom w:val="nil"/>
              <w:right w:val="nil"/>
            </w:tcBorders>
            <w:shd w:val="clear" w:color="auto" w:fill="auto"/>
            <w:vAlign w:val="center"/>
            <w:hideMark/>
          </w:tcPr>
          <w:p w14:paraId="20B402B8" w14:textId="77777777" w:rsidR="0061265C" w:rsidRPr="00543D10" w:rsidRDefault="0061265C" w:rsidP="0061265C">
            <w:pPr>
              <w:spacing w:after="0" w:line="240" w:lineRule="auto"/>
              <w:rPr>
                <w:rFonts w:ascii="Arial" w:eastAsia="Times New Roman" w:hAnsi="Arial" w:cs="Arial"/>
                <w:sz w:val="20"/>
                <w:szCs w:val="20"/>
                <w:lang w:eastAsia="en-GB"/>
              </w:rPr>
            </w:pPr>
            <w:r w:rsidRPr="00543D10">
              <w:rPr>
                <w:rFonts w:ascii="Arial" w:eastAsia="Times New Roman" w:hAnsi="Arial" w:cs="Arial"/>
                <w:sz w:val="20"/>
                <w:szCs w:val="20"/>
                <w:lang w:eastAsia="en-GB"/>
              </w:rPr>
              <w:t>Purchase of tangible assets</w:t>
            </w:r>
          </w:p>
        </w:tc>
        <w:tc>
          <w:tcPr>
            <w:tcW w:w="709" w:type="dxa"/>
            <w:tcBorders>
              <w:top w:val="nil"/>
              <w:left w:val="nil"/>
              <w:bottom w:val="nil"/>
              <w:right w:val="nil"/>
            </w:tcBorders>
            <w:shd w:val="clear" w:color="auto" w:fill="auto"/>
            <w:noWrap/>
            <w:vAlign w:val="center"/>
            <w:hideMark/>
          </w:tcPr>
          <w:p w14:paraId="34D91A8C" w14:textId="77777777" w:rsidR="0061265C" w:rsidRPr="00543D10" w:rsidRDefault="0061265C" w:rsidP="0061265C">
            <w:pPr>
              <w:spacing w:after="0" w:line="240" w:lineRule="auto"/>
              <w:rPr>
                <w:rFonts w:ascii="Arial" w:eastAsia="Times New Roman" w:hAnsi="Arial" w:cs="Arial"/>
                <w:sz w:val="20"/>
                <w:szCs w:val="20"/>
                <w:lang w:eastAsia="en-GB"/>
              </w:rPr>
            </w:pPr>
          </w:p>
        </w:tc>
        <w:tc>
          <w:tcPr>
            <w:tcW w:w="1417" w:type="dxa"/>
            <w:tcBorders>
              <w:top w:val="nil"/>
              <w:left w:val="nil"/>
              <w:bottom w:val="nil"/>
              <w:right w:val="nil"/>
            </w:tcBorders>
            <w:shd w:val="clear" w:color="auto" w:fill="auto"/>
            <w:noWrap/>
            <w:vAlign w:val="center"/>
          </w:tcPr>
          <w:p w14:paraId="07DC2E33" w14:textId="77777777" w:rsidR="0061265C" w:rsidRPr="00847122" w:rsidRDefault="00E64186" w:rsidP="0061265C">
            <w:pPr>
              <w:spacing w:after="0" w:line="240" w:lineRule="auto"/>
              <w:jc w:val="right"/>
              <w:rPr>
                <w:rFonts w:ascii="Arial" w:eastAsia="Times New Roman" w:hAnsi="Arial" w:cs="Arial"/>
                <w:b/>
                <w:sz w:val="20"/>
                <w:szCs w:val="20"/>
                <w:lang w:eastAsia="en-GB"/>
              </w:rPr>
            </w:pPr>
            <w:r w:rsidRPr="00847122">
              <w:rPr>
                <w:rFonts w:ascii="Arial" w:eastAsia="Times New Roman" w:hAnsi="Arial" w:cs="Arial"/>
                <w:b/>
                <w:sz w:val="20"/>
                <w:szCs w:val="20"/>
                <w:lang w:eastAsia="en-GB"/>
              </w:rPr>
              <w:t>(27,304</w:t>
            </w:r>
            <w:r w:rsidR="0009394E" w:rsidRPr="00847122">
              <w:rPr>
                <w:rFonts w:ascii="Arial" w:eastAsia="Times New Roman" w:hAnsi="Arial" w:cs="Arial"/>
                <w:b/>
                <w:sz w:val="20"/>
                <w:szCs w:val="20"/>
                <w:lang w:eastAsia="en-GB"/>
              </w:rPr>
              <w:t>)</w:t>
            </w:r>
          </w:p>
        </w:tc>
        <w:tc>
          <w:tcPr>
            <w:tcW w:w="1418" w:type="dxa"/>
            <w:tcBorders>
              <w:top w:val="nil"/>
              <w:left w:val="nil"/>
              <w:bottom w:val="nil"/>
              <w:right w:val="nil"/>
            </w:tcBorders>
            <w:shd w:val="clear" w:color="auto" w:fill="auto"/>
            <w:noWrap/>
            <w:vAlign w:val="center"/>
          </w:tcPr>
          <w:p w14:paraId="24E51CFE" w14:textId="77777777" w:rsidR="0061265C" w:rsidRPr="00847122" w:rsidRDefault="0061265C" w:rsidP="0061265C">
            <w:pPr>
              <w:spacing w:after="0" w:line="240" w:lineRule="auto"/>
              <w:jc w:val="right"/>
              <w:rPr>
                <w:rFonts w:ascii="Arial" w:eastAsia="Times New Roman" w:hAnsi="Arial" w:cs="Arial"/>
                <w:sz w:val="20"/>
                <w:szCs w:val="20"/>
                <w:lang w:eastAsia="en-GB"/>
              </w:rPr>
            </w:pPr>
          </w:p>
        </w:tc>
        <w:tc>
          <w:tcPr>
            <w:tcW w:w="1276" w:type="dxa"/>
            <w:tcBorders>
              <w:top w:val="nil"/>
              <w:left w:val="nil"/>
              <w:bottom w:val="nil"/>
              <w:right w:val="nil"/>
            </w:tcBorders>
            <w:shd w:val="clear" w:color="auto" w:fill="auto"/>
            <w:noWrap/>
            <w:vAlign w:val="center"/>
            <w:hideMark/>
          </w:tcPr>
          <w:p w14:paraId="0495F42D" w14:textId="77777777" w:rsidR="0061265C" w:rsidRPr="00847122" w:rsidRDefault="0061265C" w:rsidP="0061265C">
            <w:pPr>
              <w:spacing w:after="0" w:line="240" w:lineRule="auto"/>
              <w:jc w:val="right"/>
              <w:rPr>
                <w:rFonts w:ascii="Arial" w:eastAsia="Times New Roman" w:hAnsi="Arial" w:cs="Arial"/>
                <w:sz w:val="20"/>
                <w:szCs w:val="20"/>
                <w:lang w:eastAsia="en-GB"/>
              </w:rPr>
            </w:pPr>
            <w:r w:rsidRPr="00847122">
              <w:rPr>
                <w:rFonts w:ascii="Arial" w:eastAsia="Times New Roman" w:hAnsi="Arial" w:cs="Arial"/>
                <w:sz w:val="20"/>
                <w:szCs w:val="20"/>
                <w:lang w:eastAsia="en-GB"/>
              </w:rPr>
              <w:t>(6,204)</w:t>
            </w:r>
          </w:p>
        </w:tc>
        <w:tc>
          <w:tcPr>
            <w:tcW w:w="1417" w:type="dxa"/>
            <w:tcBorders>
              <w:top w:val="nil"/>
              <w:left w:val="nil"/>
              <w:bottom w:val="nil"/>
              <w:right w:val="nil"/>
            </w:tcBorders>
            <w:shd w:val="clear" w:color="auto" w:fill="auto"/>
            <w:noWrap/>
            <w:vAlign w:val="center"/>
            <w:hideMark/>
          </w:tcPr>
          <w:p w14:paraId="07C502CC" w14:textId="77777777" w:rsidR="0061265C" w:rsidRPr="00847122" w:rsidRDefault="0061265C" w:rsidP="0061265C">
            <w:pPr>
              <w:spacing w:after="0" w:line="240" w:lineRule="auto"/>
              <w:jc w:val="right"/>
              <w:rPr>
                <w:rFonts w:ascii="Arial" w:eastAsia="Times New Roman" w:hAnsi="Arial" w:cs="Arial"/>
                <w:sz w:val="20"/>
                <w:szCs w:val="20"/>
                <w:lang w:eastAsia="en-GB"/>
              </w:rPr>
            </w:pPr>
          </w:p>
        </w:tc>
      </w:tr>
      <w:tr w:rsidR="0061265C" w:rsidRPr="00543D10" w14:paraId="1FD83437" w14:textId="77777777" w:rsidTr="00CD5D43">
        <w:trPr>
          <w:trHeight w:val="265"/>
        </w:trPr>
        <w:tc>
          <w:tcPr>
            <w:tcW w:w="2977" w:type="dxa"/>
            <w:tcBorders>
              <w:top w:val="nil"/>
              <w:left w:val="nil"/>
              <w:bottom w:val="nil"/>
              <w:right w:val="nil"/>
            </w:tcBorders>
            <w:shd w:val="clear" w:color="auto" w:fill="auto"/>
            <w:vAlign w:val="center"/>
            <w:hideMark/>
          </w:tcPr>
          <w:p w14:paraId="6E3F6650" w14:textId="77777777" w:rsidR="0061265C" w:rsidRPr="00543D10" w:rsidRDefault="0061265C" w:rsidP="0061265C">
            <w:pPr>
              <w:spacing w:after="0" w:line="240" w:lineRule="auto"/>
              <w:rPr>
                <w:rFonts w:ascii="Arial" w:eastAsia="Times New Roman" w:hAnsi="Arial" w:cs="Arial"/>
                <w:sz w:val="20"/>
                <w:szCs w:val="20"/>
                <w:lang w:eastAsia="en-GB"/>
              </w:rPr>
            </w:pPr>
            <w:r w:rsidRPr="00543D10">
              <w:rPr>
                <w:rFonts w:ascii="Arial" w:eastAsia="Times New Roman" w:hAnsi="Arial" w:cs="Arial"/>
                <w:sz w:val="20"/>
                <w:szCs w:val="20"/>
                <w:lang w:eastAsia="en-GB"/>
              </w:rPr>
              <w:t>Purchase of intangible assets</w:t>
            </w:r>
          </w:p>
        </w:tc>
        <w:tc>
          <w:tcPr>
            <w:tcW w:w="709" w:type="dxa"/>
            <w:tcBorders>
              <w:top w:val="nil"/>
              <w:left w:val="nil"/>
              <w:bottom w:val="nil"/>
              <w:right w:val="nil"/>
            </w:tcBorders>
            <w:shd w:val="clear" w:color="auto" w:fill="auto"/>
            <w:noWrap/>
            <w:vAlign w:val="center"/>
            <w:hideMark/>
          </w:tcPr>
          <w:p w14:paraId="1144ED39" w14:textId="77777777" w:rsidR="0061265C" w:rsidRPr="00543D10" w:rsidRDefault="0061265C" w:rsidP="0061265C">
            <w:pPr>
              <w:spacing w:after="0" w:line="240" w:lineRule="auto"/>
              <w:rPr>
                <w:rFonts w:ascii="Arial" w:eastAsia="Times New Roman" w:hAnsi="Arial" w:cs="Arial"/>
                <w:sz w:val="20"/>
                <w:szCs w:val="20"/>
                <w:lang w:eastAsia="en-GB"/>
              </w:rPr>
            </w:pPr>
          </w:p>
        </w:tc>
        <w:tc>
          <w:tcPr>
            <w:tcW w:w="1417" w:type="dxa"/>
            <w:tcBorders>
              <w:top w:val="nil"/>
              <w:left w:val="nil"/>
              <w:bottom w:val="nil"/>
              <w:right w:val="nil"/>
            </w:tcBorders>
            <w:shd w:val="clear" w:color="auto" w:fill="auto"/>
            <w:noWrap/>
            <w:vAlign w:val="center"/>
          </w:tcPr>
          <w:p w14:paraId="1C4D5563" w14:textId="77777777" w:rsidR="0061265C" w:rsidRPr="00847122" w:rsidRDefault="0009394E" w:rsidP="0061265C">
            <w:pPr>
              <w:spacing w:after="0" w:line="240" w:lineRule="auto"/>
              <w:jc w:val="right"/>
              <w:rPr>
                <w:rFonts w:ascii="Arial" w:eastAsia="Times New Roman" w:hAnsi="Arial" w:cs="Arial"/>
                <w:b/>
                <w:sz w:val="20"/>
                <w:szCs w:val="20"/>
                <w:lang w:eastAsia="en-GB"/>
              </w:rPr>
            </w:pPr>
            <w:r w:rsidRPr="00847122">
              <w:rPr>
                <w:rFonts w:ascii="Arial" w:eastAsia="Times New Roman" w:hAnsi="Arial" w:cs="Arial"/>
                <w:b/>
                <w:sz w:val="20"/>
                <w:szCs w:val="20"/>
                <w:lang w:eastAsia="en-GB"/>
              </w:rPr>
              <w:t>(255)</w:t>
            </w:r>
          </w:p>
        </w:tc>
        <w:tc>
          <w:tcPr>
            <w:tcW w:w="1418" w:type="dxa"/>
            <w:tcBorders>
              <w:top w:val="nil"/>
              <w:left w:val="nil"/>
              <w:bottom w:val="nil"/>
              <w:right w:val="nil"/>
            </w:tcBorders>
            <w:shd w:val="clear" w:color="auto" w:fill="auto"/>
            <w:noWrap/>
            <w:vAlign w:val="center"/>
          </w:tcPr>
          <w:p w14:paraId="5DD17AD9" w14:textId="77777777" w:rsidR="0061265C" w:rsidRPr="00847122" w:rsidRDefault="0061265C" w:rsidP="0061265C">
            <w:pPr>
              <w:spacing w:after="0" w:line="240" w:lineRule="auto"/>
              <w:jc w:val="right"/>
              <w:rPr>
                <w:rFonts w:ascii="Arial" w:eastAsia="Times New Roman" w:hAnsi="Arial" w:cs="Arial"/>
                <w:sz w:val="20"/>
                <w:szCs w:val="20"/>
                <w:lang w:eastAsia="en-GB"/>
              </w:rPr>
            </w:pPr>
          </w:p>
        </w:tc>
        <w:tc>
          <w:tcPr>
            <w:tcW w:w="1276" w:type="dxa"/>
            <w:tcBorders>
              <w:top w:val="nil"/>
              <w:left w:val="nil"/>
              <w:bottom w:val="nil"/>
              <w:right w:val="nil"/>
            </w:tcBorders>
            <w:shd w:val="clear" w:color="auto" w:fill="auto"/>
            <w:noWrap/>
            <w:vAlign w:val="center"/>
            <w:hideMark/>
          </w:tcPr>
          <w:p w14:paraId="4862C666" w14:textId="77777777" w:rsidR="0061265C" w:rsidRPr="00847122" w:rsidRDefault="0061265C" w:rsidP="0061265C">
            <w:pPr>
              <w:spacing w:after="0" w:line="240" w:lineRule="auto"/>
              <w:jc w:val="right"/>
              <w:rPr>
                <w:rFonts w:ascii="Arial" w:eastAsia="Times New Roman" w:hAnsi="Arial" w:cs="Arial"/>
                <w:sz w:val="20"/>
                <w:szCs w:val="20"/>
                <w:lang w:eastAsia="en-GB"/>
              </w:rPr>
            </w:pPr>
            <w:r w:rsidRPr="00847122">
              <w:rPr>
                <w:rFonts w:ascii="Arial" w:eastAsia="Times New Roman" w:hAnsi="Arial" w:cs="Arial"/>
                <w:sz w:val="20"/>
                <w:szCs w:val="20"/>
                <w:lang w:eastAsia="en-GB"/>
              </w:rPr>
              <w:t>(342)</w:t>
            </w:r>
          </w:p>
        </w:tc>
        <w:tc>
          <w:tcPr>
            <w:tcW w:w="1417" w:type="dxa"/>
            <w:tcBorders>
              <w:top w:val="nil"/>
              <w:left w:val="nil"/>
              <w:bottom w:val="nil"/>
              <w:right w:val="nil"/>
            </w:tcBorders>
            <w:shd w:val="clear" w:color="auto" w:fill="auto"/>
            <w:noWrap/>
            <w:vAlign w:val="center"/>
            <w:hideMark/>
          </w:tcPr>
          <w:p w14:paraId="106222A8" w14:textId="77777777" w:rsidR="0061265C" w:rsidRPr="00847122" w:rsidRDefault="0061265C" w:rsidP="0061265C">
            <w:pPr>
              <w:spacing w:after="0" w:line="240" w:lineRule="auto"/>
              <w:jc w:val="right"/>
              <w:rPr>
                <w:rFonts w:ascii="Arial" w:eastAsia="Times New Roman" w:hAnsi="Arial" w:cs="Arial"/>
                <w:sz w:val="20"/>
                <w:szCs w:val="20"/>
                <w:lang w:eastAsia="en-GB"/>
              </w:rPr>
            </w:pPr>
          </w:p>
        </w:tc>
      </w:tr>
      <w:tr w:rsidR="0061265C" w:rsidRPr="00543D10" w14:paraId="22965A88" w14:textId="77777777" w:rsidTr="00CD5D43">
        <w:trPr>
          <w:trHeight w:val="530"/>
        </w:trPr>
        <w:tc>
          <w:tcPr>
            <w:tcW w:w="2977" w:type="dxa"/>
            <w:tcBorders>
              <w:top w:val="nil"/>
              <w:left w:val="nil"/>
              <w:bottom w:val="nil"/>
              <w:right w:val="nil"/>
            </w:tcBorders>
            <w:shd w:val="clear" w:color="auto" w:fill="auto"/>
            <w:vAlign w:val="center"/>
          </w:tcPr>
          <w:p w14:paraId="4457E9C3" w14:textId="77777777" w:rsidR="0061265C" w:rsidRPr="00543D10" w:rsidRDefault="0061265C" w:rsidP="0061265C">
            <w:pPr>
              <w:spacing w:after="0" w:line="240" w:lineRule="auto"/>
              <w:rPr>
                <w:rFonts w:ascii="Arial" w:eastAsia="Times New Roman" w:hAnsi="Arial" w:cs="Arial"/>
                <w:sz w:val="20"/>
                <w:szCs w:val="20"/>
                <w:lang w:eastAsia="en-GB"/>
              </w:rPr>
            </w:pPr>
            <w:r w:rsidRPr="00543D10">
              <w:rPr>
                <w:rFonts w:ascii="Arial" w:eastAsia="Times New Roman" w:hAnsi="Arial" w:cs="Arial"/>
                <w:sz w:val="20"/>
                <w:szCs w:val="20"/>
                <w:lang w:eastAsia="en-GB"/>
              </w:rPr>
              <w:t>Cash inflow on conversion of academies and business combinations</w:t>
            </w:r>
          </w:p>
        </w:tc>
        <w:tc>
          <w:tcPr>
            <w:tcW w:w="709" w:type="dxa"/>
            <w:tcBorders>
              <w:top w:val="nil"/>
              <w:left w:val="nil"/>
              <w:bottom w:val="nil"/>
              <w:right w:val="nil"/>
            </w:tcBorders>
            <w:shd w:val="clear" w:color="auto" w:fill="auto"/>
            <w:noWrap/>
            <w:vAlign w:val="center"/>
          </w:tcPr>
          <w:p w14:paraId="7BAFB820" w14:textId="77777777" w:rsidR="0061265C" w:rsidRPr="00543D10" w:rsidRDefault="0061265C" w:rsidP="0061265C">
            <w:pPr>
              <w:spacing w:after="0" w:line="240" w:lineRule="auto"/>
              <w:rPr>
                <w:rFonts w:ascii="Arial" w:eastAsia="Times New Roman" w:hAnsi="Arial" w:cs="Arial"/>
                <w:sz w:val="20"/>
                <w:szCs w:val="20"/>
                <w:lang w:eastAsia="en-GB"/>
              </w:rPr>
            </w:pPr>
          </w:p>
        </w:tc>
        <w:tc>
          <w:tcPr>
            <w:tcW w:w="1417" w:type="dxa"/>
            <w:tcBorders>
              <w:top w:val="nil"/>
              <w:left w:val="nil"/>
              <w:bottom w:val="nil"/>
              <w:right w:val="nil"/>
            </w:tcBorders>
            <w:shd w:val="clear" w:color="auto" w:fill="auto"/>
            <w:noWrap/>
            <w:vAlign w:val="center"/>
          </w:tcPr>
          <w:p w14:paraId="1F379F1C" w14:textId="77777777" w:rsidR="0061265C" w:rsidRPr="00847122" w:rsidRDefault="00E64186" w:rsidP="0061265C">
            <w:pPr>
              <w:spacing w:after="0" w:line="240" w:lineRule="auto"/>
              <w:jc w:val="right"/>
              <w:rPr>
                <w:rFonts w:ascii="Arial" w:eastAsia="Times New Roman" w:hAnsi="Arial" w:cs="Arial"/>
                <w:b/>
                <w:sz w:val="20"/>
                <w:szCs w:val="20"/>
                <w:lang w:eastAsia="en-GB"/>
              </w:rPr>
            </w:pPr>
            <w:r w:rsidRPr="00847122">
              <w:rPr>
                <w:rFonts w:ascii="Arial" w:eastAsia="Times New Roman" w:hAnsi="Arial" w:cs="Arial"/>
                <w:b/>
                <w:sz w:val="20"/>
                <w:szCs w:val="20"/>
                <w:lang w:eastAsia="en-GB"/>
              </w:rPr>
              <w:t>1,182</w:t>
            </w:r>
          </w:p>
        </w:tc>
        <w:tc>
          <w:tcPr>
            <w:tcW w:w="1418" w:type="dxa"/>
            <w:tcBorders>
              <w:top w:val="nil"/>
              <w:left w:val="nil"/>
              <w:bottom w:val="nil"/>
              <w:right w:val="nil"/>
            </w:tcBorders>
            <w:shd w:val="clear" w:color="auto" w:fill="auto"/>
            <w:noWrap/>
            <w:vAlign w:val="center"/>
          </w:tcPr>
          <w:p w14:paraId="33DFB5D6" w14:textId="77777777" w:rsidR="0061265C" w:rsidRPr="00847122" w:rsidRDefault="0061265C" w:rsidP="0061265C">
            <w:pPr>
              <w:spacing w:after="0" w:line="240" w:lineRule="auto"/>
              <w:jc w:val="right"/>
              <w:rPr>
                <w:rFonts w:ascii="Arial" w:eastAsia="Times New Roman" w:hAnsi="Arial" w:cs="Arial"/>
                <w:sz w:val="20"/>
                <w:szCs w:val="20"/>
                <w:lang w:eastAsia="en-GB"/>
              </w:rPr>
            </w:pPr>
          </w:p>
        </w:tc>
        <w:tc>
          <w:tcPr>
            <w:tcW w:w="1276" w:type="dxa"/>
            <w:tcBorders>
              <w:top w:val="nil"/>
              <w:left w:val="nil"/>
              <w:bottom w:val="nil"/>
              <w:right w:val="nil"/>
            </w:tcBorders>
            <w:shd w:val="clear" w:color="auto" w:fill="auto"/>
            <w:noWrap/>
            <w:vAlign w:val="center"/>
          </w:tcPr>
          <w:p w14:paraId="284FA338" w14:textId="77777777" w:rsidR="0061265C" w:rsidRPr="00847122" w:rsidRDefault="0061265C" w:rsidP="0061265C">
            <w:pPr>
              <w:spacing w:after="0" w:line="240" w:lineRule="auto"/>
              <w:jc w:val="right"/>
              <w:rPr>
                <w:rFonts w:ascii="Arial" w:eastAsia="Times New Roman" w:hAnsi="Arial" w:cs="Arial"/>
                <w:sz w:val="20"/>
                <w:szCs w:val="20"/>
                <w:lang w:eastAsia="en-GB"/>
              </w:rPr>
            </w:pPr>
            <w:r w:rsidRPr="00847122">
              <w:rPr>
                <w:rFonts w:ascii="Arial" w:eastAsia="Times New Roman" w:hAnsi="Arial" w:cs="Arial"/>
                <w:sz w:val="20"/>
                <w:szCs w:val="20"/>
                <w:lang w:eastAsia="en-GB"/>
              </w:rPr>
              <w:t>262</w:t>
            </w:r>
          </w:p>
        </w:tc>
        <w:tc>
          <w:tcPr>
            <w:tcW w:w="1417" w:type="dxa"/>
            <w:tcBorders>
              <w:top w:val="nil"/>
              <w:left w:val="nil"/>
              <w:bottom w:val="nil"/>
              <w:right w:val="nil"/>
            </w:tcBorders>
            <w:shd w:val="clear" w:color="auto" w:fill="auto"/>
            <w:noWrap/>
            <w:vAlign w:val="center"/>
          </w:tcPr>
          <w:p w14:paraId="123551F8" w14:textId="77777777" w:rsidR="0061265C" w:rsidRPr="00847122" w:rsidRDefault="0061265C" w:rsidP="0061265C">
            <w:pPr>
              <w:spacing w:after="0" w:line="240" w:lineRule="auto"/>
              <w:jc w:val="right"/>
              <w:rPr>
                <w:rFonts w:ascii="Arial" w:eastAsia="Times New Roman" w:hAnsi="Arial" w:cs="Arial"/>
                <w:sz w:val="20"/>
                <w:szCs w:val="20"/>
                <w:lang w:eastAsia="en-GB"/>
              </w:rPr>
            </w:pPr>
          </w:p>
        </w:tc>
      </w:tr>
      <w:tr w:rsidR="0061265C" w:rsidRPr="00543D10" w14:paraId="1A20BC86" w14:textId="77777777" w:rsidTr="00CD5D43">
        <w:trPr>
          <w:trHeight w:val="530"/>
        </w:trPr>
        <w:tc>
          <w:tcPr>
            <w:tcW w:w="2977" w:type="dxa"/>
            <w:tcBorders>
              <w:top w:val="nil"/>
              <w:left w:val="nil"/>
              <w:bottom w:val="nil"/>
              <w:right w:val="nil"/>
            </w:tcBorders>
            <w:shd w:val="clear" w:color="auto" w:fill="auto"/>
            <w:vAlign w:val="center"/>
            <w:hideMark/>
          </w:tcPr>
          <w:p w14:paraId="7D1BD929" w14:textId="77777777" w:rsidR="0061265C" w:rsidRPr="00543D10" w:rsidRDefault="0061265C" w:rsidP="0061265C">
            <w:pPr>
              <w:spacing w:after="0" w:line="240" w:lineRule="auto"/>
              <w:rPr>
                <w:rFonts w:ascii="Arial" w:eastAsia="Times New Roman" w:hAnsi="Arial" w:cs="Arial"/>
                <w:sz w:val="20"/>
                <w:szCs w:val="20"/>
                <w:lang w:eastAsia="en-GB"/>
              </w:rPr>
            </w:pPr>
            <w:r w:rsidRPr="00543D10">
              <w:rPr>
                <w:rFonts w:ascii="Arial" w:eastAsia="Times New Roman" w:hAnsi="Arial" w:cs="Arial"/>
                <w:sz w:val="20"/>
                <w:szCs w:val="20"/>
                <w:lang w:eastAsia="en-GB"/>
              </w:rPr>
              <w:t>Net sales of investments</w:t>
            </w:r>
          </w:p>
        </w:tc>
        <w:tc>
          <w:tcPr>
            <w:tcW w:w="709" w:type="dxa"/>
            <w:tcBorders>
              <w:top w:val="nil"/>
              <w:left w:val="nil"/>
              <w:bottom w:val="nil"/>
              <w:right w:val="nil"/>
            </w:tcBorders>
            <w:shd w:val="clear" w:color="auto" w:fill="auto"/>
            <w:noWrap/>
            <w:vAlign w:val="center"/>
            <w:hideMark/>
          </w:tcPr>
          <w:p w14:paraId="3066FE38" w14:textId="77777777" w:rsidR="0061265C" w:rsidRPr="00543D10" w:rsidRDefault="0061265C" w:rsidP="0061265C">
            <w:pPr>
              <w:spacing w:after="0" w:line="240" w:lineRule="auto"/>
              <w:rPr>
                <w:rFonts w:ascii="Arial" w:eastAsia="Times New Roman" w:hAnsi="Arial" w:cs="Arial"/>
                <w:sz w:val="20"/>
                <w:szCs w:val="20"/>
                <w:lang w:eastAsia="en-GB"/>
              </w:rPr>
            </w:pPr>
          </w:p>
        </w:tc>
        <w:tc>
          <w:tcPr>
            <w:tcW w:w="1417" w:type="dxa"/>
            <w:tcBorders>
              <w:top w:val="nil"/>
              <w:left w:val="nil"/>
              <w:bottom w:val="nil"/>
              <w:right w:val="nil"/>
            </w:tcBorders>
            <w:shd w:val="clear" w:color="auto" w:fill="auto"/>
            <w:noWrap/>
            <w:vAlign w:val="center"/>
          </w:tcPr>
          <w:p w14:paraId="7A337BCA" w14:textId="77777777" w:rsidR="0061265C" w:rsidRPr="00847122" w:rsidRDefault="00E64186" w:rsidP="0061265C">
            <w:pPr>
              <w:spacing w:after="0" w:line="240" w:lineRule="auto"/>
              <w:jc w:val="right"/>
              <w:rPr>
                <w:rFonts w:ascii="Arial" w:eastAsia="Times New Roman" w:hAnsi="Arial" w:cs="Arial"/>
                <w:b/>
                <w:sz w:val="20"/>
                <w:szCs w:val="20"/>
                <w:lang w:eastAsia="en-GB"/>
              </w:rPr>
            </w:pPr>
            <w:r w:rsidRPr="00847122">
              <w:rPr>
                <w:rFonts w:ascii="Arial" w:eastAsia="Times New Roman" w:hAnsi="Arial" w:cs="Arial"/>
                <w:b/>
                <w:sz w:val="20"/>
                <w:szCs w:val="20"/>
                <w:lang w:eastAsia="en-GB"/>
              </w:rPr>
              <w:t>712</w:t>
            </w:r>
          </w:p>
        </w:tc>
        <w:tc>
          <w:tcPr>
            <w:tcW w:w="1418" w:type="dxa"/>
            <w:tcBorders>
              <w:top w:val="nil"/>
              <w:left w:val="nil"/>
              <w:bottom w:val="nil"/>
              <w:right w:val="nil"/>
            </w:tcBorders>
            <w:shd w:val="clear" w:color="auto" w:fill="auto"/>
            <w:noWrap/>
            <w:vAlign w:val="center"/>
          </w:tcPr>
          <w:p w14:paraId="2420DF3C" w14:textId="77777777" w:rsidR="0061265C" w:rsidRPr="00847122" w:rsidRDefault="0061265C" w:rsidP="0061265C">
            <w:pPr>
              <w:spacing w:after="0" w:line="240" w:lineRule="auto"/>
              <w:jc w:val="right"/>
              <w:rPr>
                <w:rFonts w:ascii="Arial" w:eastAsia="Times New Roman" w:hAnsi="Arial" w:cs="Arial"/>
                <w:sz w:val="20"/>
                <w:szCs w:val="20"/>
                <w:lang w:eastAsia="en-GB"/>
              </w:rPr>
            </w:pPr>
          </w:p>
        </w:tc>
        <w:tc>
          <w:tcPr>
            <w:tcW w:w="1276" w:type="dxa"/>
            <w:tcBorders>
              <w:top w:val="nil"/>
              <w:left w:val="nil"/>
              <w:bottom w:val="nil"/>
              <w:right w:val="nil"/>
            </w:tcBorders>
            <w:shd w:val="clear" w:color="auto" w:fill="auto"/>
            <w:noWrap/>
            <w:vAlign w:val="center"/>
            <w:hideMark/>
          </w:tcPr>
          <w:p w14:paraId="1C20B52D" w14:textId="77777777" w:rsidR="0061265C" w:rsidRPr="00847122" w:rsidRDefault="0000682B">
            <w:pPr>
              <w:spacing w:after="0" w:line="240" w:lineRule="auto"/>
              <w:jc w:val="right"/>
              <w:rPr>
                <w:rFonts w:ascii="Arial" w:eastAsia="Times New Roman" w:hAnsi="Arial" w:cs="Arial"/>
                <w:sz w:val="20"/>
                <w:szCs w:val="20"/>
                <w:lang w:eastAsia="en-GB"/>
              </w:rPr>
            </w:pPr>
            <w:r w:rsidRPr="00847122">
              <w:rPr>
                <w:rFonts w:ascii="Arial" w:eastAsia="Times New Roman" w:hAnsi="Arial" w:cs="Arial"/>
                <w:sz w:val="20"/>
                <w:szCs w:val="20"/>
                <w:lang w:eastAsia="en-GB"/>
              </w:rPr>
              <w:t>16,7</w:t>
            </w:r>
            <w:r w:rsidR="00C930CC" w:rsidRPr="00847122">
              <w:rPr>
                <w:rFonts w:ascii="Arial" w:eastAsia="Times New Roman" w:hAnsi="Arial" w:cs="Arial"/>
                <w:sz w:val="20"/>
                <w:szCs w:val="20"/>
                <w:lang w:eastAsia="en-GB"/>
              </w:rPr>
              <w:t>09</w:t>
            </w:r>
          </w:p>
        </w:tc>
        <w:tc>
          <w:tcPr>
            <w:tcW w:w="1417" w:type="dxa"/>
            <w:tcBorders>
              <w:top w:val="nil"/>
              <w:left w:val="nil"/>
              <w:bottom w:val="nil"/>
              <w:right w:val="nil"/>
            </w:tcBorders>
            <w:shd w:val="clear" w:color="auto" w:fill="auto"/>
            <w:noWrap/>
            <w:vAlign w:val="center"/>
            <w:hideMark/>
          </w:tcPr>
          <w:p w14:paraId="2DD3318D" w14:textId="77777777" w:rsidR="0061265C" w:rsidRPr="00847122" w:rsidRDefault="0061265C" w:rsidP="0061265C">
            <w:pPr>
              <w:spacing w:after="0" w:line="240" w:lineRule="auto"/>
              <w:jc w:val="right"/>
              <w:rPr>
                <w:rFonts w:ascii="Arial" w:eastAsia="Times New Roman" w:hAnsi="Arial" w:cs="Arial"/>
                <w:sz w:val="20"/>
                <w:szCs w:val="20"/>
                <w:lang w:eastAsia="en-GB"/>
              </w:rPr>
            </w:pPr>
          </w:p>
        </w:tc>
      </w:tr>
      <w:tr w:rsidR="00CA30FA" w:rsidRPr="00543D10" w14:paraId="139057EF" w14:textId="77777777" w:rsidTr="00CD5D43">
        <w:trPr>
          <w:trHeight w:val="530"/>
        </w:trPr>
        <w:tc>
          <w:tcPr>
            <w:tcW w:w="2977" w:type="dxa"/>
            <w:tcBorders>
              <w:top w:val="nil"/>
              <w:left w:val="nil"/>
              <w:bottom w:val="nil"/>
              <w:right w:val="nil"/>
            </w:tcBorders>
            <w:shd w:val="clear" w:color="auto" w:fill="auto"/>
            <w:vAlign w:val="center"/>
          </w:tcPr>
          <w:p w14:paraId="74ED3366" w14:textId="77777777" w:rsidR="00CA30FA" w:rsidRPr="00543D10" w:rsidRDefault="00CA30FA" w:rsidP="0061265C">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Cash from disposal of fixed assets</w:t>
            </w:r>
          </w:p>
        </w:tc>
        <w:tc>
          <w:tcPr>
            <w:tcW w:w="709" w:type="dxa"/>
            <w:tcBorders>
              <w:top w:val="nil"/>
              <w:left w:val="nil"/>
              <w:bottom w:val="nil"/>
              <w:right w:val="nil"/>
            </w:tcBorders>
            <w:shd w:val="clear" w:color="auto" w:fill="auto"/>
            <w:noWrap/>
            <w:vAlign w:val="center"/>
          </w:tcPr>
          <w:p w14:paraId="4AD9BE46" w14:textId="77777777" w:rsidR="00CA30FA" w:rsidRPr="00543D10" w:rsidRDefault="00CA30FA" w:rsidP="0061265C">
            <w:pPr>
              <w:spacing w:after="0" w:line="240" w:lineRule="auto"/>
              <w:rPr>
                <w:rFonts w:ascii="Arial" w:eastAsia="Times New Roman" w:hAnsi="Arial" w:cs="Arial"/>
                <w:sz w:val="20"/>
                <w:szCs w:val="20"/>
                <w:lang w:eastAsia="en-GB"/>
              </w:rPr>
            </w:pPr>
          </w:p>
        </w:tc>
        <w:tc>
          <w:tcPr>
            <w:tcW w:w="1417" w:type="dxa"/>
            <w:tcBorders>
              <w:top w:val="nil"/>
              <w:left w:val="nil"/>
              <w:bottom w:val="nil"/>
              <w:right w:val="nil"/>
            </w:tcBorders>
            <w:shd w:val="clear" w:color="auto" w:fill="auto"/>
            <w:noWrap/>
            <w:vAlign w:val="center"/>
          </w:tcPr>
          <w:p w14:paraId="1E6564C4" w14:textId="77777777" w:rsidR="00CA30FA" w:rsidRPr="00847122" w:rsidRDefault="00C930CC" w:rsidP="0061265C">
            <w:pPr>
              <w:spacing w:after="0" w:line="240" w:lineRule="auto"/>
              <w:jc w:val="right"/>
              <w:rPr>
                <w:rFonts w:ascii="Arial" w:eastAsia="Times New Roman" w:hAnsi="Arial" w:cs="Arial"/>
                <w:b/>
                <w:sz w:val="20"/>
                <w:szCs w:val="20"/>
                <w:lang w:eastAsia="en-GB"/>
              </w:rPr>
            </w:pPr>
            <w:r w:rsidRPr="00847122">
              <w:rPr>
                <w:rFonts w:ascii="Arial" w:eastAsia="Times New Roman" w:hAnsi="Arial" w:cs="Arial"/>
                <w:b/>
                <w:sz w:val="20"/>
                <w:szCs w:val="20"/>
                <w:lang w:eastAsia="en-GB"/>
              </w:rPr>
              <w:t>7,039</w:t>
            </w:r>
          </w:p>
        </w:tc>
        <w:tc>
          <w:tcPr>
            <w:tcW w:w="1418" w:type="dxa"/>
            <w:tcBorders>
              <w:top w:val="nil"/>
              <w:left w:val="nil"/>
              <w:bottom w:val="nil"/>
              <w:right w:val="nil"/>
            </w:tcBorders>
            <w:shd w:val="clear" w:color="auto" w:fill="auto"/>
            <w:noWrap/>
            <w:vAlign w:val="center"/>
          </w:tcPr>
          <w:p w14:paraId="32D764CF" w14:textId="77777777" w:rsidR="00CA30FA" w:rsidRPr="00847122" w:rsidRDefault="00CA30FA" w:rsidP="0061265C">
            <w:pPr>
              <w:spacing w:after="0" w:line="240" w:lineRule="auto"/>
              <w:jc w:val="right"/>
              <w:rPr>
                <w:rFonts w:ascii="Arial" w:eastAsia="Times New Roman" w:hAnsi="Arial" w:cs="Arial"/>
                <w:sz w:val="20"/>
                <w:szCs w:val="20"/>
                <w:lang w:eastAsia="en-GB"/>
              </w:rPr>
            </w:pPr>
          </w:p>
        </w:tc>
        <w:tc>
          <w:tcPr>
            <w:tcW w:w="1276" w:type="dxa"/>
            <w:tcBorders>
              <w:top w:val="nil"/>
              <w:left w:val="nil"/>
              <w:bottom w:val="nil"/>
              <w:right w:val="nil"/>
            </w:tcBorders>
            <w:shd w:val="clear" w:color="auto" w:fill="auto"/>
            <w:noWrap/>
            <w:vAlign w:val="center"/>
          </w:tcPr>
          <w:p w14:paraId="0C43161F" w14:textId="77777777" w:rsidR="00CA30FA" w:rsidRPr="00847122" w:rsidRDefault="00CA30FA" w:rsidP="0061265C">
            <w:pPr>
              <w:spacing w:after="0" w:line="240" w:lineRule="auto"/>
              <w:jc w:val="right"/>
              <w:rPr>
                <w:rFonts w:ascii="Arial" w:eastAsia="Times New Roman" w:hAnsi="Arial" w:cs="Arial"/>
                <w:sz w:val="20"/>
                <w:szCs w:val="20"/>
                <w:lang w:eastAsia="en-GB"/>
              </w:rPr>
            </w:pPr>
            <w:r w:rsidRPr="00847122">
              <w:rPr>
                <w:rFonts w:ascii="Arial" w:eastAsia="Times New Roman" w:hAnsi="Arial" w:cs="Arial"/>
                <w:sz w:val="20"/>
                <w:szCs w:val="20"/>
                <w:lang w:eastAsia="en-GB"/>
              </w:rPr>
              <w:t>-</w:t>
            </w:r>
          </w:p>
        </w:tc>
        <w:tc>
          <w:tcPr>
            <w:tcW w:w="1417" w:type="dxa"/>
            <w:tcBorders>
              <w:top w:val="nil"/>
              <w:left w:val="nil"/>
              <w:bottom w:val="nil"/>
              <w:right w:val="nil"/>
            </w:tcBorders>
            <w:shd w:val="clear" w:color="auto" w:fill="auto"/>
            <w:noWrap/>
            <w:vAlign w:val="center"/>
          </w:tcPr>
          <w:p w14:paraId="04B44A3A" w14:textId="77777777" w:rsidR="00CA30FA" w:rsidRPr="00847122" w:rsidRDefault="00CA30FA" w:rsidP="0061265C">
            <w:pPr>
              <w:spacing w:after="0" w:line="240" w:lineRule="auto"/>
              <w:jc w:val="right"/>
              <w:rPr>
                <w:rFonts w:ascii="Arial" w:eastAsia="Times New Roman" w:hAnsi="Arial" w:cs="Arial"/>
                <w:sz w:val="20"/>
                <w:szCs w:val="20"/>
                <w:lang w:eastAsia="en-GB"/>
              </w:rPr>
            </w:pPr>
          </w:p>
        </w:tc>
      </w:tr>
      <w:tr w:rsidR="0061265C" w:rsidRPr="00543D10" w14:paraId="32BFE10D" w14:textId="77777777" w:rsidTr="00CD5D43">
        <w:trPr>
          <w:trHeight w:val="265"/>
        </w:trPr>
        <w:tc>
          <w:tcPr>
            <w:tcW w:w="2977" w:type="dxa"/>
            <w:tcBorders>
              <w:top w:val="nil"/>
              <w:left w:val="nil"/>
              <w:bottom w:val="nil"/>
              <w:right w:val="nil"/>
            </w:tcBorders>
            <w:shd w:val="clear" w:color="auto" w:fill="auto"/>
            <w:vAlign w:val="center"/>
            <w:hideMark/>
          </w:tcPr>
          <w:p w14:paraId="238A1C88" w14:textId="77777777" w:rsidR="0061265C" w:rsidRPr="00543D10" w:rsidRDefault="0061265C" w:rsidP="0061265C">
            <w:pPr>
              <w:spacing w:after="0" w:line="240" w:lineRule="auto"/>
              <w:rPr>
                <w:rFonts w:ascii="Arial" w:eastAsia="Times New Roman" w:hAnsi="Arial" w:cs="Arial"/>
                <w:sz w:val="20"/>
                <w:szCs w:val="20"/>
                <w:lang w:eastAsia="en-GB"/>
              </w:rPr>
            </w:pPr>
            <w:r w:rsidRPr="00543D10">
              <w:rPr>
                <w:rFonts w:ascii="Arial" w:eastAsia="Times New Roman" w:hAnsi="Arial" w:cs="Arial"/>
                <w:sz w:val="20"/>
                <w:szCs w:val="20"/>
                <w:lang w:eastAsia="en-GB"/>
              </w:rPr>
              <w:t>Investment income received</w:t>
            </w:r>
          </w:p>
        </w:tc>
        <w:tc>
          <w:tcPr>
            <w:tcW w:w="709" w:type="dxa"/>
            <w:tcBorders>
              <w:top w:val="nil"/>
              <w:left w:val="nil"/>
              <w:bottom w:val="nil"/>
              <w:right w:val="nil"/>
            </w:tcBorders>
            <w:shd w:val="clear" w:color="auto" w:fill="auto"/>
            <w:noWrap/>
            <w:vAlign w:val="center"/>
            <w:hideMark/>
          </w:tcPr>
          <w:p w14:paraId="0475436F" w14:textId="77777777" w:rsidR="0061265C" w:rsidRPr="00543D10" w:rsidRDefault="0061265C" w:rsidP="0061265C">
            <w:pPr>
              <w:spacing w:after="0" w:line="240" w:lineRule="auto"/>
              <w:rPr>
                <w:rFonts w:ascii="Arial" w:eastAsia="Times New Roman" w:hAnsi="Arial" w:cs="Arial"/>
                <w:sz w:val="20"/>
                <w:szCs w:val="20"/>
                <w:lang w:eastAsia="en-GB"/>
              </w:rPr>
            </w:pPr>
          </w:p>
        </w:tc>
        <w:tc>
          <w:tcPr>
            <w:tcW w:w="1417" w:type="dxa"/>
            <w:tcBorders>
              <w:top w:val="nil"/>
              <w:left w:val="nil"/>
              <w:bottom w:val="nil"/>
              <w:right w:val="nil"/>
            </w:tcBorders>
            <w:shd w:val="clear" w:color="auto" w:fill="auto"/>
            <w:noWrap/>
            <w:vAlign w:val="center"/>
          </w:tcPr>
          <w:p w14:paraId="21A8AB61" w14:textId="77777777" w:rsidR="0061265C" w:rsidRPr="00847122" w:rsidRDefault="00BB27D0" w:rsidP="0061265C">
            <w:pPr>
              <w:spacing w:after="0" w:line="240" w:lineRule="auto"/>
              <w:jc w:val="right"/>
              <w:rPr>
                <w:rFonts w:ascii="Arial" w:eastAsia="Times New Roman" w:hAnsi="Arial" w:cs="Arial"/>
                <w:b/>
                <w:sz w:val="20"/>
                <w:szCs w:val="20"/>
                <w:lang w:eastAsia="en-GB"/>
              </w:rPr>
            </w:pPr>
            <w:r w:rsidRPr="00847122">
              <w:rPr>
                <w:rFonts w:ascii="Arial" w:eastAsia="Times New Roman" w:hAnsi="Arial" w:cs="Arial"/>
                <w:b/>
                <w:sz w:val="20"/>
                <w:szCs w:val="20"/>
                <w:lang w:eastAsia="en-GB"/>
              </w:rPr>
              <w:t>14</w:t>
            </w:r>
          </w:p>
        </w:tc>
        <w:tc>
          <w:tcPr>
            <w:tcW w:w="1418" w:type="dxa"/>
            <w:tcBorders>
              <w:top w:val="nil"/>
              <w:left w:val="nil"/>
              <w:bottom w:val="nil"/>
              <w:right w:val="nil"/>
            </w:tcBorders>
            <w:shd w:val="clear" w:color="auto" w:fill="auto"/>
            <w:noWrap/>
            <w:vAlign w:val="center"/>
          </w:tcPr>
          <w:p w14:paraId="5EC3689A" w14:textId="77777777" w:rsidR="0061265C" w:rsidRPr="00847122" w:rsidRDefault="0061265C" w:rsidP="0061265C">
            <w:pPr>
              <w:spacing w:after="0" w:line="240" w:lineRule="auto"/>
              <w:jc w:val="right"/>
              <w:rPr>
                <w:rFonts w:ascii="Arial" w:eastAsia="Times New Roman" w:hAnsi="Arial" w:cs="Arial"/>
                <w:sz w:val="20"/>
                <w:szCs w:val="20"/>
                <w:lang w:eastAsia="en-GB"/>
              </w:rPr>
            </w:pPr>
          </w:p>
        </w:tc>
        <w:tc>
          <w:tcPr>
            <w:tcW w:w="1276" w:type="dxa"/>
            <w:tcBorders>
              <w:top w:val="nil"/>
              <w:left w:val="nil"/>
              <w:bottom w:val="nil"/>
              <w:right w:val="nil"/>
            </w:tcBorders>
            <w:shd w:val="clear" w:color="auto" w:fill="auto"/>
            <w:noWrap/>
            <w:vAlign w:val="center"/>
            <w:hideMark/>
          </w:tcPr>
          <w:p w14:paraId="0990B6E9" w14:textId="77777777" w:rsidR="0061265C" w:rsidRPr="00847122" w:rsidRDefault="0061265C" w:rsidP="0061265C">
            <w:pPr>
              <w:spacing w:after="0" w:line="240" w:lineRule="auto"/>
              <w:jc w:val="right"/>
              <w:rPr>
                <w:rFonts w:ascii="Arial" w:eastAsia="Times New Roman" w:hAnsi="Arial" w:cs="Arial"/>
                <w:sz w:val="20"/>
                <w:szCs w:val="20"/>
                <w:lang w:eastAsia="en-GB"/>
              </w:rPr>
            </w:pPr>
            <w:r w:rsidRPr="00847122">
              <w:rPr>
                <w:rFonts w:ascii="Arial" w:eastAsia="Times New Roman" w:hAnsi="Arial" w:cs="Arial"/>
                <w:sz w:val="20"/>
                <w:szCs w:val="20"/>
                <w:lang w:eastAsia="en-GB"/>
              </w:rPr>
              <w:t>285</w:t>
            </w:r>
          </w:p>
        </w:tc>
        <w:tc>
          <w:tcPr>
            <w:tcW w:w="1417" w:type="dxa"/>
            <w:tcBorders>
              <w:top w:val="nil"/>
              <w:left w:val="nil"/>
              <w:bottom w:val="nil"/>
              <w:right w:val="nil"/>
            </w:tcBorders>
            <w:shd w:val="clear" w:color="auto" w:fill="auto"/>
            <w:noWrap/>
            <w:vAlign w:val="center"/>
            <w:hideMark/>
          </w:tcPr>
          <w:p w14:paraId="0FC5CFC1" w14:textId="77777777" w:rsidR="0061265C" w:rsidRPr="00847122" w:rsidRDefault="0061265C" w:rsidP="0061265C">
            <w:pPr>
              <w:spacing w:after="0" w:line="240" w:lineRule="auto"/>
              <w:jc w:val="right"/>
              <w:rPr>
                <w:rFonts w:ascii="Arial" w:eastAsia="Times New Roman" w:hAnsi="Arial" w:cs="Arial"/>
                <w:sz w:val="20"/>
                <w:szCs w:val="20"/>
                <w:lang w:eastAsia="en-GB"/>
              </w:rPr>
            </w:pPr>
          </w:p>
        </w:tc>
      </w:tr>
      <w:tr w:rsidR="0061265C" w:rsidRPr="00543D10" w14:paraId="2F0FCB3A" w14:textId="77777777" w:rsidTr="00CD5D43">
        <w:trPr>
          <w:trHeight w:val="795"/>
        </w:trPr>
        <w:tc>
          <w:tcPr>
            <w:tcW w:w="2977" w:type="dxa"/>
            <w:tcBorders>
              <w:top w:val="nil"/>
              <w:left w:val="nil"/>
              <w:bottom w:val="nil"/>
              <w:right w:val="nil"/>
            </w:tcBorders>
            <w:shd w:val="clear" w:color="auto" w:fill="auto"/>
            <w:vAlign w:val="center"/>
            <w:hideMark/>
          </w:tcPr>
          <w:p w14:paraId="06298392" w14:textId="77777777" w:rsidR="0061265C" w:rsidRPr="00543D10" w:rsidRDefault="0061265C" w:rsidP="0061265C">
            <w:pPr>
              <w:spacing w:after="0" w:line="240" w:lineRule="auto"/>
              <w:rPr>
                <w:rFonts w:ascii="Arial" w:eastAsia="Times New Roman" w:hAnsi="Arial" w:cs="Arial"/>
                <w:b/>
                <w:bCs/>
                <w:sz w:val="20"/>
                <w:szCs w:val="20"/>
                <w:lang w:eastAsia="en-GB"/>
              </w:rPr>
            </w:pPr>
            <w:r w:rsidRPr="00543D10">
              <w:rPr>
                <w:rFonts w:ascii="Arial" w:eastAsia="Times New Roman" w:hAnsi="Arial" w:cs="Arial"/>
                <w:b/>
                <w:bCs/>
                <w:sz w:val="20"/>
                <w:szCs w:val="20"/>
                <w:lang w:eastAsia="en-GB"/>
              </w:rPr>
              <w:t xml:space="preserve">Net cash </w:t>
            </w:r>
            <w:r w:rsidR="001304C1">
              <w:rPr>
                <w:rFonts w:ascii="Arial" w:eastAsia="Times New Roman" w:hAnsi="Arial" w:cs="Arial"/>
                <w:b/>
                <w:bCs/>
                <w:sz w:val="20"/>
                <w:szCs w:val="20"/>
                <w:lang w:eastAsia="en-GB"/>
              </w:rPr>
              <w:t>(</w:t>
            </w:r>
            <w:r w:rsidRPr="00543D10">
              <w:rPr>
                <w:rFonts w:ascii="Arial" w:eastAsia="Times New Roman" w:hAnsi="Arial" w:cs="Arial"/>
                <w:b/>
                <w:bCs/>
                <w:sz w:val="20"/>
                <w:szCs w:val="20"/>
                <w:lang w:eastAsia="en-GB"/>
              </w:rPr>
              <w:t>outflow</w:t>
            </w:r>
            <w:r w:rsidR="001304C1">
              <w:rPr>
                <w:rFonts w:ascii="Arial" w:eastAsia="Times New Roman" w:hAnsi="Arial" w:cs="Arial"/>
                <w:b/>
                <w:bCs/>
                <w:sz w:val="20"/>
                <w:szCs w:val="20"/>
                <w:lang w:eastAsia="en-GB"/>
              </w:rPr>
              <w:t>)</w:t>
            </w:r>
            <w:r w:rsidRPr="00543D10">
              <w:rPr>
                <w:rFonts w:ascii="Arial" w:eastAsia="Times New Roman" w:hAnsi="Arial" w:cs="Arial"/>
                <w:b/>
                <w:bCs/>
                <w:sz w:val="20"/>
                <w:szCs w:val="20"/>
                <w:lang w:eastAsia="en-GB"/>
              </w:rPr>
              <w:t xml:space="preserve"> </w:t>
            </w:r>
            <w:r w:rsidR="0000682B">
              <w:rPr>
                <w:rFonts w:ascii="Arial" w:eastAsia="Times New Roman" w:hAnsi="Arial" w:cs="Arial"/>
                <w:b/>
                <w:bCs/>
                <w:sz w:val="20"/>
                <w:szCs w:val="20"/>
                <w:lang w:eastAsia="en-GB"/>
              </w:rPr>
              <w:t xml:space="preserve">/ inflow </w:t>
            </w:r>
            <w:r w:rsidRPr="00543D10">
              <w:rPr>
                <w:rFonts w:ascii="Arial" w:eastAsia="Times New Roman" w:hAnsi="Arial" w:cs="Arial"/>
                <w:b/>
                <w:bCs/>
                <w:sz w:val="20"/>
                <w:szCs w:val="20"/>
                <w:lang w:eastAsia="en-GB"/>
              </w:rPr>
              <w:t>from capital expenditure and financial investment</w:t>
            </w:r>
          </w:p>
        </w:tc>
        <w:tc>
          <w:tcPr>
            <w:tcW w:w="709" w:type="dxa"/>
            <w:tcBorders>
              <w:top w:val="nil"/>
              <w:left w:val="nil"/>
              <w:bottom w:val="nil"/>
              <w:right w:val="nil"/>
            </w:tcBorders>
            <w:shd w:val="clear" w:color="auto" w:fill="auto"/>
            <w:noWrap/>
            <w:vAlign w:val="center"/>
            <w:hideMark/>
          </w:tcPr>
          <w:p w14:paraId="01A93556" w14:textId="77777777" w:rsidR="0061265C" w:rsidRPr="00543D10" w:rsidRDefault="0061265C" w:rsidP="0061265C">
            <w:pPr>
              <w:spacing w:after="0" w:line="240" w:lineRule="auto"/>
              <w:rPr>
                <w:rFonts w:ascii="Arial" w:eastAsia="Times New Roman" w:hAnsi="Arial" w:cs="Arial"/>
                <w:b/>
                <w:bCs/>
                <w:sz w:val="20"/>
                <w:szCs w:val="20"/>
                <w:lang w:eastAsia="en-GB"/>
              </w:rPr>
            </w:pPr>
          </w:p>
        </w:tc>
        <w:tc>
          <w:tcPr>
            <w:tcW w:w="1417" w:type="dxa"/>
            <w:tcBorders>
              <w:top w:val="nil"/>
              <w:left w:val="nil"/>
              <w:bottom w:val="nil"/>
              <w:right w:val="nil"/>
            </w:tcBorders>
            <w:shd w:val="clear" w:color="auto" w:fill="auto"/>
            <w:noWrap/>
            <w:vAlign w:val="center"/>
          </w:tcPr>
          <w:p w14:paraId="536FC7AF" w14:textId="77777777" w:rsidR="0061265C" w:rsidRPr="00847122" w:rsidRDefault="0061265C" w:rsidP="0061265C">
            <w:pPr>
              <w:spacing w:after="0" w:line="240" w:lineRule="auto"/>
              <w:jc w:val="right"/>
              <w:rPr>
                <w:rFonts w:ascii="Times New Roman" w:eastAsia="Times New Roman" w:hAnsi="Times New Roman" w:cs="Times New Roman"/>
                <w:sz w:val="20"/>
                <w:szCs w:val="20"/>
                <w:lang w:eastAsia="en-GB"/>
              </w:rPr>
            </w:pPr>
          </w:p>
        </w:tc>
        <w:tc>
          <w:tcPr>
            <w:tcW w:w="1418" w:type="dxa"/>
            <w:tcBorders>
              <w:top w:val="nil"/>
              <w:left w:val="nil"/>
              <w:bottom w:val="nil"/>
              <w:right w:val="nil"/>
            </w:tcBorders>
            <w:shd w:val="clear" w:color="auto" w:fill="auto"/>
            <w:noWrap/>
            <w:vAlign w:val="bottom"/>
          </w:tcPr>
          <w:p w14:paraId="024C5B32" w14:textId="77777777" w:rsidR="0061265C" w:rsidRPr="00847122" w:rsidRDefault="0009394E" w:rsidP="00F40CBB">
            <w:pPr>
              <w:spacing w:after="0" w:line="240" w:lineRule="auto"/>
              <w:jc w:val="right"/>
              <w:rPr>
                <w:rFonts w:ascii="Arial" w:eastAsia="Times New Roman" w:hAnsi="Arial" w:cs="Arial"/>
                <w:b/>
                <w:bCs/>
                <w:sz w:val="20"/>
                <w:szCs w:val="20"/>
                <w:lang w:eastAsia="en-GB"/>
              </w:rPr>
            </w:pPr>
            <w:r w:rsidRPr="00847122">
              <w:rPr>
                <w:rFonts w:ascii="Arial" w:eastAsia="Times New Roman" w:hAnsi="Arial" w:cs="Arial"/>
                <w:b/>
                <w:bCs/>
                <w:sz w:val="20"/>
                <w:szCs w:val="20"/>
                <w:lang w:eastAsia="en-GB"/>
              </w:rPr>
              <w:t>(</w:t>
            </w:r>
            <w:r w:rsidR="00CF23EC" w:rsidRPr="00847122">
              <w:rPr>
                <w:rFonts w:ascii="Arial" w:eastAsia="Times New Roman" w:hAnsi="Arial" w:cs="Arial"/>
                <w:b/>
                <w:bCs/>
                <w:sz w:val="20"/>
                <w:szCs w:val="20"/>
                <w:lang w:eastAsia="en-GB"/>
              </w:rPr>
              <w:t>18,612</w:t>
            </w:r>
            <w:r w:rsidRPr="00847122">
              <w:rPr>
                <w:rFonts w:ascii="Arial" w:eastAsia="Times New Roman" w:hAnsi="Arial" w:cs="Arial"/>
                <w:b/>
                <w:bCs/>
                <w:sz w:val="20"/>
                <w:szCs w:val="20"/>
                <w:lang w:eastAsia="en-GB"/>
              </w:rPr>
              <w:t>)</w:t>
            </w:r>
          </w:p>
        </w:tc>
        <w:tc>
          <w:tcPr>
            <w:tcW w:w="1276" w:type="dxa"/>
            <w:tcBorders>
              <w:top w:val="nil"/>
              <w:left w:val="nil"/>
              <w:bottom w:val="nil"/>
              <w:right w:val="nil"/>
            </w:tcBorders>
            <w:shd w:val="clear" w:color="auto" w:fill="auto"/>
            <w:noWrap/>
            <w:vAlign w:val="bottom"/>
            <w:hideMark/>
          </w:tcPr>
          <w:p w14:paraId="46534B34" w14:textId="77777777" w:rsidR="0061265C" w:rsidRPr="00847122" w:rsidRDefault="0061265C" w:rsidP="0061265C">
            <w:pPr>
              <w:spacing w:after="0" w:line="240" w:lineRule="auto"/>
              <w:jc w:val="right"/>
              <w:rPr>
                <w:rFonts w:ascii="Arial" w:eastAsia="Times New Roman" w:hAnsi="Arial" w:cs="Arial"/>
                <w:b/>
                <w:bCs/>
                <w:sz w:val="20"/>
                <w:szCs w:val="20"/>
                <w:lang w:eastAsia="en-GB"/>
              </w:rPr>
            </w:pPr>
          </w:p>
        </w:tc>
        <w:tc>
          <w:tcPr>
            <w:tcW w:w="1417" w:type="dxa"/>
            <w:tcBorders>
              <w:top w:val="nil"/>
              <w:left w:val="nil"/>
              <w:bottom w:val="nil"/>
              <w:right w:val="nil"/>
            </w:tcBorders>
            <w:shd w:val="clear" w:color="auto" w:fill="auto"/>
            <w:noWrap/>
            <w:vAlign w:val="bottom"/>
            <w:hideMark/>
          </w:tcPr>
          <w:p w14:paraId="0478F305" w14:textId="77777777" w:rsidR="0061265C" w:rsidRPr="00847122" w:rsidRDefault="0061265C" w:rsidP="0061265C">
            <w:pPr>
              <w:spacing w:after="0" w:line="240" w:lineRule="auto"/>
              <w:jc w:val="right"/>
              <w:rPr>
                <w:rFonts w:ascii="Arial" w:eastAsia="Times New Roman" w:hAnsi="Arial" w:cs="Arial"/>
                <w:sz w:val="20"/>
                <w:szCs w:val="20"/>
                <w:lang w:eastAsia="en-GB"/>
              </w:rPr>
            </w:pPr>
            <w:r w:rsidRPr="00847122">
              <w:rPr>
                <w:rFonts w:ascii="Arial" w:eastAsia="Times New Roman" w:hAnsi="Arial" w:cs="Arial"/>
                <w:bCs/>
                <w:sz w:val="20"/>
                <w:szCs w:val="20"/>
                <w:lang w:eastAsia="en-GB"/>
              </w:rPr>
              <w:t>10,710</w:t>
            </w:r>
          </w:p>
        </w:tc>
      </w:tr>
      <w:tr w:rsidR="0061265C" w:rsidRPr="00543D10" w14:paraId="7D0E432D" w14:textId="77777777" w:rsidTr="00CD5D43">
        <w:trPr>
          <w:trHeight w:val="530"/>
        </w:trPr>
        <w:tc>
          <w:tcPr>
            <w:tcW w:w="2977" w:type="dxa"/>
            <w:tcBorders>
              <w:top w:val="single" w:sz="4" w:space="0" w:color="auto"/>
              <w:left w:val="nil"/>
              <w:bottom w:val="single" w:sz="4" w:space="0" w:color="auto"/>
              <w:right w:val="nil"/>
            </w:tcBorders>
            <w:shd w:val="clear" w:color="auto" w:fill="auto"/>
            <w:vAlign w:val="center"/>
            <w:hideMark/>
          </w:tcPr>
          <w:p w14:paraId="0BF443B2" w14:textId="77777777" w:rsidR="0061265C" w:rsidRPr="00543D10" w:rsidRDefault="0061265C" w:rsidP="0061265C">
            <w:pPr>
              <w:spacing w:after="0" w:line="240" w:lineRule="auto"/>
              <w:rPr>
                <w:rFonts w:ascii="Arial" w:eastAsia="Times New Roman" w:hAnsi="Arial" w:cs="Arial"/>
                <w:b/>
                <w:bCs/>
                <w:sz w:val="20"/>
                <w:szCs w:val="20"/>
                <w:lang w:eastAsia="en-GB"/>
              </w:rPr>
            </w:pPr>
            <w:r w:rsidRPr="00543D10">
              <w:rPr>
                <w:rFonts w:ascii="Arial" w:eastAsia="Times New Roman" w:hAnsi="Arial" w:cs="Arial"/>
                <w:b/>
                <w:bCs/>
                <w:sz w:val="20"/>
                <w:szCs w:val="20"/>
                <w:lang w:eastAsia="en-GB"/>
              </w:rPr>
              <w:t xml:space="preserve">Total Net cash </w:t>
            </w:r>
            <w:r w:rsidR="0000682B">
              <w:rPr>
                <w:rFonts w:ascii="Arial" w:eastAsia="Times New Roman" w:hAnsi="Arial" w:cs="Arial"/>
                <w:b/>
                <w:bCs/>
                <w:sz w:val="20"/>
                <w:szCs w:val="20"/>
                <w:lang w:eastAsia="en-GB"/>
              </w:rPr>
              <w:t>generated from / (</w:t>
            </w:r>
            <w:r w:rsidRPr="00543D10">
              <w:rPr>
                <w:rFonts w:ascii="Arial" w:eastAsia="Times New Roman" w:hAnsi="Arial" w:cs="Arial"/>
                <w:b/>
                <w:bCs/>
                <w:sz w:val="20"/>
                <w:szCs w:val="20"/>
                <w:lang w:eastAsia="en-GB"/>
              </w:rPr>
              <w:t>used in</w:t>
            </w:r>
            <w:r w:rsidR="0000682B">
              <w:rPr>
                <w:rFonts w:ascii="Arial" w:eastAsia="Times New Roman" w:hAnsi="Arial" w:cs="Arial"/>
                <w:b/>
                <w:bCs/>
                <w:sz w:val="20"/>
                <w:szCs w:val="20"/>
                <w:lang w:eastAsia="en-GB"/>
              </w:rPr>
              <w:t>)</w:t>
            </w:r>
            <w:r w:rsidRPr="00543D10">
              <w:rPr>
                <w:rFonts w:ascii="Arial" w:eastAsia="Times New Roman" w:hAnsi="Arial" w:cs="Arial"/>
                <w:b/>
                <w:bCs/>
                <w:sz w:val="20"/>
                <w:szCs w:val="20"/>
                <w:lang w:eastAsia="en-GB"/>
              </w:rPr>
              <w:t xml:space="preserve"> investing activities</w:t>
            </w:r>
          </w:p>
        </w:tc>
        <w:tc>
          <w:tcPr>
            <w:tcW w:w="709" w:type="dxa"/>
            <w:tcBorders>
              <w:top w:val="single" w:sz="4" w:space="0" w:color="auto"/>
              <w:left w:val="nil"/>
              <w:bottom w:val="single" w:sz="4" w:space="0" w:color="auto"/>
              <w:right w:val="nil"/>
            </w:tcBorders>
            <w:shd w:val="clear" w:color="auto" w:fill="auto"/>
            <w:noWrap/>
            <w:vAlign w:val="center"/>
            <w:hideMark/>
          </w:tcPr>
          <w:p w14:paraId="34D5AC0D" w14:textId="77777777" w:rsidR="0061265C" w:rsidRPr="00543D10" w:rsidRDefault="0061265C" w:rsidP="0061265C">
            <w:pPr>
              <w:spacing w:after="0" w:line="240" w:lineRule="auto"/>
              <w:rPr>
                <w:rFonts w:ascii="Arial" w:eastAsia="Times New Roman" w:hAnsi="Arial" w:cs="Arial"/>
                <w:b/>
                <w:bCs/>
                <w:sz w:val="20"/>
                <w:szCs w:val="20"/>
                <w:lang w:eastAsia="en-GB"/>
              </w:rPr>
            </w:pPr>
            <w:r w:rsidRPr="00543D10">
              <w:rPr>
                <w:rFonts w:ascii="Arial" w:eastAsia="Times New Roman" w:hAnsi="Arial" w:cs="Arial"/>
                <w:b/>
                <w:bCs/>
                <w:sz w:val="20"/>
                <w:szCs w:val="20"/>
                <w:lang w:eastAsia="en-GB"/>
              </w:rPr>
              <w:t> </w:t>
            </w:r>
          </w:p>
        </w:tc>
        <w:tc>
          <w:tcPr>
            <w:tcW w:w="1417" w:type="dxa"/>
            <w:tcBorders>
              <w:top w:val="single" w:sz="4" w:space="0" w:color="auto"/>
              <w:left w:val="nil"/>
              <w:bottom w:val="single" w:sz="4" w:space="0" w:color="auto"/>
              <w:right w:val="nil"/>
            </w:tcBorders>
            <w:shd w:val="clear" w:color="auto" w:fill="auto"/>
            <w:noWrap/>
            <w:vAlign w:val="center"/>
          </w:tcPr>
          <w:p w14:paraId="043644E5" w14:textId="77777777" w:rsidR="0061265C" w:rsidRPr="00543D10" w:rsidRDefault="0061265C" w:rsidP="0061265C">
            <w:pPr>
              <w:spacing w:after="0" w:line="240" w:lineRule="auto"/>
              <w:jc w:val="right"/>
              <w:rPr>
                <w:rFonts w:ascii="Arial" w:eastAsia="Times New Roman" w:hAnsi="Arial" w:cs="Arial"/>
                <w:b/>
                <w:bCs/>
                <w:sz w:val="20"/>
                <w:szCs w:val="20"/>
                <w:lang w:eastAsia="en-GB"/>
              </w:rPr>
            </w:pPr>
          </w:p>
        </w:tc>
        <w:tc>
          <w:tcPr>
            <w:tcW w:w="1418" w:type="dxa"/>
            <w:tcBorders>
              <w:top w:val="single" w:sz="4" w:space="0" w:color="auto"/>
              <w:left w:val="nil"/>
              <w:bottom w:val="single" w:sz="4" w:space="0" w:color="auto"/>
              <w:right w:val="nil"/>
            </w:tcBorders>
            <w:shd w:val="clear" w:color="auto" w:fill="auto"/>
            <w:noWrap/>
            <w:vAlign w:val="bottom"/>
          </w:tcPr>
          <w:p w14:paraId="30FDB453" w14:textId="77777777" w:rsidR="0061265C" w:rsidRPr="00BB27D0" w:rsidRDefault="00492B26" w:rsidP="00492B26">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20</w:t>
            </w:r>
            <w:r w:rsidR="00EC10DA">
              <w:rPr>
                <w:rFonts w:ascii="Arial" w:eastAsia="Times New Roman" w:hAnsi="Arial" w:cs="Arial"/>
                <w:b/>
                <w:bCs/>
                <w:sz w:val="20"/>
                <w:szCs w:val="20"/>
                <w:lang w:eastAsia="en-GB"/>
              </w:rPr>
              <w:t>,</w:t>
            </w:r>
            <w:r w:rsidR="00F40CBB">
              <w:rPr>
                <w:rFonts w:ascii="Arial" w:eastAsia="Times New Roman" w:hAnsi="Arial" w:cs="Arial"/>
                <w:b/>
                <w:bCs/>
                <w:sz w:val="20"/>
                <w:szCs w:val="20"/>
                <w:lang w:eastAsia="en-GB"/>
              </w:rPr>
              <w:t>01</w:t>
            </w:r>
            <w:r w:rsidR="00BA11DA">
              <w:rPr>
                <w:rFonts w:ascii="Arial" w:eastAsia="Times New Roman" w:hAnsi="Arial" w:cs="Arial"/>
                <w:b/>
                <w:bCs/>
                <w:sz w:val="20"/>
                <w:szCs w:val="20"/>
                <w:lang w:eastAsia="en-GB"/>
              </w:rPr>
              <w:t>0</w:t>
            </w:r>
          </w:p>
        </w:tc>
        <w:tc>
          <w:tcPr>
            <w:tcW w:w="1276" w:type="dxa"/>
            <w:tcBorders>
              <w:top w:val="single" w:sz="4" w:space="0" w:color="auto"/>
              <w:left w:val="nil"/>
              <w:bottom w:val="single" w:sz="4" w:space="0" w:color="auto"/>
              <w:right w:val="nil"/>
            </w:tcBorders>
            <w:shd w:val="clear" w:color="auto" w:fill="auto"/>
            <w:noWrap/>
            <w:vAlign w:val="bottom"/>
            <w:hideMark/>
          </w:tcPr>
          <w:p w14:paraId="0FFB914C" w14:textId="77777777" w:rsidR="0061265C" w:rsidRPr="00543D10" w:rsidRDefault="0061265C" w:rsidP="0061265C">
            <w:pPr>
              <w:spacing w:after="0" w:line="240" w:lineRule="auto"/>
              <w:jc w:val="right"/>
              <w:rPr>
                <w:rFonts w:ascii="Arial" w:eastAsia="Times New Roman" w:hAnsi="Arial" w:cs="Arial"/>
                <w:b/>
                <w:bCs/>
                <w:sz w:val="20"/>
                <w:szCs w:val="20"/>
                <w:lang w:eastAsia="en-GB"/>
              </w:rPr>
            </w:pPr>
          </w:p>
        </w:tc>
        <w:tc>
          <w:tcPr>
            <w:tcW w:w="1417" w:type="dxa"/>
            <w:tcBorders>
              <w:top w:val="single" w:sz="4" w:space="0" w:color="auto"/>
              <w:left w:val="nil"/>
              <w:bottom w:val="single" w:sz="4" w:space="0" w:color="auto"/>
              <w:right w:val="nil"/>
            </w:tcBorders>
            <w:shd w:val="clear" w:color="auto" w:fill="auto"/>
            <w:noWrap/>
            <w:vAlign w:val="bottom"/>
            <w:hideMark/>
          </w:tcPr>
          <w:p w14:paraId="4101CC7A" w14:textId="77777777" w:rsidR="0061265C" w:rsidRPr="0061265C" w:rsidRDefault="0061265C" w:rsidP="0061265C">
            <w:pPr>
              <w:spacing w:after="0" w:line="240" w:lineRule="auto"/>
              <w:jc w:val="right"/>
              <w:rPr>
                <w:rFonts w:ascii="Arial" w:eastAsia="Times New Roman" w:hAnsi="Arial" w:cs="Arial"/>
                <w:bCs/>
                <w:sz w:val="20"/>
                <w:szCs w:val="20"/>
                <w:lang w:eastAsia="en-GB"/>
              </w:rPr>
            </w:pPr>
            <w:r w:rsidRPr="0061265C">
              <w:rPr>
                <w:rFonts w:ascii="Arial" w:eastAsia="Times New Roman" w:hAnsi="Arial" w:cs="Arial"/>
                <w:bCs/>
                <w:sz w:val="20"/>
                <w:szCs w:val="20"/>
                <w:lang w:eastAsia="en-GB"/>
              </w:rPr>
              <w:t>(3,056)</w:t>
            </w:r>
          </w:p>
        </w:tc>
      </w:tr>
      <w:tr w:rsidR="00543D10" w:rsidRPr="00543D10" w14:paraId="0290DC6B" w14:textId="77777777" w:rsidTr="00CD5D43">
        <w:trPr>
          <w:trHeight w:val="530"/>
        </w:trPr>
        <w:tc>
          <w:tcPr>
            <w:tcW w:w="2977" w:type="dxa"/>
            <w:tcBorders>
              <w:top w:val="nil"/>
              <w:left w:val="nil"/>
              <w:bottom w:val="nil"/>
              <w:right w:val="nil"/>
            </w:tcBorders>
            <w:shd w:val="clear" w:color="auto" w:fill="auto"/>
            <w:vAlign w:val="center"/>
            <w:hideMark/>
          </w:tcPr>
          <w:p w14:paraId="273413E7" w14:textId="77777777" w:rsidR="00676596" w:rsidRPr="00543D10" w:rsidRDefault="00676596" w:rsidP="00676596">
            <w:pPr>
              <w:spacing w:after="0" w:line="240" w:lineRule="auto"/>
              <w:rPr>
                <w:rFonts w:ascii="Arial" w:eastAsia="Times New Roman" w:hAnsi="Arial" w:cs="Arial"/>
                <w:b/>
                <w:bCs/>
                <w:sz w:val="20"/>
                <w:szCs w:val="20"/>
                <w:lang w:eastAsia="en-GB"/>
              </w:rPr>
            </w:pPr>
            <w:r w:rsidRPr="00543D10">
              <w:rPr>
                <w:rFonts w:ascii="Arial" w:eastAsia="Times New Roman" w:hAnsi="Arial" w:cs="Arial"/>
                <w:b/>
                <w:bCs/>
                <w:sz w:val="20"/>
                <w:szCs w:val="20"/>
                <w:lang w:eastAsia="en-GB"/>
              </w:rPr>
              <w:t>Cash flow from financing activities</w:t>
            </w:r>
          </w:p>
        </w:tc>
        <w:tc>
          <w:tcPr>
            <w:tcW w:w="709" w:type="dxa"/>
            <w:tcBorders>
              <w:top w:val="nil"/>
              <w:left w:val="nil"/>
              <w:bottom w:val="nil"/>
              <w:right w:val="nil"/>
            </w:tcBorders>
            <w:shd w:val="clear" w:color="auto" w:fill="auto"/>
            <w:noWrap/>
            <w:vAlign w:val="center"/>
            <w:hideMark/>
          </w:tcPr>
          <w:p w14:paraId="13EC56D1" w14:textId="77777777" w:rsidR="00676596" w:rsidRPr="00543D10" w:rsidRDefault="00676596" w:rsidP="00676596">
            <w:pPr>
              <w:spacing w:after="0" w:line="240" w:lineRule="auto"/>
              <w:rPr>
                <w:rFonts w:ascii="Arial" w:eastAsia="Times New Roman" w:hAnsi="Arial" w:cs="Arial"/>
                <w:b/>
                <w:bCs/>
                <w:sz w:val="20"/>
                <w:szCs w:val="20"/>
                <w:lang w:eastAsia="en-GB"/>
              </w:rPr>
            </w:pPr>
          </w:p>
        </w:tc>
        <w:tc>
          <w:tcPr>
            <w:tcW w:w="1417" w:type="dxa"/>
            <w:tcBorders>
              <w:top w:val="nil"/>
              <w:left w:val="nil"/>
              <w:bottom w:val="nil"/>
              <w:right w:val="nil"/>
            </w:tcBorders>
            <w:shd w:val="clear" w:color="auto" w:fill="auto"/>
            <w:noWrap/>
            <w:vAlign w:val="center"/>
          </w:tcPr>
          <w:p w14:paraId="6CCB57DB" w14:textId="77777777" w:rsidR="00676596" w:rsidRPr="00543D10" w:rsidRDefault="00676596" w:rsidP="005B39D0">
            <w:pPr>
              <w:spacing w:after="0" w:line="240" w:lineRule="auto"/>
              <w:jc w:val="right"/>
              <w:rPr>
                <w:rFonts w:ascii="Times New Roman" w:eastAsia="Times New Roman" w:hAnsi="Times New Roman" w:cs="Times New Roman"/>
                <w:sz w:val="20"/>
                <w:szCs w:val="20"/>
                <w:lang w:eastAsia="en-GB"/>
              </w:rPr>
            </w:pPr>
          </w:p>
        </w:tc>
        <w:tc>
          <w:tcPr>
            <w:tcW w:w="1418" w:type="dxa"/>
            <w:tcBorders>
              <w:top w:val="nil"/>
              <w:left w:val="nil"/>
              <w:bottom w:val="nil"/>
              <w:right w:val="nil"/>
            </w:tcBorders>
            <w:shd w:val="clear" w:color="auto" w:fill="auto"/>
            <w:noWrap/>
            <w:vAlign w:val="bottom"/>
          </w:tcPr>
          <w:p w14:paraId="4FF654C9" w14:textId="77777777" w:rsidR="00676596" w:rsidRPr="00BB27D0" w:rsidRDefault="00676596" w:rsidP="005B39D0">
            <w:pPr>
              <w:spacing w:after="0" w:line="240" w:lineRule="auto"/>
              <w:jc w:val="right"/>
              <w:rPr>
                <w:rFonts w:ascii="Times New Roman" w:eastAsia="Times New Roman" w:hAnsi="Times New Roman" w:cs="Times New Roman"/>
                <w:sz w:val="20"/>
                <w:szCs w:val="20"/>
                <w:lang w:eastAsia="en-GB"/>
              </w:rPr>
            </w:pPr>
          </w:p>
        </w:tc>
        <w:tc>
          <w:tcPr>
            <w:tcW w:w="1276" w:type="dxa"/>
            <w:tcBorders>
              <w:top w:val="nil"/>
              <w:left w:val="nil"/>
              <w:bottom w:val="nil"/>
              <w:right w:val="nil"/>
            </w:tcBorders>
            <w:shd w:val="clear" w:color="auto" w:fill="auto"/>
            <w:noWrap/>
            <w:vAlign w:val="bottom"/>
            <w:hideMark/>
          </w:tcPr>
          <w:p w14:paraId="381F6FF9" w14:textId="77777777" w:rsidR="00676596" w:rsidRPr="00543D10" w:rsidRDefault="00676596" w:rsidP="005B39D0">
            <w:pPr>
              <w:spacing w:after="0" w:line="240" w:lineRule="auto"/>
              <w:jc w:val="right"/>
              <w:rPr>
                <w:rFonts w:ascii="Times New Roman" w:eastAsia="Times New Roman" w:hAnsi="Times New Roman" w:cs="Times New Roman"/>
                <w:sz w:val="20"/>
                <w:szCs w:val="20"/>
                <w:lang w:eastAsia="en-GB"/>
              </w:rPr>
            </w:pPr>
          </w:p>
        </w:tc>
        <w:tc>
          <w:tcPr>
            <w:tcW w:w="1417" w:type="dxa"/>
            <w:tcBorders>
              <w:top w:val="nil"/>
              <w:left w:val="nil"/>
              <w:bottom w:val="nil"/>
              <w:right w:val="nil"/>
            </w:tcBorders>
            <w:shd w:val="clear" w:color="auto" w:fill="auto"/>
            <w:noWrap/>
            <w:vAlign w:val="bottom"/>
            <w:hideMark/>
          </w:tcPr>
          <w:p w14:paraId="29176BD7" w14:textId="77777777" w:rsidR="00676596" w:rsidRPr="00543D10" w:rsidRDefault="00676596" w:rsidP="005B39D0">
            <w:pPr>
              <w:spacing w:after="0" w:line="240" w:lineRule="auto"/>
              <w:jc w:val="right"/>
              <w:rPr>
                <w:rFonts w:ascii="Times New Roman" w:eastAsia="Times New Roman" w:hAnsi="Times New Roman" w:cs="Times New Roman"/>
                <w:sz w:val="20"/>
                <w:szCs w:val="20"/>
                <w:lang w:eastAsia="en-GB"/>
              </w:rPr>
            </w:pPr>
          </w:p>
        </w:tc>
      </w:tr>
      <w:tr w:rsidR="00543D10" w:rsidRPr="00543D10" w14:paraId="4F39179C" w14:textId="77777777" w:rsidTr="00CD5D43">
        <w:trPr>
          <w:trHeight w:val="265"/>
        </w:trPr>
        <w:tc>
          <w:tcPr>
            <w:tcW w:w="2977" w:type="dxa"/>
            <w:tcBorders>
              <w:top w:val="nil"/>
              <w:left w:val="nil"/>
              <w:bottom w:val="nil"/>
              <w:right w:val="nil"/>
            </w:tcBorders>
            <w:shd w:val="clear" w:color="auto" w:fill="auto"/>
            <w:vAlign w:val="center"/>
            <w:hideMark/>
          </w:tcPr>
          <w:p w14:paraId="0A64A906" w14:textId="77777777" w:rsidR="00676596" w:rsidRPr="00543D10" w:rsidRDefault="00676596" w:rsidP="00676596">
            <w:pPr>
              <w:spacing w:after="0" w:line="240" w:lineRule="auto"/>
              <w:rPr>
                <w:rFonts w:ascii="Arial" w:eastAsia="Times New Roman" w:hAnsi="Arial" w:cs="Arial"/>
                <w:sz w:val="20"/>
                <w:szCs w:val="20"/>
                <w:lang w:eastAsia="en-GB"/>
              </w:rPr>
            </w:pPr>
            <w:r w:rsidRPr="00543D10">
              <w:rPr>
                <w:rFonts w:ascii="Arial" w:eastAsia="Times New Roman" w:hAnsi="Arial" w:cs="Arial"/>
                <w:sz w:val="20"/>
                <w:szCs w:val="20"/>
                <w:lang w:eastAsia="en-GB"/>
              </w:rPr>
              <w:t>Interest and charges paid</w:t>
            </w:r>
          </w:p>
        </w:tc>
        <w:tc>
          <w:tcPr>
            <w:tcW w:w="709" w:type="dxa"/>
            <w:tcBorders>
              <w:top w:val="nil"/>
              <w:left w:val="nil"/>
              <w:bottom w:val="nil"/>
              <w:right w:val="nil"/>
            </w:tcBorders>
            <w:shd w:val="clear" w:color="auto" w:fill="auto"/>
            <w:noWrap/>
            <w:vAlign w:val="center"/>
            <w:hideMark/>
          </w:tcPr>
          <w:p w14:paraId="52B50ED7" w14:textId="77777777" w:rsidR="00676596" w:rsidRPr="00543D10" w:rsidRDefault="00676596" w:rsidP="00676596">
            <w:pPr>
              <w:spacing w:after="0" w:line="240" w:lineRule="auto"/>
              <w:rPr>
                <w:rFonts w:ascii="Arial" w:eastAsia="Times New Roman" w:hAnsi="Arial" w:cs="Arial"/>
                <w:sz w:val="20"/>
                <w:szCs w:val="20"/>
                <w:lang w:eastAsia="en-GB"/>
              </w:rPr>
            </w:pPr>
          </w:p>
        </w:tc>
        <w:tc>
          <w:tcPr>
            <w:tcW w:w="1417" w:type="dxa"/>
            <w:tcBorders>
              <w:top w:val="nil"/>
              <w:left w:val="nil"/>
              <w:bottom w:val="nil"/>
              <w:right w:val="nil"/>
            </w:tcBorders>
            <w:shd w:val="clear" w:color="auto" w:fill="auto"/>
            <w:noWrap/>
            <w:vAlign w:val="center"/>
          </w:tcPr>
          <w:p w14:paraId="07073FC4" w14:textId="77777777" w:rsidR="00676596" w:rsidRPr="00543D10" w:rsidRDefault="00BB27D0" w:rsidP="005B39D0">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(1,119</w:t>
            </w:r>
            <w:r w:rsidR="00754275">
              <w:rPr>
                <w:rFonts w:ascii="Arial" w:eastAsia="Times New Roman" w:hAnsi="Arial" w:cs="Arial"/>
                <w:b/>
                <w:bCs/>
                <w:sz w:val="20"/>
                <w:szCs w:val="20"/>
                <w:lang w:eastAsia="en-GB"/>
              </w:rPr>
              <w:t>)</w:t>
            </w:r>
          </w:p>
        </w:tc>
        <w:tc>
          <w:tcPr>
            <w:tcW w:w="1418" w:type="dxa"/>
            <w:tcBorders>
              <w:top w:val="nil"/>
              <w:left w:val="nil"/>
              <w:bottom w:val="nil"/>
              <w:right w:val="nil"/>
            </w:tcBorders>
            <w:shd w:val="clear" w:color="auto" w:fill="auto"/>
            <w:noWrap/>
            <w:vAlign w:val="center"/>
          </w:tcPr>
          <w:p w14:paraId="3C25FB73" w14:textId="77777777" w:rsidR="00676596" w:rsidRPr="00BB27D0" w:rsidRDefault="00676596" w:rsidP="005B39D0">
            <w:pPr>
              <w:spacing w:after="0" w:line="240" w:lineRule="auto"/>
              <w:jc w:val="right"/>
              <w:rPr>
                <w:rFonts w:ascii="Arial" w:eastAsia="Times New Roman" w:hAnsi="Arial" w:cs="Arial"/>
                <w:b/>
                <w:bCs/>
                <w:sz w:val="20"/>
                <w:szCs w:val="20"/>
                <w:lang w:eastAsia="en-GB"/>
              </w:rPr>
            </w:pPr>
          </w:p>
        </w:tc>
        <w:tc>
          <w:tcPr>
            <w:tcW w:w="1276" w:type="dxa"/>
            <w:tcBorders>
              <w:top w:val="nil"/>
              <w:left w:val="nil"/>
              <w:bottom w:val="nil"/>
              <w:right w:val="nil"/>
            </w:tcBorders>
            <w:shd w:val="clear" w:color="auto" w:fill="auto"/>
            <w:noWrap/>
            <w:vAlign w:val="center"/>
            <w:hideMark/>
          </w:tcPr>
          <w:p w14:paraId="182C3BED" w14:textId="77777777" w:rsidR="00676596" w:rsidRPr="0061265C" w:rsidRDefault="0061265C" w:rsidP="005B39D0">
            <w:pPr>
              <w:spacing w:after="0" w:line="240" w:lineRule="auto"/>
              <w:jc w:val="right"/>
              <w:rPr>
                <w:rFonts w:ascii="Arial" w:eastAsia="Times New Roman" w:hAnsi="Arial" w:cs="Arial"/>
                <w:sz w:val="20"/>
                <w:szCs w:val="20"/>
                <w:lang w:eastAsia="en-GB"/>
              </w:rPr>
            </w:pPr>
            <w:r w:rsidRPr="0061265C">
              <w:rPr>
                <w:rFonts w:ascii="Arial" w:eastAsia="Times New Roman" w:hAnsi="Arial" w:cs="Arial"/>
                <w:bCs/>
                <w:sz w:val="20"/>
                <w:szCs w:val="20"/>
                <w:lang w:eastAsia="en-GB"/>
              </w:rPr>
              <w:t>(1,481)</w:t>
            </w:r>
          </w:p>
        </w:tc>
        <w:tc>
          <w:tcPr>
            <w:tcW w:w="1417" w:type="dxa"/>
            <w:tcBorders>
              <w:top w:val="nil"/>
              <w:left w:val="nil"/>
              <w:bottom w:val="nil"/>
              <w:right w:val="nil"/>
            </w:tcBorders>
            <w:shd w:val="clear" w:color="auto" w:fill="auto"/>
            <w:noWrap/>
            <w:vAlign w:val="center"/>
            <w:hideMark/>
          </w:tcPr>
          <w:p w14:paraId="7403C212" w14:textId="77777777" w:rsidR="00676596" w:rsidRPr="0061265C" w:rsidRDefault="00676596" w:rsidP="005B39D0">
            <w:pPr>
              <w:spacing w:after="0" w:line="240" w:lineRule="auto"/>
              <w:jc w:val="right"/>
              <w:rPr>
                <w:rFonts w:ascii="Arial" w:eastAsia="Times New Roman" w:hAnsi="Arial" w:cs="Arial"/>
                <w:sz w:val="20"/>
                <w:szCs w:val="20"/>
                <w:lang w:eastAsia="en-GB"/>
              </w:rPr>
            </w:pPr>
          </w:p>
        </w:tc>
      </w:tr>
      <w:tr w:rsidR="00492B26" w:rsidRPr="00543D10" w14:paraId="173FBED5" w14:textId="77777777" w:rsidTr="00CD5D43">
        <w:trPr>
          <w:trHeight w:val="265"/>
        </w:trPr>
        <w:tc>
          <w:tcPr>
            <w:tcW w:w="2977" w:type="dxa"/>
            <w:tcBorders>
              <w:top w:val="nil"/>
              <w:left w:val="nil"/>
              <w:bottom w:val="nil"/>
              <w:right w:val="nil"/>
            </w:tcBorders>
            <w:shd w:val="clear" w:color="auto" w:fill="auto"/>
            <w:vAlign w:val="center"/>
          </w:tcPr>
          <w:p w14:paraId="5C4BAB3D" w14:textId="77777777" w:rsidR="00492B26" w:rsidRPr="00543D10" w:rsidRDefault="00492B26" w:rsidP="00676596">
            <w:pPr>
              <w:spacing w:after="0" w:line="240" w:lineRule="auto"/>
              <w:rPr>
                <w:rFonts w:ascii="Arial" w:eastAsia="Times New Roman" w:hAnsi="Arial" w:cs="Arial"/>
                <w:sz w:val="20"/>
                <w:szCs w:val="20"/>
                <w:lang w:eastAsia="en-GB"/>
              </w:rPr>
            </w:pPr>
            <w:r w:rsidRPr="00492B26">
              <w:rPr>
                <w:rFonts w:ascii="Arial" w:eastAsia="Times New Roman" w:hAnsi="Arial" w:cs="Arial"/>
                <w:sz w:val="20"/>
                <w:szCs w:val="20"/>
                <w:lang w:eastAsia="en-GB"/>
              </w:rPr>
              <w:t>Repayment of loans</w:t>
            </w:r>
          </w:p>
        </w:tc>
        <w:tc>
          <w:tcPr>
            <w:tcW w:w="709" w:type="dxa"/>
            <w:tcBorders>
              <w:top w:val="nil"/>
              <w:left w:val="nil"/>
              <w:bottom w:val="nil"/>
              <w:right w:val="nil"/>
            </w:tcBorders>
            <w:shd w:val="clear" w:color="auto" w:fill="auto"/>
            <w:noWrap/>
            <w:vAlign w:val="center"/>
          </w:tcPr>
          <w:p w14:paraId="5DF52EC1" w14:textId="77777777" w:rsidR="00492B26" w:rsidRPr="00543D10" w:rsidRDefault="00492B26" w:rsidP="00676596">
            <w:pPr>
              <w:spacing w:after="0" w:line="240" w:lineRule="auto"/>
              <w:rPr>
                <w:rFonts w:ascii="Arial" w:eastAsia="Times New Roman" w:hAnsi="Arial" w:cs="Arial"/>
                <w:sz w:val="20"/>
                <w:szCs w:val="20"/>
                <w:lang w:eastAsia="en-GB"/>
              </w:rPr>
            </w:pPr>
          </w:p>
        </w:tc>
        <w:tc>
          <w:tcPr>
            <w:tcW w:w="1417" w:type="dxa"/>
            <w:tcBorders>
              <w:top w:val="nil"/>
              <w:left w:val="nil"/>
              <w:bottom w:val="nil"/>
              <w:right w:val="nil"/>
            </w:tcBorders>
            <w:shd w:val="clear" w:color="auto" w:fill="auto"/>
            <w:noWrap/>
            <w:vAlign w:val="center"/>
          </w:tcPr>
          <w:p w14:paraId="220F9C06" w14:textId="77777777" w:rsidR="00492B26" w:rsidRDefault="00492B26" w:rsidP="00492B26">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(2,336)</w:t>
            </w:r>
          </w:p>
        </w:tc>
        <w:tc>
          <w:tcPr>
            <w:tcW w:w="1418" w:type="dxa"/>
            <w:tcBorders>
              <w:top w:val="nil"/>
              <w:left w:val="nil"/>
              <w:bottom w:val="nil"/>
              <w:right w:val="nil"/>
            </w:tcBorders>
            <w:shd w:val="clear" w:color="auto" w:fill="auto"/>
            <w:noWrap/>
            <w:vAlign w:val="center"/>
          </w:tcPr>
          <w:p w14:paraId="4BE159F6" w14:textId="77777777" w:rsidR="00492B26" w:rsidRPr="00BB27D0" w:rsidRDefault="00492B26" w:rsidP="005B39D0">
            <w:pPr>
              <w:spacing w:after="0" w:line="240" w:lineRule="auto"/>
              <w:jc w:val="right"/>
              <w:rPr>
                <w:rFonts w:ascii="Arial" w:eastAsia="Times New Roman" w:hAnsi="Arial" w:cs="Arial"/>
                <w:b/>
                <w:bCs/>
                <w:sz w:val="20"/>
                <w:szCs w:val="20"/>
                <w:lang w:eastAsia="en-GB"/>
              </w:rPr>
            </w:pPr>
          </w:p>
        </w:tc>
        <w:tc>
          <w:tcPr>
            <w:tcW w:w="1276" w:type="dxa"/>
            <w:tcBorders>
              <w:top w:val="nil"/>
              <w:left w:val="nil"/>
              <w:bottom w:val="nil"/>
              <w:right w:val="nil"/>
            </w:tcBorders>
            <w:shd w:val="clear" w:color="auto" w:fill="auto"/>
            <w:noWrap/>
            <w:vAlign w:val="center"/>
          </w:tcPr>
          <w:p w14:paraId="1F450CA8" w14:textId="77777777" w:rsidR="00492B26" w:rsidRPr="0061265C" w:rsidRDefault="005C7E52" w:rsidP="005C7E52">
            <w:pPr>
              <w:spacing w:after="0" w:line="240" w:lineRule="auto"/>
              <w:jc w:val="right"/>
              <w:rPr>
                <w:rFonts w:ascii="Arial" w:eastAsia="Times New Roman" w:hAnsi="Arial" w:cs="Arial"/>
                <w:bCs/>
                <w:sz w:val="20"/>
                <w:szCs w:val="20"/>
                <w:lang w:eastAsia="en-GB"/>
              </w:rPr>
            </w:pPr>
            <w:r w:rsidRPr="00543D10">
              <w:rPr>
                <w:rFonts w:ascii="Arial" w:eastAsia="Times New Roman" w:hAnsi="Arial" w:cs="Arial"/>
                <w:sz w:val="20"/>
                <w:szCs w:val="20"/>
                <w:lang w:eastAsia="en-GB"/>
              </w:rPr>
              <w:t>-</w:t>
            </w:r>
            <w:r>
              <w:rPr>
                <w:rFonts w:ascii="Arial" w:eastAsia="Times New Roman" w:hAnsi="Arial" w:cs="Arial"/>
                <w:bCs/>
                <w:sz w:val="20"/>
                <w:szCs w:val="20"/>
                <w:lang w:eastAsia="en-GB"/>
              </w:rPr>
              <w:t xml:space="preserve"> </w:t>
            </w:r>
          </w:p>
        </w:tc>
        <w:tc>
          <w:tcPr>
            <w:tcW w:w="1417" w:type="dxa"/>
            <w:tcBorders>
              <w:top w:val="nil"/>
              <w:left w:val="nil"/>
              <w:bottom w:val="nil"/>
              <w:right w:val="nil"/>
            </w:tcBorders>
            <w:shd w:val="clear" w:color="auto" w:fill="auto"/>
            <w:noWrap/>
            <w:vAlign w:val="center"/>
          </w:tcPr>
          <w:p w14:paraId="37035E27" w14:textId="77777777" w:rsidR="00492B26" w:rsidRPr="0061265C" w:rsidRDefault="00492B26" w:rsidP="005B39D0">
            <w:pPr>
              <w:spacing w:after="0" w:line="240" w:lineRule="auto"/>
              <w:jc w:val="right"/>
              <w:rPr>
                <w:rFonts w:ascii="Arial" w:eastAsia="Times New Roman" w:hAnsi="Arial" w:cs="Arial"/>
                <w:sz w:val="20"/>
                <w:szCs w:val="20"/>
                <w:lang w:eastAsia="en-GB"/>
              </w:rPr>
            </w:pPr>
          </w:p>
        </w:tc>
      </w:tr>
      <w:tr w:rsidR="00543D10" w:rsidRPr="00543D10" w14:paraId="3288F74D" w14:textId="77777777" w:rsidTr="00CD5D43">
        <w:trPr>
          <w:trHeight w:val="530"/>
        </w:trPr>
        <w:tc>
          <w:tcPr>
            <w:tcW w:w="2977" w:type="dxa"/>
            <w:tcBorders>
              <w:top w:val="single" w:sz="4" w:space="0" w:color="auto"/>
              <w:left w:val="nil"/>
              <w:bottom w:val="single" w:sz="4" w:space="0" w:color="auto"/>
              <w:right w:val="nil"/>
            </w:tcBorders>
            <w:shd w:val="clear" w:color="auto" w:fill="auto"/>
            <w:vAlign w:val="center"/>
            <w:hideMark/>
          </w:tcPr>
          <w:p w14:paraId="0388C1DB" w14:textId="77777777" w:rsidR="00676596" w:rsidRPr="00543D10" w:rsidRDefault="00676596" w:rsidP="00676596">
            <w:pPr>
              <w:spacing w:after="0" w:line="240" w:lineRule="auto"/>
              <w:rPr>
                <w:rFonts w:ascii="Arial" w:eastAsia="Times New Roman" w:hAnsi="Arial" w:cs="Arial"/>
                <w:b/>
                <w:bCs/>
                <w:sz w:val="20"/>
                <w:szCs w:val="20"/>
                <w:lang w:eastAsia="en-GB"/>
              </w:rPr>
            </w:pPr>
            <w:r w:rsidRPr="00543D10">
              <w:rPr>
                <w:rFonts w:ascii="Arial" w:eastAsia="Times New Roman" w:hAnsi="Arial" w:cs="Arial"/>
                <w:b/>
                <w:bCs/>
                <w:sz w:val="20"/>
                <w:szCs w:val="20"/>
                <w:lang w:eastAsia="en-GB"/>
              </w:rPr>
              <w:t>Net cash used in financing activities</w:t>
            </w:r>
          </w:p>
        </w:tc>
        <w:tc>
          <w:tcPr>
            <w:tcW w:w="709" w:type="dxa"/>
            <w:tcBorders>
              <w:top w:val="single" w:sz="4" w:space="0" w:color="auto"/>
              <w:left w:val="nil"/>
              <w:bottom w:val="single" w:sz="4" w:space="0" w:color="auto"/>
              <w:right w:val="nil"/>
            </w:tcBorders>
            <w:shd w:val="clear" w:color="auto" w:fill="auto"/>
            <w:noWrap/>
            <w:vAlign w:val="center"/>
            <w:hideMark/>
          </w:tcPr>
          <w:p w14:paraId="3081A52F" w14:textId="77777777" w:rsidR="00676596" w:rsidRPr="00543D10" w:rsidRDefault="00676596" w:rsidP="00676596">
            <w:pPr>
              <w:spacing w:after="0" w:line="240" w:lineRule="auto"/>
              <w:rPr>
                <w:rFonts w:ascii="Arial" w:eastAsia="Times New Roman" w:hAnsi="Arial" w:cs="Arial"/>
                <w:sz w:val="20"/>
                <w:szCs w:val="20"/>
                <w:lang w:eastAsia="en-GB"/>
              </w:rPr>
            </w:pPr>
            <w:r w:rsidRPr="00543D10">
              <w:rPr>
                <w:rFonts w:ascii="Arial" w:eastAsia="Times New Roman" w:hAnsi="Arial" w:cs="Arial"/>
                <w:sz w:val="20"/>
                <w:szCs w:val="20"/>
                <w:lang w:eastAsia="en-GB"/>
              </w:rPr>
              <w:t> </w:t>
            </w:r>
          </w:p>
        </w:tc>
        <w:tc>
          <w:tcPr>
            <w:tcW w:w="1417" w:type="dxa"/>
            <w:tcBorders>
              <w:top w:val="single" w:sz="4" w:space="0" w:color="auto"/>
              <w:left w:val="nil"/>
              <w:bottom w:val="single" w:sz="4" w:space="0" w:color="auto"/>
              <w:right w:val="nil"/>
            </w:tcBorders>
            <w:shd w:val="clear" w:color="auto" w:fill="auto"/>
            <w:noWrap/>
            <w:vAlign w:val="center"/>
          </w:tcPr>
          <w:p w14:paraId="78AABF82" w14:textId="77777777" w:rsidR="00676596" w:rsidRPr="00543D10" w:rsidRDefault="00676596" w:rsidP="005B39D0">
            <w:pPr>
              <w:spacing w:after="0" w:line="240" w:lineRule="auto"/>
              <w:jc w:val="right"/>
              <w:rPr>
                <w:rFonts w:ascii="Arial" w:eastAsia="Times New Roman" w:hAnsi="Arial" w:cs="Arial"/>
                <w:b/>
                <w:bCs/>
                <w:sz w:val="20"/>
                <w:szCs w:val="20"/>
                <w:lang w:eastAsia="en-GB"/>
              </w:rPr>
            </w:pPr>
          </w:p>
        </w:tc>
        <w:tc>
          <w:tcPr>
            <w:tcW w:w="1418" w:type="dxa"/>
            <w:tcBorders>
              <w:top w:val="single" w:sz="4" w:space="0" w:color="auto"/>
              <w:left w:val="nil"/>
              <w:bottom w:val="single" w:sz="4" w:space="0" w:color="auto"/>
              <w:right w:val="nil"/>
            </w:tcBorders>
            <w:shd w:val="clear" w:color="auto" w:fill="auto"/>
            <w:noWrap/>
            <w:vAlign w:val="center"/>
          </w:tcPr>
          <w:p w14:paraId="4981CA59" w14:textId="77777777" w:rsidR="00676596" w:rsidRPr="00BB27D0" w:rsidRDefault="00BB27D0" w:rsidP="00492B26">
            <w:pPr>
              <w:spacing w:after="0" w:line="240" w:lineRule="auto"/>
              <w:jc w:val="right"/>
              <w:rPr>
                <w:rFonts w:ascii="Arial" w:eastAsia="Times New Roman" w:hAnsi="Arial" w:cs="Arial"/>
                <w:b/>
                <w:sz w:val="20"/>
                <w:szCs w:val="20"/>
                <w:lang w:eastAsia="en-GB"/>
              </w:rPr>
            </w:pPr>
            <w:r>
              <w:rPr>
                <w:rFonts w:ascii="Arial" w:eastAsia="Times New Roman" w:hAnsi="Arial" w:cs="Arial"/>
                <w:b/>
                <w:sz w:val="20"/>
                <w:szCs w:val="20"/>
                <w:lang w:eastAsia="en-GB"/>
              </w:rPr>
              <w:t>(</w:t>
            </w:r>
            <w:r w:rsidR="00492B26">
              <w:rPr>
                <w:rFonts w:ascii="Arial" w:eastAsia="Times New Roman" w:hAnsi="Arial" w:cs="Arial"/>
                <w:b/>
                <w:sz w:val="20"/>
                <w:szCs w:val="20"/>
                <w:lang w:eastAsia="en-GB"/>
              </w:rPr>
              <w:t>3</w:t>
            </w:r>
            <w:r w:rsidR="005B1CE3">
              <w:rPr>
                <w:rFonts w:ascii="Arial" w:eastAsia="Times New Roman" w:hAnsi="Arial" w:cs="Arial"/>
                <w:b/>
                <w:sz w:val="20"/>
                <w:szCs w:val="20"/>
                <w:lang w:eastAsia="en-GB"/>
              </w:rPr>
              <w:t>,</w:t>
            </w:r>
            <w:r w:rsidR="00997050">
              <w:rPr>
                <w:rFonts w:ascii="Arial" w:eastAsia="Times New Roman" w:hAnsi="Arial" w:cs="Arial"/>
                <w:b/>
                <w:sz w:val="20"/>
                <w:szCs w:val="20"/>
                <w:lang w:eastAsia="en-GB"/>
              </w:rPr>
              <w:t>45</w:t>
            </w:r>
            <w:r w:rsidR="00492B26">
              <w:rPr>
                <w:rFonts w:ascii="Arial" w:eastAsia="Times New Roman" w:hAnsi="Arial" w:cs="Arial"/>
                <w:b/>
                <w:sz w:val="20"/>
                <w:szCs w:val="20"/>
                <w:lang w:eastAsia="en-GB"/>
              </w:rPr>
              <w:t>5</w:t>
            </w:r>
            <w:r w:rsidR="00754275" w:rsidRPr="00BB27D0">
              <w:rPr>
                <w:rFonts w:ascii="Arial" w:eastAsia="Times New Roman" w:hAnsi="Arial" w:cs="Arial"/>
                <w:b/>
                <w:sz w:val="20"/>
                <w:szCs w:val="20"/>
                <w:lang w:eastAsia="en-GB"/>
              </w:rPr>
              <w:t>)</w:t>
            </w:r>
          </w:p>
        </w:tc>
        <w:tc>
          <w:tcPr>
            <w:tcW w:w="1276" w:type="dxa"/>
            <w:tcBorders>
              <w:top w:val="single" w:sz="4" w:space="0" w:color="auto"/>
              <w:left w:val="nil"/>
              <w:bottom w:val="single" w:sz="4" w:space="0" w:color="auto"/>
              <w:right w:val="nil"/>
            </w:tcBorders>
            <w:shd w:val="clear" w:color="auto" w:fill="auto"/>
            <w:noWrap/>
            <w:vAlign w:val="center"/>
            <w:hideMark/>
          </w:tcPr>
          <w:p w14:paraId="133C965F" w14:textId="77777777" w:rsidR="00676596" w:rsidRPr="0061265C" w:rsidRDefault="00676596" w:rsidP="005B39D0">
            <w:pPr>
              <w:spacing w:after="0" w:line="240" w:lineRule="auto"/>
              <w:jc w:val="right"/>
              <w:rPr>
                <w:rFonts w:ascii="Arial" w:eastAsia="Times New Roman" w:hAnsi="Arial" w:cs="Arial"/>
                <w:sz w:val="20"/>
                <w:szCs w:val="20"/>
                <w:lang w:eastAsia="en-GB"/>
              </w:rPr>
            </w:pPr>
          </w:p>
        </w:tc>
        <w:tc>
          <w:tcPr>
            <w:tcW w:w="1417" w:type="dxa"/>
            <w:tcBorders>
              <w:top w:val="single" w:sz="4" w:space="0" w:color="auto"/>
              <w:left w:val="nil"/>
              <w:bottom w:val="single" w:sz="4" w:space="0" w:color="auto"/>
              <w:right w:val="nil"/>
            </w:tcBorders>
            <w:shd w:val="clear" w:color="auto" w:fill="auto"/>
            <w:noWrap/>
            <w:vAlign w:val="center"/>
            <w:hideMark/>
          </w:tcPr>
          <w:p w14:paraId="16616C6B" w14:textId="77777777" w:rsidR="00676596" w:rsidRPr="0061265C" w:rsidRDefault="0061265C" w:rsidP="005B39D0">
            <w:pPr>
              <w:spacing w:after="0" w:line="240" w:lineRule="auto"/>
              <w:jc w:val="right"/>
              <w:rPr>
                <w:rFonts w:ascii="Arial" w:eastAsia="Times New Roman" w:hAnsi="Arial" w:cs="Arial"/>
                <w:sz w:val="20"/>
                <w:szCs w:val="20"/>
                <w:lang w:eastAsia="en-GB"/>
              </w:rPr>
            </w:pPr>
            <w:r w:rsidRPr="0061265C">
              <w:rPr>
                <w:rFonts w:ascii="Arial" w:eastAsia="Times New Roman" w:hAnsi="Arial" w:cs="Arial"/>
                <w:bCs/>
                <w:sz w:val="20"/>
                <w:szCs w:val="20"/>
                <w:lang w:eastAsia="en-GB"/>
              </w:rPr>
              <w:t>(1,481)</w:t>
            </w:r>
          </w:p>
        </w:tc>
      </w:tr>
      <w:tr w:rsidR="0061265C" w:rsidRPr="00543D10" w14:paraId="16748EC9" w14:textId="77777777" w:rsidTr="00CD5D43">
        <w:trPr>
          <w:trHeight w:val="530"/>
        </w:trPr>
        <w:tc>
          <w:tcPr>
            <w:tcW w:w="2977" w:type="dxa"/>
            <w:tcBorders>
              <w:top w:val="nil"/>
              <w:left w:val="nil"/>
              <w:bottom w:val="single" w:sz="4" w:space="0" w:color="auto"/>
              <w:right w:val="nil"/>
            </w:tcBorders>
            <w:shd w:val="clear" w:color="auto" w:fill="auto"/>
            <w:vAlign w:val="center"/>
            <w:hideMark/>
          </w:tcPr>
          <w:p w14:paraId="4B8401D0" w14:textId="77777777" w:rsidR="0061265C" w:rsidRPr="00543D10" w:rsidRDefault="0061265C" w:rsidP="0000682B">
            <w:pPr>
              <w:spacing w:after="0" w:line="240" w:lineRule="auto"/>
              <w:rPr>
                <w:rFonts w:ascii="Arial" w:eastAsia="Times New Roman" w:hAnsi="Arial" w:cs="Arial"/>
                <w:b/>
                <w:bCs/>
                <w:sz w:val="20"/>
                <w:szCs w:val="20"/>
                <w:lang w:eastAsia="en-GB"/>
              </w:rPr>
            </w:pPr>
            <w:r w:rsidRPr="00543D10">
              <w:rPr>
                <w:rFonts w:ascii="Arial" w:eastAsia="Times New Roman" w:hAnsi="Arial" w:cs="Arial"/>
                <w:b/>
                <w:bCs/>
                <w:sz w:val="20"/>
                <w:szCs w:val="20"/>
                <w:lang w:eastAsia="en-GB"/>
              </w:rPr>
              <w:t xml:space="preserve">Net </w:t>
            </w:r>
            <w:r w:rsidR="0000682B">
              <w:rPr>
                <w:rFonts w:ascii="Arial" w:eastAsia="Times New Roman" w:hAnsi="Arial" w:cs="Arial"/>
                <w:b/>
                <w:bCs/>
                <w:sz w:val="20"/>
                <w:szCs w:val="20"/>
                <w:lang w:eastAsia="en-GB"/>
              </w:rPr>
              <w:t>increase / (d</w:t>
            </w:r>
            <w:r w:rsidRPr="00543D10">
              <w:rPr>
                <w:rFonts w:ascii="Arial" w:eastAsia="Times New Roman" w:hAnsi="Arial" w:cs="Arial"/>
                <w:b/>
                <w:bCs/>
                <w:sz w:val="20"/>
                <w:szCs w:val="20"/>
                <w:lang w:eastAsia="en-GB"/>
              </w:rPr>
              <w:t>ecrease</w:t>
            </w:r>
            <w:r w:rsidR="0000682B">
              <w:rPr>
                <w:rFonts w:ascii="Arial" w:eastAsia="Times New Roman" w:hAnsi="Arial" w:cs="Arial"/>
                <w:b/>
                <w:bCs/>
                <w:sz w:val="20"/>
                <w:szCs w:val="20"/>
                <w:lang w:eastAsia="en-GB"/>
              </w:rPr>
              <w:t>)</w:t>
            </w:r>
            <w:r w:rsidRPr="00543D10">
              <w:rPr>
                <w:rFonts w:ascii="Arial" w:eastAsia="Times New Roman" w:hAnsi="Arial" w:cs="Arial"/>
                <w:b/>
                <w:bCs/>
                <w:sz w:val="20"/>
                <w:szCs w:val="20"/>
                <w:lang w:eastAsia="en-GB"/>
              </w:rPr>
              <w:t xml:space="preserve"> in cash and cash equivalents </w:t>
            </w:r>
          </w:p>
        </w:tc>
        <w:tc>
          <w:tcPr>
            <w:tcW w:w="709" w:type="dxa"/>
            <w:tcBorders>
              <w:top w:val="nil"/>
              <w:left w:val="nil"/>
              <w:bottom w:val="single" w:sz="4" w:space="0" w:color="auto"/>
              <w:right w:val="nil"/>
            </w:tcBorders>
            <w:shd w:val="clear" w:color="auto" w:fill="auto"/>
            <w:noWrap/>
            <w:vAlign w:val="center"/>
            <w:hideMark/>
          </w:tcPr>
          <w:p w14:paraId="22467549" w14:textId="77777777" w:rsidR="0061265C" w:rsidRPr="00543D10" w:rsidRDefault="0061265C" w:rsidP="00CD5D43">
            <w:pPr>
              <w:spacing w:after="0" w:line="240" w:lineRule="auto"/>
              <w:jc w:val="center"/>
              <w:rPr>
                <w:rFonts w:ascii="Arial" w:eastAsia="Times New Roman" w:hAnsi="Arial" w:cs="Arial"/>
                <w:sz w:val="20"/>
                <w:szCs w:val="20"/>
                <w:lang w:eastAsia="en-GB"/>
              </w:rPr>
            </w:pPr>
            <w:r w:rsidRPr="00543D10">
              <w:rPr>
                <w:rFonts w:ascii="Arial" w:eastAsia="Times New Roman" w:hAnsi="Arial" w:cs="Arial"/>
                <w:sz w:val="20"/>
                <w:szCs w:val="20"/>
                <w:lang w:eastAsia="en-GB"/>
              </w:rPr>
              <w:t>B</w:t>
            </w:r>
          </w:p>
        </w:tc>
        <w:tc>
          <w:tcPr>
            <w:tcW w:w="1417" w:type="dxa"/>
            <w:tcBorders>
              <w:top w:val="nil"/>
              <w:left w:val="nil"/>
              <w:bottom w:val="single" w:sz="4" w:space="0" w:color="auto"/>
              <w:right w:val="nil"/>
            </w:tcBorders>
            <w:shd w:val="clear" w:color="auto" w:fill="auto"/>
            <w:noWrap/>
            <w:vAlign w:val="center"/>
          </w:tcPr>
          <w:p w14:paraId="040E3A81" w14:textId="77777777" w:rsidR="0061265C" w:rsidRPr="00543D10" w:rsidRDefault="0061265C" w:rsidP="0061265C">
            <w:pPr>
              <w:spacing w:after="0" w:line="240" w:lineRule="auto"/>
              <w:jc w:val="right"/>
              <w:rPr>
                <w:rFonts w:ascii="Arial" w:eastAsia="Times New Roman" w:hAnsi="Arial" w:cs="Arial"/>
                <w:sz w:val="20"/>
                <w:szCs w:val="20"/>
                <w:lang w:eastAsia="en-GB"/>
              </w:rPr>
            </w:pPr>
          </w:p>
        </w:tc>
        <w:tc>
          <w:tcPr>
            <w:tcW w:w="1418" w:type="dxa"/>
            <w:tcBorders>
              <w:top w:val="nil"/>
              <w:left w:val="nil"/>
              <w:bottom w:val="single" w:sz="4" w:space="0" w:color="auto"/>
              <w:right w:val="nil"/>
            </w:tcBorders>
            <w:shd w:val="clear" w:color="auto" w:fill="auto"/>
            <w:noWrap/>
            <w:vAlign w:val="center"/>
          </w:tcPr>
          <w:p w14:paraId="30E71731" w14:textId="77777777" w:rsidR="0061265C" w:rsidRPr="00BB27D0" w:rsidRDefault="00EC10DA" w:rsidP="00492B26">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16,</w:t>
            </w:r>
            <w:r w:rsidR="00F40CBB">
              <w:rPr>
                <w:rFonts w:ascii="Arial" w:eastAsia="Times New Roman" w:hAnsi="Arial" w:cs="Arial"/>
                <w:b/>
                <w:bCs/>
                <w:sz w:val="20"/>
                <w:szCs w:val="20"/>
                <w:lang w:eastAsia="en-GB"/>
              </w:rPr>
              <w:t>55</w:t>
            </w:r>
            <w:r w:rsidR="00BA11DA">
              <w:rPr>
                <w:rFonts w:ascii="Arial" w:eastAsia="Times New Roman" w:hAnsi="Arial" w:cs="Arial"/>
                <w:b/>
                <w:bCs/>
                <w:sz w:val="20"/>
                <w:szCs w:val="20"/>
                <w:lang w:eastAsia="en-GB"/>
              </w:rPr>
              <w:t>5</w:t>
            </w:r>
          </w:p>
        </w:tc>
        <w:tc>
          <w:tcPr>
            <w:tcW w:w="1276" w:type="dxa"/>
            <w:tcBorders>
              <w:top w:val="nil"/>
              <w:left w:val="nil"/>
              <w:bottom w:val="single" w:sz="4" w:space="0" w:color="auto"/>
              <w:right w:val="nil"/>
            </w:tcBorders>
            <w:shd w:val="clear" w:color="auto" w:fill="auto"/>
            <w:noWrap/>
            <w:vAlign w:val="center"/>
            <w:hideMark/>
          </w:tcPr>
          <w:p w14:paraId="2C7192B6" w14:textId="77777777" w:rsidR="0061265C" w:rsidRPr="0061265C" w:rsidRDefault="0061265C" w:rsidP="0061265C">
            <w:pPr>
              <w:spacing w:after="0" w:line="240" w:lineRule="auto"/>
              <w:jc w:val="right"/>
              <w:rPr>
                <w:rFonts w:ascii="Arial" w:eastAsia="Times New Roman" w:hAnsi="Arial" w:cs="Arial"/>
                <w:bCs/>
                <w:sz w:val="20"/>
                <w:szCs w:val="20"/>
                <w:lang w:eastAsia="en-GB"/>
              </w:rPr>
            </w:pPr>
          </w:p>
        </w:tc>
        <w:tc>
          <w:tcPr>
            <w:tcW w:w="1417" w:type="dxa"/>
            <w:tcBorders>
              <w:top w:val="nil"/>
              <w:left w:val="nil"/>
              <w:bottom w:val="single" w:sz="4" w:space="0" w:color="auto"/>
              <w:right w:val="nil"/>
            </w:tcBorders>
            <w:shd w:val="clear" w:color="auto" w:fill="auto"/>
            <w:noWrap/>
            <w:vAlign w:val="center"/>
            <w:hideMark/>
          </w:tcPr>
          <w:p w14:paraId="1C1616C7" w14:textId="77777777" w:rsidR="0061265C" w:rsidRPr="0061265C" w:rsidRDefault="0061265C" w:rsidP="0061265C">
            <w:pPr>
              <w:spacing w:after="0" w:line="240" w:lineRule="auto"/>
              <w:jc w:val="right"/>
              <w:rPr>
                <w:rFonts w:ascii="Arial" w:eastAsia="Times New Roman" w:hAnsi="Arial" w:cs="Arial"/>
                <w:sz w:val="20"/>
                <w:szCs w:val="20"/>
                <w:lang w:eastAsia="en-GB"/>
              </w:rPr>
            </w:pPr>
            <w:r w:rsidRPr="0061265C">
              <w:rPr>
                <w:rFonts w:ascii="Arial" w:eastAsia="Times New Roman" w:hAnsi="Arial" w:cs="Arial"/>
                <w:bCs/>
                <w:sz w:val="20"/>
                <w:szCs w:val="20"/>
                <w:lang w:eastAsia="en-GB"/>
              </w:rPr>
              <w:t>(4,537)</w:t>
            </w:r>
          </w:p>
        </w:tc>
      </w:tr>
      <w:tr w:rsidR="0061265C" w:rsidRPr="00543D10" w14:paraId="32FB2335" w14:textId="77777777" w:rsidTr="00CD5D43">
        <w:trPr>
          <w:trHeight w:val="795"/>
        </w:trPr>
        <w:tc>
          <w:tcPr>
            <w:tcW w:w="2977" w:type="dxa"/>
            <w:tcBorders>
              <w:top w:val="nil"/>
              <w:left w:val="nil"/>
              <w:bottom w:val="nil"/>
              <w:right w:val="nil"/>
            </w:tcBorders>
            <w:shd w:val="clear" w:color="auto" w:fill="auto"/>
            <w:vAlign w:val="center"/>
            <w:hideMark/>
          </w:tcPr>
          <w:p w14:paraId="10967B3B" w14:textId="77777777" w:rsidR="0061265C" w:rsidRPr="00543D10" w:rsidRDefault="0061265C" w:rsidP="0061265C">
            <w:pPr>
              <w:spacing w:after="0" w:line="240" w:lineRule="auto"/>
              <w:rPr>
                <w:rFonts w:ascii="Arial" w:eastAsia="Times New Roman" w:hAnsi="Arial" w:cs="Arial"/>
                <w:sz w:val="20"/>
                <w:szCs w:val="20"/>
                <w:lang w:eastAsia="en-GB"/>
              </w:rPr>
            </w:pPr>
            <w:r w:rsidRPr="00543D10">
              <w:rPr>
                <w:rFonts w:ascii="Arial" w:eastAsia="Times New Roman" w:hAnsi="Arial" w:cs="Arial"/>
                <w:sz w:val="20"/>
                <w:szCs w:val="20"/>
                <w:lang w:eastAsia="en-GB"/>
              </w:rPr>
              <w:t xml:space="preserve">Cash and cash equivalents at the beginning of the period at 1 September </w:t>
            </w:r>
            <w:r>
              <w:rPr>
                <w:rFonts w:ascii="Arial" w:eastAsia="Times New Roman" w:hAnsi="Arial" w:cs="Arial"/>
                <w:sz w:val="20"/>
                <w:szCs w:val="20"/>
                <w:lang w:eastAsia="en-GB"/>
              </w:rPr>
              <w:t>2019</w:t>
            </w:r>
          </w:p>
        </w:tc>
        <w:tc>
          <w:tcPr>
            <w:tcW w:w="709" w:type="dxa"/>
            <w:tcBorders>
              <w:top w:val="nil"/>
              <w:left w:val="nil"/>
              <w:bottom w:val="nil"/>
              <w:right w:val="nil"/>
            </w:tcBorders>
            <w:shd w:val="clear" w:color="auto" w:fill="auto"/>
            <w:noWrap/>
            <w:vAlign w:val="center"/>
            <w:hideMark/>
          </w:tcPr>
          <w:p w14:paraId="78024179" w14:textId="77777777" w:rsidR="0061265C" w:rsidRPr="00543D10" w:rsidRDefault="0061265C" w:rsidP="00CD5D43">
            <w:pPr>
              <w:spacing w:after="0" w:line="240" w:lineRule="auto"/>
              <w:jc w:val="center"/>
              <w:rPr>
                <w:rFonts w:ascii="Arial" w:eastAsia="Times New Roman" w:hAnsi="Arial" w:cs="Arial"/>
                <w:sz w:val="20"/>
                <w:szCs w:val="20"/>
                <w:lang w:eastAsia="en-GB"/>
              </w:rPr>
            </w:pPr>
          </w:p>
        </w:tc>
        <w:tc>
          <w:tcPr>
            <w:tcW w:w="1417" w:type="dxa"/>
            <w:tcBorders>
              <w:top w:val="nil"/>
              <w:left w:val="nil"/>
              <w:bottom w:val="nil"/>
              <w:right w:val="nil"/>
            </w:tcBorders>
            <w:shd w:val="clear" w:color="auto" w:fill="auto"/>
            <w:noWrap/>
            <w:vAlign w:val="center"/>
          </w:tcPr>
          <w:p w14:paraId="0996C442" w14:textId="77777777" w:rsidR="0061265C" w:rsidRPr="00543D10" w:rsidRDefault="0061265C" w:rsidP="0061265C">
            <w:pPr>
              <w:spacing w:after="0" w:line="240" w:lineRule="auto"/>
              <w:jc w:val="right"/>
              <w:rPr>
                <w:rFonts w:ascii="Times New Roman" w:eastAsia="Times New Roman" w:hAnsi="Times New Roman" w:cs="Times New Roman"/>
                <w:sz w:val="20"/>
                <w:szCs w:val="20"/>
                <w:lang w:eastAsia="en-GB"/>
              </w:rPr>
            </w:pPr>
          </w:p>
        </w:tc>
        <w:tc>
          <w:tcPr>
            <w:tcW w:w="1418" w:type="dxa"/>
            <w:tcBorders>
              <w:top w:val="nil"/>
              <w:left w:val="nil"/>
              <w:bottom w:val="nil"/>
              <w:right w:val="nil"/>
            </w:tcBorders>
            <w:shd w:val="clear" w:color="auto" w:fill="auto"/>
            <w:noWrap/>
            <w:vAlign w:val="center"/>
          </w:tcPr>
          <w:p w14:paraId="77F3D0D8" w14:textId="77777777" w:rsidR="0061265C" w:rsidRPr="00BB27D0" w:rsidRDefault="00F40CBB">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16,942</w:t>
            </w:r>
          </w:p>
        </w:tc>
        <w:tc>
          <w:tcPr>
            <w:tcW w:w="1276" w:type="dxa"/>
            <w:tcBorders>
              <w:top w:val="nil"/>
              <w:left w:val="nil"/>
              <w:bottom w:val="nil"/>
              <w:right w:val="nil"/>
            </w:tcBorders>
            <w:shd w:val="clear" w:color="auto" w:fill="auto"/>
            <w:noWrap/>
            <w:vAlign w:val="center"/>
            <w:hideMark/>
          </w:tcPr>
          <w:p w14:paraId="5F9FE980" w14:textId="77777777" w:rsidR="0061265C" w:rsidRPr="0061265C" w:rsidRDefault="0061265C" w:rsidP="0061265C">
            <w:pPr>
              <w:spacing w:after="0" w:line="240" w:lineRule="auto"/>
              <w:jc w:val="right"/>
              <w:rPr>
                <w:rFonts w:ascii="Arial" w:eastAsia="Times New Roman" w:hAnsi="Arial" w:cs="Arial"/>
                <w:bCs/>
                <w:sz w:val="20"/>
                <w:szCs w:val="20"/>
                <w:lang w:eastAsia="en-GB"/>
              </w:rPr>
            </w:pPr>
          </w:p>
        </w:tc>
        <w:tc>
          <w:tcPr>
            <w:tcW w:w="1417" w:type="dxa"/>
            <w:tcBorders>
              <w:top w:val="nil"/>
              <w:left w:val="nil"/>
              <w:bottom w:val="nil"/>
              <w:right w:val="nil"/>
            </w:tcBorders>
            <w:shd w:val="clear" w:color="auto" w:fill="auto"/>
            <w:noWrap/>
            <w:vAlign w:val="center"/>
            <w:hideMark/>
          </w:tcPr>
          <w:p w14:paraId="14CDB73C" w14:textId="77777777" w:rsidR="0061265C" w:rsidRPr="0061265C" w:rsidRDefault="0061265C" w:rsidP="0061265C">
            <w:pPr>
              <w:spacing w:after="0" w:line="240" w:lineRule="auto"/>
              <w:jc w:val="right"/>
              <w:rPr>
                <w:rFonts w:ascii="Arial" w:eastAsia="Times New Roman" w:hAnsi="Arial" w:cs="Arial"/>
                <w:bCs/>
                <w:sz w:val="20"/>
                <w:szCs w:val="20"/>
                <w:lang w:eastAsia="en-GB"/>
              </w:rPr>
            </w:pPr>
            <w:r w:rsidRPr="0061265C">
              <w:rPr>
                <w:rFonts w:ascii="Arial" w:eastAsia="Times New Roman" w:hAnsi="Arial" w:cs="Arial"/>
                <w:bCs/>
                <w:sz w:val="20"/>
                <w:szCs w:val="20"/>
                <w:lang w:eastAsia="en-GB"/>
              </w:rPr>
              <w:t>21,479</w:t>
            </w:r>
          </w:p>
        </w:tc>
      </w:tr>
      <w:tr w:rsidR="0061265C" w:rsidRPr="00543D10" w14:paraId="69CBAD73" w14:textId="77777777" w:rsidTr="00CD5D43">
        <w:trPr>
          <w:trHeight w:val="530"/>
        </w:trPr>
        <w:tc>
          <w:tcPr>
            <w:tcW w:w="2977" w:type="dxa"/>
            <w:tcBorders>
              <w:top w:val="single" w:sz="4" w:space="0" w:color="auto"/>
              <w:left w:val="nil"/>
              <w:bottom w:val="single" w:sz="4" w:space="0" w:color="auto"/>
              <w:right w:val="nil"/>
            </w:tcBorders>
            <w:shd w:val="clear" w:color="auto" w:fill="auto"/>
            <w:vAlign w:val="center"/>
            <w:hideMark/>
          </w:tcPr>
          <w:p w14:paraId="67827ABF" w14:textId="77777777" w:rsidR="0061265C" w:rsidRPr="00543D10" w:rsidRDefault="0061265C" w:rsidP="0061265C">
            <w:pPr>
              <w:spacing w:after="0" w:line="240" w:lineRule="auto"/>
              <w:rPr>
                <w:rFonts w:ascii="Arial" w:eastAsia="Times New Roman" w:hAnsi="Arial" w:cs="Arial"/>
                <w:b/>
                <w:bCs/>
                <w:sz w:val="20"/>
                <w:szCs w:val="20"/>
                <w:lang w:eastAsia="en-GB"/>
              </w:rPr>
            </w:pPr>
            <w:r w:rsidRPr="00543D10">
              <w:rPr>
                <w:rFonts w:ascii="Arial" w:eastAsia="Times New Roman" w:hAnsi="Arial" w:cs="Arial"/>
                <w:b/>
                <w:bCs/>
                <w:sz w:val="20"/>
                <w:szCs w:val="20"/>
                <w:lang w:eastAsia="en-GB"/>
              </w:rPr>
              <w:t xml:space="preserve">Cash and cash equivalents at 31 August </w:t>
            </w:r>
            <w:r>
              <w:rPr>
                <w:rFonts w:ascii="Arial" w:eastAsia="Times New Roman" w:hAnsi="Arial" w:cs="Arial"/>
                <w:b/>
                <w:bCs/>
                <w:sz w:val="20"/>
                <w:szCs w:val="20"/>
                <w:lang w:eastAsia="en-GB"/>
              </w:rPr>
              <w:t>2020</w:t>
            </w:r>
          </w:p>
        </w:tc>
        <w:tc>
          <w:tcPr>
            <w:tcW w:w="709" w:type="dxa"/>
            <w:tcBorders>
              <w:top w:val="single" w:sz="4" w:space="0" w:color="auto"/>
              <w:left w:val="nil"/>
              <w:bottom w:val="single" w:sz="4" w:space="0" w:color="auto"/>
              <w:right w:val="nil"/>
            </w:tcBorders>
            <w:shd w:val="clear" w:color="auto" w:fill="auto"/>
            <w:noWrap/>
            <w:vAlign w:val="center"/>
            <w:hideMark/>
          </w:tcPr>
          <w:p w14:paraId="13ABF111" w14:textId="77777777" w:rsidR="0061265C" w:rsidRPr="00543D10" w:rsidRDefault="0061265C" w:rsidP="00CD5D43">
            <w:pPr>
              <w:spacing w:after="0" w:line="240" w:lineRule="auto"/>
              <w:jc w:val="center"/>
              <w:rPr>
                <w:rFonts w:ascii="Arial" w:eastAsia="Times New Roman" w:hAnsi="Arial" w:cs="Arial"/>
                <w:sz w:val="20"/>
                <w:szCs w:val="20"/>
                <w:lang w:eastAsia="en-GB"/>
              </w:rPr>
            </w:pPr>
            <w:r w:rsidRPr="00543D10">
              <w:rPr>
                <w:rFonts w:ascii="Arial" w:eastAsia="Times New Roman" w:hAnsi="Arial" w:cs="Arial"/>
                <w:sz w:val="20"/>
                <w:szCs w:val="20"/>
                <w:lang w:eastAsia="en-GB"/>
              </w:rPr>
              <w:t>C</w:t>
            </w:r>
          </w:p>
        </w:tc>
        <w:tc>
          <w:tcPr>
            <w:tcW w:w="1417" w:type="dxa"/>
            <w:tcBorders>
              <w:top w:val="single" w:sz="4" w:space="0" w:color="auto"/>
              <w:left w:val="nil"/>
              <w:bottom w:val="single" w:sz="4" w:space="0" w:color="auto"/>
              <w:right w:val="nil"/>
            </w:tcBorders>
            <w:shd w:val="clear" w:color="auto" w:fill="auto"/>
            <w:noWrap/>
            <w:vAlign w:val="center"/>
            <w:hideMark/>
          </w:tcPr>
          <w:p w14:paraId="464BE06F" w14:textId="77777777" w:rsidR="0061265C" w:rsidRPr="00543D10" w:rsidRDefault="0061265C" w:rsidP="0061265C">
            <w:pPr>
              <w:spacing w:after="0" w:line="240" w:lineRule="auto"/>
              <w:jc w:val="right"/>
              <w:rPr>
                <w:rFonts w:ascii="Arial" w:eastAsia="Times New Roman" w:hAnsi="Arial" w:cs="Arial"/>
                <w:sz w:val="20"/>
                <w:szCs w:val="20"/>
                <w:lang w:eastAsia="en-GB"/>
              </w:rPr>
            </w:pPr>
          </w:p>
        </w:tc>
        <w:tc>
          <w:tcPr>
            <w:tcW w:w="1418" w:type="dxa"/>
            <w:tcBorders>
              <w:top w:val="single" w:sz="4" w:space="0" w:color="auto"/>
              <w:left w:val="nil"/>
              <w:bottom w:val="single" w:sz="4" w:space="0" w:color="auto"/>
              <w:right w:val="nil"/>
            </w:tcBorders>
            <w:shd w:val="clear" w:color="auto" w:fill="auto"/>
            <w:noWrap/>
            <w:vAlign w:val="center"/>
            <w:hideMark/>
          </w:tcPr>
          <w:p w14:paraId="67EDD232" w14:textId="77777777" w:rsidR="0061265C" w:rsidRPr="00BB27D0" w:rsidRDefault="005B1CE3" w:rsidP="00492B26">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3</w:t>
            </w:r>
            <w:r w:rsidR="00EC10DA">
              <w:rPr>
                <w:rFonts w:ascii="Arial" w:eastAsia="Times New Roman" w:hAnsi="Arial" w:cs="Arial"/>
                <w:b/>
                <w:bCs/>
                <w:sz w:val="20"/>
                <w:szCs w:val="20"/>
                <w:lang w:eastAsia="en-GB"/>
              </w:rPr>
              <w:t>3,</w:t>
            </w:r>
            <w:r w:rsidR="00492B26">
              <w:rPr>
                <w:rFonts w:ascii="Arial" w:eastAsia="Times New Roman" w:hAnsi="Arial" w:cs="Arial"/>
                <w:b/>
                <w:bCs/>
                <w:sz w:val="20"/>
                <w:szCs w:val="20"/>
                <w:lang w:eastAsia="en-GB"/>
              </w:rPr>
              <w:t>497</w:t>
            </w:r>
          </w:p>
        </w:tc>
        <w:tc>
          <w:tcPr>
            <w:tcW w:w="1276" w:type="dxa"/>
            <w:tcBorders>
              <w:top w:val="single" w:sz="4" w:space="0" w:color="auto"/>
              <w:left w:val="nil"/>
              <w:bottom w:val="single" w:sz="4" w:space="0" w:color="auto"/>
              <w:right w:val="nil"/>
            </w:tcBorders>
            <w:shd w:val="clear" w:color="auto" w:fill="auto"/>
            <w:noWrap/>
            <w:vAlign w:val="center"/>
            <w:hideMark/>
          </w:tcPr>
          <w:p w14:paraId="29A5BA22" w14:textId="77777777" w:rsidR="0061265C" w:rsidRPr="0061265C" w:rsidRDefault="0061265C" w:rsidP="0061265C">
            <w:pPr>
              <w:spacing w:after="0" w:line="240" w:lineRule="auto"/>
              <w:jc w:val="right"/>
              <w:rPr>
                <w:rFonts w:ascii="Arial" w:eastAsia="Times New Roman" w:hAnsi="Arial" w:cs="Arial"/>
                <w:bCs/>
                <w:sz w:val="20"/>
                <w:szCs w:val="20"/>
                <w:lang w:eastAsia="en-GB"/>
              </w:rPr>
            </w:pPr>
          </w:p>
        </w:tc>
        <w:tc>
          <w:tcPr>
            <w:tcW w:w="1417" w:type="dxa"/>
            <w:tcBorders>
              <w:top w:val="single" w:sz="4" w:space="0" w:color="auto"/>
              <w:left w:val="nil"/>
              <w:bottom w:val="single" w:sz="4" w:space="0" w:color="auto"/>
              <w:right w:val="nil"/>
            </w:tcBorders>
            <w:shd w:val="clear" w:color="auto" w:fill="auto"/>
            <w:noWrap/>
            <w:vAlign w:val="center"/>
            <w:hideMark/>
          </w:tcPr>
          <w:p w14:paraId="55E26864" w14:textId="77777777" w:rsidR="0061265C" w:rsidRPr="0061265C" w:rsidRDefault="0061265C" w:rsidP="0061265C">
            <w:pPr>
              <w:spacing w:after="0" w:line="240" w:lineRule="auto"/>
              <w:jc w:val="right"/>
              <w:rPr>
                <w:rFonts w:ascii="Arial" w:eastAsia="Times New Roman" w:hAnsi="Arial" w:cs="Arial"/>
                <w:bCs/>
                <w:sz w:val="20"/>
                <w:szCs w:val="20"/>
                <w:lang w:eastAsia="en-GB"/>
              </w:rPr>
            </w:pPr>
            <w:r w:rsidRPr="0061265C">
              <w:rPr>
                <w:rFonts w:ascii="Arial" w:eastAsia="Times New Roman" w:hAnsi="Arial" w:cs="Arial"/>
                <w:bCs/>
                <w:sz w:val="20"/>
                <w:szCs w:val="20"/>
                <w:lang w:eastAsia="en-GB"/>
              </w:rPr>
              <w:t>16,942</w:t>
            </w:r>
          </w:p>
        </w:tc>
      </w:tr>
    </w:tbl>
    <w:p w14:paraId="45CA0EE9" w14:textId="77777777" w:rsidR="00640046" w:rsidRDefault="00640046">
      <w:r>
        <w:br w:type="page"/>
      </w:r>
    </w:p>
    <w:tbl>
      <w:tblPr>
        <w:tblW w:w="12092" w:type="dxa"/>
        <w:tblLayout w:type="fixed"/>
        <w:tblLook w:val="04A0" w:firstRow="1" w:lastRow="0" w:firstColumn="1" w:lastColumn="0" w:noHBand="0" w:noVBand="1"/>
      </w:tblPr>
      <w:tblGrid>
        <w:gridCol w:w="5103"/>
        <w:gridCol w:w="1226"/>
        <w:gridCol w:w="1485"/>
        <w:gridCol w:w="60"/>
        <w:gridCol w:w="1160"/>
        <w:gridCol w:w="180"/>
        <w:gridCol w:w="886"/>
        <w:gridCol w:w="996"/>
        <w:gridCol w:w="996"/>
      </w:tblGrid>
      <w:tr w:rsidR="00676596" w:rsidRPr="009A2496" w14:paraId="63D9B43E" w14:textId="77777777" w:rsidTr="006647C2">
        <w:trPr>
          <w:trHeight w:val="323"/>
        </w:trPr>
        <w:tc>
          <w:tcPr>
            <w:tcW w:w="9034" w:type="dxa"/>
            <w:gridSpan w:val="5"/>
            <w:tcBorders>
              <w:top w:val="nil"/>
              <w:left w:val="nil"/>
              <w:bottom w:val="nil"/>
              <w:right w:val="nil"/>
            </w:tcBorders>
            <w:shd w:val="clear" w:color="auto" w:fill="auto"/>
            <w:noWrap/>
            <w:hideMark/>
          </w:tcPr>
          <w:p w14:paraId="73AADD54" w14:textId="77777777" w:rsidR="00DC1512" w:rsidRPr="005B1CE3" w:rsidRDefault="002A206F" w:rsidP="009C033F">
            <w:pPr>
              <w:autoSpaceDE w:val="0"/>
              <w:autoSpaceDN w:val="0"/>
              <w:adjustRightInd w:val="0"/>
              <w:spacing w:after="0" w:line="240" w:lineRule="auto"/>
              <w:rPr>
                <w:rFonts w:ascii="Arial" w:hAnsi="Arial" w:cs="Arial"/>
                <w:b/>
                <w:i/>
                <w:sz w:val="24"/>
                <w:szCs w:val="24"/>
                <w:u w:val="single"/>
              </w:rPr>
            </w:pPr>
            <w:r w:rsidRPr="00543D10">
              <w:lastRenderedPageBreak/>
              <w:br w:type="page"/>
            </w:r>
            <w:r w:rsidR="00DC1512" w:rsidRPr="00543D10">
              <w:rPr>
                <w:rFonts w:ascii="Arial" w:hAnsi="Arial" w:cs="Arial"/>
                <w:b/>
                <w:i/>
                <w:sz w:val="24"/>
                <w:szCs w:val="24"/>
              </w:rPr>
              <w:t>Group consolidated statement of cash flows (continued)</w:t>
            </w:r>
            <w:r w:rsidR="00DC1512" w:rsidRPr="00543D10">
              <w:rPr>
                <w:rFonts w:ascii="Arial" w:hAnsi="Arial" w:cs="Arial"/>
                <w:b/>
                <w:i/>
                <w:sz w:val="24"/>
                <w:szCs w:val="24"/>
              </w:rPr>
              <w:br/>
            </w:r>
            <w:r w:rsidR="00DC1512" w:rsidRPr="005B1CE3">
              <w:rPr>
                <w:rFonts w:ascii="Arial" w:hAnsi="Arial" w:cs="Arial"/>
                <w:b/>
                <w:i/>
                <w:sz w:val="20"/>
                <w:szCs w:val="20"/>
              </w:rPr>
              <w:t xml:space="preserve">for the year ended 31 August </w:t>
            </w:r>
            <w:r w:rsidR="0037645F" w:rsidRPr="005B1CE3">
              <w:rPr>
                <w:rFonts w:ascii="Arial" w:hAnsi="Arial" w:cs="Arial"/>
                <w:b/>
                <w:i/>
                <w:sz w:val="20"/>
                <w:szCs w:val="20"/>
              </w:rPr>
              <w:t>2020</w:t>
            </w:r>
          </w:p>
          <w:p w14:paraId="7CF9D3CD" w14:textId="77777777" w:rsidR="00676596" w:rsidRPr="00543D10" w:rsidRDefault="00676596" w:rsidP="00676596">
            <w:pPr>
              <w:rPr>
                <w:rFonts w:ascii="Arial" w:eastAsia="Times New Roman" w:hAnsi="Arial" w:cs="Arial"/>
                <w:b/>
                <w:bCs/>
                <w:sz w:val="24"/>
                <w:szCs w:val="24"/>
                <w:lang w:eastAsia="en-GB"/>
              </w:rPr>
            </w:pPr>
          </w:p>
          <w:p w14:paraId="173F5C15" w14:textId="77777777" w:rsidR="00676596" w:rsidRPr="00543D10" w:rsidRDefault="00676596" w:rsidP="00676596">
            <w:pPr>
              <w:rPr>
                <w:rFonts w:ascii="Arial" w:eastAsia="Times New Roman" w:hAnsi="Arial" w:cs="Arial"/>
                <w:b/>
                <w:bCs/>
                <w:sz w:val="24"/>
                <w:szCs w:val="24"/>
                <w:lang w:eastAsia="en-GB"/>
              </w:rPr>
            </w:pPr>
            <w:r w:rsidRPr="00543D10">
              <w:rPr>
                <w:rFonts w:ascii="Arial" w:eastAsia="Times New Roman" w:hAnsi="Arial" w:cs="Arial"/>
                <w:b/>
                <w:bCs/>
                <w:sz w:val="24"/>
                <w:szCs w:val="24"/>
                <w:lang w:eastAsia="en-GB"/>
              </w:rPr>
              <w:t xml:space="preserve">a)  Reconciliation of net </w:t>
            </w:r>
            <w:r w:rsidR="004C7E38" w:rsidRPr="00543D10">
              <w:rPr>
                <w:rFonts w:ascii="Arial" w:eastAsia="Times New Roman" w:hAnsi="Arial" w:cs="Arial"/>
                <w:b/>
                <w:bCs/>
                <w:sz w:val="24"/>
                <w:szCs w:val="24"/>
                <w:lang w:eastAsia="en-GB"/>
              </w:rPr>
              <w:t xml:space="preserve">(outgoing) / </w:t>
            </w:r>
            <w:r w:rsidRPr="00543D10">
              <w:rPr>
                <w:rFonts w:ascii="Arial" w:eastAsia="Times New Roman" w:hAnsi="Arial" w:cs="Arial"/>
                <w:b/>
                <w:bCs/>
                <w:sz w:val="24"/>
                <w:szCs w:val="24"/>
                <w:lang w:eastAsia="en-GB"/>
              </w:rPr>
              <w:t>incoming resources before other recognised gains to net cash inflow from operating activities</w:t>
            </w:r>
          </w:p>
        </w:tc>
        <w:tc>
          <w:tcPr>
            <w:tcW w:w="1066" w:type="dxa"/>
            <w:gridSpan w:val="2"/>
            <w:tcBorders>
              <w:top w:val="nil"/>
              <w:left w:val="nil"/>
              <w:bottom w:val="nil"/>
              <w:right w:val="nil"/>
            </w:tcBorders>
            <w:shd w:val="clear" w:color="auto" w:fill="auto"/>
            <w:noWrap/>
            <w:vAlign w:val="center"/>
            <w:hideMark/>
          </w:tcPr>
          <w:p w14:paraId="74BC47CD" w14:textId="77777777" w:rsidR="00676596" w:rsidRPr="009A2496" w:rsidRDefault="00676596" w:rsidP="00676596">
            <w:pPr>
              <w:spacing w:after="0" w:line="240" w:lineRule="auto"/>
              <w:rPr>
                <w:rFonts w:ascii="Arial" w:eastAsia="Times New Roman" w:hAnsi="Arial" w:cs="Arial"/>
                <w:b/>
                <w:bCs/>
                <w:sz w:val="20"/>
                <w:szCs w:val="20"/>
                <w:lang w:eastAsia="en-GB"/>
              </w:rPr>
            </w:pPr>
          </w:p>
        </w:tc>
        <w:tc>
          <w:tcPr>
            <w:tcW w:w="996" w:type="dxa"/>
            <w:tcBorders>
              <w:top w:val="nil"/>
              <w:left w:val="nil"/>
              <w:bottom w:val="nil"/>
              <w:right w:val="nil"/>
            </w:tcBorders>
            <w:shd w:val="clear" w:color="auto" w:fill="auto"/>
            <w:noWrap/>
            <w:vAlign w:val="center"/>
            <w:hideMark/>
          </w:tcPr>
          <w:p w14:paraId="761B69D2" w14:textId="77777777" w:rsidR="00676596" w:rsidRPr="009A2496" w:rsidRDefault="00676596" w:rsidP="00676596">
            <w:pPr>
              <w:spacing w:after="0" w:line="240" w:lineRule="auto"/>
              <w:rPr>
                <w:rFonts w:ascii="Times New Roman" w:eastAsia="Times New Roman" w:hAnsi="Times New Roman" w:cs="Times New Roman"/>
                <w:sz w:val="20"/>
                <w:szCs w:val="20"/>
                <w:lang w:eastAsia="en-GB"/>
              </w:rPr>
            </w:pPr>
          </w:p>
        </w:tc>
        <w:tc>
          <w:tcPr>
            <w:tcW w:w="996" w:type="dxa"/>
            <w:tcBorders>
              <w:top w:val="nil"/>
              <w:left w:val="nil"/>
              <w:bottom w:val="nil"/>
              <w:right w:val="nil"/>
            </w:tcBorders>
            <w:shd w:val="clear" w:color="auto" w:fill="auto"/>
            <w:noWrap/>
            <w:vAlign w:val="center"/>
            <w:hideMark/>
          </w:tcPr>
          <w:p w14:paraId="14B7A24A" w14:textId="77777777" w:rsidR="00676596" w:rsidRPr="009A2496" w:rsidRDefault="00676596" w:rsidP="00676596">
            <w:pPr>
              <w:spacing w:after="0" w:line="240" w:lineRule="auto"/>
              <w:rPr>
                <w:rFonts w:ascii="Times New Roman" w:eastAsia="Times New Roman" w:hAnsi="Times New Roman" w:cs="Times New Roman"/>
                <w:sz w:val="20"/>
                <w:szCs w:val="20"/>
                <w:lang w:eastAsia="en-GB"/>
              </w:rPr>
            </w:pPr>
          </w:p>
        </w:tc>
      </w:tr>
      <w:tr w:rsidR="00543D10" w:rsidRPr="00543D10" w14:paraId="477E40A7" w14:textId="77777777" w:rsidTr="006647C2">
        <w:trPr>
          <w:gridAfter w:val="3"/>
          <w:wAfter w:w="2878" w:type="dxa"/>
          <w:trHeight w:val="323"/>
        </w:trPr>
        <w:tc>
          <w:tcPr>
            <w:tcW w:w="5103" w:type="dxa"/>
            <w:tcBorders>
              <w:top w:val="nil"/>
              <w:left w:val="nil"/>
              <w:bottom w:val="single" w:sz="4" w:space="0" w:color="auto"/>
              <w:right w:val="nil"/>
            </w:tcBorders>
            <w:shd w:val="clear" w:color="auto" w:fill="auto"/>
            <w:vAlign w:val="center"/>
            <w:hideMark/>
          </w:tcPr>
          <w:p w14:paraId="31E493AE" w14:textId="77777777" w:rsidR="00DD7A10" w:rsidRPr="00543D10" w:rsidRDefault="00DD7A10" w:rsidP="00DD7A10">
            <w:pPr>
              <w:spacing w:before="60" w:after="60" w:line="240" w:lineRule="auto"/>
              <w:rPr>
                <w:rFonts w:ascii="Arial" w:eastAsia="Times New Roman" w:hAnsi="Arial" w:cs="Arial"/>
                <w:sz w:val="20"/>
                <w:szCs w:val="20"/>
                <w:lang w:eastAsia="en-GB"/>
              </w:rPr>
            </w:pPr>
            <w:r w:rsidRPr="00543D10">
              <w:rPr>
                <w:rFonts w:ascii="Arial" w:eastAsia="Times New Roman" w:hAnsi="Arial" w:cs="Arial"/>
                <w:sz w:val="20"/>
                <w:szCs w:val="20"/>
                <w:lang w:eastAsia="en-GB"/>
              </w:rPr>
              <w:t> </w:t>
            </w:r>
          </w:p>
        </w:tc>
        <w:tc>
          <w:tcPr>
            <w:tcW w:w="1226" w:type="dxa"/>
            <w:tcBorders>
              <w:top w:val="nil"/>
              <w:left w:val="nil"/>
              <w:bottom w:val="single" w:sz="4" w:space="0" w:color="auto"/>
              <w:right w:val="nil"/>
            </w:tcBorders>
            <w:shd w:val="clear" w:color="auto" w:fill="auto"/>
            <w:noWrap/>
            <w:vAlign w:val="center"/>
            <w:hideMark/>
          </w:tcPr>
          <w:p w14:paraId="290235EE" w14:textId="77777777" w:rsidR="00DD7A10" w:rsidRPr="00543D10" w:rsidRDefault="00DD7A10" w:rsidP="00DD7A10">
            <w:pPr>
              <w:spacing w:before="60" w:after="60" w:line="240" w:lineRule="auto"/>
              <w:rPr>
                <w:rFonts w:ascii="Arial" w:eastAsia="Times New Roman" w:hAnsi="Arial" w:cs="Arial"/>
                <w:sz w:val="20"/>
                <w:szCs w:val="20"/>
                <w:lang w:eastAsia="en-GB"/>
              </w:rPr>
            </w:pPr>
            <w:r w:rsidRPr="00543D10">
              <w:rPr>
                <w:rFonts w:ascii="Arial" w:eastAsia="Times New Roman" w:hAnsi="Arial" w:cs="Arial"/>
                <w:sz w:val="20"/>
                <w:szCs w:val="20"/>
                <w:lang w:eastAsia="en-GB"/>
              </w:rPr>
              <w:t> </w:t>
            </w:r>
          </w:p>
        </w:tc>
        <w:tc>
          <w:tcPr>
            <w:tcW w:w="1545" w:type="dxa"/>
            <w:gridSpan w:val="2"/>
            <w:tcBorders>
              <w:top w:val="nil"/>
              <w:left w:val="nil"/>
              <w:bottom w:val="single" w:sz="4" w:space="0" w:color="auto"/>
              <w:right w:val="nil"/>
            </w:tcBorders>
            <w:shd w:val="clear" w:color="auto" w:fill="auto"/>
            <w:noWrap/>
            <w:vAlign w:val="center"/>
            <w:hideMark/>
          </w:tcPr>
          <w:p w14:paraId="54DBBC62" w14:textId="77777777" w:rsidR="00DD7A10" w:rsidRPr="00543D10" w:rsidRDefault="0088736E" w:rsidP="005B39D0">
            <w:pPr>
              <w:spacing w:before="60" w:after="60" w:line="240" w:lineRule="auto"/>
              <w:jc w:val="right"/>
              <w:rPr>
                <w:rFonts w:ascii="Arial" w:eastAsia="Times New Roman" w:hAnsi="Arial" w:cs="Arial"/>
                <w:b/>
                <w:bCs/>
                <w:sz w:val="20"/>
                <w:szCs w:val="20"/>
                <w:lang w:eastAsia="en-GB"/>
              </w:rPr>
            </w:pPr>
            <w:r w:rsidRPr="00543D10">
              <w:rPr>
                <w:rFonts w:ascii="Arial" w:eastAsia="Times New Roman" w:hAnsi="Arial" w:cs="Arial"/>
                <w:b/>
                <w:bCs/>
                <w:sz w:val="20"/>
                <w:szCs w:val="20"/>
                <w:lang w:eastAsia="en-GB"/>
              </w:rPr>
              <w:t xml:space="preserve">Year ended 31 August </w:t>
            </w:r>
            <w:r w:rsidR="0037645F">
              <w:rPr>
                <w:rFonts w:ascii="Arial" w:eastAsia="Times New Roman" w:hAnsi="Arial" w:cs="Arial"/>
                <w:b/>
                <w:bCs/>
                <w:sz w:val="20"/>
                <w:szCs w:val="20"/>
                <w:lang w:eastAsia="en-GB"/>
              </w:rPr>
              <w:t>2020</w:t>
            </w:r>
          </w:p>
          <w:p w14:paraId="0CD6DC0A" w14:textId="77777777" w:rsidR="00DD7A10" w:rsidRPr="00543D10" w:rsidRDefault="00DD7A10" w:rsidP="0088736E">
            <w:pPr>
              <w:spacing w:before="60" w:after="60" w:line="240" w:lineRule="auto"/>
              <w:jc w:val="right"/>
              <w:rPr>
                <w:rFonts w:ascii="Arial" w:eastAsia="Times New Roman" w:hAnsi="Arial" w:cs="Arial"/>
                <w:b/>
                <w:bCs/>
                <w:sz w:val="20"/>
                <w:szCs w:val="20"/>
                <w:lang w:eastAsia="en-GB"/>
              </w:rPr>
            </w:pPr>
            <w:r w:rsidRPr="00543D10">
              <w:rPr>
                <w:rFonts w:ascii="Arial" w:eastAsia="Times New Roman" w:hAnsi="Arial" w:cs="Arial"/>
                <w:b/>
                <w:bCs/>
                <w:sz w:val="20"/>
                <w:szCs w:val="20"/>
                <w:lang w:eastAsia="en-GB"/>
              </w:rPr>
              <w:t>£'000</w:t>
            </w:r>
          </w:p>
        </w:tc>
        <w:tc>
          <w:tcPr>
            <w:tcW w:w="1340" w:type="dxa"/>
            <w:gridSpan w:val="2"/>
            <w:tcBorders>
              <w:top w:val="nil"/>
              <w:left w:val="nil"/>
              <w:bottom w:val="single" w:sz="4" w:space="0" w:color="auto"/>
              <w:right w:val="nil"/>
            </w:tcBorders>
            <w:shd w:val="clear" w:color="auto" w:fill="auto"/>
            <w:noWrap/>
            <w:vAlign w:val="center"/>
            <w:hideMark/>
          </w:tcPr>
          <w:p w14:paraId="29C41658" w14:textId="77777777" w:rsidR="005C26C8" w:rsidRPr="005C26C8" w:rsidRDefault="005C26C8" w:rsidP="005C26C8">
            <w:pPr>
              <w:spacing w:before="60" w:after="60" w:line="240" w:lineRule="auto"/>
              <w:jc w:val="right"/>
              <w:rPr>
                <w:rFonts w:ascii="Arial" w:eastAsia="Times New Roman" w:hAnsi="Arial" w:cs="Arial"/>
                <w:bCs/>
                <w:sz w:val="20"/>
                <w:szCs w:val="20"/>
                <w:lang w:eastAsia="en-GB"/>
              </w:rPr>
            </w:pPr>
            <w:r w:rsidRPr="005C26C8">
              <w:rPr>
                <w:rFonts w:ascii="Arial" w:eastAsia="Times New Roman" w:hAnsi="Arial" w:cs="Arial"/>
                <w:bCs/>
                <w:sz w:val="20"/>
                <w:szCs w:val="20"/>
                <w:lang w:eastAsia="en-GB"/>
              </w:rPr>
              <w:t>Year ended 31 August 2019</w:t>
            </w:r>
          </w:p>
          <w:p w14:paraId="6299F5F9" w14:textId="77777777" w:rsidR="00DD7A10" w:rsidRPr="00543D10" w:rsidRDefault="00DD7A10" w:rsidP="005B39D0">
            <w:pPr>
              <w:spacing w:before="60" w:after="60" w:line="240" w:lineRule="auto"/>
              <w:jc w:val="right"/>
              <w:rPr>
                <w:rFonts w:ascii="Arial" w:eastAsia="Times New Roman" w:hAnsi="Arial" w:cs="Arial"/>
                <w:sz w:val="20"/>
                <w:szCs w:val="20"/>
                <w:lang w:eastAsia="en-GB"/>
              </w:rPr>
            </w:pPr>
            <w:r w:rsidRPr="00543D10">
              <w:rPr>
                <w:rFonts w:ascii="Arial" w:eastAsia="Times New Roman" w:hAnsi="Arial" w:cs="Arial"/>
                <w:sz w:val="20"/>
                <w:szCs w:val="20"/>
                <w:lang w:eastAsia="en-GB"/>
              </w:rPr>
              <w:t>£'000</w:t>
            </w:r>
          </w:p>
        </w:tc>
      </w:tr>
      <w:tr w:rsidR="0061265C" w:rsidRPr="00543D10" w14:paraId="087656B4" w14:textId="77777777" w:rsidTr="006647C2">
        <w:trPr>
          <w:gridAfter w:val="3"/>
          <w:wAfter w:w="2878" w:type="dxa"/>
        </w:trPr>
        <w:tc>
          <w:tcPr>
            <w:tcW w:w="5103" w:type="dxa"/>
            <w:tcBorders>
              <w:top w:val="nil"/>
              <w:left w:val="nil"/>
              <w:bottom w:val="nil"/>
              <w:right w:val="nil"/>
            </w:tcBorders>
            <w:shd w:val="clear" w:color="auto" w:fill="auto"/>
            <w:vAlign w:val="center"/>
            <w:hideMark/>
          </w:tcPr>
          <w:p w14:paraId="51830F6C" w14:textId="77777777" w:rsidR="0061265C" w:rsidRPr="00543D10" w:rsidRDefault="005B1CE3" w:rsidP="005C26C8">
            <w:pPr>
              <w:spacing w:before="60" w:after="60" w:line="240" w:lineRule="auto"/>
              <w:ind w:right="-22"/>
              <w:rPr>
                <w:rFonts w:ascii="Arial" w:eastAsia="Times New Roman" w:hAnsi="Arial" w:cs="Arial"/>
                <w:sz w:val="20"/>
                <w:szCs w:val="20"/>
                <w:lang w:eastAsia="en-GB"/>
              </w:rPr>
            </w:pPr>
            <w:r>
              <w:rPr>
                <w:rFonts w:ascii="Arial" w:eastAsia="Times New Roman" w:hAnsi="Arial" w:cs="Arial"/>
                <w:sz w:val="20"/>
                <w:szCs w:val="20"/>
                <w:lang w:eastAsia="en-GB"/>
              </w:rPr>
              <w:t xml:space="preserve">Net </w:t>
            </w:r>
            <w:r w:rsidR="0061265C" w:rsidRPr="00543D10">
              <w:rPr>
                <w:rFonts w:ascii="Arial" w:eastAsia="Times New Roman" w:hAnsi="Arial" w:cs="Arial"/>
                <w:sz w:val="20"/>
                <w:szCs w:val="20"/>
                <w:lang w:eastAsia="en-GB"/>
              </w:rPr>
              <w:t>incoming</w:t>
            </w:r>
            <w:r>
              <w:rPr>
                <w:rFonts w:ascii="Arial" w:eastAsia="Times New Roman" w:hAnsi="Arial" w:cs="Arial"/>
                <w:sz w:val="20"/>
                <w:szCs w:val="20"/>
                <w:lang w:eastAsia="en-GB"/>
              </w:rPr>
              <w:t xml:space="preserve"> / (outgoing)</w:t>
            </w:r>
            <w:r w:rsidR="0061265C" w:rsidRPr="00543D10">
              <w:rPr>
                <w:rFonts w:ascii="Arial" w:eastAsia="Times New Roman" w:hAnsi="Arial" w:cs="Arial"/>
                <w:sz w:val="20"/>
                <w:szCs w:val="20"/>
                <w:lang w:eastAsia="en-GB"/>
              </w:rPr>
              <w:t xml:space="preserve"> resources before other recognised gains</w:t>
            </w:r>
          </w:p>
        </w:tc>
        <w:tc>
          <w:tcPr>
            <w:tcW w:w="1226" w:type="dxa"/>
            <w:tcBorders>
              <w:top w:val="nil"/>
              <w:left w:val="nil"/>
              <w:bottom w:val="nil"/>
              <w:right w:val="nil"/>
            </w:tcBorders>
            <w:shd w:val="clear" w:color="auto" w:fill="auto"/>
            <w:noWrap/>
            <w:vAlign w:val="center"/>
            <w:hideMark/>
          </w:tcPr>
          <w:p w14:paraId="2BF38A63" w14:textId="77777777" w:rsidR="0061265C" w:rsidRPr="00543D10" w:rsidRDefault="0061265C" w:rsidP="005C26C8">
            <w:pPr>
              <w:spacing w:before="60" w:after="60" w:line="240" w:lineRule="auto"/>
              <w:ind w:right="-22"/>
              <w:rPr>
                <w:rFonts w:ascii="Times New Roman" w:eastAsia="Times New Roman" w:hAnsi="Times New Roman" w:cs="Times New Roman"/>
                <w:sz w:val="20"/>
                <w:szCs w:val="20"/>
                <w:lang w:eastAsia="en-GB"/>
              </w:rPr>
            </w:pPr>
          </w:p>
        </w:tc>
        <w:tc>
          <w:tcPr>
            <w:tcW w:w="1485" w:type="dxa"/>
            <w:tcBorders>
              <w:top w:val="nil"/>
              <w:left w:val="nil"/>
              <w:bottom w:val="nil"/>
              <w:right w:val="nil"/>
            </w:tcBorders>
            <w:shd w:val="clear" w:color="auto" w:fill="auto"/>
            <w:noWrap/>
            <w:vAlign w:val="center"/>
          </w:tcPr>
          <w:p w14:paraId="3910BDE0" w14:textId="77777777" w:rsidR="0061265C" w:rsidRPr="00543D10" w:rsidRDefault="00EC10DA" w:rsidP="005C26C8">
            <w:pPr>
              <w:spacing w:before="60" w:after="60" w:line="240" w:lineRule="auto"/>
              <w:ind w:right="-22"/>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4,5</w:t>
            </w:r>
            <w:r w:rsidR="00BA11DA">
              <w:rPr>
                <w:rFonts w:ascii="Arial" w:eastAsia="Times New Roman" w:hAnsi="Arial" w:cs="Arial"/>
                <w:b/>
                <w:bCs/>
                <w:sz w:val="20"/>
                <w:szCs w:val="20"/>
                <w:lang w:eastAsia="en-GB"/>
              </w:rPr>
              <w:t>77</w:t>
            </w:r>
          </w:p>
        </w:tc>
        <w:tc>
          <w:tcPr>
            <w:tcW w:w="1400" w:type="dxa"/>
            <w:gridSpan w:val="3"/>
            <w:tcBorders>
              <w:top w:val="nil"/>
              <w:left w:val="nil"/>
              <w:bottom w:val="nil"/>
              <w:right w:val="nil"/>
            </w:tcBorders>
            <w:shd w:val="clear" w:color="auto" w:fill="auto"/>
            <w:noWrap/>
            <w:vAlign w:val="center"/>
            <w:hideMark/>
          </w:tcPr>
          <w:p w14:paraId="5250FFE8" w14:textId="77777777" w:rsidR="0061265C" w:rsidRPr="0061265C" w:rsidRDefault="0061265C">
            <w:pPr>
              <w:spacing w:before="60" w:after="60" w:line="240" w:lineRule="auto"/>
              <w:ind w:left="-82" w:right="-22" w:firstLine="82"/>
              <w:jc w:val="right"/>
              <w:rPr>
                <w:rFonts w:ascii="Arial" w:eastAsia="Times New Roman" w:hAnsi="Arial" w:cs="Arial"/>
                <w:sz w:val="20"/>
                <w:szCs w:val="20"/>
                <w:lang w:eastAsia="en-GB"/>
              </w:rPr>
            </w:pPr>
            <w:r w:rsidRPr="0061265C">
              <w:rPr>
                <w:rFonts w:ascii="Arial" w:eastAsia="Times New Roman" w:hAnsi="Arial" w:cs="Arial"/>
                <w:bCs/>
                <w:sz w:val="20"/>
                <w:szCs w:val="20"/>
                <w:lang w:eastAsia="en-GB"/>
              </w:rPr>
              <w:t>(1</w:t>
            </w:r>
            <w:r w:rsidR="003F4A27">
              <w:rPr>
                <w:rFonts w:ascii="Arial" w:eastAsia="Times New Roman" w:hAnsi="Arial" w:cs="Arial"/>
                <w:bCs/>
                <w:sz w:val="20"/>
                <w:szCs w:val="20"/>
                <w:lang w:eastAsia="en-GB"/>
              </w:rPr>
              <w:t>9,098)</w:t>
            </w:r>
          </w:p>
        </w:tc>
      </w:tr>
      <w:tr w:rsidR="0061265C" w:rsidRPr="00543D10" w14:paraId="1FC647C3" w14:textId="77777777" w:rsidTr="006647C2">
        <w:trPr>
          <w:gridAfter w:val="3"/>
          <w:wAfter w:w="2878" w:type="dxa"/>
        </w:trPr>
        <w:tc>
          <w:tcPr>
            <w:tcW w:w="5103" w:type="dxa"/>
            <w:tcBorders>
              <w:top w:val="nil"/>
              <w:left w:val="nil"/>
              <w:bottom w:val="nil"/>
              <w:right w:val="nil"/>
            </w:tcBorders>
            <w:shd w:val="clear" w:color="auto" w:fill="auto"/>
            <w:vAlign w:val="center"/>
            <w:hideMark/>
          </w:tcPr>
          <w:p w14:paraId="3EE8EEB0" w14:textId="77777777" w:rsidR="0061265C" w:rsidRPr="00543D10" w:rsidRDefault="0061265C" w:rsidP="005C26C8">
            <w:pPr>
              <w:spacing w:before="60" w:after="60" w:line="240" w:lineRule="auto"/>
              <w:ind w:right="-22"/>
              <w:rPr>
                <w:rFonts w:ascii="Arial" w:eastAsia="Times New Roman" w:hAnsi="Arial" w:cs="Arial"/>
                <w:sz w:val="20"/>
                <w:szCs w:val="20"/>
                <w:lang w:eastAsia="en-GB"/>
              </w:rPr>
            </w:pPr>
            <w:r w:rsidRPr="00614299">
              <w:rPr>
                <w:rFonts w:ascii="Arial" w:eastAsia="Times New Roman" w:hAnsi="Arial" w:cs="Arial"/>
                <w:sz w:val="20"/>
                <w:szCs w:val="20"/>
                <w:lang w:eastAsia="en-GB"/>
              </w:rPr>
              <w:t>Donation of net assets arising on acquisition</w:t>
            </w:r>
          </w:p>
        </w:tc>
        <w:tc>
          <w:tcPr>
            <w:tcW w:w="1226" w:type="dxa"/>
            <w:tcBorders>
              <w:top w:val="nil"/>
              <w:left w:val="nil"/>
              <w:bottom w:val="nil"/>
              <w:right w:val="nil"/>
            </w:tcBorders>
            <w:shd w:val="clear" w:color="auto" w:fill="auto"/>
            <w:noWrap/>
            <w:vAlign w:val="center"/>
            <w:hideMark/>
          </w:tcPr>
          <w:p w14:paraId="0919B1BA" w14:textId="77777777" w:rsidR="0061265C" w:rsidRPr="00543D10" w:rsidRDefault="0061265C" w:rsidP="005C26C8">
            <w:pPr>
              <w:spacing w:before="60" w:after="60" w:line="240" w:lineRule="auto"/>
              <w:ind w:right="-22"/>
              <w:rPr>
                <w:rFonts w:ascii="Times New Roman" w:eastAsia="Times New Roman" w:hAnsi="Times New Roman" w:cs="Times New Roman"/>
                <w:sz w:val="20"/>
                <w:szCs w:val="20"/>
                <w:lang w:eastAsia="en-GB"/>
              </w:rPr>
            </w:pPr>
          </w:p>
        </w:tc>
        <w:tc>
          <w:tcPr>
            <w:tcW w:w="1485" w:type="dxa"/>
            <w:tcBorders>
              <w:top w:val="nil"/>
              <w:left w:val="nil"/>
              <w:bottom w:val="nil"/>
              <w:right w:val="nil"/>
            </w:tcBorders>
            <w:shd w:val="clear" w:color="auto" w:fill="auto"/>
            <w:noWrap/>
            <w:vAlign w:val="center"/>
          </w:tcPr>
          <w:p w14:paraId="39C3F39A" w14:textId="77777777" w:rsidR="0061265C" w:rsidRPr="00543D10" w:rsidRDefault="00EC10DA" w:rsidP="005C26C8">
            <w:pPr>
              <w:spacing w:before="60" w:after="60" w:line="240" w:lineRule="auto"/>
              <w:ind w:right="-22"/>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(13,674</w:t>
            </w:r>
            <w:r w:rsidR="005B1CE3">
              <w:rPr>
                <w:rFonts w:ascii="Arial" w:eastAsia="Times New Roman" w:hAnsi="Arial" w:cs="Arial"/>
                <w:b/>
                <w:bCs/>
                <w:sz w:val="20"/>
                <w:szCs w:val="20"/>
                <w:lang w:eastAsia="en-GB"/>
              </w:rPr>
              <w:t>)</w:t>
            </w:r>
          </w:p>
        </w:tc>
        <w:tc>
          <w:tcPr>
            <w:tcW w:w="1400" w:type="dxa"/>
            <w:gridSpan w:val="3"/>
            <w:tcBorders>
              <w:top w:val="nil"/>
              <w:left w:val="nil"/>
              <w:bottom w:val="nil"/>
              <w:right w:val="nil"/>
            </w:tcBorders>
            <w:shd w:val="clear" w:color="auto" w:fill="auto"/>
            <w:noWrap/>
            <w:vAlign w:val="center"/>
            <w:hideMark/>
          </w:tcPr>
          <w:p w14:paraId="2D653C47" w14:textId="77777777" w:rsidR="0061265C" w:rsidRPr="0061265C" w:rsidRDefault="0061265C" w:rsidP="005C26C8">
            <w:pPr>
              <w:spacing w:before="60" w:after="60" w:line="240" w:lineRule="auto"/>
              <w:ind w:right="-22"/>
              <w:jc w:val="right"/>
              <w:rPr>
                <w:rFonts w:ascii="Arial" w:eastAsia="Times New Roman" w:hAnsi="Arial" w:cs="Arial"/>
                <w:sz w:val="20"/>
                <w:szCs w:val="20"/>
                <w:lang w:eastAsia="en-GB"/>
              </w:rPr>
            </w:pPr>
            <w:r w:rsidRPr="0061265C">
              <w:rPr>
                <w:rFonts w:ascii="Arial" w:eastAsia="Times New Roman" w:hAnsi="Arial" w:cs="Arial"/>
                <w:bCs/>
                <w:sz w:val="20"/>
                <w:szCs w:val="20"/>
                <w:lang w:eastAsia="en-GB"/>
              </w:rPr>
              <w:t>(21,349)</w:t>
            </w:r>
          </w:p>
        </w:tc>
      </w:tr>
      <w:tr w:rsidR="0061265C" w:rsidRPr="00543D10" w14:paraId="0220A654" w14:textId="77777777" w:rsidTr="006647C2">
        <w:trPr>
          <w:gridAfter w:val="3"/>
          <w:wAfter w:w="2878" w:type="dxa"/>
        </w:trPr>
        <w:tc>
          <w:tcPr>
            <w:tcW w:w="5103" w:type="dxa"/>
            <w:tcBorders>
              <w:top w:val="nil"/>
              <w:left w:val="nil"/>
              <w:bottom w:val="nil"/>
              <w:right w:val="nil"/>
            </w:tcBorders>
            <w:shd w:val="clear" w:color="auto" w:fill="auto"/>
            <w:vAlign w:val="center"/>
            <w:hideMark/>
          </w:tcPr>
          <w:p w14:paraId="14BBC0C2" w14:textId="77777777" w:rsidR="0061265C" w:rsidRPr="00543D10" w:rsidRDefault="0061265C" w:rsidP="005C26C8">
            <w:pPr>
              <w:spacing w:before="60" w:after="60" w:line="240" w:lineRule="auto"/>
              <w:ind w:right="-22"/>
              <w:rPr>
                <w:rFonts w:ascii="Arial" w:eastAsia="Times New Roman" w:hAnsi="Arial" w:cs="Arial"/>
                <w:sz w:val="20"/>
                <w:szCs w:val="20"/>
                <w:lang w:eastAsia="en-GB"/>
              </w:rPr>
            </w:pPr>
            <w:r w:rsidRPr="00543D10">
              <w:rPr>
                <w:rFonts w:ascii="Arial" w:eastAsia="Times New Roman" w:hAnsi="Arial" w:cs="Arial"/>
                <w:sz w:val="20"/>
                <w:szCs w:val="20"/>
                <w:lang w:eastAsia="en-GB"/>
              </w:rPr>
              <w:t>Pensions - adjustment to net incoming resources</w:t>
            </w:r>
          </w:p>
        </w:tc>
        <w:tc>
          <w:tcPr>
            <w:tcW w:w="1226" w:type="dxa"/>
            <w:tcBorders>
              <w:top w:val="nil"/>
              <w:left w:val="nil"/>
              <w:bottom w:val="nil"/>
              <w:right w:val="nil"/>
            </w:tcBorders>
            <w:shd w:val="clear" w:color="auto" w:fill="auto"/>
            <w:noWrap/>
            <w:vAlign w:val="center"/>
            <w:hideMark/>
          </w:tcPr>
          <w:p w14:paraId="01DE9FCF" w14:textId="77777777" w:rsidR="0061265C" w:rsidRPr="00543D10" w:rsidRDefault="0061265C" w:rsidP="005C26C8">
            <w:pPr>
              <w:spacing w:before="60" w:after="60" w:line="240" w:lineRule="auto"/>
              <w:ind w:right="-22"/>
              <w:rPr>
                <w:rFonts w:ascii="Times New Roman" w:eastAsia="Times New Roman" w:hAnsi="Times New Roman" w:cs="Times New Roman"/>
                <w:sz w:val="20"/>
                <w:szCs w:val="20"/>
                <w:lang w:eastAsia="en-GB"/>
              </w:rPr>
            </w:pPr>
          </w:p>
        </w:tc>
        <w:tc>
          <w:tcPr>
            <w:tcW w:w="1485" w:type="dxa"/>
            <w:tcBorders>
              <w:top w:val="nil"/>
              <w:left w:val="nil"/>
              <w:bottom w:val="nil"/>
              <w:right w:val="nil"/>
            </w:tcBorders>
            <w:shd w:val="clear" w:color="auto" w:fill="auto"/>
            <w:noWrap/>
            <w:vAlign w:val="center"/>
          </w:tcPr>
          <w:p w14:paraId="54A566B2" w14:textId="77777777" w:rsidR="0061265C" w:rsidRPr="00543D10" w:rsidRDefault="005B1CE3" w:rsidP="005C26C8">
            <w:pPr>
              <w:spacing w:before="60" w:after="60" w:line="240" w:lineRule="auto"/>
              <w:ind w:right="-22"/>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6,562</w:t>
            </w:r>
          </w:p>
        </w:tc>
        <w:tc>
          <w:tcPr>
            <w:tcW w:w="1400" w:type="dxa"/>
            <w:gridSpan w:val="3"/>
            <w:tcBorders>
              <w:top w:val="nil"/>
              <w:left w:val="nil"/>
              <w:bottom w:val="nil"/>
              <w:right w:val="nil"/>
            </w:tcBorders>
            <w:shd w:val="clear" w:color="auto" w:fill="auto"/>
            <w:noWrap/>
            <w:vAlign w:val="center"/>
            <w:hideMark/>
          </w:tcPr>
          <w:p w14:paraId="686191BB" w14:textId="77777777" w:rsidR="0061265C" w:rsidRPr="0061265C" w:rsidRDefault="0061265C" w:rsidP="005C26C8">
            <w:pPr>
              <w:spacing w:before="60" w:after="60" w:line="240" w:lineRule="auto"/>
              <w:ind w:right="-22"/>
              <w:jc w:val="right"/>
              <w:rPr>
                <w:rFonts w:ascii="Arial" w:eastAsia="Times New Roman" w:hAnsi="Arial" w:cs="Arial"/>
                <w:sz w:val="20"/>
                <w:szCs w:val="20"/>
                <w:lang w:eastAsia="en-GB"/>
              </w:rPr>
            </w:pPr>
            <w:r w:rsidRPr="0061265C">
              <w:rPr>
                <w:rFonts w:ascii="Arial" w:eastAsia="Times New Roman" w:hAnsi="Arial" w:cs="Arial"/>
                <w:bCs/>
                <w:sz w:val="20"/>
                <w:szCs w:val="20"/>
                <w:lang w:eastAsia="en-GB"/>
              </w:rPr>
              <w:t>(2,387)</w:t>
            </w:r>
          </w:p>
        </w:tc>
      </w:tr>
      <w:tr w:rsidR="0061265C" w:rsidRPr="00543D10" w14:paraId="601BCBD7" w14:textId="77777777" w:rsidTr="006647C2">
        <w:trPr>
          <w:gridAfter w:val="3"/>
          <w:wAfter w:w="2878" w:type="dxa"/>
        </w:trPr>
        <w:tc>
          <w:tcPr>
            <w:tcW w:w="5103" w:type="dxa"/>
            <w:tcBorders>
              <w:top w:val="nil"/>
              <w:left w:val="nil"/>
              <w:bottom w:val="nil"/>
              <w:right w:val="nil"/>
            </w:tcBorders>
            <w:shd w:val="clear" w:color="auto" w:fill="auto"/>
            <w:vAlign w:val="center"/>
            <w:hideMark/>
          </w:tcPr>
          <w:p w14:paraId="39998D81" w14:textId="77777777" w:rsidR="0061265C" w:rsidRPr="00543D10" w:rsidRDefault="0061265C" w:rsidP="005C26C8">
            <w:pPr>
              <w:spacing w:before="60" w:after="60" w:line="240" w:lineRule="auto"/>
              <w:ind w:right="-22"/>
              <w:rPr>
                <w:rFonts w:ascii="Arial" w:eastAsia="Times New Roman" w:hAnsi="Arial" w:cs="Arial"/>
                <w:sz w:val="20"/>
                <w:szCs w:val="20"/>
                <w:lang w:eastAsia="en-GB"/>
              </w:rPr>
            </w:pPr>
            <w:r w:rsidRPr="00543D10">
              <w:rPr>
                <w:rFonts w:ascii="Arial" w:eastAsia="Times New Roman" w:hAnsi="Arial" w:cs="Arial"/>
                <w:sz w:val="20"/>
                <w:szCs w:val="20"/>
                <w:lang w:eastAsia="en-GB"/>
              </w:rPr>
              <w:t>Investment income received</w:t>
            </w:r>
          </w:p>
        </w:tc>
        <w:tc>
          <w:tcPr>
            <w:tcW w:w="1226" w:type="dxa"/>
            <w:tcBorders>
              <w:top w:val="nil"/>
              <w:left w:val="nil"/>
              <w:bottom w:val="nil"/>
              <w:right w:val="nil"/>
            </w:tcBorders>
            <w:shd w:val="clear" w:color="auto" w:fill="auto"/>
            <w:noWrap/>
            <w:vAlign w:val="center"/>
            <w:hideMark/>
          </w:tcPr>
          <w:p w14:paraId="52D64F0D" w14:textId="77777777" w:rsidR="0061265C" w:rsidRPr="00543D10" w:rsidRDefault="0061265C" w:rsidP="005C26C8">
            <w:pPr>
              <w:spacing w:before="60" w:after="60" w:line="240" w:lineRule="auto"/>
              <w:ind w:right="-22"/>
              <w:rPr>
                <w:rFonts w:ascii="Times New Roman" w:eastAsia="Times New Roman" w:hAnsi="Times New Roman" w:cs="Times New Roman"/>
                <w:sz w:val="20"/>
                <w:szCs w:val="20"/>
                <w:lang w:eastAsia="en-GB"/>
              </w:rPr>
            </w:pPr>
          </w:p>
        </w:tc>
        <w:tc>
          <w:tcPr>
            <w:tcW w:w="1485" w:type="dxa"/>
            <w:tcBorders>
              <w:top w:val="nil"/>
              <w:left w:val="nil"/>
              <w:bottom w:val="nil"/>
              <w:right w:val="nil"/>
            </w:tcBorders>
            <w:shd w:val="clear" w:color="auto" w:fill="auto"/>
            <w:noWrap/>
            <w:vAlign w:val="center"/>
          </w:tcPr>
          <w:p w14:paraId="02A3979E" w14:textId="77777777" w:rsidR="0061265C" w:rsidRPr="00543D10" w:rsidRDefault="005B1CE3" w:rsidP="005C26C8">
            <w:pPr>
              <w:spacing w:before="60" w:after="60" w:line="240" w:lineRule="auto"/>
              <w:ind w:right="-22"/>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(14)</w:t>
            </w:r>
          </w:p>
        </w:tc>
        <w:tc>
          <w:tcPr>
            <w:tcW w:w="1400" w:type="dxa"/>
            <w:gridSpan w:val="3"/>
            <w:tcBorders>
              <w:top w:val="nil"/>
              <w:left w:val="nil"/>
              <w:bottom w:val="nil"/>
              <w:right w:val="nil"/>
            </w:tcBorders>
            <w:shd w:val="clear" w:color="auto" w:fill="auto"/>
            <w:noWrap/>
            <w:vAlign w:val="center"/>
            <w:hideMark/>
          </w:tcPr>
          <w:p w14:paraId="58FC3F78" w14:textId="77777777" w:rsidR="0061265C" w:rsidRPr="0061265C" w:rsidRDefault="0061265C" w:rsidP="005C26C8">
            <w:pPr>
              <w:spacing w:before="60" w:after="60" w:line="240" w:lineRule="auto"/>
              <w:ind w:right="-22"/>
              <w:jc w:val="right"/>
              <w:rPr>
                <w:rFonts w:ascii="Arial" w:eastAsia="Times New Roman" w:hAnsi="Arial" w:cs="Arial"/>
                <w:sz w:val="20"/>
                <w:szCs w:val="20"/>
                <w:lang w:eastAsia="en-GB"/>
              </w:rPr>
            </w:pPr>
            <w:r w:rsidRPr="0061265C">
              <w:rPr>
                <w:rFonts w:ascii="Arial" w:eastAsia="Times New Roman" w:hAnsi="Arial" w:cs="Arial"/>
                <w:bCs/>
                <w:sz w:val="20"/>
                <w:szCs w:val="20"/>
                <w:lang w:eastAsia="en-GB"/>
              </w:rPr>
              <w:t>(285)</w:t>
            </w:r>
          </w:p>
        </w:tc>
      </w:tr>
      <w:tr w:rsidR="0061265C" w:rsidRPr="00543D10" w14:paraId="6F412ED0" w14:textId="77777777" w:rsidTr="006647C2">
        <w:trPr>
          <w:gridAfter w:val="3"/>
          <w:wAfter w:w="2878" w:type="dxa"/>
        </w:trPr>
        <w:tc>
          <w:tcPr>
            <w:tcW w:w="5103" w:type="dxa"/>
            <w:tcBorders>
              <w:top w:val="nil"/>
              <w:left w:val="nil"/>
              <w:bottom w:val="nil"/>
              <w:right w:val="nil"/>
            </w:tcBorders>
            <w:shd w:val="clear" w:color="auto" w:fill="auto"/>
            <w:vAlign w:val="center"/>
            <w:hideMark/>
          </w:tcPr>
          <w:p w14:paraId="2567E181" w14:textId="77777777" w:rsidR="0061265C" w:rsidRPr="00543D10" w:rsidRDefault="0061265C" w:rsidP="005C26C8">
            <w:pPr>
              <w:spacing w:before="60" w:after="60" w:line="240" w:lineRule="auto"/>
              <w:ind w:right="-22"/>
              <w:rPr>
                <w:rFonts w:ascii="Arial" w:eastAsia="Times New Roman" w:hAnsi="Arial" w:cs="Arial"/>
                <w:sz w:val="20"/>
                <w:szCs w:val="20"/>
                <w:lang w:eastAsia="en-GB"/>
              </w:rPr>
            </w:pPr>
            <w:r w:rsidRPr="00543D10">
              <w:rPr>
                <w:rFonts w:ascii="Arial" w:eastAsia="Times New Roman" w:hAnsi="Arial" w:cs="Arial"/>
                <w:sz w:val="20"/>
                <w:szCs w:val="20"/>
                <w:lang w:eastAsia="en-GB"/>
              </w:rPr>
              <w:t>Bank charges and interest paid</w:t>
            </w:r>
          </w:p>
        </w:tc>
        <w:tc>
          <w:tcPr>
            <w:tcW w:w="1226" w:type="dxa"/>
            <w:tcBorders>
              <w:top w:val="nil"/>
              <w:left w:val="nil"/>
              <w:bottom w:val="nil"/>
              <w:right w:val="nil"/>
            </w:tcBorders>
            <w:shd w:val="clear" w:color="auto" w:fill="auto"/>
            <w:noWrap/>
            <w:vAlign w:val="center"/>
            <w:hideMark/>
          </w:tcPr>
          <w:p w14:paraId="1D42E902" w14:textId="77777777" w:rsidR="0061265C" w:rsidRPr="00543D10" w:rsidRDefault="0061265C" w:rsidP="005C26C8">
            <w:pPr>
              <w:spacing w:before="60" w:after="60" w:line="240" w:lineRule="auto"/>
              <w:ind w:right="-22"/>
              <w:rPr>
                <w:rFonts w:ascii="Times New Roman" w:eastAsia="Times New Roman" w:hAnsi="Times New Roman" w:cs="Times New Roman"/>
                <w:sz w:val="20"/>
                <w:szCs w:val="20"/>
                <w:lang w:eastAsia="en-GB"/>
              </w:rPr>
            </w:pPr>
          </w:p>
        </w:tc>
        <w:tc>
          <w:tcPr>
            <w:tcW w:w="1485" w:type="dxa"/>
            <w:tcBorders>
              <w:top w:val="nil"/>
              <w:left w:val="nil"/>
              <w:bottom w:val="nil"/>
              <w:right w:val="nil"/>
            </w:tcBorders>
            <w:shd w:val="clear" w:color="auto" w:fill="auto"/>
            <w:noWrap/>
            <w:vAlign w:val="center"/>
          </w:tcPr>
          <w:p w14:paraId="2AF1AEB8" w14:textId="77777777" w:rsidR="0061265C" w:rsidRPr="00543D10" w:rsidRDefault="005B1CE3" w:rsidP="005C26C8">
            <w:pPr>
              <w:spacing w:before="60" w:after="60" w:line="240" w:lineRule="auto"/>
              <w:ind w:right="-22"/>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1,119</w:t>
            </w:r>
          </w:p>
        </w:tc>
        <w:tc>
          <w:tcPr>
            <w:tcW w:w="1400" w:type="dxa"/>
            <w:gridSpan w:val="3"/>
            <w:tcBorders>
              <w:top w:val="nil"/>
              <w:left w:val="nil"/>
              <w:bottom w:val="nil"/>
              <w:right w:val="nil"/>
            </w:tcBorders>
            <w:shd w:val="clear" w:color="auto" w:fill="auto"/>
            <w:noWrap/>
            <w:vAlign w:val="center"/>
            <w:hideMark/>
          </w:tcPr>
          <w:p w14:paraId="14C89D24" w14:textId="77777777" w:rsidR="0061265C" w:rsidRPr="0061265C" w:rsidRDefault="0061265C" w:rsidP="005C26C8">
            <w:pPr>
              <w:spacing w:before="60" w:after="60" w:line="240" w:lineRule="auto"/>
              <w:ind w:right="-22"/>
              <w:jc w:val="right"/>
              <w:rPr>
                <w:rFonts w:ascii="Arial" w:eastAsia="Times New Roman" w:hAnsi="Arial" w:cs="Arial"/>
                <w:sz w:val="20"/>
                <w:szCs w:val="20"/>
                <w:lang w:eastAsia="en-GB"/>
              </w:rPr>
            </w:pPr>
            <w:r w:rsidRPr="0061265C">
              <w:rPr>
                <w:rFonts w:ascii="Arial" w:eastAsia="Times New Roman" w:hAnsi="Arial" w:cs="Arial"/>
                <w:bCs/>
                <w:sz w:val="20"/>
                <w:szCs w:val="20"/>
                <w:lang w:eastAsia="en-GB"/>
              </w:rPr>
              <w:t>1,481</w:t>
            </w:r>
          </w:p>
        </w:tc>
      </w:tr>
      <w:tr w:rsidR="0061265C" w:rsidRPr="00543D10" w14:paraId="1FD0E030" w14:textId="77777777" w:rsidTr="006647C2">
        <w:trPr>
          <w:gridAfter w:val="3"/>
          <w:wAfter w:w="2878" w:type="dxa"/>
        </w:trPr>
        <w:tc>
          <w:tcPr>
            <w:tcW w:w="5103" w:type="dxa"/>
            <w:tcBorders>
              <w:top w:val="nil"/>
              <w:left w:val="nil"/>
              <w:bottom w:val="nil"/>
              <w:right w:val="nil"/>
            </w:tcBorders>
            <w:shd w:val="clear" w:color="auto" w:fill="auto"/>
            <w:vAlign w:val="center"/>
            <w:hideMark/>
          </w:tcPr>
          <w:p w14:paraId="32ADDF5E" w14:textId="77777777" w:rsidR="0061265C" w:rsidRPr="001C5D15" w:rsidRDefault="0061265C" w:rsidP="005C26C8">
            <w:pPr>
              <w:spacing w:before="60" w:after="60" w:line="240" w:lineRule="auto"/>
              <w:ind w:right="-22"/>
              <w:rPr>
                <w:rFonts w:ascii="Arial" w:eastAsia="Times New Roman" w:hAnsi="Arial" w:cs="Arial"/>
                <w:sz w:val="20"/>
                <w:szCs w:val="20"/>
                <w:lang w:eastAsia="en-GB"/>
              </w:rPr>
            </w:pPr>
            <w:r w:rsidRPr="001C5D15">
              <w:rPr>
                <w:rFonts w:ascii="Arial" w:eastAsia="Times New Roman" w:hAnsi="Arial" w:cs="Arial"/>
                <w:sz w:val="20"/>
                <w:szCs w:val="20"/>
                <w:lang w:eastAsia="en-GB"/>
              </w:rPr>
              <w:t>Depreciation and fixed asset write offs</w:t>
            </w:r>
          </w:p>
        </w:tc>
        <w:tc>
          <w:tcPr>
            <w:tcW w:w="1226" w:type="dxa"/>
            <w:tcBorders>
              <w:top w:val="nil"/>
              <w:left w:val="nil"/>
              <w:bottom w:val="nil"/>
              <w:right w:val="nil"/>
            </w:tcBorders>
            <w:shd w:val="clear" w:color="auto" w:fill="auto"/>
            <w:noWrap/>
            <w:vAlign w:val="center"/>
            <w:hideMark/>
          </w:tcPr>
          <w:p w14:paraId="535EF216" w14:textId="77777777" w:rsidR="0061265C" w:rsidRPr="001C5D15" w:rsidRDefault="0061265C" w:rsidP="005C26C8">
            <w:pPr>
              <w:spacing w:before="60" w:after="60" w:line="240" w:lineRule="auto"/>
              <w:ind w:right="-22"/>
              <w:rPr>
                <w:rFonts w:ascii="Times New Roman" w:eastAsia="Times New Roman" w:hAnsi="Times New Roman" w:cs="Times New Roman"/>
                <w:sz w:val="20"/>
                <w:szCs w:val="20"/>
                <w:lang w:eastAsia="en-GB"/>
              </w:rPr>
            </w:pPr>
          </w:p>
        </w:tc>
        <w:tc>
          <w:tcPr>
            <w:tcW w:w="1485" w:type="dxa"/>
            <w:tcBorders>
              <w:top w:val="nil"/>
              <w:left w:val="nil"/>
              <w:bottom w:val="nil"/>
              <w:right w:val="nil"/>
            </w:tcBorders>
            <w:shd w:val="clear" w:color="auto" w:fill="auto"/>
            <w:noWrap/>
            <w:vAlign w:val="center"/>
          </w:tcPr>
          <w:p w14:paraId="7C7A2721" w14:textId="77777777" w:rsidR="0061265C" w:rsidRPr="001C5D15" w:rsidRDefault="005B1CE3" w:rsidP="005C26C8">
            <w:pPr>
              <w:spacing w:before="60" w:after="60" w:line="240" w:lineRule="auto"/>
              <w:ind w:right="-22"/>
              <w:jc w:val="right"/>
              <w:rPr>
                <w:rFonts w:ascii="Arial" w:eastAsia="Times New Roman" w:hAnsi="Arial" w:cs="Arial"/>
                <w:b/>
                <w:bCs/>
                <w:sz w:val="20"/>
                <w:szCs w:val="20"/>
                <w:lang w:eastAsia="en-GB"/>
              </w:rPr>
            </w:pPr>
            <w:r w:rsidRPr="001C5D15">
              <w:rPr>
                <w:rFonts w:ascii="Arial" w:eastAsia="Times New Roman" w:hAnsi="Arial" w:cs="Arial"/>
                <w:b/>
                <w:bCs/>
                <w:sz w:val="20"/>
                <w:szCs w:val="20"/>
                <w:lang w:eastAsia="en-GB"/>
              </w:rPr>
              <w:t>5,768</w:t>
            </w:r>
          </w:p>
        </w:tc>
        <w:tc>
          <w:tcPr>
            <w:tcW w:w="1400" w:type="dxa"/>
            <w:gridSpan w:val="3"/>
            <w:tcBorders>
              <w:top w:val="nil"/>
              <w:left w:val="nil"/>
              <w:bottom w:val="nil"/>
              <w:right w:val="nil"/>
            </w:tcBorders>
            <w:shd w:val="clear" w:color="auto" w:fill="auto"/>
            <w:noWrap/>
            <w:vAlign w:val="center"/>
            <w:hideMark/>
          </w:tcPr>
          <w:p w14:paraId="753C27D4" w14:textId="77777777" w:rsidR="0061265C" w:rsidRPr="001C5D15" w:rsidRDefault="0061265C" w:rsidP="005C26C8">
            <w:pPr>
              <w:spacing w:before="60" w:after="60" w:line="240" w:lineRule="auto"/>
              <w:ind w:right="-22"/>
              <w:jc w:val="right"/>
              <w:rPr>
                <w:rFonts w:ascii="Arial" w:eastAsia="Times New Roman" w:hAnsi="Arial" w:cs="Arial"/>
                <w:sz w:val="20"/>
                <w:szCs w:val="20"/>
                <w:lang w:eastAsia="en-GB"/>
              </w:rPr>
            </w:pPr>
            <w:r w:rsidRPr="001C5D15">
              <w:rPr>
                <w:rFonts w:ascii="Arial" w:eastAsia="Times New Roman" w:hAnsi="Arial" w:cs="Arial"/>
                <w:bCs/>
                <w:sz w:val="20"/>
                <w:szCs w:val="20"/>
                <w:lang w:eastAsia="en-GB"/>
              </w:rPr>
              <w:t>5,151</w:t>
            </w:r>
          </w:p>
        </w:tc>
      </w:tr>
      <w:tr w:rsidR="0061265C" w:rsidRPr="00543D10" w14:paraId="41686264" w14:textId="77777777" w:rsidTr="006647C2">
        <w:trPr>
          <w:gridAfter w:val="3"/>
          <w:wAfter w:w="2878" w:type="dxa"/>
        </w:trPr>
        <w:tc>
          <w:tcPr>
            <w:tcW w:w="5103" w:type="dxa"/>
            <w:tcBorders>
              <w:top w:val="nil"/>
              <w:left w:val="nil"/>
              <w:bottom w:val="nil"/>
              <w:right w:val="nil"/>
            </w:tcBorders>
            <w:shd w:val="clear" w:color="auto" w:fill="auto"/>
            <w:vAlign w:val="center"/>
            <w:hideMark/>
          </w:tcPr>
          <w:p w14:paraId="2B3541C5" w14:textId="77777777" w:rsidR="0061265C" w:rsidRPr="001C5D15" w:rsidRDefault="0061265C" w:rsidP="005C26C8">
            <w:pPr>
              <w:spacing w:before="60" w:after="60" w:line="240" w:lineRule="auto"/>
              <w:ind w:right="-22"/>
              <w:rPr>
                <w:rFonts w:ascii="Arial" w:eastAsia="Times New Roman" w:hAnsi="Arial" w:cs="Arial"/>
                <w:sz w:val="20"/>
                <w:szCs w:val="20"/>
                <w:lang w:eastAsia="en-GB"/>
              </w:rPr>
            </w:pPr>
            <w:r w:rsidRPr="001C5D15">
              <w:rPr>
                <w:rFonts w:ascii="Arial" w:eastAsia="Times New Roman" w:hAnsi="Arial" w:cs="Arial"/>
                <w:sz w:val="20"/>
                <w:szCs w:val="20"/>
                <w:lang w:eastAsia="en-GB"/>
              </w:rPr>
              <w:t>Amortisation of goodwill</w:t>
            </w:r>
          </w:p>
        </w:tc>
        <w:tc>
          <w:tcPr>
            <w:tcW w:w="1226" w:type="dxa"/>
            <w:tcBorders>
              <w:top w:val="nil"/>
              <w:left w:val="nil"/>
              <w:bottom w:val="nil"/>
              <w:right w:val="nil"/>
            </w:tcBorders>
            <w:shd w:val="clear" w:color="auto" w:fill="auto"/>
            <w:noWrap/>
            <w:vAlign w:val="center"/>
            <w:hideMark/>
          </w:tcPr>
          <w:p w14:paraId="3528DC1D" w14:textId="77777777" w:rsidR="0061265C" w:rsidRPr="001C5D15" w:rsidRDefault="0061265C" w:rsidP="005C26C8">
            <w:pPr>
              <w:spacing w:before="60" w:after="60" w:line="240" w:lineRule="auto"/>
              <w:ind w:right="-22"/>
              <w:rPr>
                <w:rFonts w:ascii="Times New Roman" w:eastAsia="Times New Roman" w:hAnsi="Times New Roman" w:cs="Times New Roman"/>
                <w:sz w:val="20"/>
                <w:szCs w:val="20"/>
                <w:lang w:eastAsia="en-GB"/>
              </w:rPr>
            </w:pPr>
          </w:p>
        </w:tc>
        <w:tc>
          <w:tcPr>
            <w:tcW w:w="1485" w:type="dxa"/>
            <w:tcBorders>
              <w:top w:val="nil"/>
              <w:left w:val="nil"/>
              <w:bottom w:val="nil"/>
              <w:right w:val="nil"/>
            </w:tcBorders>
            <w:shd w:val="clear" w:color="auto" w:fill="auto"/>
            <w:noWrap/>
            <w:vAlign w:val="center"/>
          </w:tcPr>
          <w:p w14:paraId="7B910B30" w14:textId="77777777" w:rsidR="0061265C" w:rsidRPr="001C5D15" w:rsidRDefault="00EC10DA" w:rsidP="00CC22B2">
            <w:pPr>
              <w:spacing w:before="60" w:after="60" w:line="240" w:lineRule="auto"/>
              <w:ind w:right="-22"/>
              <w:jc w:val="right"/>
              <w:rPr>
                <w:rFonts w:ascii="Arial" w:eastAsia="Times New Roman" w:hAnsi="Arial" w:cs="Arial"/>
                <w:b/>
                <w:bCs/>
                <w:sz w:val="20"/>
                <w:szCs w:val="20"/>
                <w:lang w:eastAsia="en-GB"/>
              </w:rPr>
            </w:pPr>
            <w:r w:rsidRPr="001C5D15">
              <w:rPr>
                <w:rFonts w:ascii="Arial" w:eastAsia="Times New Roman" w:hAnsi="Arial" w:cs="Arial"/>
                <w:b/>
                <w:bCs/>
                <w:sz w:val="20"/>
                <w:szCs w:val="20"/>
                <w:lang w:eastAsia="en-GB"/>
              </w:rPr>
              <w:t>8,</w:t>
            </w:r>
            <w:r w:rsidR="001C5D15" w:rsidRPr="001C5D15">
              <w:rPr>
                <w:rFonts w:ascii="Arial" w:eastAsia="Times New Roman" w:hAnsi="Arial" w:cs="Arial"/>
                <w:b/>
                <w:bCs/>
                <w:sz w:val="20"/>
                <w:szCs w:val="20"/>
                <w:lang w:eastAsia="en-GB"/>
              </w:rPr>
              <w:t>204</w:t>
            </w:r>
          </w:p>
        </w:tc>
        <w:tc>
          <w:tcPr>
            <w:tcW w:w="1400" w:type="dxa"/>
            <w:gridSpan w:val="3"/>
            <w:tcBorders>
              <w:top w:val="nil"/>
              <w:left w:val="nil"/>
              <w:bottom w:val="nil"/>
              <w:right w:val="nil"/>
            </w:tcBorders>
            <w:shd w:val="clear" w:color="auto" w:fill="auto"/>
            <w:noWrap/>
            <w:vAlign w:val="center"/>
            <w:hideMark/>
          </w:tcPr>
          <w:p w14:paraId="06673BA8" w14:textId="77777777" w:rsidR="0061265C" w:rsidRPr="001C5D15" w:rsidRDefault="0061265C" w:rsidP="005C26C8">
            <w:pPr>
              <w:spacing w:before="60" w:after="60" w:line="240" w:lineRule="auto"/>
              <w:ind w:right="-22"/>
              <w:jc w:val="right"/>
              <w:rPr>
                <w:rFonts w:ascii="Arial" w:eastAsia="Times New Roman" w:hAnsi="Arial" w:cs="Arial"/>
                <w:sz w:val="20"/>
                <w:szCs w:val="20"/>
                <w:lang w:eastAsia="en-GB"/>
              </w:rPr>
            </w:pPr>
            <w:r w:rsidRPr="001C5D15">
              <w:rPr>
                <w:rFonts w:ascii="Arial" w:eastAsia="Times New Roman" w:hAnsi="Arial" w:cs="Arial"/>
                <w:bCs/>
                <w:sz w:val="20"/>
                <w:szCs w:val="20"/>
                <w:lang w:eastAsia="en-GB"/>
              </w:rPr>
              <w:t>11,533</w:t>
            </w:r>
          </w:p>
        </w:tc>
      </w:tr>
      <w:tr w:rsidR="0061265C" w:rsidRPr="00543D10" w14:paraId="5656E4DA" w14:textId="77777777" w:rsidTr="006647C2">
        <w:trPr>
          <w:gridAfter w:val="3"/>
          <w:wAfter w:w="2878" w:type="dxa"/>
        </w:trPr>
        <w:tc>
          <w:tcPr>
            <w:tcW w:w="5103" w:type="dxa"/>
            <w:tcBorders>
              <w:top w:val="nil"/>
              <w:left w:val="nil"/>
              <w:bottom w:val="nil"/>
              <w:right w:val="nil"/>
            </w:tcBorders>
            <w:shd w:val="clear" w:color="auto" w:fill="auto"/>
            <w:vAlign w:val="center"/>
          </w:tcPr>
          <w:p w14:paraId="5C935F4F" w14:textId="77777777" w:rsidR="0061265C" w:rsidRPr="00543D10" w:rsidRDefault="0061265C" w:rsidP="005C26C8">
            <w:pPr>
              <w:spacing w:before="60" w:after="60" w:line="240" w:lineRule="auto"/>
              <w:ind w:right="-22"/>
              <w:rPr>
                <w:rFonts w:ascii="Arial" w:eastAsia="Times New Roman" w:hAnsi="Arial" w:cs="Arial"/>
                <w:sz w:val="20"/>
                <w:szCs w:val="20"/>
                <w:lang w:eastAsia="en-GB"/>
              </w:rPr>
            </w:pPr>
            <w:r w:rsidRPr="00543D10">
              <w:rPr>
                <w:rFonts w:ascii="Arial" w:eastAsia="Times New Roman" w:hAnsi="Arial" w:cs="Arial"/>
                <w:sz w:val="20"/>
                <w:szCs w:val="20"/>
                <w:lang w:eastAsia="en-GB"/>
              </w:rPr>
              <w:t>Impairment of goodwill</w:t>
            </w:r>
          </w:p>
        </w:tc>
        <w:tc>
          <w:tcPr>
            <w:tcW w:w="1226" w:type="dxa"/>
            <w:tcBorders>
              <w:top w:val="nil"/>
              <w:left w:val="nil"/>
              <w:bottom w:val="nil"/>
              <w:right w:val="nil"/>
            </w:tcBorders>
            <w:shd w:val="clear" w:color="auto" w:fill="auto"/>
            <w:noWrap/>
            <w:vAlign w:val="center"/>
          </w:tcPr>
          <w:p w14:paraId="1CBC3065" w14:textId="77777777" w:rsidR="0061265C" w:rsidRPr="00543D10" w:rsidRDefault="0061265C" w:rsidP="005C26C8">
            <w:pPr>
              <w:spacing w:before="60" w:after="60" w:line="240" w:lineRule="auto"/>
              <w:ind w:right="-22"/>
              <w:rPr>
                <w:rFonts w:ascii="Times New Roman" w:eastAsia="Times New Roman" w:hAnsi="Times New Roman" w:cs="Times New Roman"/>
                <w:sz w:val="20"/>
                <w:szCs w:val="20"/>
                <w:lang w:eastAsia="en-GB"/>
              </w:rPr>
            </w:pPr>
          </w:p>
        </w:tc>
        <w:tc>
          <w:tcPr>
            <w:tcW w:w="1485" w:type="dxa"/>
            <w:tcBorders>
              <w:top w:val="nil"/>
              <w:left w:val="nil"/>
              <w:bottom w:val="nil"/>
              <w:right w:val="nil"/>
            </w:tcBorders>
            <w:shd w:val="clear" w:color="auto" w:fill="auto"/>
            <w:noWrap/>
            <w:vAlign w:val="center"/>
          </w:tcPr>
          <w:p w14:paraId="7A994C3C" w14:textId="77777777" w:rsidR="0061265C" w:rsidRPr="00543D10" w:rsidRDefault="005B1CE3" w:rsidP="005C26C8">
            <w:pPr>
              <w:spacing w:before="60" w:after="60" w:line="240" w:lineRule="auto"/>
              <w:ind w:right="-22"/>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w:t>
            </w:r>
          </w:p>
        </w:tc>
        <w:tc>
          <w:tcPr>
            <w:tcW w:w="1400" w:type="dxa"/>
            <w:gridSpan w:val="3"/>
            <w:tcBorders>
              <w:top w:val="nil"/>
              <w:left w:val="nil"/>
              <w:bottom w:val="nil"/>
              <w:right w:val="nil"/>
            </w:tcBorders>
            <w:shd w:val="clear" w:color="auto" w:fill="auto"/>
            <w:noWrap/>
            <w:vAlign w:val="center"/>
          </w:tcPr>
          <w:p w14:paraId="660E86D1" w14:textId="77777777" w:rsidR="0061265C" w:rsidRPr="0061265C" w:rsidRDefault="0061265C" w:rsidP="005C26C8">
            <w:pPr>
              <w:spacing w:before="60" w:after="60" w:line="240" w:lineRule="auto"/>
              <w:ind w:right="-22"/>
              <w:jc w:val="right"/>
              <w:rPr>
                <w:rFonts w:ascii="Arial" w:eastAsia="Times New Roman" w:hAnsi="Arial" w:cs="Arial"/>
                <w:sz w:val="20"/>
                <w:szCs w:val="20"/>
                <w:lang w:eastAsia="en-GB"/>
              </w:rPr>
            </w:pPr>
            <w:r w:rsidRPr="0061265C">
              <w:rPr>
                <w:rFonts w:ascii="Arial" w:eastAsia="Times New Roman" w:hAnsi="Arial" w:cs="Arial"/>
                <w:bCs/>
                <w:sz w:val="20"/>
                <w:szCs w:val="20"/>
                <w:lang w:eastAsia="en-GB"/>
              </w:rPr>
              <w:t>15,859</w:t>
            </w:r>
          </w:p>
        </w:tc>
      </w:tr>
      <w:tr w:rsidR="001C5D15" w:rsidRPr="00543D10" w14:paraId="36062DB0" w14:textId="77777777" w:rsidTr="006647C2">
        <w:trPr>
          <w:gridAfter w:val="3"/>
          <w:wAfter w:w="2878" w:type="dxa"/>
        </w:trPr>
        <w:tc>
          <w:tcPr>
            <w:tcW w:w="5103" w:type="dxa"/>
            <w:tcBorders>
              <w:top w:val="nil"/>
              <w:left w:val="nil"/>
              <w:bottom w:val="nil"/>
              <w:right w:val="nil"/>
            </w:tcBorders>
            <w:shd w:val="clear" w:color="auto" w:fill="auto"/>
            <w:vAlign w:val="center"/>
          </w:tcPr>
          <w:p w14:paraId="5E9672BC" w14:textId="77777777" w:rsidR="001C5D15" w:rsidRPr="00543D10" w:rsidRDefault="001C5D15" w:rsidP="001C5D15">
            <w:pPr>
              <w:spacing w:before="60" w:after="60" w:line="240" w:lineRule="auto"/>
              <w:ind w:right="-22"/>
              <w:rPr>
                <w:rFonts w:ascii="Arial" w:eastAsia="Times New Roman" w:hAnsi="Arial" w:cs="Arial"/>
                <w:sz w:val="20"/>
                <w:szCs w:val="20"/>
                <w:lang w:eastAsia="en-GB"/>
              </w:rPr>
            </w:pPr>
            <w:r w:rsidRPr="00543D10">
              <w:rPr>
                <w:rFonts w:ascii="Arial" w:eastAsia="Times New Roman" w:hAnsi="Arial" w:cs="Arial"/>
                <w:sz w:val="20"/>
                <w:szCs w:val="20"/>
                <w:lang w:eastAsia="en-GB"/>
              </w:rPr>
              <w:t xml:space="preserve">Net loss on write off/disposal of </w:t>
            </w:r>
            <w:r>
              <w:rPr>
                <w:rFonts w:ascii="Arial" w:eastAsia="Times New Roman" w:hAnsi="Arial" w:cs="Arial"/>
                <w:sz w:val="20"/>
                <w:szCs w:val="20"/>
                <w:lang w:eastAsia="en-GB"/>
              </w:rPr>
              <w:t xml:space="preserve">tangible </w:t>
            </w:r>
            <w:r w:rsidRPr="00543D10">
              <w:rPr>
                <w:rFonts w:ascii="Arial" w:eastAsia="Times New Roman" w:hAnsi="Arial" w:cs="Arial"/>
                <w:sz w:val="20"/>
                <w:szCs w:val="20"/>
                <w:lang w:eastAsia="en-GB"/>
              </w:rPr>
              <w:t>fixed assets</w:t>
            </w:r>
          </w:p>
        </w:tc>
        <w:tc>
          <w:tcPr>
            <w:tcW w:w="1226" w:type="dxa"/>
            <w:tcBorders>
              <w:top w:val="nil"/>
              <w:left w:val="nil"/>
              <w:bottom w:val="nil"/>
              <w:right w:val="nil"/>
            </w:tcBorders>
            <w:shd w:val="clear" w:color="auto" w:fill="auto"/>
            <w:noWrap/>
            <w:vAlign w:val="center"/>
          </w:tcPr>
          <w:p w14:paraId="4CBC7395" w14:textId="77777777" w:rsidR="001C5D15" w:rsidRPr="00543D10" w:rsidRDefault="001C5D15" w:rsidP="001C5D15">
            <w:pPr>
              <w:spacing w:before="60" w:after="60" w:line="240" w:lineRule="auto"/>
              <w:ind w:right="-22"/>
              <w:rPr>
                <w:rFonts w:ascii="Times New Roman" w:eastAsia="Times New Roman" w:hAnsi="Times New Roman" w:cs="Times New Roman"/>
                <w:sz w:val="20"/>
                <w:szCs w:val="20"/>
                <w:lang w:eastAsia="en-GB"/>
              </w:rPr>
            </w:pPr>
          </w:p>
        </w:tc>
        <w:tc>
          <w:tcPr>
            <w:tcW w:w="1485" w:type="dxa"/>
            <w:tcBorders>
              <w:top w:val="nil"/>
              <w:left w:val="nil"/>
              <w:bottom w:val="nil"/>
              <w:right w:val="nil"/>
            </w:tcBorders>
            <w:shd w:val="clear" w:color="auto" w:fill="auto"/>
            <w:noWrap/>
            <w:vAlign w:val="center"/>
          </w:tcPr>
          <w:p w14:paraId="74AAFA6F" w14:textId="77777777" w:rsidR="001C5D15" w:rsidRDefault="00CF23EC" w:rsidP="001C5D15">
            <w:pPr>
              <w:spacing w:before="60" w:after="60" w:line="240" w:lineRule="auto"/>
              <w:ind w:right="-22"/>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10,352</w:t>
            </w:r>
          </w:p>
        </w:tc>
        <w:tc>
          <w:tcPr>
            <w:tcW w:w="1400" w:type="dxa"/>
            <w:gridSpan w:val="3"/>
            <w:tcBorders>
              <w:top w:val="nil"/>
              <w:left w:val="nil"/>
              <w:bottom w:val="nil"/>
              <w:right w:val="nil"/>
            </w:tcBorders>
            <w:shd w:val="clear" w:color="auto" w:fill="auto"/>
            <w:noWrap/>
            <w:vAlign w:val="center"/>
          </w:tcPr>
          <w:p w14:paraId="5E567653" w14:textId="77777777" w:rsidR="001C5D15" w:rsidRPr="0061265C" w:rsidRDefault="001C5D15" w:rsidP="001C5D15">
            <w:pPr>
              <w:spacing w:before="60" w:after="60" w:line="240" w:lineRule="auto"/>
              <w:ind w:right="-22"/>
              <w:jc w:val="right"/>
              <w:rPr>
                <w:rFonts w:ascii="Arial" w:eastAsia="Times New Roman" w:hAnsi="Arial" w:cs="Arial"/>
                <w:bCs/>
                <w:sz w:val="20"/>
                <w:szCs w:val="20"/>
                <w:lang w:eastAsia="en-GB"/>
              </w:rPr>
            </w:pPr>
            <w:r w:rsidRPr="0061265C">
              <w:rPr>
                <w:rFonts w:ascii="Arial" w:eastAsia="Times New Roman" w:hAnsi="Arial" w:cs="Arial"/>
                <w:bCs/>
                <w:sz w:val="20"/>
                <w:szCs w:val="20"/>
                <w:lang w:eastAsia="en-GB"/>
              </w:rPr>
              <w:t>1,275</w:t>
            </w:r>
          </w:p>
        </w:tc>
      </w:tr>
      <w:tr w:rsidR="001C5D15" w:rsidRPr="00543D10" w14:paraId="116D600C" w14:textId="77777777" w:rsidTr="006647C2">
        <w:trPr>
          <w:gridAfter w:val="3"/>
          <w:wAfter w:w="2878" w:type="dxa"/>
        </w:trPr>
        <w:tc>
          <w:tcPr>
            <w:tcW w:w="5103" w:type="dxa"/>
            <w:tcBorders>
              <w:top w:val="nil"/>
              <w:left w:val="nil"/>
              <w:bottom w:val="nil"/>
              <w:right w:val="nil"/>
            </w:tcBorders>
            <w:shd w:val="clear" w:color="auto" w:fill="auto"/>
            <w:vAlign w:val="center"/>
            <w:hideMark/>
          </w:tcPr>
          <w:p w14:paraId="2613831E" w14:textId="77777777" w:rsidR="001C5D15" w:rsidRPr="00543D10" w:rsidRDefault="001C5D15" w:rsidP="001C5D15">
            <w:pPr>
              <w:spacing w:before="60" w:after="60" w:line="240" w:lineRule="auto"/>
              <w:ind w:right="-22"/>
              <w:rPr>
                <w:rFonts w:ascii="Arial" w:eastAsia="Times New Roman" w:hAnsi="Arial" w:cs="Arial"/>
                <w:sz w:val="20"/>
                <w:szCs w:val="20"/>
                <w:lang w:eastAsia="en-GB"/>
              </w:rPr>
            </w:pPr>
            <w:r w:rsidRPr="00543D10">
              <w:rPr>
                <w:rFonts w:ascii="Arial" w:eastAsia="Times New Roman" w:hAnsi="Arial" w:cs="Arial"/>
                <w:sz w:val="20"/>
                <w:szCs w:val="20"/>
                <w:lang w:eastAsia="en-GB"/>
              </w:rPr>
              <w:t xml:space="preserve">Net loss on write off/disposal of </w:t>
            </w:r>
            <w:r>
              <w:rPr>
                <w:rFonts w:ascii="Arial" w:eastAsia="Times New Roman" w:hAnsi="Arial" w:cs="Arial"/>
                <w:sz w:val="20"/>
                <w:szCs w:val="20"/>
                <w:lang w:eastAsia="en-GB"/>
              </w:rPr>
              <w:t xml:space="preserve">intangible </w:t>
            </w:r>
            <w:r w:rsidRPr="00543D10">
              <w:rPr>
                <w:rFonts w:ascii="Arial" w:eastAsia="Times New Roman" w:hAnsi="Arial" w:cs="Arial"/>
                <w:sz w:val="20"/>
                <w:szCs w:val="20"/>
                <w:lang w:eastAsia="en-GB"/>
              </w:rPr>
              <w:t>fixed assets</w:t>
            </w:r>
          </w:p>
        </w:tc>
        <w:tc>
          <w:tcPr>
            <w:tcW w:w="1226" w:type="dxa"/>
            <w:tcBorders>
              <w:top w:val="nil"/>
              <w:left w:val="nil"/>
              <w:bottom w:val="nil"/>
              <w:right w:val="nil"/>
            </w:tcBorders>
            <w:shd w:val="clear" w:color="auto" w:fill="auto"/>
            <w:noWrap/>
            <w:vAlign w:val="center"/>
            <w:hideMark/>
          </w:tcPr>
          <w:p w14:paraId="5599E8FE" w14:textId="77777777" w:rsidR="001C5D15" w:rsidRPr="00543D10" w:rsidRDefault="001C5D15" w:rsidP="001C5D15">
            <w:pPr>
              <w:spacing w:before="60" w:after="60" w:line="240" w:lineRule="auto"/>
              <w:ind w:right="-22"/>
              <w:rPr>
                <w:rFonts w:ascii="Times New Roman" w:eastAsia="Times New Roman" w:hAnsi="Times New Roman" w:cs="Times New Roman"/>
                <w:sz w:val="20"/>
                <w:szCs w:val="20"/>
                <w:lang w:eastAsia="en-GB"/>
              </w:rPr>
            </w:pPr>
          </w:p>
        </w:tc>
        <w:tc>
          <w:tcPr>
            <w:tcW w:w="1485" w:type="dxa"/>
            <w:tcBorders>
              <w:top w:val="nil"/>
              <w:left w:val="nil"/>
              <w:bottom w:val="nil"/>
              <w:right w:val="nil"/>
            </w:tcBorders>
            <w:shd w:val="clear" w:color="auto" w:fill="auto"/>
            <w:noWrap/>
            <w:vAlign w:val="center"/>
          </w:tcPr>
          <w:p w14:paraId="0C8C42FA" w14:textId="77777777" w:rsidR="001C5D15" w:rsidRPr="00543D10" w:rsidRDefault="001C5D15" w:rsidP="001C5D15">
            <w:pPr>
              <w:spacing w:before="60" w:after="60" w:line="240" w:lineRule="auto"/>
              <w:ind w:right="-22"/>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131</w:t>
            </w:r>
          </w:p>
        </w:tc>
        <w:tc>
          <w:tcPr>
            <w:tcW w:w="1400" w:type="dxa"/>
            <w:gridSpan w:val="3"/>
            <w:tcBorders>
              <w:top w:val="nil"/>
              <w:left w:val="nil"/>
              <w:bottom w:val="nil"/>
              <w:right w:val="nil"/>
            </w:tcBorders>
            <w:shd w:val="clear" w:color="auto" w:fill="auto"/>
            <w:noWrap/>
            <w:vAlign w:val="center"/>
            <w:hideMark/>
          </w:tcPr>
          <w:p w14:paraId="7BF2171B" w14:textId="77777777" w:rsidR="001C5D15" w:rsidRPr="0061265C" w:rsidRDefault="001C5D15" w:rsidP="001C5D15">
            <w:pPr>
              <w:spacing w:before="60" w:after="60" w:line="240" w:lineRule="auto"/>
              <w:ind w:right="-22"/>
              <w:jc w:val="right"/>
              <w:rPr>
                <w:rFonts w:ascii="Arial" w:eastAsia="Times New Roman" w:hAnsi="Arial" w:cs="Arial"/>
                <w:sz w:val="20"/>
                <w:szCs w:val="20"/>
                <w:lang w:eastAsia="en-GB"/>
              </w:rPr>
            </w:pPr>
            <w:r>
              <w:rPr>
                <w:rFonts w:ascii="Arial" w:eastAsia="Times New Roman" w:hAnsi="Arial" w:cs="Arial"/>
                <w:bCs/>
                <w:sz w:val="20"/>
                <w:szCs w:val="20"/>
                <w:lang w:eastAsia="en-GB"/>
              </w:rPr>
              <w:t>-</w:t>
            </w:r>
          </w:p>
        </w:tc>
      </w:tr>
      <w:tr w:rsidR="001C5D15" w:rsidRPr="00543D10" w14:paraId="5E6FE738" w14:textId="77777777" w:rsidTr="006647C2">
        <w:trPr>
          <w:gridAfter w:val="3"/>
          <w:wAfter w:w="2878" w:type="dxa"/>
        </w:trPr>
        <w:tc>
          <w:tcPr>
            <w:tcW w:w="5103" w:type="dxa"/>
            <w:tcBorders>
              <w:top w:val="nil"/>
              <w:left w:val="nil"/>
              <w:bottom w:val="nil"/>
              <w:right w:val="nil"/>
            </w:tcBorders>
            <w:shd w:val="clear" w:color="auto" w:fill="auto"/>
            <w:vAlign w:val="center"/>
          </w:tcPr>
          <w:p w14:paraId="2C0A5BF1" w14:textId="77777777" w:rsidR="001C5D15" w:rsidRDefault="001C5D15" w:rsidP="001C5D15">
            <w:pPr>
              <w:spacing w:before="60" w:after="60" w:line="240" w:lineRule="auto"/>
              <w:ind w:right="-22"/>
              <w:rPr>
                <w:rFonts w:ascii="Arial" w:eastAsia="Times New Roman" w:hAnsi="Arial" w:cs="Arial"/>
                <w:sz w:val="20"/>
                <w:szCs w:val="20"/>
                <w:lang w:eastAsia="en-GB"/>
              </w:rPr>
            </w:pPr>
            <w:r>
              <w:rPr>
                <w:rFonts w:ascii="Arial" w:eastAsia="Times New Roman" w:hAnsi="Arial" w:cs="Arial"/>
                <w:sz w:val="20"/>
                <w:szCs w:val="20"/>
                <w:lang w:eastAsia="en-GB"/>
              </w:rPr>
              <w:t>Net loss on disposal of investments</w:t>
            </w:r>
          </w:p>
        </w:tc>
        <w:tc>
          <w:tcPr>
            <w:tcW w:w="1226" w:type="dxa"/>
            <w:tcBorders>
              <w:top w:val="nil"/>
              <w:left w:val="nil"/>
              <w:bottom w:val="nil"/>
              <w:right w:val="nil"/>
            </w:tcBorders>
            <w:shd w:val="clear" w:color="auto" w:fill="auto"/>
            <w:noWrap/>
            <w:vAlign w:val="center"/>
          </w:tcPr>
          <w:p w14:paraId="2475ED24" w14:textId="77777777" w:rsidR="001C5D15" w:rsidRPr="00543D10" w:rsidRDefault="001C5D15" w:rsidP="001C5D15">
            <w:pPr>
              <w:spacing w:before="60" w:after="60" w:line="240" w:lineRule="auto"/>
              <w:ind w:right="-22"/>
              <w:rPr>
                <w:rFonts w:ascii="Times New Roman" w:eastAsia="Times New Roman" w:hAnsi="Times New Roman" w:cs="Times New Roman"/>
                <w:sz w:val="20"/>
                <w:szCs w:val="20"/>
                <w:lang w:eastAsia="en-GB"/>
              </w:rPr>
            </w:pPr>
          </w:p>
        </w:tc>
        <w:tc>
          <w:tcPr>
            <w:tcW w:w="1485" w:type="dxa"/>
            <w:tcBorders>
              <w:top w:val="nil"/>
              <w:left w:val="nil"/>
              <w:bottom w:val="nil"/>
              <w:right w:val="nil"/>
            </w:tcBorders>
            <w:shd w:val="clear" w:color="auto" w:fill="auto"/>
            <w:noWrap/>
            <w:vAlign w:val="center"/>
          </w:tcPr>
          <w:p w14:paraId="5B174795" w14:textId="77777777" w:rsidR="001C5D15" w:rsidRDefault="001C5D15" w:rsidP="001C5D15">
            <w:pPr>
              <w:spacing w:before="60" w:after="60" w:line="240" w:lineRule="auto"/>
              <w:ind w:right="-22"/>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427</w:t>
            </w:r>
          </w:p>
        </w:tc>
        <w:tc>
          <w:tcPr>
            <w:tcW w:w="1400" w:type="dxa"/>
            <w:gridSpan w:val="3"/>
            <w:tcBorders>
              <w:top w:val="nil"/>
              <w:left w:val="nil"/>
              <w:bottom w:val="nil"/>
              <w:right w:val="nil"/>
            </w:tcBorders>
            <w:shd w:val="clear" w:color="auto" w:fill="auto"/>
            <w:noWrap/>
            <w:vAlign w:val="center"/>
          </w:tcPr>
          <w:p w14:paraId="2722003D" w14:textId="77777777" w:rsidR="001C5D15" w:rsidRPr="0061265C" w:rsidRDefault="003F4A27" w:rsidP="001C5D15">
            <w:pPr>
              <w:spacing w:before="60" w:after="60" w:line="240" w:lineRule="auto"/>
              <w:ind w:right="-22"/>
              <w:jc w:val="right"/>
              <w:rPr>
                <w:rFonts w:ascii="Arial" w:eastAsia="Times New Roman" w:hAnsi="Arial" w:cs="Arial"/>
                <w:bCs/>
                <w:sz w:val="20"/>
                <w:szCs w:val="20"/>
                <w:lang w:eastAsia="en-GB"/>
              </w:rPr>
            </w:pPr>
            <w:r>
              <w:rPr>
                <w:rFonts w:ascii="Arial" w:eastAsia="Times New Roman" w:hAnsi="Arial" w:cs="Arial"/>
                <w:bCs/>
                <w:sz w:val="20"/>
                <w:szCs w:val="20"/>
                <w:lang w:eastAsia="en-GB"/>
              </w:rPr>
              <w:t>586</w:t>
            </w:r>
          </w:p>
        </w:tc>
      </w:tr>
      <w:tr w:rsidR="001C5D15" w:rsidRPr="00543D10" w14:paraId="3422A773" w14:textId="77777777" w:rsidTr="006647C2">
        <w:trPr>
          <w:gridAfter w:val="3"/>
          <w:wAfter w:w="2878" w:type="dxa"/>
        </w:trPr>
        <w:tc>
          <w:tcPr>
            <w:tcW w:w="5103" w:type="dxa"/>
            <w:tcBorders>
              <w:top w:val="nil"/>
              <w:left w:val="nil"/>
              <w:bottom w:val="nil"/>
              <w:right w:val="nil"/>
            </w:tcBorders>
            <w:shd w:val="clear" w:color="auto" w:fill="auto"/>
            <w:vAlign w:val="center"/>
            <w:hideMark/>
          </w:tcPr>
          <w:p w14:paraId="06063EFE" w14:textId="77777777" w:rsidR="001C5D15" w:rsidRPr="00543D10" w:rsidRDefault="001C5D15" w:rsidP="001C5D15">
            <w:pPr>
              <w:spacing w:before="60" w:after="60" w:line="240" w:lineRule="auto"/>
              <w:ind w:right="-22"/>
              <w:rPr>
                <w:rFonts w:ascii="Arial" w:eastAsia="Times New Roman" w:hAnsi="Arial" w:cs="Arial"/>
                <w:sz w:val="20"/>
                <w:szCs w:val="20"/>
                <w:lang w:eastAsia="en-GB"/>
              </w:rPr>
            </w:pPr>
            <w:r>
              <w:rPr>
                <w:rFonts w:ascii="Arial" w:eastAsia="Times New Roman" w:hAnsi="Arial" w:cs="Arial"/>
                <w:sz w:val="20"/>
                <w:szCs w:val="20"/>
                <w:lang w:eastAsia="en-GB"/>
              </w:rPr>
              <w:t>Decrease / (i</w:t>
            </w:r>
            <w:r w:rsidRPr="00543D10">
              <w:rPr>
                <w:rFonts w:ascii="Arial" w:eastAsia="Times New Roman" w:hAnsi="Arial" w:cs="Arial"/>
                <w:sz w:val="20"/>
                <w:szCs w:val="20"/>
                <w:lang w:eastAsia="en-GB"/>
              </w:rPr>
              <w:t>ncrease</w:t>
            </w:r>
            <w:r>
              <w:rPr>
                <w:rFonts w:ascii="Arial" w:eastAsia="Times New Roman" w:hAnsi="Arial" w:cs="Arial"/>
                <w:sz w:val="20"/>
                <w:szCs w:val="20"/>
                <w:lang w:eastAsia="en-GB"/>
              </w:rPr>
              <w:t>)</w:t>
            </w:r>
            <w:r w:rsidRPr="00543D10">
              <w:rPr>
                <w:rFonts w:ascii="Arial" w:eastAsia="Times New Roman" w:hAnsi="Arial" w:cs="Arial"/>
                <w:sz w:val="20"/>
                <w:szCs w:val="20"/>
                <w:lang w:eastAsia="en-GB"/>
              </w:rPr>
              <w:t xml:space="preserve"> in stock</w:t>
            </w:r>
          </w:p>
        </w:tc>
        <w:tc>
          <w:tcPr>
            <w:tcW w:w="1226" w:type="dxa"/>
            <w:tcBorders>
              <w:top w:val="nil"/>
              <w:left w:val="nil"/>
              <w:bottom w:val="nil"/>
              <w:right w:val="nil"/>
            </w:tcBorders>
            <w:shd w:val="clear" w:color="auto" w:fill="auto"/>
            <w:noWrap/>
            <w:vAlign w:val="center"/>
            <w:hideMark/>
          </w:tcPr>
          <w:p w14:paraId="38AB3C1D" w14:textId="77777777" w:rsidR="001C5D15" w:rsidRPr="00543D10" w:rsidRDefault="001C5D15" w:rsidP="001C5D15">
            <w:pPr>
              <w:spacing w:before="60" w:after="60" w:line="240" w:lineRule="auto"/>
              <w:ind w:right="-22"/>
              <w:rPr>
                <w:rFonts w:ascii="Times New Roman" w:eastAsia="Times New Roman" w:hAnsi="Times New Roman" w:cs="Times New Roman"/>
                <w:sz w:val="20"/>
                <w:szCs w:val="20"/>
                <w:lang w:eastAsia="en-GB"/>
              </w:rPr>
            </w:pPr>
          </w:p>
        </w:tc>
        <w:tc>
          <w:tcPr>
            <w:tcW w:w="1485" w:type="dxa"/>
            <w:tcBorders>
              <w:top w:val="nil"/>
              <w:left w:val="nil"/>
              <w:bottom w:val="nil"/>
              <w:right w:val="nil"/>
            </w:tcBorders>
            <w:shd w:val="clear" w:color="auto" w:fill="auto"/>
            <w:noWrap/>
            <w:vAlign w:val="center"/>
          </w:tcPr>
          <w:p w14:paraId="1C2DF3F6" w14:textId="77777777" w:rsidR="001C5D15" w:rsidRPr="00543D10" w:rsidRDefault="001C5D15" w:rsidP="001C5D15">
            <w:pPr>
              <w:spacing w:before="60" w:after="60" w:line="240" w:lineRule="auto"/>
              <w:ind w:right="-22"/>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201</w:t>
            </w:r>
          </w:p>
        </w:tc>
        <w:tc>
          <w:tcPr>
            <w:tcW w:w="1400" w:type="dxa"/>
            <w:gridSpan w:val="3"/>
            <w:tcBorders>
              <w:top w:val="nil"/>
              <w:left w:val="nil"/>
              <w:bottom w:val="nil"/>
              <w:right w:val="nil"/>
            </w:tcBorders>
            <w:shd w:val="clear" w:color="auto" w:fill="auto"/>
            <w:noWrap/>
            <w:vAlign w:val="center"/>
            <w:hideMark/>
          </w:tcPr>
          <w:p w14:paraId="29F4EC86" w14:textId="77777777" w:rsidR="001C5D15" w:rsidRPr="0061265C" w:rsidRDefault="001C5D15" w:rsidP="001C5D15">
            <w:pPr>
              <w:spacing w:before="60" w:after="60" w:line="240" w:lineRule="auto"/>
              <w:ind w:right="-22"/>
              <w:jc w:val="right"/>
              <w:rPr>
                <w:rFonts w:ascii="Arial" w:eastAsia="Times New Roman" w:hAnsi="Arial" w:cs="Arial"/>
                <w:sz w:val="20"/>
                <w:szCs w:val="20"/>
                <w:lang w:eastAsia="en-GB"/>
              </w:rPr>
            </w:pPr>
            <w:r w:rsidRPr="0061265C">
              <w:rPr>
                <w:rFonts w:ascii="Arial" w:eastAsia="Times New Roman" w:hAnsi="Arial" w:cs="Arial"/>
                <w:bCs/>
                <w:sz w:val="20"/>
                <w:szCs w:val="20"/>
                <w:lang w:eastAsia="en-GB"/>
              </w:rPr>
              <w:t>(225)</w:t>
            </w:r>
          </w:p>
        </w:tc>
      </w:tr>
      <w:tr w:rsidR="001C5D15" w:rsidRPr="00543D10" w14:paraId="29B2C6F9" w14:textId="77777777" w:rsidTr="006647C2">
        <w:trPr>
          <w:gridAfter w:val="3"/>
          <w:wAfter w:w="2878" w:type="dxa"/>
        </w:trPr>
        <w:tc>
          <w:tcPr>
            <w:tcW w:w="5103" w:type="dxa"/>
            <w:tcBorders>
              <w:top w:val="nil"/>
              <w:left w:val="nil"/>
              <w:bottom w:val="nil"/>
              <w:right w:val="nil"/>
            </w:tcBorders>
            <w:shd w:val="clear" w:color="auto" w:fill="auto"/>
            <w:vAlign w:val="center"/>
            <w:hideMark/>
          </w:tcPr>
          <w:p w14:paraId="307EA74B" w14:textId="77777777" w:rsidR="001C5D15" w:rsidRPr="00543D10" w:rsidRDefault="001C5D15" w:rsidP="001C5D15">
            <w:pPr>
              <w:spacing w:before="60" w:after="60" w:line="240" w:lineRule="auto"/>
              <w:ind w:right="-22"/>
              <w:rPr>
                <w:rFonts w:ascii="Arial" w:eastAsia="Times New Roman" w:hAnsi="Arial" w:cs="Arial"/>
                <w:sz w:val="20"/>
                <w:szCs w:val="20"/>
                <w:lang w:eastAsia="en-GB"/>
              </w:rPr>
            </w:pPr>
            <w:r w:rsidRPr="00263A71">
              <w:rPr>
                <w:rFonts w:ascii="Arial" w:eastAsia="Times New Roman" w:hAnsi="Arial" w:cs="Arial"/>
                <w:sz w:val="20"/>
                <w:szCs w:val="20"/>
                <w:lang w:eastAsia="en-GB"/>
              </w:rPr>
              <w:t>Increase in debtors</w:t>
            </w:r>
          </w:p>
        </w:tc>
        <w:tc>
          <w:tcPr>
            <w:tcW w:w="1226" w:type="dxa"/>
            <w:tcBorders>
              <w:top w:val="nil"/>
              <w:left w:val="nil"/>
              <w:bottom w:val="nil"/>
              <w:right w:val="nil"/>
            </w:tcBorders>
            <w:shd w:val="clear" w:color="auto" w:fill="auto"/>
            <w:noWrap/>
            <w:vAlign w:val="center"/>
            <w:hideMark/>
          </w:tcPr>
          <w:p w14:paraId="05E4AAC9" w14:textId="77777777" w:rsidR="001C5D15" w:rsidRPr="00543D10" w:rsidRDefault="001C5D15" w:rsidP="001C5D15">
            <w:pPr>
              <w:spacing w:before="60" w:after="60" w:line="240" w:lineRule="auto"/>
              <w:ind w:right="-22"/>
              <w:rPr>
                <w:rFonts w:ascii="Times New Roman" w:eastAsia="Times New Roman" w:hAnsi="Times New Roman" w:cs="Times New Roman"/>
                <w:sz w:val="20"/>
                <w:szCs w:val="20"/>
                <w:lang w:eastAsia="en-GB"/>
              </w:rPr>
            </w:pPr>
          </w:p>
        </w:tc>
        <w:tc>
          <w:tcPr>
            <w:tcW w:w="1485" w:type="dxa"/>
            <w:tcBorders>
              <w:top w:val="nil"/>
              <w:left w:val="nil"/>
              <w:bottom w:val="nil"/>
              <w:right w:val="nil"/>
            </w:tcBorders>
            <w:shd w:val="clear" w:color="auto" w:fill="auto"/>
            <w:noWrap/>
            <w:vAlign w:val="center"/>
          </w:tcPr>
          <w:p w14:paraId="30789FE3" w14:textId="77777777" w:rsidR="001C5D15" w:rsidRPr="00543D10" w:rsidRDefault="001C5D15" w:rsidP="001C5D15">
            <w:pPr>
              <w:spacing w:before="60" w:after="60" w:line="240" w:lineRule="auto"/>
              <w:ind w:right="-22"/>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(6,232)</w:t>
            </w:r>
          </w:p>
        </w:tc>
        <w:tc>
          <w:tcPr>
            <w:tcW w:w="1400" w:type="dxa"/>
            <w:gridSpan w:val="3"/>
            <w:tcBorders>
              <w:top w:val="nil"/>
              <w:left w:val="nil"/>
              <w:bottom w:val="nil"/>
              <w:right w:val="nil"/>
            </w:tcBorders>
            <w:shd w:val="clear" w:color="auto" w:fill="auto"/>
            <w:noWrap/>
            <w:vAlign w:val="center"/>
            <w:hideMark/>
          </w:tcPr>
          <w:p w14:paraId="1E9A8A27" w14:textId="77777777" w:rsidR="001C5D15" w:rsidRPr="0061265C" w:rsidRDefault="001C5D15" w:rsidP="001C5D15">
            <w:pPr>
              <w:spacing w:before="60" w:after="60" w:line="240" w:lineRule="auto"/>
              <w:ind w:right="-22"/>
              <w:jc w:val="right"/>
              <w:rPr>
                <w:rFonts w:ascii="Arial" w:eastAsia="Times New Roman" w:hAnsi="Arial" w:cs="Arial"/>
                <w:sz w:val="20"/>
                <w:szCs w:val="20"/>
                <w:lang w:eastAsia="en-GB"/>
              </w:rPr>
            </w:pPr>
            <w:r w:rsidRPr="0061265C">
              <w:rPr>
                <w:rFonts w:ascii="Arial" w:eastAsia="Times New Roman" w:hAnsi="Arial" w:cs="Arial"/>
                <w:bCs/>
                <w:sz w:val="20"/>
                <w:szCs w:val="20"/>
                <w:lang w:eastAsia="en-GB"/>
              </w:rPr>
              <w:t>(2,472)</w:t>
            </w:r>
          </w:p>
        </w:tc>
      </w:tr>
      <w:tr w:rsidR="001C5D15" w:rsidRPr="00543D10" w14:paraId="31763936" w14:textId="77777777" w:rsidTr="006647C2">
        <w:trPr>
          <w:gridAfter w:val="3"/>
          <w:wAfter w:w="2878" w:type="dxa"/>
        </w:trPr>
        <w:tc>
          <w:tcPr>
            <w:tcW w:w="5103" w:type="dxa"/>
            <w:tcBorders>
              <w:top w:val="nil"/>
              <w:left w:val="nil"/>
              <w:bottom w:val="nil"/>
              <w:right w:val="nil"/>
            </w:tcBorders>
            <w:shd w:val="clear" w:color="auto" w:fill="auto"/>
            <w:vAlign w:val="center"/>
          </w:tcPr>
          <w:p w14:paraId="4A87F8E7" w14:textId="77777777" w:rsidR="001C5D15" w:rsidRPr="00543D10" w:rsidRDefault="001C5D15" w:rsidP="001C5D15">
            <w:pPr>
              <w:spacing w:before="60" w:after="60" w:line="240" w:lineRule="auto"/>
              <w:ind w:right="-22"/>
              <w:rPr>
                <w:rFonts w:ascii="Arial" w:eastAsia="Times New Roman" w:hAnsi="Arial" w:cs="Arial"/>
                <w:sz w:val="20"/>
                <w:szCs w:val="20"/>
                <w:lang w:eastAsia="en-GB"/>
              </w:rPr>
            </w:pPr>
            <w:r w:rsidRPr="00543D10">
              <w:rPr>
                <w:rFonts w:ascii="Arial" w:eastAsia="Times New Roman" w:hAnsi="Arial" w:cs="Arial"/>
                <w:sz w:val="20"/>
                <w:szCs w:val="20"/>
                <w:lang w:eastAsia="en-GB"/>
              </w:rPr>
              <w:t>Decrease in value of joint ventures</w:t>
            </w:r>
          </w:p>
        </w:tc>
        <w:tc>
          <w:tcPr>
            <w:tcW w:w="1226" w:type="dxa"/>
            <w:tcBorders>
              <w:top w:val="nil"/>
              <w:left w:val="nil"/>
              <w:bottom w:val="nil"/>
              <w:right w:val="nil"/>
            </w:tcBorders>
            <w:shd w:val="clear" w:color="auto" w:fill="auto"/>
            <w:noWrap/>
            <w:vAlign w:val="center"/>
          </w:tcPr>
          <w:p w14:paraId="5D648378" w14:textId="77777777" w:rsidR="001C5D15" w:rsidRPr="00543D10" w:rsidRDefault="001C5D15" w:rsidP="001C5D15">
            <w:pPr>
              <w:spacing w:before="60" w:after="60" w:line="240" w:lineRule="auto"/>
              <w:ind w:right="-22"/>
              <w:rPr>
                <w:rFonts w:ascii="Times New Roman" w:eastAsia="Times New Roman" w:hAnsi="Times New Roman" w:cs="Times New Roman"/>
                <w:sz w:val="20"/>
                <w:szCs w:val="20"/>
                <w:lang w:eastAsia="en-GB"/>
              </w:rPr>
            </w:pPr>
          </w:p>
        </w:tc>
        <w:tc>
          <w:tcPr>
            <w:tcW w:w="1485" w:type="dxa"/>
            <w:tcBorders>
              <w:top w:val="nil"/>
              <w:left w:val="nil"/>
              <w:bottom w:val="nil"/>
              <w:right w:val="nil"/>
            </w:tcBorders>
            <w:shd w:val="clear" w:color="auto" w:fill="auto"/>
            <w:noWrap/>
            <w:vAlign w:val="center"/>
          </w:tcPr>
          <w:p w14:paraId="74146C5B" w14:textId="77777777" w:rsidR="001C5D15" w:rsidRPr="00543D10" w:rsidRDefault="001C5D15" w:rsidP="001C5D15">
            <w:pPr>
              <w:spacing w:before="60" w:after="60" w:line="240" w:lineRule="auto"/>
              <w:ind w:right="-22"/>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1,016</w:t>
            </w:r>
          </w:p>
        </w:tc>
        <w:tc>
          <w:tcPr>
            <w:tcW w:w="1400" w:type="dxa"/>
            <w:gridSpan w:val="3"/>
            <w:tcBorders>
              <w:top w:val="nil"/>
              <w:left w:val="nil"/>
              <w:bottom w:val="nil"/>
              <w:right w:val="nil"/>
            </w:tcBorders>
            <w:shd w:val="clear" w:color="auto" w:fill="auto"/>
            <w:noWrap/>
            <w:vAlign w:val="center"/>
          </w:tcPr>
          <w:p w14:paraId="4E8DD020" w14:textId="77777777" w:rsidR="001C5D15" w:rsidRPr="0061265C" w:rsidRDefault="001C5D15" w:rsidP="001C5D15">
            <w:pPr>
              <w:spacing w:before="60" w:after="60" w:line="240" w:lineRule="auto"/>
              <w:ind w:right="-22"/>
              <w:jc w:val="right"/>
              <w:rPr>
                <w:rFonts w:ascii="Arial" w:eastAsia="Times New Roman" w:hAnsi="Arial" w:cs="Arial"/>
                <w:sz w:val="20"/>
                <w:szCs w:val="20"/>
                <w:lang w:eastAsia="en-GB"/>
              </w:rPr>
            </w:pPr>
            <w:r w:rsidRPr="0061265C">
              <w:rPr>
                <w:rFonts w:ascii="Arial" w:eastAsia="Times New Roman" w:hAnsi="Arial" w:cs="Arial"/>
                <w:bCs/>
                <w:sz w:val="20"/>
                <w:szCs w:val="20"/>
                <w:lang w:eastAsia="en-GB"/>
              </w:rPr>
              <w:t>111</w:t>
            </w:r>
          </w:p>
        </w:tc>
      </w:tr>
      <w:tr w:rsidR="001C5D15" w:rsidRPr="00543D10" w14:paraId="28E9E992" w14:textId="77777777" w:rsidTr="006647C2">
        <w:trPr>
          <w:gridAfter w:val="3"/>
          <w:wAfter w:w="2878" w:type="dxa"/>
        </w:trPr>
        <w:tc>
          <w:tcPr>
            <w:tcW w:w="5103" w:type="dxa"/>
            <w:tcBorders>
              <w:top w:val="nil"/>
              <w:left w:val="nil"/>
              <w:bottom w:val="nil"/>
              <w:right w:val="nil"/>
            </w:tcBorders>
            <w:shd w:val="clear" w:color="auto" w:fill="auto"/>
            <w:vAlign w:val="center"/>
            <w:hideMark/>
          </w:tcPr>
          <w:p w14:paraId="1F7DA170" w14:textId="77777777" w:rsidR="001C5D15" w:rsidRPr="00543D10" w:rsidRDefault="0000682B" w:rsidP="0000682B">
            <w:pPr>
              <w:spacing w:before="60" w:after="60" w:line="240" w:lineRule="auto"/>
              <w:ind w:right="-22"/>
              <w:rPr>
                <w:rFonts w:ascii="Arial" w:eastAsia="Times New Roman" w:hAnsi="Arial" w:cs="Arial"/>
                <w:sz w:val="20"/>
                <w:szCs w:val="20"/>
                <w:lang w:eastAsia="en-GB"/>
              </w:rPr>
            </w:pPr>
            <w:r>
              <w:rPr>
                <w:rFonts w:ascii="Arial" w:eastAsia="Times New Roman" w:hAnsi="Arial" w:cs="Arial"/>
                <w:sz w:val="20"/>
                <w:szCs w:val="20"/>
                <w:lang w:eastAsia="en-GB"/>
              </w:rPr>
              <w:t>In</w:t>
            </w:r>
            <w:r w:rsidR="001C5D15" w:rsidRPr="00543D10">
              <w:rPr>
                <w:rFonts w:ascii="Arial" w:eastAsia="Times New Roman" w:hAnsi="Arial" w:cs="Arial"/>
                <w:sz w:val="20"/>
                <w:szCs w:val="20"/>
                <w:lang w:eastAsia="en-GB"/>
              </w:rPr>
              <w:t>crease</w:t>
            </w:r>
            <w:r>
              <w:rPr>
                <w:rFonts w:ascii="Arial" w:eastAsia="Times New Roman" w:hAnsi="Arial" w:cs="Arial"/>
                <w:sz w:val="20"/>
                <w:szCs w:val="20"/>
                <w:lang w:eastAsia="en-GB"/>
              </w:rPr>
              <w:t xml:space="preserve"> </w:t>
            </w:r>
            <w:r w:rsidR="001C5D15" w:rsidRPr="00543D10">
              <w:rPr>
                <w:rFonts w:ascii="Arial" w:eastAsia="Times New Roman" w:hAnsi="Arial" w:cs="Arial"/>
                <w:sz w:val="20"/>
                <w:szCs w:val="20"/>
                <w:lang w:eastAsia="en-GB"/>
              </w:rPr>
              <w:t>/</w:t>
            </w:r>
            <w:r>
              <w:rPr>
                <w:rFonts w:ascii="Arial" w:eastAsia="Times New Roman" w:hAnsi="Arial" w:cs="Arial"/>
                <w:sz w:val="20"/>
                <w:szCs w:val="20"/>
                <w:lang w:eastAsia="en-GB"/>
              </w:rPr>
              <w:t xml:space="preserve"> (de</w:t>
            </w:r>
            <w:r w:rsidR="001C5D15" w:rsidRPr="00543D10">
              <w:rPr>
                <w:rFonts w:ascii="Arial" w:eastAsia="Times New Roman" w:hAnsi="Arial" w:cs="Arial"/>
                <w:sz w:val="20"/>
                <w:szCs w:val="20"/>
                <w:lang w:eastAsia="en-GB"/>
              </w:rPr>
              <w:t>crease</w:t>
            </w:r>
            <w:r>
              <w:rPr>
                <w:rFonts w:ascii="Arial" w:eastAsia="Times New Roman" w:hAnsi="Arial" w:cs="Arial"/>
                <w:sz w:val="20"/>
                <w:szCs w:val="20"/>
                <w:lang w:eastAsia="en-GB"/>
              </w:rPr>
              <w:t>)</w:t>
            </w:r>
            <w:r w:rsidR="001C5D15" w:rsidRPr="00543D10">
              <w:rPr>
                <w:rFonts w:ascii="Arial" w:eastAsia="Times New Roman" w:hAnsi="Arial" w:cs="Arial"/>
                <w:sz w:val="20"/>
                <w:szCs w:val="20"/>
                <w:lang w:eastAsia="en-GB"/>
              </w:rPr>
              <w:t xml:space="preserve"> in creditors</w:t>
            </w:r>
          </w:p>
        </w:tc>
        <w:tc>
          <w:tcPr>
            <w:tcW w:w="1226" w:type="dxa"/>
            <w:tcBorders>
              <w:top w:val="nil"/>
              <w:left w:val="nil"/>
              <w:bottom w:val="nil"/>
              <w:right w:val="nil"/>
            </w:tcBorders>
            <w:shd w:val="clear" w:color="auto" w:fill="auto"/>
            <w:noWrap/>
            <w:vAlign w:val="center"/>
            <w:hideMark/>
          </w:tcPr>
          <w:p w14:paraId="31A710D7" w14:textId="77777777" w:rsidR="001C5D15" w:rsidRPr="00543D10" w:rsidRDefault="001C5D15" w:rsidP="001C5D15">
            <w:pPr>
              <w:spacing w:before="60" w:after="60" w:line="240" w:lineRule="auto"/>
              <w:ind w:right="-22"/>
              <w:rPr>
                <w:rFonts w:ascii="Times New Roman" w:eastAsia="Times New Roman" w:hAnsi="Times New Roman" w:cs="Times New Roman"/>
                <w:sz w:val="20"/>
                <w:szCs w:val="20"/>
                <w:lang w:eastAsia="en-GB"/>
              </w:rPr>
            </w:pPr>
          </w:p>
        </w:tc>
        <w:tc>
          <w:tcPr>
            <w:tcW w:w="1485" w:type="dxa"/>
            <w:tcBorders>
              <w:top w:val="nil"/>
              <w:left w:val="nil"/>
              <w:bottom w:val="nil"/>
              <w:right w:val="nil"/>
            </w:tcBorders>
            <w:shd w:val="clear" w:color="auto" w:fill="auto"/>
            <w:noWrap/>
            <w:vAlign w:val="center"/>
          </w:tcPr>
          <w:p w14:paraId="713DE90F" w14:textId="77777777" w:rsidR="001C5D15" w:rsidRPr="00543D10" w:rsidRDefault="001C5D15" w:rsidP="001C5D15">
            <w:pPr>
              <w:spacing w:before="60" w:after="60" w:line="240" w:lineRule="auto"/>
              <w:ind w:right="-22"/>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15,214</w:t>
            </w:r>
          </w:p>
        </w:tc>
        <w:tc>
          <w:tcPr>
            <w:tcW w:w="1400" w:type="dxa"/>
            <w:gridSpan w:val="3"/>
            <w:tcBorders>
              <w:top w:val="nil"/>
              <w:left w:val="nil"/>
              <w:bottom w:val="nil"/>
              <w:right w:val="nil"/>
            </w:tcBorders>
            <w:shd w:val="clear" w:color="auto" w:fill="auto"/>
            <w:noWrap/>
            <w:vAlign w:val="center"/>
            <w:hideMark/>
          </w:tcPr>
          <w:p w14:paraId="6F22E64C" w14:textId="77777777" w:rsidR="001C5D15" w:rsidRPr="0061265C" w:rsidRDefault="001C5D15" w:rsidP="001C5D15">
            <w:pPr>
              <w:spacing w:before="60" w:after="60" w:line="240" w:lineRule="auto"/>
              <w:ind w:right="-22"/>
              <w:jc w:val="right"/>
              <w:rPr>
                <w:rFonts w:ascii="Arial" w:eastAsia="Times New Roman" w:hAnsi="Arial" w:cs="Arial"/>
                <w:sz w:val="20"/>
                <w:szCs w:val="20"/>
                <w:lang w:eastAsia="en-GB"/>
              </w:rPr>
            </w:pPr>
            <w:r w:rsidRPr="0061265C">
              <w:rPr>
                <w:rFonts w:ascii="Arial" w:eastAsia="Times New Roman" w:hAnsi="Arial" w:cs="Arial"/>
                <w:bCs/>
                <w:sz w:val="20"/>
                <w:szCs w:val="20"/>
                <w:lang w:eastAsia="en-GB"/>
              </w:rPr>
              <w:t>(8,221)</w:t>
            </w:r>
          </w:p>
        </w:tc>
      </w:tr>
      <w:tr w:rsidR="001C5D15" w:rsidRPr="00543D10" w14:paraId="2195AA61" w14:textId="77777777" w:rsidTr="006647C2">
        <w:trPr>
          <w:gridAfter w:val="3"/>
          <w:wAfter w:w="2878" w:type="dxa"/>
        </w:trPr>
        <w:tc>
          <w:tcPr>
            <w:tcW w:w="5103" w:type="dxa"/>
            <w:tcBorders>
              <w:top w:val="nil"/>
              <w:left w:val="nil"/>
              <w:bottom w:val="nil"/>
              <w:right w:val="nil"/>
            </w:tcBorders>
            <w:shd w:val="clear" w:color="auto" w:fill="auto"/>
            <w:vAlign w:val="center"/>
            <w:hideMark/>
          </w:tcPr>
          <w:p w14:paraId="30B25889" w14:textId="77777777" w:rsidR="001C5D15" w:rsidRPr="00543D10" w:rsidRDefault="00496BBD" w:rsidP="00496BBD">
            <w:pPr>
              <w:spacing w:before="60" w:after="60" w:line="240" w:lineRule="auto"/>
              <w:ind w:right="-22"/>
              <w:rPr>
                <w:rFonts w:ascii="Arial" w:eastAsia="Times New Roman" w:hAnsi="Arial" w:cs="Arial"/>
                <w:sz w:val="20"/>
                <w:szCs w:val="20"/>
                <w:lang w:eastAsia="en-GB"/>
              </w:rPr>
            </w:pPr>
            <w:r>
              <w:rPr>
                <w:rFonts w:ascii="Arial" w:eastAsia="Times New Roman" w:hAnsi="Arial" w:cs="Arial"/>
                <w:sz w:val="20"/>
                <w:szCs w:val="20"/>
                <w:lang w:eastAsia="en-GB"/>
              </w:rPr>
              <w:t xml:space="preserve">Increase </w:t>
            </w:r>
            <w:r w:rsidR="001C5D15" w:rsidRPr="00543D10">
              <w:rPr>
                <w:rFonts w:ascii="Arial" w:eastAsia="Times New Roman" w:hAnsi="Arial" w:cs="Arial"/>
                <w:sz w:val="20"/>
                <w:szCs w:val="20"/>
                <w:lang w:eastAsia="en-GB"/>
              </w:rPr>
              <w:t>in deferred income</w:t>
            </w:r>
          </w:p>
        </w:tc>
        <w:tc>
          <w:tcPr>
            <w:tcW w:w="1226" w:type="dxa"/>
            <w:tcBorders>
              <w:top w:val="nil"/>
              <w:left w:val="nil"/>
              <w:bottom w:val="nil"/>
              <w:right w:val="nil"/>
            </w:tcBorders>
            <w:shd w:val="clear" w:color="auto" w:fill="auto"/>
            <w:noWrap/>
            <w:vAlign w:val="center"/>
            <w:hideMark/>
          </w:tcPr>
          <w:p w14:paraId="44FB5916" w14:textId="77777777" w:rsidR="001C5D15" w:rsidRPr="00543D10" w:rsidRDefault="001C5D15" w:rsidP="001C5D15">
            <w:pPr>
              <w:spacing w:before="60" w:after="60" w:line="240" w:lineRule="auto"/>
              <w:ind w:right="-22"/>
              <w:rPr>
                <w:rFonts w:ascii="Times New Roman" w:eastAsia="Times New Roman" w:hAnsi="Times New Roman" w:cs="Times New Roman"/>
                <w:sz w:val="20"/>
                <w:szCs w:val="20"/>
                <w:lang w:eastAsia="en-GB"/>
              </w:rPr>
            </w:pPr>
          </w:p>
        </w:tc>
        <w:tc>
          <w:tcPr>
            <w:tcW w:w="1485" w:type="dxa"/>
            <w:tcBorders>
              <w:top w:val="nil"/>
              <w:left w:val="nil"/>
              <w:bottom w:val="nil"/>
              <w:right w:val="nil"/>
            </w:tcBorders>
            <w:shd w:val="clear" w:color="auto" w:fill="auto"/>
            <w:noWrap/>
            <w:vAlign w:val="center"/>
          </w:tcPr>
          <w:p w14:paraId="7995683F" w14:textId="77777777" w:rsidR="001C5D15" w:rsidRPr="00543D10" w:rsidRDefault="001C5D15" w:rsidP="001C5D15">
            <w:pPr>
              <w:spacing w:before="60" w:after="60" w:line="240" w:lineRule="auto"/>
              <w:ind w:right="-22"/>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4,959</w:t>
            </w:r>
          </w:p>
        </w:tc>
        <w:tc>
          <w:tcPr>
            <w:tcW w:w="1400" w:type="dxa"/>
            <w:gridSpan w:val="3"/>
            <w:tcBorders>
              <w:top w:val="nil"/>
              <w:left w:val="nil"/>
              <w:bottom w:val="nil"/>
              <w:right w:val="nil"/>
            </w:tcBorders>
            <w:shd w:val="clear" w:color="auto" w:fill="auto"/>
            <w:noWrap/>
            <w:vAlign w:val="center"/>
            <w:hideMark/>
          </w:tcPr>
          <w:p w14:paraId="73CD2F1F" w14:textId="77777777" w:rsidR="001C5D15" w:rsidRPr="0061265C" w:rsidRDefault="001C5D15" w:rsidP="001C5D15">
            <w:pPr>
              <w:spacing w:before="60" w:after="60" w:line="240" w:lineRule="auto"/>
              <w:ind w:right="-22"/>
              <w:jc w:val="right"/>
              <w:rPr>
                <w:rFonts w:ascii="Arial" w:eastAsia="Times New Roman" w:hAnsi="Arial" w:cs="Arial"/>
                <w:sz w:val="20"/>
                <w:szCs w:val="20"/>
                <w:lang w:eastAsia="en-GB"/>
              </w:rPr>
            </w:pPr>
            <w:r w:rsidRPr="0061265C">
              <w:rPr>
                <w:rFonts w:ascii="Arial" w:eastAsia="Times New Roman" w:hAnsi="Arial" w:cs="Arial"/>
                <w:bCs/>
                <w:sz w:val="20"/>
                <w:szCs w:val="20"/>
                <w:lang w:eastAsia="en-GB"/>
              </w:rPr>
              <w:t>4,993</w:t>
            </w:r>
          </w:p>
        </w:tc>
      </w:tr>
      <w:tr w:rsidR="001C5D15" w:rsidRPr="00543D10" w14:paraId="5BD8D421" w14:textId="77777777" w:rsidTr="006647C2">
        <w:trPr>
          <w:gridAfter w:val="3"/>
          <w:wAfter w:w="2878" w:type="dxa"/>
        </w:trPr>
        <w:tc>
          <w:tcPr>
            <w:tcW w:w="5103" w:type="dxa"/>
            <w:tcBorders>
              <w:top w:val="nil"/>
              <w:left w:val="nil"/>
              <w:bottom w:val="nil"/>
              <w:right w:val="nil"/>
            </w:tcBorders>
            <w:shd w:val="clear" w:color="auto" w:fill="auto"/>
            <w:vAlign w:val="center"/>
            <w:hideMark/>
          </w:tcPr>
          <w:p w14:paraId="05B6174B" w14:textId="77777777" w:rsidR="001C5D15" w:rsidRPr="00543D10" w:rsidRDefault="00496BBD" w:rsidP="00496BBD">
            <w:pPr>
              <w:spacing w:before="60" w:after="60" w:line="240" w:lineRule="auto"/>
              <w:ind w:right="-22"/>
              <w:rPr>
                <w:rFonts w:ascii="Arial" w:eastAsia="Times New Roman" w:hAnsi="Arial" w:cs="Arial"/>
                <w:sz w:val="20"/>
                <w:szCs w:val="20"/>
                <w:lang w:eastAsia="en-GB"/>
              </w:rPr>
            </w:pPr>
            <w:r>
              <w:rPr>
                <w:rFonts w:ascii="Arial" w:eastAsia="Times New Roman" w:hAnsi="Arial" w:cs="Arial"/>
                <w:sz w:val="20"/>
                <w:szCs w:val="20"/>
                <w:lang w:eastAsia="en-GB"/>
              </w:rPr>
              <w:t>Increase / (d</w:t>
            </w:r>
            <w:r w:rsidR="001C5D15" w:rsidRPr="00543D10">
              <w:rPr>
                <w:rFonts w:ascii="Arial" w:eastAsia="Times New Roman" w:hAnsi="Arial" w:cs="Arial"/>
                <w:sz w:val="20"/>
                <w:szCs w:val="20"/>
                <w:lang w:eastAsia="en-GB"/>
              </w:rPr>
              <w:t>ecrease</w:t>
            </w:r>
            <w:r>
              <w:rPr>
                <w:rFonts w:ascii="Arial" w:eastAsia="Times New Roman" w:hAnsi="Arial" w:cs="Arial"/>
                <w:sz w:val="20"/>
                <w:szCs w:val="20"/>
                <w:lang w:eastAsia="en-GB"/>
              </w:rPr>
              <w:t>)</w:t>
            </w:r>
            <w:r w:rsidR="001C5D15" w:rsidRPr="00543D10">
              <w:rPr>
                <w:rFonts w:ascii="Arial" w:eastAsia="Times New Roman" w:hAnsi="Arial" w:cs="Arial"/>
                <w:sz w:val="20"/>
                <w:szCs w:val="20"/>
                <w:lang w:eastAsia="en-GB"/>
              </w:rPr>
              <w:t xml:space="preserve"> in provisions for liabilities and charges</w:t>
            </w:r>
          </w:p>
        </w:tc>
        <w:tc>
          <w:tcPr>
            <w:tcW w:w="1226" w:type="dxa"/>
            <w:tcBorders>
              <w:top w:val="nil"/>
              <w:left w:val="nil"/>
              <w:bottom w:val="nil"/>
              <w:right w:val="nil"/>
            </w:tcBorders>
            <w:shd w:val="clear" w:color="auto" w:fill="auto"/>
            <w:noWrap/>
            <w:vAlign w:val="center"/>
            <w:hideMark/>
          </w:tcPr>
          <w:p w14:paraId="35A859BC" w14:textId="77777777" w:rsidR="001C5D15" w:rsidRPr="00543D10" w:rsidRDefault="001C5D15" w:rsidP="001C5D15">
            <w:pPr>
              <w:spacing w:before="60" w:after="60" w:line="240" w:lineRule="auto"/>
              <w:ind w:right="-22"/>
              <w:rPr>
                <w:rFonts w:ascii="Times New Roman" w:eastAsia="Times New Roman" w:hAnsi="Times New Roman" w:cs="Times New Roman"/>
                <w:sz w:val="20"/>
                <w:szCs w:val="20"/>
                <w:lang w:eastAsia="en-GB"/>
              </w:rPr>
            </w:pPr>
          </w:p>
        </w:tc>
        <w:tc>
          <w:tcPr>
            <w:tcW w:w="1485" w:type="dxa"/>
            <w:tcBorders>
              <w:top w:val="nil"/>
              <w:left w:val="nil"/>
              <w:bottom w:val="nil"/>
              <w:right w:val="nil"/>
            </w:tcBorders>
            <w:shd w:val="clear" w:color="auto" w:fill="auto"/>
            <w:noWrap/>
            <w:vAlign w:val="center"/>
          </w:tcPr>
          <w:p w14:paraId="168751B3" w14:textId="77777777" w:rsidR="001C5D15" w:rsidRPr="00543D10" w:rsidRDefault="001C5D15" w:rsidP="001C5D15">
            <w:pPr>
              <w:spacing w:before="60" w:after="60" w:line="240" w:lineRule="auto"/>
              <w:ind w:right="-22"/>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12</w:t>
            </w:r>
          </w:p>
        </w:tc>
        <w:tc>
          <w:tcPr>
            <w:tcW w:w="1400" w:type="dxa"/>
            <w:gridSpan w:val="3"/>
            <w:tcBorders>
              <w:top w:val="nil"/>
              <w:left w:val="nil"/>
              <w:bottom w:val="nil"/>
              <w:right w:val="nil"/>
            </w:tcBorders>
            <w:shd w:val="clear" w:color="auto" w:fill="auto"/>
            <w:noWrap/>
            <w:vAlign w:val="center"/>
            <w:hideMark/>
          </w:tcPr>
          <w:p w14:paraId="6055EFAE" w14:textId="77777777" w:rsidR="001C5D15" w:rsidRPr="0061265C" w:rsidRDefault="001C5D15" w:rsidP="001C5D15">
            <w:pPr>
              <w:spacing w:before="60" w:after="60" w:line="240" w:lineRule="auto"/>
              <w:ind w:right="-22"/>
              <w:jc w:val="right"/>
              <w:rPr>
                <w:rFonts w:ascii="Arial" w:eastAsia="Times New Roman" w:hAnsi="Arial" w:cs="Arial"/>
                <w:sz w:val="20"/>
                <w:szCs w:val="20"/>
                <w:lang w:eastAsia="en-GB"/>
              </w:rPr>
            </w:pPr>
            <w:r w:rsidRPr="0061265C">
              <w:rPr>
                <w:rFonts w:ascii="Arial" w:eastAsia="Times New Roman" w:hAnsi="Arial" w:cs="Arial"/>
                <w:bCs/>
                <w:sz w:val="20"/>
                <w:szCs w:val="20"/>
                <w:lang w:eastAsia="en-GB"/>
              </w:rPr>
              <w:t>(718)</w:t>
            </w:r>
          </w:p>
        </w:tc>
      </w:tr>
      <w:tr w:rsidR="001C5D15" w:rsidRPr="00543D10" w14:paraId="32F357F8" w14:textId="77777777" w:rsidTr="006647C2">
        <w:trPr>
          <w:gridAfter w:val="3"/>
          <w:wAfter w:w="2878" w:type="dxa"/>
          <w:trHeight w:val="510"/>
        </w:trPr>
        <w:tc>
          <w:tcPr>
            <w:tcW w:w="5103" w:type="dxa"/>
            <w:tcBorders>
              <w:top w:val="single" w:sz="4" w:space="0" w:color="auto"/>
              <w:left w:val="nil"/>
              <w:bottom w:val="single" w:sz="4" w:space="0" w:color="auto"/>
              <w:right w:val="nil"/>
            </w:tcBorders>
            <w:shd w:val="clear" w:color="auto" w:fill="auto"/>
            <w:vAlign w:val="center"/>
            <w:hideMark/>
          </w:tcPr>
          <w:p w14:paraId="284EE1BD" w14:textId="77777777" w:rsidR="001C5D15" w:rsidRPr="00543D10" w:rsidRDefault="001C5D15" w:rsidP="001C5D15">
            <w:pPr>
              <w:spacing w:before="60" w:after="60" w:line="240" w:lineRule="auto"/>
              <w:ind w:right="-22"/>
              <w:rPr>
                <w:rFonts w:ascii="Arial" w:eastAsia="Times New Roman" w:hAnsi="Arial" w:cs="Arial"/>
                <w:b/>
                <w:bCs/>
                <w:sz w:val="20"/>
                <w:szCs w:val="20"/>
                <w:lang w:eastAsia="en-GB"/>
              </w:rPr>
            </w:pPr>
            <w:r w:rsidRPr="00543D10">
              <w:rPr>
                <w:rFonts w:ascii="Arial" w:eastAsia="Times New Roman" w:hAnsi="Arial" w:cs="Arial"/>
                <w:b/>
                <w:bCs/>
                <w:sz w:val="20"/>
                <w:szCs w:val="20"/>
                <w:lang w:eastAsia="en-GB"/>
              </w:rPr>
              <w:t>Net cash inflow</w:t>
            </w:r>
            <w:r>
              <w:rPr>
                <w:rFonts w:ascii="Arial" w:eastAsia="Times New Roman" w:hAnsi="Arial" w:cs="Arial"/>
                <w:b/>
                <w:bCs/>
                <w:sz w:val="20"/>
                <w:szCs w:val="20"/>
                <w:lang w:eastAsia="en-GB"/>
              </w:rPr>
              <w:t xml:space="preserve"> / </w:t>
            </w:r>
            <w:r w:rsidRPr="00543D10">
              <w:rPr>
                <w:rFonts w:ascii="Arial" w:eastAsia="Times New Roman" w:hAnsi="Arial" w:cs="Arial"/>
                <w:b/>
                <w:bCs/>
                <w:sz w:val="20"/>
                <w:szCs w:val="20"/>
                <w:lang w:eastAsia="en-GB"/>
              </w:rPr>
              <w:t>(outflow)</w:t>
            </w:r>
            <w:r>
              <w:rPr>
                <w:rFonts w:ascii="Arial" w:eastAsia="Times New Roman" w:hAnsi="Arial" w:cs="Arial"/>
                <w:b/>
                <w:bCs/>
                <w:sz w:val="20"/>
                <w:szCs w:val="20"/>
                <w:lang w:eastAsia="en-GB"/>
              </w:rPr>
              <w:t xml:space="preserve"> f</w:t>
            </w:r>
            <w:r w:rsidRPr="00543D10">
              <w:rPr>
                <w:rFonts w:ascii="Arial" w:eastAsia="Times New Roman" w:hAnsi="Arial" w:cs="Arial"/>
                <w:b/>
                <w:bCs/>
                <w:sz w:val="20"/>
                <w:szCs w:val="20"/>
                <w:lang w:eastAsia="en-GB"/>
              </w:rPr>
              <w:t>rom operating activities</w:t>
            </w:r>
          </w:p>
        </w:tc>
        <w:tc>
          <w:tcPr>
            <w:tcW w:w="1226" w:type="dxa"/>
            <w:tcBorders>
              <w:top w:val="single" w:sz="4" w:space="0" w:color="auto"/>
              <w:left w:val="nil"/>
              <w:bottom w:val="single" w:sz="4" w:space="0" w:color="auto"/>
              <w:right w:val="nil"/>
            </w:tcBorders>
            <w:shd w:val="clear" w:color="auto" w:fill="auto"/>
            <w:noWrap/>
            <w:vAlign w:val="center"/>
            <w:hideMark/>
          </w:tcPr>
          <w:p w14:paraId="7536CAC7" w14:textId="77777777" w:rsidR="001C5D15" w:rsidRPr="00543D10" w:rsidRDefault="001C5D15" w:rsidP="001C5D15">
            <w:pPr>
              <w:spacing w:before="60" w:after="60" w:line="240" w:lineRule="auto"/>
              <w:ind w:right="-22"/>
              <w:rPr>
                <w:rFonts w:ascii="Arial" w:eastAsia="Times New Roman" w:hAnsi="Arial" w:cs="Arial"/>
                <w:sz w:val="20"/>
                <w:szCs w:val="20"/>
                <w:lang w:eastAsia="en-GB"/>
              </w:rPr>
            </w:pPr>
            <w:r w:rsidRPr="00543D10">
              <w:rPr>
                <w:rFonts w:ascii="Arial" w:eastAsia="Times New Roman" w:hAnsi="Arial" w:cs="Arial"/>
                <w:sz w:val="20"/>
                <w:szCs w:val="20"/>
                <w:lang w:eastAsia="en-GB"/>
              </w:rPr>
              <w:t> </w:t>
            </w:r>
          </w:p>
        </w:tc>
        <w:tc>
          <w:tcPr>
            <w:tcW w:w="1485" w:type="dxa"/>
            <w:tcBorders>
              <w:top w:val="single" w:sz="4" w:space="0" w:color="auto"/>
              <w:left w:val="nil"/>
              <w:bottom w:val="single" w:sz="4" w:space="0" w:color="auto"/>
              <w:right w:val="nil"/>
            </w:tcBorders>
            <w:shd w:val="clear" w:color="auto" w:fill="auto"/>
            <w:noWrap/>
            <w:vAlign w:val="center"/>
          </w:tcPr>
          <w:p w14:paraId="520E1A32" w14:textId="77777777" w:rsidR="001C5D15" w:rsidRPr="00543D10" w:rsidRDefault="00CF23EC" w:rsidP="001C5D15">
            <w:pPr>
              <w:spacing w:before="60" w:after="60" w:line="240" w:lineRule="auto"/>
              <w:ind w:right="-22"/>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38,62</w:t>
            </w:r>
            <w:r w:rsidR="00BA11DA">
              <w:rPr>
                <w:rFonts w:ascii="Arial" w:eastAsia="Times New Roman" w:hAnsi="Arial" w:cs="Arial"/>
                <w:b/>
                <w:bCs/>
                <w:sz w:val="20"/>
                <w:szCs w:val="20"/>
                <w:lang w:eastAsia="en-GB"/>
              </w:rPr>
              <w:t>2</w:t>
            </w:r>
          </w:p>
        </w:tc>
        <w:tc>
          <w:tcPr>
            <w:tcW w:w="1400" w:type="dxa"/>
            <w:gridSpan w:val="3"/>
            <w:tcBorders>
              <w:top w:val="single" w:sz="4" w:space="0" w:color="auto"/>
              <w:left w:val="nil"/>
              <w:bottom w:val="single" w:sz="4" w:space="0" w:color="auto"/>
              <w:right w:val="nil"/>
            </w:tcBorders>
            <w:shd w:val="clear" w:color="auto" w:fill="auto"/>
            <w:noWrap/>
            <w:vAlign w:val="center"/>
            <w:hideMark/>
          </w:tcPr>
          <w:p w14:paraId="020FCB35" w14:textId="77777777" w:rsidR="001C5D15" w:rsidRPr="0061265C" w:rsidRDefault="001C5D15" w:rsidP="001C5D15">
            <w:pPr>
              <w:spacing w:before="60" w:after="60" w:line="240" w:lineRule="auto"/>
              <w:ind w:right="-22"/>
              <w:jc w:val="right"/>
              <w:rPr>
                <w:rFonts w:ascii="Arial" w:eastAsia="Times New Roman" w:hAnsi="Arial" w:cs="Arial"/>
                <w:sz w:val="20"/>
                <w:szCs w:val="20"/>
                <w:lang w:eastAsia="en-GB"/>
              </w:rPr>
            </w:pPr>
            <w:r w:rsidRPr="0061265C">
              <w:rPr>
                <w:rFonts w:ascii="Arial" w:eastAsia="Times New Roman" w:hAnsi="Arial" w:cs="Arial"/>
                <w:bCs/>
                <w:sz w:val="20"/>
                <w:szCs w:val="20"/>
                <w:lang w:eastAsia="en-GB"/>
              </w:rPr>
              <w:t>(13,766)</w:t>
            </w:r>
          </w:p>
        </w:tc>
      </w:tr>
    </w:tbl>
    <w:p w14:paraId="3C8282EA" w14:textId="77777777" w:rsidR="00676596" w:rsidRPr="00543D10" w:rsidRDefault="00676596" w:rsidP="005C26C8">
      <w:pPr>
        <w:spacing w:after="0" w:line="240" w:lineRule="auto"/>
        <w:ind w:right="-22"/>
        <w:rPr>
          <w:rFonts w:ascii="Arial" w:eastAsia="Times New Roman" w:hAnsi="Arial" w:cs="Arial"/>
          <w:b/>
          <w:bCs/>
          <w:sz w:val="24"/>
          <w:szCs w:val="24"/>
          <w:lang w:eastAsia="en-GB"/>
        </w:rPr>
      </w:pPr>
    </w:p>
    <w:p w14:paraId="75E50FDD" w14:textId="77777777" w:rsidR="00676596" w:rsidRPr="00543D10" w:rsidRDefault="00676596" w:rsidP="00676596">
      <w:pPr>
        <w:spacing w:after="0" w:line="240" w:lineRule="auto"/>
        <w:rPr>
          <w:rFonts w:ascii="Arial" w:eastAsia="Times New Roman" w:hAnsi="Arial" w:cs="Arial"/>
          <w:b/>
          <w:bCs/>
          <w:sz w:val="24"/>
          <w:szCs w:val="24"/>
          <w:lang w:eastAsia="en-GB"/>
        </w:rPr>
      </w:pPr>
    </w:p>
    <w:p w14:paraId="6F9E8EB6" w14:textId="77777777" w:rsidR="00676596" w:rsidRDefault="00676596" w:rsidP="00676596">
      <w:pPr>
        <w:spacing w:after="0" w:line="240" w:lineRule="auto"/>
        <w:rPr>
          <w:rFonts w:ascii="Arial" w:eastAsia="Times New Roman" w:hAnsi="Arial" w:cs="Arial"/>
          <w:b/>
          <w:bCs/>
          <w:sz w:val="24"/>
          <w:szCs w:val="24"/>
          <w:lang w:eastAsia="en-GB"/>
        </w:rPr>
      </w:pPr>
    </w:p>
    <w:p w14:paraId="30D5DF05" w14:textId="77777777" w:rsidR="00676596" w:rsidRDefault="00676596" w:rsidP="00676596">
      <w:pPr>
        <w:spacing w:after="0" w:line="240" w:lineRule="auto"/>
        <w:rPr>
          <w:rFonts w:ascii="Arial" w:eastAsia="Times New Roman" w:hAnsi="Arial" w:cs="Arial"/>
          <w:b/>
          <w:bCs/>
          <w:sz w:val="24"/>
          <w:szCs w:val="24"/>
          <w:lang w:eastAsia="en-GB"/>
        </w:rPr>
      </w:pPr>
    </w:p>
    <w:p w14:paraId="17D982E2" w14:textId="77777777" w:rsidR="00676596" w:rsidRDefault="00676596" w:rsidP="00676596">
      <w:pPr>
        <w:spacing w:after="0" w:line="240" w:lineRule="auto"/>
        <w:rPr>
          <w:rFonts w:ascii="Arial" w:eastAsia="Times New Roman" w:hAnsi="Arial" w:cs="Arial"/>
          <w:b/>
          <w:bCs/>
          <w:sz w:val="24"/>
          <w:szCs w:val="24"/>
          <w:lang w:eastAsia="en-GB"/>
        </w:rPr>
      </w:pPr>
    </w:p>
    <w:p w14:paraId="0E7ED732" w14:textId="77777777" w:rsidR="00676596" w:rsidRDefault="00676596" w:rsidP="00676596">
      <w:pPr>
        <w:spacing w:after="0" w:line="240" w:lineRule="auto"/>
        <w:rPr>
          <w:rFonts w:ascii="Arial" w:eastAsia="Times New Roman" w:hAnsi="Arial" w:cs="Arial"/>
          <w:b/>
          <w:bCs/>
          <w:sz w:val="24"/>
          <w:szCs w:val="24"/>
          <w:lang w:eastAsia="en-GB"/>
        </w:rPr>
      </w:pPr>
    </w:p>
    <w:p w14:paraId="33124A65" w14:textId="77777777" w:rsidR="00676596" w:rsidRDefault="00676596" w:rsidP="00676596">
      <w:pPr>
        <w:spacing w:after="0" w:line="240" w:lineRule="auto"/>
        <w:rPr>
          <w:rFonts w:ascii="Arial" w:eastAsia="Times New Roman" w:hAnsi="Arial" w:cs="Arial"/>
          <w:b/>
          <w:bCs/>
          <w:sz w:val="24"/>
          <w:szCs w:val="24"/>
          <w:lang w:eastAsia="en-GB"/>
        </w:rPr>
      </w:pPr>
    </w:p>
    <w:p w14:paraId="5FBCC521" w14:textId="77777777" w:rsidR="00676596" w:rsidRDefault="00676596" w:rsidP="00676596">
      <w:pPr>
        <w:spacing w:after="0" w:line="240" w:lineRule="auto"/>
        <w:rPr>
          <w:rFonts w:ascii="Arial" w:eastAsia="Times New Roman" w:hAnsi="Arial" w:cs="Arial"/>
          <w:b/>
          <w:bCs/>
          <w:sz w:val="24"/>
          <w:szCs w:val="24"/>
          <w:lang w:eastAsia="en-GB"/>
        </w:rPr>
      </w:pPr>
    </w:p>
    <w:p w14:paraId="67E364EB" w14:textId="77777777" w:rsidR="00676596" w:rsidRDefault="00676596" w:rsidP="00676596">
      <w:pPr>
        <w:spacing w:after="0" w:line="240" w:lineRule="auto"/>
        <w:rPr>
          <w:rFonts w:ascii="Arial" w:eastAsia="Times New Roman" w:hAnsi="Arial" w:cs="Arial"/>
          <w:b/>
          <w:bCs/>
          <w:sz w:val="24"/>
          <w:szCs w:val="24"/>
          <w:lang w:eastAsia="en-GB"/>
        </w:rPr>
      </w:pPr>
    </w:p>
    <w:p w14:paraId="19A374B9" w14:textId="77777777" w:rsidR="0002280B" w:rsidRDefault="002A206F" w:rsidP="00DC1512">
      <w:pPr>
        <w:tabs>
          <w:tab w:val="left" w:pos="567"/>
        </w:tabs>
        <w:autoSpaceDE w:val="0"/>
        <w:autoSpaceDN w:val="0"/>
        <w:adjustRightInd w:val="0"/>
        <w:spacing w:after="0" w:line="240" w:lineRule="auto"/>
        <w:ind w:left="567" w:hanging="567"/>
        <w:rPr>
          <w:rFonts w:ascii="Arial" w:hAnsi="Arial" w:cs="Arial"/>
          <w:b/>
          <w:i/>
          <w:sz w:val="24"/>
          <w:szCs w:val="24"/>
        </w:rPr>
      </w:pPr>
      <w:r>
        <w:rPr>
          <w:rFonts w:ascii="Arial" w:hAnsi="Arial" w:cs="Arial"/>
          <w:b/>
          <w:i/>
          <w:sz w:val="24"/>
          <w:szCs w:val="24"/>
        </w:rPr>
        <w:br w:type="page"/>
      </w:r>
      <w:r w:rsidR="00DC1512" w:rsidRPr="00DC1512">
        <w:rPr>
          <w:rFonts w:ascii="Arial" w:hAnsi="Arial" w:cs="Arial"/>
          <w:b/>
          <w:i/>
          <w:sz w:val="24"/>
          <w:szCs w:val="24"/>
        </w:rPr>
        <w:lastRenderedPageBreak/>
        <w:t>Group consolidated statement of cash flows (continued</w:t>
      </w:r>
      <w:r w:rsidR="0075446B" w:rsidRPr="00DC1512">
        <w:rPr>
          <w:rFonts w:ascii="Arial" w:hAnsi="Arial" w:cs="Arial"/>
          <w:b/>
          <w:i/>
          <w:sz w:val="24"/>
          <w:szCs w:val="24"/>
        </w:rPr>
        <w:t xml:space="preserve">) </w:t>
      </w:r>
    </w:p>
    <w:p w14:paraId="2EC19F85" w14:textId="77777777" w:rsidR="00DC1512" w:rsidRPr="00540724" w:rsidRDefault="00DC1512" w:rsidP="00DC1512">
      <w:pPr>
        <w:tabs>
          <w:tab w:val="left" w:pos="567"/>
        </w:tabs>
        <w:autoSpaceDE w:val="0"/>
        <w:autoSpaceDN w:val="0"/>
        <w:adjustRightInd w:val="0"/>
        <w:spacing w:after="0" w:line="240" w:lineRule="auto"/>
        <w:ind w:left="567" w:hanging="567"/>
        <w:rPr>
          <w:rFonts w:ascii="Arial" w:hAnsi="Arial" w:cs="Arial"/>
          <w:b/>
          <w:i/>
          <w:sz w:val="24"/>
          <w:szCs w:val="24"/>
          <w:u w:val="single"/>
        </w:rPr>
      </w:pPr>
      <w:proofErr w:type="gramStart"/>
      <w:r w:rsidRPr="00540724">
        <w:rPr>
          <w:rFonts w:ascii="Arial" w:hAnsi="Arial" w:cs="Arial"/>
          <w:b/>
          <w:i/>
          <w:sz w:val="20"/>
          <w:szCs w:val="20"/>
        </w:rPr>
        <w:t>for</w:t>
      </w:r>
      <w:proofErr w:type="gramEnd"/>
      <w:r w:rsidRPr="00540724">
        <w:rPr>
          <w:rFonts w:ascii="Arial" w:hAnsi="Arial" w:cs="Arial"/>
          <w:b/>
          <w:i/>
          <w:sz w:val="20"/>
          <w:szCs w:val="20"/>
        </w:rPr>
        <w:t xml:space="preserve"> the year ended 31 August </w:t>
      </w:r>
      <w:r w:rsidR="0037645F" w:rsidRPr="00540724">
        <w:rPr>
          <w:rFonts w:ascii="Arial" w:hAnsi="Arial" w:cs="Arial"/>
          <w:b/>
          <w:i/>
          <w:sz w:val="20"/>
          <w:szCs w:val="20"/>
        </w:rPr>
        <w:t>2020</w:t>
      </w:r>
    </w:p>
    <w:p w14:paraId="551181A3" w14:textId="77777777" w:rsidR="00676596" w:rsidRDefault="00676596" w:rsidP="00676596">
      <w:pPr>
        <w:rPr>
          <w:rFonts w:ascii="Arial" w:eastAsia="Times New Roman" w:hAnsi="Arial" w:cs="Arial"/>
          <w:b/>
          <w:bCs/>
          <w:sz w:val="24"/>
          <w:szCs w:val="24"/>
          <w:lang w:eastAsia="en-GB"/>
        </w:rPr>
      </w:pPr>
    </w:p>
    <w:p w14:paraId="1BA73FA1" w14:textId="77777777" w:rsidR="00676596" w:rsidRDefault="00676596" w:rsidP="00676596">
      <w:pPr>
        <w:spacing w:after="0" w:line="240" w:lineRule="auto"/>
        <w:rPr>
          <w:rFonts w:ascii="Arial" w:eastAsia="Times New Roman" w:hAnsi="Arial" w:cs="Arial"/>
          <w:b/>
          <w:bCs/>
          <w:sz w:val="24"/>
          <w:szCs w:val="24"/>
          <w:lang w:eastAsia="en-GB"/>
        </w:rPr>
      </w:pPr>
    </w:p>
    <w:p w14:paraId="7A40CF2A" w14:textId="77777777" w:rsidR="00676596" w:rsidRDefault="00676596" w:rsidP="00676596">
      <w:pPr>
        <w:spacing w:after="0" w:line="240" w:lineRule="auto"/>
        <w:rPr>
          <w:rFonts w:ascii="Arial" w:eastAsia="Times New Roman" w:hAnsi="Arial" w:cs="Arial"/>
          <w:b/>
          <w:bCs/>
          <w:sz w:val="24"/>
          <w:szCs w:val="24"/>
          <w:lang w:eastAsia="en-GB"/>
        </w:rPr>
      </w:pPr>
      <w:r w:rsidRPr="009A2496">
        <w:rPr>
          <w:rFonts w:ascii="Arial" w:eastAsia="Times New Roman" w:hAnsi="Arial" w:cs="Arial"/>
          <w:b/>
          <w:bCs/>
          <w:sz w:val="24"/>
          <w:szCs w:val="24"/>
          <w:lang w:eastAsia="en-GB"/>
        </w:rPr>
        <w:t>b)  Reconciliation of net cash flow to movement in net funds</w:t>
      </w:r>
    </w:p>
    <w:p w14:paraId="235869A2" w14:textId="77777777" w:rsidR="006E57C8" w:rsidRPr="009A2496" w:rsidRDefault="006E57C8" w:rsidP="00676596">
      <w:pPr>
        <w:spacing w:after="0" w:line="240" w:lineRule="auto"/>
        <w:rPr>
          <w:rFonts w:ascii="Arial" w:eastAsia="Times New Roman" w:hAnsi="Arial" w:cs="Arial"/>
          <w:b/>
          <w:bCs/>
          <w:sz w:val="24"/>
          <w:szCs w:val="24"/>
          <w:lang w:eastAsia="en-GB"/>
        </w:rPr>
      </w:pPr>
    </w:p>
    <w:tbl>
      <w:tblPr>
        <w:tblW w:w="9232" w:type="dxa"/>
        <w:tblLook w:val="04A0" w:firstRow="1" w:lastRow="0" w:firstColumn="1" w:lastColumn="0" w:noHBand="0" w:noVBand="1"/>
      </w:tblPr>
      <w:tblGrid>
        <w:gridCol w:w="3630"/>
        <w:gridCol w:w="1119"/>
        <w:gridCol w:w="272"/>
        <w:gridCol w:w="1500"/>
        <w:gridCol w:w="1417"/>
        <w:gridCol w:w="1294"/>
      </w:tblGrid>
      <w:tr w:rsidR="00543D10" w:rsidRPr="00543D10" w14:paraId="2847FA15" w14:textId="77777777" w:rsidTr="00833243">
        <w:trPr>
          <w:trHeight w:val="342"/>
        </w:trPr>
        <w:tc>
          <w:tcPr>
            <w:tcW w:w="3630" w:type="dxa"/>
            <w:tcBorders>
              <w:top w:val="nil"/>
              <w:left w:val="nil"/>
              <w:bottom w:val="nil"/>
              <w:right w:val="nil"/>
            </w:tcBorders>
            <w:shd w:val="clear" w:color="auto" w:fill="auto"/>
            <w:vAlign w:val="center"/>
            <w:hideMark/>
          </w:tcPr>
          <w:p w14:paraId="11D92A92" w14:textId="77777777" w:rsidR="00676596" w:rsidRPr="00543D10" w:rsidRDefault="00676596" w:rsidP="00676596">
            <w:pPr>
              <w:spacing w:after="0" w:line="240" w:lineRule="auto"/>
              <w:rPr>
                <w:rFonts w:ascii="Times New Roman" w:eastAsia="Times New Roman" w:hAnsi="Times New Roman" w:cs="Times New Roman"/>
                <w:sz w:val="24"/>
                <w:szCs w:val="24"/>
                <w:lang w:eastAsia="en-GB"/>
              </w:rPr>
            </w:pPr>
          </w:p>
        </w:tc>
        <w:tc>
          <w:tcPr>
            <w:tcW w:w="1119" w:type="dxa"/>
            <w:tcBorders>
              <w:top w:val="nil"/>
              <w:left w:val="nil"/>
              <w:bottom w:val="nil"/>
              <w:right w:val="nil"/>
            </w:tcBorders>
            <w:shd w:val="clear" w:color="auto" w:fill="auto"/>
            <w:noWrap/>
            <w:vAlign w:val="center"/>
            <w:hideMark/>
          </w:tcPr>
          <w:p w14:paraId="5342D7CA" w14:textId="77777777" w:rsidR="00676596" w:rsidRPr="00543D10" w:rsidRDefault="00676596" w:rsidP="00676596">
            <w:pPr>
              <w:spacing w:after="0" w:line="240" w:lineRule="auto"/>
              <w:rPr>
                <w:rFonts w:ascii="Times New Roman" w:eastAsia="Times New Roman" w:hAnsi="Times New Roman" w:cs="Times New Roman"/>
                <w:sz w:val="20"/>
                <w:szCs w:val="20"/>
                <w:lang w:eastAsia="en-GB"/>
              </w:rPr>
            </w:pPr>
          </w:p>
        </w:tc>
        <w:tc>
          <w:tcPr>
            <w:tcW w:w="272" w:type="dxa"/>
            <w:tcBorders>
              <w:top w:val="nil"/>
              <w:left w:val="nil"/>
              <w:bottom w:val="nil"/>
              <w:right w:val="nil"/>
            </w:tcBorders>
            <w:shd w:val="clear" w:color="auto" w:fill="auto"/>
            <w:noWrap/>
            <w:vAlign w:val="center"/>
            <w:hideMark/>
          </w:tcPr>
          <w:p w14:paraId="465D356D" w14:textId="77777777" w:rsidR="00676596" w:rsidRPr="00543D10" w:rsidRDefault="00676596" w:rsidP="00676596">
            <w:pPr>
              <w:spacing w:after="0" w:line="240" w:lineRule="auto"/>
              <w:rPr>
                <w:rFonts w:ascii="Times New Roman" w:eastAsia="Times New Roman" w:hAnsi="Times New Roman" w:cs="Times New Roman"/>
                <w:sz w:val="20"/>
                <w:szCs w:val="20"/>
                <w:lang w:eastAsia="en-GB"/>
              </w:rPr>
            </w:pPr>
          </w:p>
        </w:tc>
        <w:tc>
          <w:tcPr>
            <w:tcW w:w="1500" w:type="dxa"/>
            <w:tcBorders>
              <w:top w:val="nil"/>
              <w:left w:val="nil"/>
              <w:bottom w:val="nil"/>
              <w:right w:val="nil"/>
            </w:tcBorders>
            <w:shd w:val="clear" w:color="auto" w:fill="auto"/>
            <w:noWrap/>
            <w:vAlign w:val="center"/>
            <w:hideMark/>
          </w:tcPr>
          <w:p w14:paraId="00D776A9" w14:textId="77777777" w:rsidR="00676596" w:rsidRPr="00543D10" w:rsidRDefault="00496BBD" w:rsidP="005B39D0">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 xml:space="preserve">1 September </w:t>
            </w:r>
            <w:r w:rsidR="0037645F">
              <w:rPr>
                <w:rFonts w:ascii="Arial" w:eastAsia="Times New Roman" w:hAnsi="Arial" w:cs="Arial"/>
                <w:sz w:val="20"/>
                <w:szCs w:val="20"/>
                <w:lang w:eastAsia="en-GB"/>
              </w:rPr>
              <w:t>2019</w:t>
            </w:r>
          </w:p>
        </w:tc>
        <w:tc>
          <w:tcPr>
            <w:tcW w:w="1417" w:type="dxa"/>
            <w:tcBorders>
              <w:top w:val="nil"/>
              <w:left w:val="nil"/>
              <w:bottom w:val="nil"/>
              <w:right w:val="nil"/>
            </w:tcBorders>
            <w:shd w:val="clear" w:color="auto" w:fill="auto"/>
            <w:noWrap/>
            <w:vAlign w:val="center"/>
            <w:hideMark/>
          </w:tcPr>
          <w:p w14:paraId="64EFDFA0" w14:textId="77777777" w:rsidR="00676596" w:rsidRPr="00543D10" w:rsidRDefault="00676596" w:rsidP="005B39D0">
            <w:pPr>
              <w:spacing w:after="0" w:line="240" w:lineRule="auto"/>
              <w:jc w:val="right"/>
              <w:rPr>
                <w:rFonts w:ascii="Arial" w:eastAsia="Times New Roman" w:hAnsi="Arial" w:cs="Arial"/>
                <w:sz w:val="20"/>
                <w:szCs w:val="20"/>
                <w:lang w:eastAsia="en-GB"/>
              </w:rPr>
            </w:pPr>
            <w:r w:rsidRPr="00543D10">
              <w:rPr>
                <w:rFonts w:ascii="Arial" w:eastAsia="Times New Roman" w:hAnsi="Arial" w:cs="Arial"/>
                <w:sz w:val="20"/>
                <w:szCs w:val="20"/>
                <w:lang w:eastAsia="en-GB"/>
              </w:rPr>
              <w:t>Cash Flow</w:t>
            </w:r>
          </w:p>
        </w:tc>
        <w:tc>
          <w:tcPr>
            <w:tcW w:w="1294" w:type="dxa"/>
            <w:tcBorders>
              <w:top w:val="nil"/>
              <w:left w:val="nil"/>
              <w:bottom w:val="nil"/>
              <w:right w:val="nil"/>
            </w:tcBorders>
            <w:shd w:val="clear" w:color="auto" w:fill="auto"/>
            <w:noWrap/>
            <w:vAlign w:val="center"/>
            <w:hideMark/>
          </w:tcPr>
          <w:p w14:paraId="6162D9BC" w14:textId="77777777" w:rsidR="00676596" w:rsidRPr="00543D10" w:rsidRDefault="00496BBD" w:rsidP="005B39D0">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 xml:space="preserve">31 August </w:t>
            </w:r>
            <w:r w:rsidR="0037645F">
              <w:rPr>
                <w:rFonts w:ascii="Arial" w:eastAsia="Times New Roman" w:hAnsi="Arial" w:cs="Arial"/>
                <w:b/>
                <w:bCs/>
                <w:sz w:val="20"/>
                <w:szCs w:val="20"/>
                <w:lang w:eastAsia="en-GB"/>
              </w:rPr>
              <w:t>2020</w:t>
            </w:r>
          </w:p>
        </w:tc>
      </w:tr>
      <w:tr w:rsidR="00543D10" w:rsidRPr="00543D10" w14:paraId="26809C42" w14:textId="77777777" w:rsidTr="00833243">
        <w:trPr>
          <w:trHeight w:val="342"/>
        </w:trPr>
        <w:tc>
          <w:tcPr>
            <w:tcW w:w="3630" w:type="dxa"/>
            <w:tcBorders>
              <w:top w:val="nil"/>
              <w:left w:val="nil"/>
              <w:bottom w:val="single" w:sz="4" w:space="0" w:color="auto"/>
              <w:right w:val="nil"/>
            </w:tcBorders>
            <w:shd w:val="clear" w:color="auto" w:fill="auto"/>
            <w:vAlign w:val="center"/>
            <w:hideMark/>
          </w:tcPr>
          <w:p w14:paraId="6C51C9F9" w14:textId="77777777" w:rsidR="00676596" w:rsidRPr="00543D10" w:rsidRDefault="00676596" w:rsidP="00676596">
            <w:pPr>
              <w:spacing w:after="0" w:line="240" w:lineRule="auto"/>
              <w:rPr>
                <w:rFonts w:ascii="Arial" w:eastAsia="Times New Roman" w:hAnsi="Arial" w:cs="Arial"/>
                <w:sz w:val="20"/>
                <w:szCs w:val="20"/>
                <w:lang w:eastAsia="en-GB"/>
              </w:rPr>
            </w:pPr>
            <w:r w:rsidRPr="00543D10">
              <w:rPr>
                <w:rFonts w:ascii="Arial" w:eastAsia="Times New Roman" w:hAnsi="Arial" w:cs="Arial"/>
                <w:sz w:val="20"/>
                <w:szCs w:val="20"/>
                <w:lang w:eastAsia="en-GB"/>
              </w:rPr>
              <w:t> </w:t>
            </w:r>
          </w:p>
        </w:tc>
        <w:tc>
          <w:tcPr>
            <w:tcW w:w="1119" w:type="dxa"/>
            <w:tcBorders>
              <w:top w:val="nil"/>
              <w:left w:val="nil"/>
              <w:bottom w:val="single" w:sz="4" w:space="0" w:color="auto"/>
              <w:right w:val="nil"/>
            </w:tcBorders>
            <w:shd w:val="clear" w:color="auto" w:fill="auto"/>
            <w:noWrap/>
            <w:vAlign w:val="center"/>
            <w:hideMark/>
          </w:tcPr>
          <w:p w14:paraId="18BE4733" w14:textId="77777777" w:rsidR="00676596" w:rsidRPr="00543D10" w:rsidRDefault="00676596" w:rsidP="00676596">
            <w:pPr>
              <w:spacing w:after="0" w:line="240" w:lineRule="auto"/>
              <w:rPr>
                <w:rFonts w:ascii="Arial" w:eastAsia="Times New Roman" w:hAnsi="Arial" w:cs="Arial"/>
                <w:sz w:val="20"/>
                <w:szCs w:val="20"/>
                <w:lang w:eastAsia="en-GB"/>
              </w:rPr>
            </w:pPr>
            <w:r w:rsidRPr="00543D10">
              <w:rPr>
                <w:rFonts w:ascii="Arial" w:eastAsia="Times New Roman" w:hAnsi="Arial" w:cs="Arial"/>
                <w:sz w:val="20"/>
                <w:szCs w:val="20"/>
                <w:lang w:eastAsia="en-GB"/>
              </w:rPr>
              <w:t> </w:t>
            </w:r>
          </w:p>
        </w:tc>
        <w:tc>
          <w:tcPr>
            <w:tcW w:w="272" w:type="dxa"/>
            <w:tcBorders>
              <w:top w:val="nil"/>
              <w:left w:val="nil"/>
              <w:bottom w:val="single" w:sz="4" w:space="0" w:color="auto"/>
              <w:right w:val="nil"/>
            </w:tcBorders>
            <w:shd w:val="clear" w:color="auto" w:fill="auto"/>
            <w:noWrap/>
            <w:vAlign w:val="center"/>
            <w:hideMark/>
          </w:tcPr>
          <w:p w14:paraId="56BE3F2D" w14:textId="77777777" w:rsidR="00676596" w:rsidRPr="00543D10" w:rsidRDefault="00676596" w:rsidP="00676596">
            <w:pPr>
              <w:spacing w:after="0" w:line="240" w:lineRule="auto"/>
              <w:rPr>
                <w:rFonts w:ascii="Arial" w:eastAsia="Times New Roman" w:hAnsi="Arial" w:cs="Arial"/>
                <w:sz w:val="20"/>
                <w:szCs w:val="20"/>
                <w:lang w:eastAsia="en-GB"/>
              </w:rPr>
            </w:pPr>
            <w:r w:rsidRPr="00543D10">
              <w:rPr>
                <w:rFonts w:ascii="Arial" w:eastAsia="Times New Roman" w:hAnsi="Arial" w:cs="Arial"/>
                <w:sz w:val="20"/>
                <w:szCs w:val="20"/>
                <w:lang w:eastAsia="en-GB"/>
              </w:rPr>
              <w:t> </w:t>
            </w:r>
          </w:p>
        </w:tc>
        <w:tc>
          <w:tcPr>
            <w:tcW w:w="1500" w:type="dxa"/>
            <w:tcBorders>
              <w:top w:val="nil"/>
              <w:left w:val="nil"/>
              <w:bottom w:val="single" w:sz="4" w:space="0" w:color="auto"/>
              <w:right w:val="nil"/>
            </w:tcBorders>
            <w:shd w:val="clear" w:color="auto" w:fill="auto"/>
            <w:noWrap/>
            <w:vAlign w:val="center"/>
            <w:hideMark/>
          </w:tcPr>
          <w:p w14:paraId="5B8A7E68" w14:textId="77777777" w:rsidR="00676596" w:rsidRPr="00543D10" w:rsidRDefault="00676596" w:rsidP="005B39D0">
            <w:pPr>
              <w:spacing w:after="0" w:line="240" w:lineRule="auto"/>
              <w:jc w:val="right"/>
              <w:rPr>
                <w:rFonts w:ascii="Arial" w:eastAsia="Times New Roman" w:hAnsi="Arial" w:cs="Arial"/>
                <w:sz w:val="20"/>
                <w:szCs w:val="20"/>
                <w:lang w:eastAsia="en-GB"/>
              </w:rPr>
            </w:pPr>
            <w:r w:rsidRPr="00543D10">
              <w:rPr>
                <w:rFonts w:ascii="Arial" w:eastAsia="Times New Roman" w:hAnsi="Arial" w:cs="Arial"/>
                <w:sz w:val="20"/>
                <w:szCs w:val="20"/>
                <w:lang w:eastAsia="en-GB"/>
              </w:rPr>
              <w:t>£'000</w:t>
            </w:r>
          </w:p>
        </w:tc>
        <w:tc>
          <w:tcPr>
            <w:tcW w:w="1417" w:type="dxa"/>
            <w:tcBorders>
              <w:top w:val="nil"/>
              <w:left w:val="nil"/>
              <w:bottom w:val="single" w:sz="4" w:space="0" w:color="auto"/>
              <w:right w:val="nil"/>
            </w:tcBorders>
            <w:shd w:val="clear" w:color="auto" w:fill="auto"/>
            <w:noWrap/>
            <w:vAlign w:val="center"/>
            <w:hideMark/>
          </w:tcPr>
          <w:p w14:paraId="6B204C8C" w14:textId="77777777" w:rsidR="00676596" w:rsidRPr="00543D10" w:rsidRDefault="00676596" w:rsidP="005B39D0">
            <w:pPr>
              <w:spacing w:after="0" w:line="240" w:lineRule="auto"/>
              <w:jc w:val="right"/>
              <w:rPr>
                <w:rFonts w:ascii="Arial" w:eastAsia="Times New Roman" w:hAnsi="Arial" w:cs="Arial"/>
                <w:sz w:val="20"/>
                <w:szCs w:val="20"/>
                <w:lang w:eastAsia="en-GB"/>
              </w:rPr>
            </w:pPr>
            <w:r w:rsidRPr="00543D10">
              <w:rPr>
                <w:rFonts w:ascii="Arial" w:eastAsia="Times New Roman" w:hAnsi="Arial" w:cs="Arial"/>
                <w:sz w:val="20"/>
                <w:szCs w:val="20"/>
                <w:lang w:eastAsia="en-GB"/>
              </w:rPr>
              <w:t>£'000</w:t>
            </w:r>
          </w:p>
        </w:tc>
        <w:tc>
          <w:tcPr>
            <w:tcW w:w="1294" w:type="dxa"/>
            <w:tcBorders>
              <w:top w:val="nil"/>
              <w:left w:val="nil"/>
              <w:bottom w:val="single" w:sz="4" w:space="0" w:color="auto"/>
              <w:right w:val="nil"/>
            </w:tcBorders>
            <w:shd w:val="clear" w:color="auto" w:fill="auto"/>
            <w:noWrap/>
            <w:vAlign w:val="center"/>
            <w:hideMark/>
          </w:tcPr>
          <w:p w14:paraId="51257EDC" w14:textId="77777777" w:rsidR="00676596" w:rsidRPr="00543D10" w:rsidRDefault="00676596" w:rsidP="005B39D0">
            <w:pPr>
              <w:spacing w:after="0" w:line="240" w:lineRule="auto"/>
              <w:jc w:val="right"/>
              <w:rPr>
                <w:rFonts w:ascii="Arial" w:eastAsia="Times New Roman" w:hAnsi="Arial" w:cs="Arial"/>
                <w:b/>
                <w:bCs/>
                <w:sz w:val="20"/>
                <w:szCs w:val="20"/>
                <w:lang w:eastAsia="en-GB"/>
              </w:rPr>
            </w:pPr>
            <w:r w:rsidRPr="00543D10">
              <w:rPr>
                <w:rFonts w:ascii="Arial" w:eastAsia="Times New Roman" w:hAnsi="Arial" w:cs="Arial"/>
                <w:b/>
                <w:bCs/>
                <w:sz w:val="20"/>
                <w:szCs w:val="20"/>
                <w:lang w:eastAsia="en-GB"/>
              </w:rPr>
              <w:t>£'000</w:t>
            </w:r>
          </w:p>
        </w:tc>
      </w:tr>
      <w:tr w:rsidR="0061265C" w:rsidRPr="00543D10" w14:paraId="65841487" w14:textId="77777777" w:rsidTr="00833243">
        <w:trPr>
          <w:trHeight w:val="651"/>
        </w:trPr>
        <w:tc>
          <w:tcPr>
            <w:tcW w:w="3630" w:type="dxa"/>
            <w:tcBorders>
              <w:top w:val="nil"/>
              <w:left w:val="nil"/>
              <w:bottom w:val="nil"/>
              <w:right w:val="nil"/>
            </w:tcBorders>
            <w:shd w:val="clear" w:color="auto" w:fill="auto"/>
            <w:vAlign w:val="center"/>
            <w:hideMark/>
          </w:tcPr>
          <w:p w14:paraId="2EF75DC1" w14:textId="77777777" w:rsidR="0061265C" w:rsidRPr="00543D10" w:rsidRDefault="0061265C" w:rsidP="0061265C">
            <w:pPr>
              <w:spacing w:after="0" w:line="240" w:lineRule="auto"/>
              <w:rPr>
                <w:rFonts w:ascii="Arial" w:eastAsia="Times New Roman" w:hAnsi="Arial" w:cs="Arial"/>
                <w:sz w:val="20"/>
                <w:szCs w:val="20"/>
                <w:lang w:eastAsia="en-GB"/>
              </w:rPr>
            </w:pPr>
            <w:r w:rsidRPr="00543D10">
              <w:rPr>
                <w:rFonts w:ascii="Arial" w:eastAsia="Times New Roman" w:hAnsi="Arial" w:cs="Arial"/>
                <w:sz w:val="20"/>
                <w:szCs w:val="20"/>
                <w:lang w:eastAsia="en-GB"/>
              </w:rPr>
              <w:t>Cash pledged as security for guarantee</w:t>
            </w:r>
          </w:p>
        </w:tc>
        <w:tc>
          <w:tcPr>
            <w:tcW w:w="1119" w:type="dxa"/>
            <w:tcBorders>
              <w:top w:val="nil"/>
              <w:left w:val="nil"/>
              <w:bottom w:val="nil"/>
              <w:right w:val="nil"/>
            </w:tcBorders>
            <w:shd w:val="clear" w:color="auto" w:fill="auto"/>
            <w:noWrap/>
            <w:vAlign w:val="center"/>
            <w:hideMark/>
          </w:tcPr>
          <w:p w14:paraId="62D47D6B" w14:textId="77777777" w:rsidR="0061265C" w:rsidRPr="00543D10" w:rsidRDefault="0061265C" w:rsidP="0061265C">
            <w:pPr>
              <w:spacing w:after="0" w:line="240" w:lineRule="auto"/>
              <w:rPr>
                <w:rFonts w:ascii="Arial" w:eastAsia="Times New Roman" w:hAnsi="Arial" w:cs="Arial"/>
                <w:sz w:val="20"/>
                <w:szCs w:val="20"/>
                <w:lang w:eastAsia="en-GB"/>
              </w:rPr>
            </w:pPr>
          </w:p>
        </w:tc>
        <w:tc>
          <w:tcPr>
            <w:tcW w:w="272" w:type="dxa"/>
            <w:tcBorders>
              <w:top w:val="nil"/>
              <w:left w:val="nil"/>
              <w:bottom w:val="nil"/>
              <w:right w:val="nil"/>
            </w:tcBorders>
            <w:shd w:val="clear" w:color="auto" w:fill="auto"/>
            <w:noWrap/>
            <w:vAlign w:val="center"/>
            <w:hideMark/>
          </w:tcPr>
          <w:p w14:paraId="0CDC5694" w14:textId="77777777" w:rsidR="0061265C" w:rsidRPr="00543D10" w:rsidRDefault="0061265C" w:rsidP="0061265C">
            <w:pPr>
              <w:spacing w:after="0" w:line="240" w:lineRule="auto"/>
              <w:rPr>
                <w:rFonts w:ascii="Times New Roman" w:eastAsia="Times New Roman" w:hAnsi="Times New Roman" w:cs="Times New Roman"/>
                <w:sz w:val="20"/>
                <w:szCs w:val="20"/>
                <w:lang w:eastAsia="en-GB"/>
              </w:rPr>
            </w:pPr>
          </w:p>
        </w:tc>
        <w:tc>
          <w:tcPr>
            <w:tcW w:w="1500" w:type="dxa"/>
            <w:tcBorders>
              <w:top w:val="nil"/>
              <w:left w:val="nil"/>
              <w:bottom w:val="nil"/>
              <w:right w:val="nil"/>
            </w:tcBorders>
            <w:shd w:val="clear" w:color="auto" w:fill="auto"/>
            <w:noWrap/>
            <w:vAlign w:val="center"/>
            <w:hideMark/>
          </w:tcPr>
          <w:p w14:paraId="7BF22409" w14:textId="77777777" w:rsidR="0061265C" w:rsidRPr="0061265C" w:rsidRDefault="0061265C" w:rsidP="0061265C">
            <w:pPr>
              <w:spacing w:after="0" w:line="240" w:lineRule="auto"/>
              <w:jc w:val="right"/>
              <w:rPr>
                <w:rFonts w:ascii="Arial" w:eastAsia="Times New Roman" w:hAnsi="Arial" w:cs="Arial"/>
                <w:sz w:val="20"/>
                <w:szCs w:val="20"/>
                <w:lang w:eastAsia="en-GB"/>
              </w:rPr>
            </w:pPr>
            <w:r w:rsidRPr="0061265C">
              <w:rPr>
                <w:rFonts w:ascii="Arial" w:eastAsia="Times New Roman" w:hAnsi="Arial" w:cs="Arial"/>
                <w:bCs/>
                <w:sz w:val="20"/>
                <w:szCs w:val="20"/>
                <w:lang w:eastAsia="en-GB"/>
              </w:rPr>
              <w:t>250</w:t>
            </w:r>
          </w:p>
        </w:tc>
        <w:tc>
          <w:tcPr>
            <w:tcW w:w="1417" w:type="dxa"/>
            <w:tcBorders>
              <w:top w:val="nil"/>
              <w:left w:val="nil"/>
              <w:bottom w:val="nil"/>
              <w:right w:val="nil"/>
            </w:tcBorders>
            <w:shd w:val="clear" w:color="auto" w:fill="auto"/>
            <w:noWrap/>
            <w:vAlign w:val="center"/>
          </w:tcPr>
          <w:p w14:paraId="135D56EC" w14:textId="77777777" w:rsidR="0061265C" w:rsidRPr="00543D10" w:rsidRDefault="00540724" w:rsidP="0061265C">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w:t>
            </w:r>
          </w:p>
        </w:tc>
        <w:tc>
          <w:tcPr>
            <w:tcW w:w="1294" w:type="dxa"/>
            <w:tcBorders>
              <w:top w:val="nil"/>
              <w:left w:val="nil"/>
              <w:bottom w:val="nil"/>
              <w:right w:val="nil"/>
            </w:tcBorders>
            <w:shd w:val="clear" w:color="auto" w:fill="auto"/>
            <w:noWrap/>
            <w:vAlign w:val="center"/>
          </w:tcPr>
          <w:p w14:paraId="7EDC53B4" w14:textId="77777777" w:rsidR="0061265C" w:rsidRPr="00543D10" w:rsidRDefault="00540724" w:rsidP="0061265C">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250</w:t>
            </w:r>
          </w:p>
        </w:tc>
      </w:tr>
      <w:tr w:rsidR="0061265C" w:rsidRPr="00543D10" w14:paraId="59238190" w14:textId="77777777" w:rsidTr="00833243">
        <w:trPr>
          <w:trHeight w:val="668"/>
        </w:trPr>
        <w:tc>
          <w:tcPr>
            <w:tcW w:w="3630" w:type="dxa"/>
            <w:tcBorders>
              <w:top w:val="nil"/>
              <w:left w:val="nil"/>
              <w:bottom w:val="single" w:sz="4" w:space="0" w:color="auto"/>
              <w:right w:val="nil"/>
            </w:tcBorders>
            <w:shd w:val="clear" w:color="auto" w:fill="auto"/>
            <w:vAlign w:val="center"/>
            <w:hideMark/>
          </w:tcPr>
          <w:p w14:paraId="17146DDD" w14:textId="77777777" w:rsidR="0061265C" w:rsidRPr="00543D10" w:rsidRDefault="0061265C" w:rsidP="0061265C">
            <w:pPr>
              <w:spacing w:after="0" w:line="240" w:lineRule="auto"/>
              <w:rPr>
                <w:rFonts w:ascii="Arial" w:eastAsia="Times New Roman" w:hAnsi="Arial" w:cs="Arial"/>
                <w:sz w:val="20"/>
                <w:szCs w:val="20"/>
                <w:lang w:eastAsia="en-GB"/>
              </w:rPr>
            </w:pPr>
            <w:r w:rsidRPr="00543D10">
              <w:rPr>
                <w:rFonts w:ascii="Arial" w:eastAsia="Times New Roman" w:hAnsi="Arial" w:cs="Arial"/>
                <w:sz w:val="20"/>
                <w:szCs w:val="20"/>
                <w:lang w:eastAsia="en-GB"/>
              </w:rPr>
              <w:t>Unrestricted cash at bank and in hand</w:t>
            </w:r>
          </w:p>
        </w:tc>
        <w:tc>
          <w:tcPr>
            <w:tcW w:w="1119" w:type="dxa"/>
            <w:tcBorders>
              <w:top w:val="nil"/>
              <w:left w:val="nil"/>
              <w:bottom w:val="nil"/>
              <w:right w:val="nil"/>
            </w:tcBorders>
            <w:shd w:val="clear" w:color="auto" w:fill="auto"/>
            <w:noWrap/>
            <w:vAlign w:val="center"/>
            <w:hideMark/>
          </w:tcPr>
          <w:p w14:paraId="05C78391" w14:textId="77777777" w:rsidR="0061265C" w:rsidRPr="00543D10" w:rsidRDefault="0061265C" w:rsidP="0061265C">
            <w:pPr>
              <w:spacing w:after="0" w:line="240" w:lineRule="auto"/>
              <w:rPr>
                <w:rFonts w:ascii="Arial" w:eastAsia="Times New Roman" w:hAnsi="Arial" w:cs="Arial"/>
                <w:sz w:val="20"/>
                <w:szCs w:val="20"/>
                <w:lang w:eastAsia="en-GB"/>
              </w:rPr>
            </w:pPr>
          </w:p>
        </w:tc>
        <w:tc>
          <w:tcPr>
            <w:tcW w:w="272" w:type="dxa"/>
            <w:tcBorders>
              <w:top w:val="nil"/>
              <w:left w:val="nil"/>
              <w:bottom w:val="nil"/>
              <w:right w:val="nil"/>
            </w:tcBorders>
            <w:shd w:val="clear" w:color="auto" w:fill="auto"/>
            <w:noWrap/>
            <w:vAlign w:val="center"/>
            <w:hideMark/>
          </w:tcPr>
          <w:p w14:paraId="520F01B4" w14:textId="77777777" w:rsidR="0061265C" w:rsidRPr="00543D10" w:rsidRDefault="0061265C" w:rsidP="0061265C">
            <w:pPr>
              <w:spacing w:after="0" w:line="240" w:lineRule="auto"/>
              <w:rPr>
                <w:rFonts w:ascii="Times New Roman" w:eastAsia="Times New Roman" w:hAnsi="Times New Roman" w:cs="Times New Roman"/>
                <w:sz w:val="20"/>
                <w:szCs w:val="20"/>
                <w:lang w:eastAsia="en-GB"/>
              </w:rPr>
            </w:pPr>
          </w:p>
        </w:tc>
        <w:tc>
          <w:tcPr>
            <w:tcW w:w="1500" w:type="dxa"/>
            <w:tcBorders>
              <w:top w:val="nil"/>
              <w:left w:val="nil"/>
              <w:bottom w:val="single" w:sz="4" w:space="0" w:color="auto"/>
              <w:right w:val="nil"/>
            </w:tcBorders>
            <w:shd w:val="clear" w:color="auto" w:fill="auto"/>
            <w:noWrap/>
            <w:vAlign w:val="center"/>
            <w:hideMark/>
          </w:tcPr>
          <w:p w14:paraId="24C140CA" w14:textId="77777777" w:rsidR="0061265C" w:rsidRPr="0061265C" w:rsidRDefault="0061265C" w:rsidP="0061265C">
            <w:pPr>
              <w:spacing w:after="0" w:line="240" w:lineRule="auto"/>
              <w:jc w:val="right"/>
              <w:rPr>
                <w:rFonts w:ascii="Arial" w:eastAsia="Times New Roman" w:hAnsi="Arial" w:cs="Arial"/>
                <w:sz w:val="20"/>
                <w:szCs w:val="20"/>
                <w:lang w:eastAsia="en-GB"/>
              </w:rPr>
            </w:pPr>
            <w:r w:rsidRPr="0061265C">
              <w:rPr>
                <w:rFonts w:ascii="Arial" w:eastAsia="Times New Roman" w:hAnsi="Arial" w:cs="Arial"/>
                <w:bCs/>
                <w:sz w:val="20"/>
                <w:szCs w:val="20"/>
                <w:lang w:eastAsia="en-GB"/>
              </w:rPr>
              <w:t>16,692</w:t>
            </w:r>
          </w:p>
        </w:tc>
        <w:tc>
          <w:tcPr>
            <w:tcW w:w="1417" w:type="dxa"/>
            <w:tcBorders>
              <w:top w:val="nil"/>
              <w:left w:val="nil"/>
              <w:bottom w:val="single" w:sz="4" w:space="0" w:color="auto"/>
              <w:right w:val="nil"/>
            </w:tcBorders>
            <w:shd w:val="clear" w:color="auto" w:fill="auto"/>
            <w:noWrap/>
            <w:vAlign w:val="center"/>
          </w:tcPr>
          <w:p w14:paraId="24DF5C87" w14:textId="77777777" w:rsidR="0061265C" w:rsidRPr="00543D10" w:rsidRDefault="00540724" w:rsidP="0061265C">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16,555</w:t>
            </w:r>
          </w:p>
        </w:tc>
        <w:tc>
          <w:tcPr>
            <w:tcW w:w="1294" w:type="dxa"/>
            <w:tcBorders>
              <w:top w:val="nil"/>
              <w:left w:val="nil"/>
              <w:bottom w:val="single" w:sz="4" w:space="0" w:color="auto"/>
              <w:right w:val="nil"/>
            </w:tcBorders>
            <w:shd w:val="clear" w:color="auto" w:fill="auto"/>
            <w:noWrap/>
            <w:vAlign w:val="center"/>
          </w:tcPr>
          <w:p w14:paraId="27ED6409" w14:textId="77777777" w:rsidR="0061265C" w:rsidRPr="00543D10" w:rsidRDefault="00540724" w:rsidP="0061265C">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33,247</w:t>
            </w:r>
          </w:p>
        </w:tc>
      </w:tr>
      <w:tr w:rsidR="0061265C" w:rsidRPr="00543D10" w14:paraId="7803EA77" w14:textId="77777777" w:rsidTr="00833243">
        <w:trPr>
          <w:trHeight w:val="342"/>
        </w:trPr>
        <w:tc>
          <w:tcPr>
            <w:tcW w:w="3630" w:type="dxa"/>
            <w:tcBorders>
              <w:top w:val="nil"/>
              <w:left w:val="nil"/>
              <w:bottom w:val="single" w:sz="4" w:space="0" w:color="auto"/>
              <w:right w:val="nil"/>
            </w:tcBorders>
            <w:shd w:val="clear" w:color="auto" w:fill="auto"/>
            <w:vAlign w:val="center"/>
            <w:hideMark/>
          </w:tcPr>
          <w:p w14:paraId="422E586A" w14:textId="77777777" w:rsidR="0061265C" w:rsidRPr="00543D10" w:rsidRDefault="0061265C" w:rsidP="0061265C">
            <w:pPr>
              <w:spacing w:after="0" w:line="240" w:lineRule="auto"/>
              <w:rPr>
                <w:rFonts w:ascii="Arial" w:eastAsia="Times New Roman" w:hAnsi="Arial" w:cs="Arial"/>
                <w:sz w:val="20"/>
                <w:szCs w:val="20"/>
                <w:lang w:eastAsia="en-GB"/>
              </w:rPr>
            </w:pPr>
            <w:r w:rsidRPr="00543D10">
              <w:rPr>
                <w:rFonts w:ascii="Arial" w:eastAsia="Times New Roman" w:hAnsi="Arial" w:cs="Arial"/>
                <w:sz w:val="20"/>
                <w:szCs w:val="20"/>
                <w:lang w:eastAsia="en-GB"/>
              </w:rPr>
              <w:t>Total cash at bank and in hand</w:t>
            </w:r>
          </w:p>
        </w:tc>
        <w:tc>
          <w:tcPr>
            <w:tcW w:w="1119" w:type="dxa"/>
            <w:tcBorders>
              <w:top w:val="single" w:sz="4" w:space="0" w:color="auto"/>
              <w:left w:val="nil"/>
              <w:bottom w:val="single" w:sz="4" w:space="0" w:color="auto"/>
              <w:right w:val="nil"/>
            </w:tcBorders>
            <w:shd w:val="clear" w:color="auto" w:fill="auto"/>
            <w:noWrap/>
            <w:vAlign w:val="center"/>
            <w:hideMark/>
          </w:tcPr>
          <w:p w14:paraId="0702B1F4" w14:textId="77777777" w:rsidR="0061265C" w:rsidRPr="00543D10" w:rsidRDefault="0061265C" w:rsidP="0061265C">
            <w:pPr>
              <w:spacing w:after="0" w:line="240" w:lineRule="auto"/>
              <w:rPr>
                <w:rFonts w:ascii="Arial" w:eastAsia="Times New Roman" w:hAnsi="Arial" w:cs="Arial"/>
                <w:sz w:val="20"/>
                <w:szCs w:val="20"/>
                <w:lang w:eastAsia="en-GB"/>
              </w:rPr>
            </w:pPr>
            <w:r w:rsidRPr="00543D10">
              <w:rPr>
                <w:rFonts w:ascii="Arial" w:eastAsia="Times New Roman" w:hAnsi="Arial" w:cs="Arial"/>
                <w:sz w:val="20"/>
                <w:szCs w:val="20"/>
                <w:lang w:eastAsia="en-GB"/>
              </w:rPr>
              <w:t> </w:t>
            </w:r>
          </w:p>
        </w:tc>
        <w:tc>
          <w:tcPr>
            <w:tcW w:w="272" w:type="dxa"/>
            <w:tcBorders>
              <w:top w:val="single" w:sz="4" w:space="0" w:color="auto"/>
              <w:left w:val="nil"/>
              <w:bottom w:val="single" w:sz="4" w:space="0" w:color="auto"/>
              <w:right w:val="nil"/>
            </w:tcBorders>
            <w:shd w:val="clear" w:color="auto" w:fill="auto"/>
            <w:noWrap/>
            <w:vAlign w:val="center"/>
            <w:hideMark/>
          </w:tcPr>
          <w:p w14:paraId="0D719025" w14:textId="77777777" w:rsidR="0061265C" w:rsidRPr="00543D10" w:rsidRDefault="0061265C" w:rsidP="0061265C">
            <w:pPr>
              <w:spacing w:after="0" w:line="240" w:lineRule="auto"/>
              <w:rPr>
                <w:rFonts w:ascii="Arial" w:eastAsia="Times New Roman" w:hAnsi="Arial" w:cs="Arial"/>
                <w:sz w:val="20"/>
                <w:szCs w:val="20"/>
                <w:lang w:eastAsia="en-GB"/>
              </w:rPr>
            </w:pPr>
            <w:r w:rsidRPr="00543D10">
              <w:rPr>
                <w:rFonts w:ascii="Arial" w:eastAsia="Times New Roman" w:hAnsi="Arial" w:cs="Arial"/>
                <w:sz w:val="20"/>
                <w:szCs w:val="20"/>
                <w:lang w:eastAsia="en-GB"/>
              </w:rPr>
              <w:t> </w:t>
            </w:r>
          </w:p>
        </w:tc>
        <w:tc>
          <w:tcPr>
            <w:tcW w:w="1500" w:type="dxa"/>
            <w:tcBorders>
              <w:top w:val="nil"/>
              <w:left w:val="nil"/>
              <w:bottom w:val="single" w:sz="4" w:space="0" w:color="auto"/>
              <w:right w:val="nil"/>
            </w:tcBorders>
            <w:shd w:val="clear" w:color="auto" w:fill="auto"/>
            <w:noWrap/>
            <w:vAlign w:val="center"/>
            <w:hideMark/>
          </w:tcPr>
          <w:p w14:paraId="58B39F40" w14:textId="77777777" w:rsidR="0061265C" w:rsidRPr="0061265C" w:rsidRDefault="0061265C" w:rsidP="0061265C">
            <w:pPr>
              <w:spacing w:after="0" w:line="240" w:lineRule="auto"/>
              <w:jc w:val="right"/>
              <w:rPr>
                <w:rFonts w:ascii="Arial" w:eastAsia="Times New Roman" w:hAnsi="Arial" w:cs="Arial"/>
                <w:sz w:val="20"/>
                <w:szCs w:val="20"/>
                <w:lang w:eastAsia="en-GB"/>
              </w:rPr>
            </w:pPr>
            <w:r w:rsidRPr="0061265C">
              <w:rPr>
                <w:rFonts w:ascii="Arial" w:eastAsia="Times New Roman" w:hAnsi="Arial" w:cs="Arial"/>
                <w:bCs/>
                <w:sz w:val="20"/>
                <w:szCs w:val="20"/>
                <w:lang w:eastAsia="en-GB"/>
              </w:rPr>
              <w:t>16,942</w:t>
            </w:r>
          </w:p>
        </w:tc>
        <w:tc>
          <w:tcPr>
            <w:tcW w:w="1417" w:type="dxa"/>
            <w:tcBorders>
              <w:top w:val="nil"/>
              <w:left w:val="nil"/>
              <w:bottom w:val="single" w:sz="4" w:space="0" w:color="auto"/>
              <w:right w:val="nil"/>
            </w:tcBorders>
            <w:shd w:val="clear" w:color="auto" w:fill="auto"/>
            <w:noWrap/>
            <w:vAlign w:val="center"/>
          </w:tcPr>
          <w:p w14:paraId="7DF142D9" w14:textId="77777777" w:rsidR="0061265C" w:rsidRPr="00543D10" w:rsidRDefault="00540724" w:rsidP="0061265C">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16,555</w:t>
            </w:r>
          </w:p>
        </w:tc>
        <w:tc>
          <w:tcPr>
            <w:tcW w:w="1294" w:type="dxa"/>
            <w:tcBorders>
              <w:top w:val="nil"/>
              <w:left w:val="nil"/>
              <w:bottom w:val="single" w:sz="4" w:space="0" w:color="auto"/>
              <w:right w:val="nil"/>
            </w:tcBorders>
            <w:shd w:val="clear" w:color="auto" w:fill="auto"/>
            <w:noWrap/>
            <w:vAlign w:val="center"/>
          </w:tcPr>
          <w:p w14:paraId="2B9E6E8D" w14:textId="77777777" w:rsidR="0061265C" w:rsidRPr="00543D10" w:rsidRDefault="00540724" w:rsidP="0061265C">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33,497</w:t>
            </w:r>
          </w:p>
        </w:tc>
      </w:tr>
    </w:tbl>
    <w:p w14:paraId="4946CFDD" w14:textId="77777777" w:rsidR="00676596" w:rsidRPr="00543D10" w:rsidRDefault="00676596" w:rsidP="00676596">
      <w:pPr>
        <w:rPr>
          <w:rFonts w:ascii="Arial" w:hAnsi="Arial" w:cs="Arial"/>
          <w:b/>
          <w:sz w:val="20"/>
          <w:szCs w:val="20"/>
        </w:rPr>
      </w:pPr>
    </w:p>
    <w:p w14:paraId="3CA13C35" w14:textId="77777777" w:rsidR="00676596" w:rsidRPr="00543D10" w:rsidRDefault="00676596" w:rsidP="00676596">
      <w:pPr>
        <w:spacing w:after="0" w:line="240" w:lineRule="auto"/>
        <w:rPr>
          <w:rFonts w:ascii="Arial" w:eastAsia="Times New Roman" w:hAnsi="Arial" w:cs="Arial"/>
          <w:b/>
          <w:bCs/>
          <w:sz w:val="24"/>
          <w:szCs w:val="24"/>
          <w:lang w:eastAsia="en-GB"/>
        </w:rPr>
      </w:pPr>
    </w:p>
    <w:p w14:paraId="108F9ED0" w14:textId="77777777" w:rsidR="00676596" w:rsidRPr="00543D10" w:rsidRDefault="00676596" w:rsidP="00676596">
      <w:pPr>
        <w:spacing w:after="0" w:line="240" w:lineRule="auto"/>
        <w:rPr>
          <w:rFonts w:ascii="Arial" w:eastAsia="Times New Roman" w:hAnsi="Arial" w:cs="Arial"/>
          <w:b/>
          <w:bCs/>
          <w:sz w:val="24"/>
          <w:szCs w:val="24"/>
          <w:lang w:eastAsia="en-GB"/>
        </w:rPr>
      </w:pPr>
      <w:r w:rsidRPr="00543D10">
        <w:rPr>
          <w:rFonts w:ascii="Arial" w:eastAsia="Times New Roman" w:hAnsi="Arial" w:cs="Arial"/>
          <w:b/>
          <w:bCs/>
          <w:sz w:val="24"/>
          <w:szCs w:val="24"/>
          <w:lang w:eastAsia="en-GB"/>
        </w:rPr>
        <w:t>c) Cash and cash equivalents</w:t>
      </w:r>
    </w:p>
    <w:tbl>
      <w:tblPr>
        <w:tblW w:w="9229" w:type="dxa"/>
        <w:tblLook w:val="04A0" w:firstRow="1" w:lastRow="0" w:firstColumn="1" w:lastColumn="0" w:noHBand="0" w:noVBand="1"/>
      </w:tblPr>
      <w:tblGrid>
        <w:gridCol w:w="3697"/>
        <w:gridCol w:w="1118"/>
        <w:gridCol w:w="1165"/>
        <w:gridCol w:w="1166"/>
        <w:gridCol w:w="1041"/>
        <w:gridCol w:w="1042"/>
      </w:tblGrid>
      <w:tr w:rsidR="00543D10" w:rsidRPr="00543D10" w14:paraId="10B56197" w14:textId="77777777" w:rsidTr="00B638C0">
        <w:trPr>
          <w:trHeight w:val="313"/>
        </w:trPr>
        <w:tc>
          <w:tcPr>
            <w:tcW w:w="3697" w:type="dxa"/>
            <w:tcBorders>
              <w:top w:val="nil"/>
              <w:left w:val="nil"/>
              <w:bottom w:val="nil"/>
              <w:right w:val="nil"/>
            </w:tcBorders>
            <w:shd w:val="clear" w:color="auto" w:fill="auto"/>
            <w:vAlign w:val="center"/>
            <w:hideMark/>
          </w:tcPr>
          <w:p w14:paraId="70CC5811" w14:textId="77777777" w:rsidR="00676596" w:rsidRPr="00543D10" w:rsidRDefault="00676596" w:rsidP="00676596">
            <w:pPr>
              <w:spacing w:after="0" w:line="240" w:lineRule="auto"/>
              <w:rPr>
                <w:rFonts w:ascii="Times New Roman" w:eastAsia="Times New Roman" w:hAnsi="Times New Roman" w:cs="Times New Roman"/>
                <w:sz w:val="24"/>
                <w:szCs w:val="24"/>
                <w:lang w:eastAsia="en-GB"/>
              </w:rPr>
            </w:pPr>
          </w:p>
        </w:tc>
        <w:tc>
          <w:tcPr>
            <w:tcW w:w="1118" w:type="dxa"/>
            <w:tcBorders>
              <w:top w:val="nil"/>
              <w:left w:val="nil"/>
              <w:bottom w:val="nil"/>
              <w:right w:val="nil"/>
            </w:tcBorders>
            <w:shd w:val="clear" w:color="auto" w:fill="auto"/>
            <w:noWrap/>
            <w:vAlign w:val="center"/>
            <w:hideMark/>
          </w:tcPr>
          <w:p w14:paraId="6A5B8174" w14:textId="77777777" w:rsidR="00676596" w:rsidRPr="00543D10" w:rsidRDefault="00676596" w:rsidP="00676596">
            <w:pPr>
              <w:spacing w:after="0" w:line="240" w:lineRule="auto"/>
              <w:rPr>
                <w:rFonts w:ascii="Times New Roman" w:eastAsia="Times New Roman" w:hAnsi="Times New Roman" w:cs="Times New Roman"/>
                <w:sz w:val="20"/>
                <w:szCs w:val="20"/>
                <w:lang w:eastAsia="en-GB"/>
              </w:rPr>
            </w:pPr>
          </w:p>
        </w:tc>
        <w:tc>
          <w:tcPr>
            <w:tcW w:w="2331" w:type="dxa"/>
            <w:gridSpan w:val="2"/>
            <w:tcBorders>
              <w:top w:val="nil"/>
              <w:left w:val="nil"/>
              <w:bottom w:val="nil"/>
              <w:right w:val="nil"/>
            </w:tcBorders>
            <w:shd w:val="clear" w:color="auto" w:fill="auto"/>
            <w:noWrap/>
            <w:vAlign w:val="center"/>
            <w:hideMark/>
          </w:tcPr>
          <w:p w14:paraId="538233F4" w14:textId="77777777" w:rsidR="00676596" w:rsidRPr="00543D10" w:rsidRDefault="00676596" w:rsidP="000E07DC">
            <w:pPr>
              <w:spacing w:after="0" w:line="240" w:lineRule="auto"/>
              <w:jc w:val="center"/>
              <w:rPr>
                <w:rFonts w:ascii="Arial" w:eastAsia="Times New Roman" w:hAnsi="Arial" w:cs="Arial"/>
                <w:b/>
                <w:bCs/>
                <w:sz w:val="20"/>
                <w:szCs w:val="20"/>
                <w:lang w:eastAsia="en-GB"/>
              </w:rPr>
            </w:pPr>
            <w:r w:rsidRPr="00543D10">
              <w:rPr>
                <w:rFonts w:ascii="Arial" w:eastAsia="Times New Roman" w:hAnsi="Arial" w:cs="Arial"/>
                <w:b/>
                <w:bCs/>
                <w:sz w:val="20"/>
                <w:szCs w:val="20"/>
                <w:lang w:eastAsia="en-GB"/>
              </w:rPr>
              <w:t>Group</w:t>
            </w:r>
          </w:p>
        </w:tc>
        <w:tc>
          <w:tcPr>
            <w:tcW w:w="2083" w:type="dxa"/>
            <w:gridSpan w:val="2"/>
            <w:tcBorders>
              <w:top w:val="nil"/>
              <w:left w:val="nil"/>
              <w:bottom w:val="nil"/>
              <w:right w:val="nil"/>
            </w:tcBorders>
            <w:shd w:val="clear" w:color="auto" w:fill="auto"/>
            <w:noWrap/>
            <w:vAlign w:val="center"/>
            <w:hideMark/>
          </w:tcPr>
          <w:p w14:paraId="450FF84C" w14:textId="77777777" w:rsidR="00676596" w:rsidRPr="00543D10" w:rsidRDefault="00676596" w:rsidP="000E07DC">
            <w:pPr>
              <w:spacing w:after="0" w:line="240" w:lineRule="auto"/>
              <w:jc w:val="center"/>
              <w:rPr>
                <w:rFonts w:ascii="Arial" w:eastAsia="Times New Roman" w:hAnsi="Arial" w:cs="Arial"/>
                <w:b/>
                <w:bCs/>
                <w:sz w:val="20"/>
                <w:szCs w:val="20"/>
                <w:lang w:eastAsia="en-GB"/>
              </w:rPr>
            </w:pPr>
            <w:r w:rsidRPr="00543D10">
              <w:rPr>
                <w:rFonts w:ascii="Arial" w:eastAsia="Times New Roman" w:hAnsi="Arial" w:cs="Arial"/>
                <w:b/>
                <w:bCs/>
                <w:sz w:val="20"/>
                <w:szCs w:val="20"/>
                <w:lang w:eastAsia="en-GB"/>
              </w:rPr>
              <w:t>Company</w:t>
            </w:r>
          </w:p>
        </w:tc>
      </w:tr>
      <w:tr w:rsidR="00543D10" w:rsidRPr="00543D10" w14:paraId="529A1A62" w14:textId="77777777" w:rsidTr="00B638C0">
        <w:trPr>
          <w:trHeight w:val="313"/>
        </w:trPr>
        <w:tc>
          <w:tcPr>
            <w:tcW w:w="3697" w:type="dxa"/>
            <w:tcBorders>
              <w:top w:val="nil"/>
              <w:left w:val="nil"/>
              <w:bottom w:val="nil"/>
              <w:right w:val="nil"/>
            </w:tcBorders>
            <w:shd w:val="clear" w:color="auto" w:fill="auto"/>
            <w:noWrap/>
            <w:vAlign w:val="center"/>
            <w:hideMark/>
          </w:tcPr>
          <w:p w14:paraId="196D9980" w14:textId="77777777" w:rsidR="00676596" w:rsidRPr="00543D10" w:rsidRDefault="00676596" w:rsidP="00676596">
            <w:pPr>
              <w:spacing w:after="0" w:line="240" w:lineRule="auto"/>
              <w:rPr>
                <w:rFonts w:ascii="Arial" w:eastAsia="Times New Roman" w:hAnsi="Arial" w:cs="Arial"/>
                <w:b/>
                <w:bCs/>
                <w:sz w:val="20"/>
                <w:szCs w:val="20"/>
                <w:lang w:eastAsia="en-GB"/>
              </w:rPr>
            </w:pPr>
          </w:p>
        </w:tc>
        <w:tc>
          <w:tcPr>
            <w:tcW w:w="1118" w:type="dxa"/>
            <w:tcBorders>
              <w:top w:val="nil"/>
              <w:left w:val="nil"/>
              <w:bottom w:val="nil"/>
              <w:right w:val="nil"/>
            </w:tcBorders>
            <w:shd w:val="clear" w:color="auto" w:fill="auto"/>
            <w:noWrap/>
            <w:vAlign w:val="center"/>
            <w:hideMark/>
          </w:tcPr>
          <w:p w14:paraId="1CA68D75" w14:textId="77777777" w:rsidR="00676596" w:rsidRPr="00543D10" w:rsidRDefault="00676596" w:rsidP="00676596">
            <w:pPr>
              <w:spacing w:after="0" w:line="240" w:lineRule="auto"/>
              <w:rPr>
                <w:rFonts w:ascii="Times New Roman" w:eastAsia="Times New Roman" w:hAnsi="Times New Roman" w:cs="Times New Roman"/>
                <w:sz w:val="20"/>
                <w:szCs w:val="20"/>
                <w:lang w:eastAsia="en-GB"/>
              </w:rPr>
            </w:pPr>
          </w:p>
        </w:tc>
        <w:tc>
          <w:tcPr>
            <w:tcW w:w="1165" w:type="dxa"/>
            <w:tcBorders>
              <w:top w:val="nil"/>
              <w:left w:val="nil"/>
              <w:bottom w:val="nil"/>
              <w:right w:val="nil"/>
            </w:tcBorders>
            <w:shd w:val="clear" w:color="auto" w:fill="auto"/>
            <w:noWrap/>
            <w:vAlign w:val="center"/>
            <w:hideMark/>
          </w:tcPr>
          <w:p w14:paraId="3C8D7FB2" w14:textId="77777777" w:rsidR="00676596" w:rsidRPr="00543D10" w:rsidRDefault="0037645F" w:rsidP="005B39D0">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2020</w:t>
            </w:r>
          </w:p>
        </w:tc>
        <w:tc>
          <w:tcPr>
            <w:tcW w:w="1166" w:type="dxa"/>
            <w:tcBorders>
              <w:top w:val="nil"/>
              <w:left w:val="nil"/>
              <w:bottom w:val="nil"/>
              <w:right w:val="nil"/>
            </w:tcBorders>
            <w:shd w:val="clear" w:color="auto" w:fill="auto"/>
            <w:noWrap/>
            <w:vAlign w:val="center"/>
            <w:hideMark/>
          </w:tcPr>
          <w:p w14:paraId="1B68A05D" w14:textId="77777777" w:rsidR="00676596" w:rsidRPr="00543D10" w:rsidRDefault="0037645F" w:rsidP="005B39D0">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2019</w:t>
            </w:r>
          </w:p>
        </w:tc>
        <w:tc>
          <w:tcPr>
            <w:tcW w:w="1041" w:type="dxa"/>
            <w:tcBorders>
              <w:top w:val="nil"/>
              <w:left w:val="nil"/>
              <w:bottom w:val="nil"/>
              <w:right w:val="nil"/>
            </w:tcBorders>
            <w:shd w:val="clear" w:color="auto" w:fill="auto"/>
            <w:noWrap/>
            <w:vAlign w:val="center"/>
            <w:hideMark/>
          </w:tcPr>
          <w:p w14:paraId="17DCDB51" w14:textId="77777777" w:rsidR="00676596" w:rsidRPr="00543D10" w:rsidRDefault="0037645F" w:rsidP="005B39D0">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2020</w:t>
            </w:r>
          </w:p>
        </w:tc>
        <w:tc>
          <w:tcPr>
            <w:tcW w:w="1041" w:type="dxa"/>
            <w:tcBorders>
              <w:top w:val="nil"/>
              <w:left w:val="nil"/>
              <w:bottom w:val="nil"/>
              <w:right w:val="nil"/>
            </w:tcBorders>
            <w:shd w:val="clear" w:color="auto" w:fill="auto"/>
            <w:noWrap/>
            <w:vAlign w:val="center"/>
            <w:hideMark/>
          </w:tcPr>
          <w:p w14:paraId="0ED66980" w14:textId="77777777" w:rsidR="00676596" w:rsidRPr="00543D10" w:rsidRDefault="0037645F" w:rsidP="005B39D0">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2019</w:t>
            </w:r>
          </w:p>
        </w:tc>
      </w:tr>
      <w:tr w:rsidR="00543D10" w:rsidRPr="00543D10" w14:paraId="2095D900" w14:textId="77777777" w:rsidTr="00B638C0">
        <w:trPr>
          <w:trHeight w:val="313"/>
        </w:trPr>
        <w:tc>
          <w:tcPr>
            <w:tcW w:w="3697" w:type="dxa"/>
            <w:tcBorders>
              <w:top w:val="nil"/>
              <w:left w:val="nil"/>
              <w:bottom w:val="single" w:sz="4" w:space="0" w:color="auto"/>
              <w:right w:val="nil"/>
            </w:tcBorders>
            <w:shd w:val="clear" w:color="auto" w:fill="auto"/>
            <w:noWrap/>
            <w:vAlign w:val="center"/>
            <w:hideMark/>
          </w:tcPr>
          <w:p w14:paraId="7CF2F4FE" w14:textId="77777777" w:rsidR="00676596" w:rsidRPr="00543D10" w:rsidRDefault="00676596" w:rsidP="00676596">
            <w:pPr>
              <w:spacing w:after="0" w:line="240" w:lineRule="auto"/>
              <w:rPr>
                <w:rFonts w:ascii="Arial" w:eastAsia="Times New Roman" w:hAnsi="Arial" w:cs="Arial"/>
                <w:b/>
                <w:bCs/>
                <w:sz w:val="20"/>
                <w:szCs w:val="20"/>
                <w:lang w:eastAsia="en-GB"/>
              </w:rPr>
            </w:pPr>
            <w:r w:rsidRPr="00543D10">
              <w:rPr>
                <w:rFonts w:ascii="Arial" w:eastAsia="Times New Roman" w:hAnsi="Arial" w:cs="Arial"/>
                <w:b/>
                <w:bCs/>
                <w:sz w:val="20"/>
                <w:szCs w:val="20"/>
                <w:lang w:eastAsia="en-GB"/>
              </w:rPr>
              <w:t> </w:t>
            </w:r>
          </w:p>
        </w:tc>
        <w:tc>
          <w:tcPr>
            <w:tcW w:w="1118" w:type="dxa"/>
            <w:tcBorders>
              <w:top w:val="nil"/>
              <w:left w:val="nil"/>
              <w:bottom w:val="single" w:sz="4" w:space="0" w:color="auto"/>
              <w:right w:val="nil"/>
            </w:tcBorders>
            <w:shd w:val="clear" w:color="auto" w:fill="auto"/>
            <w:noWrap/>
            <w:vAlign w:val="center"/>
            <w:hideMark/>
          </w:tcPr>
          <w:p w14:paraId="0FADBAD9" w14:textId="77777777" w:rsidR="00676596" w:rsidRPr="00543D10" w:rsidRDefault="00676596" w:rsidP="00676596">
            <w:pPr>
              <w:spacing w:after="0" w:line="240" w:lineRule="auto"/>
              <w:rPr>
                <w:rFonts w:ascii="Arial" w:eastAsia="Times New Roman" w:hAnsi="Arial" w:cs="Arial"/>
                <w:sz w:val="20"/>
                <w:szCs w:val="20"/>
                <w:lang w:eastAsia="en-GB"/>
              </w:rPr>
            </w:pPr>
            <w:r w:rsidRPr="00543D10">
              <w:rPr>
                <w:rFonts w:ascii="Arial" w:eastAsia="Times New Roman" w:hAnsi="Arial" w:cs="Arial"/>
                <w:sz w:val="20"/>
                <w:szCs w:val="20"/>
                <w:lang w:eastAsia="en-GB"/>
              </w:rPr>
              <w:t> </w:t>
            </w:r>
          </w:p>
        </w:tc>
        <w:tc>
          <w:tcPr>
            <w:tcW w:w="1165" w:type="dxa"/>
            <w:tcBorders>
              <w:top w:val="nil"/>
              <w:left w:val="nil"/>
              <w:bottom w:val="single" w:sz="4" w:space="0" w:color="auto"/>
              <w:right w:val="nil"/>
            </w:tcBorders>
            <w:shd w:val="clear" w:color="auto" w:fill="auto"/>
            <w:noWrap/>
            <w:vAlign w:val="center"/>
            <w:hideMark/>
          </w:tcPr>
          <w:p w14:paraId="16E5D301" w14:textId="77777777" w:rsidR="00676596" w:rsidRPr="00543D10" w:rsidRDefault="00676596" w:rsidP="005B39D0">
            <w:pPr>
              <w:spacing w:after="0" w:line="240" w:lineRule="auto"/>
              <w:jc w:val="right"/>
              <w:rPr>
                <w:rFonts w:ascii="Arial" w:eastAsia="Times New Roman" w:hAnsi="Arial" w:cs="Arial"/>
                <w:b/>
                <w:bCs/>
                <w:sz w:val="20"/>
                <w:szCs w:val="20"/>
                <w:lang w:eastAsia="en-GB"/>
              </w:rPr>
            </w:pPr>
            <w:r w:rsidRPr="00543D10">
              <w:rPr>
                <w:rFonts w:ascii="Arial" w:eastAsia="Times New Roman" w:hAnsi="Arial" w:cs="Arial"/>
                <w:b/>
                <w:bCs/>
                <w:sz w:val="20"/>
                <w:szCs w:val="20"/>
                <w:lang w:eastAsia="en-GB"/>
              </w:rPr>
              <w:t>£'000</w:t>
            </w:r>
          </w:p>
        </w:tc>
        <w:tc>
          <w:tcPr>
            <w:tcW w:w="1166" w:type="dxa"/>
            <w:tcBorders>
              <w:top w:val="nil"/>
              <w:left w:val="nil"/>
              <w:bottom w:val="single" w:sz="4" w:space="0" w:color="auto"/>
              <w:right w:val="nil"/>
            </w:tcBorders>
            <w:shd w:val="clear" w:color="auto" w:fill="auto"/>
            <w:noWrap/>
            <w:vAlign w:val="center"/>
            <w:hideMark/>
          </w:tcPr>
          <w:p w14:paraId="09DC7B5F" w14:textId="77777777" w:rsidR="00676596" w:rsidRPr="00543D10" w:rsidRDefault="00676596" w:rsidP="005B39D0">
            <w:pPr>
              <w:spacing w:after="0" w:line="240" w:lineRule="auto"/>
              <w:jc w:val="right"/>
              <w:rPr>
                <w:rFonts w:ascii="Arial" w:eastAsia="Times New Roman" w:hAnsi="Arial" w:cs="Arial"/>
                <w:sz w:val="20"/>
                <w:szCs w:val="20"/>
                <w:lang w:eastAsia="en-GB"/>
              </w:rPr>
            </w:pPr>
            <w:r w:rsidRPr="00543D10">
              <w:rPr>
                <w:rFonts w:ascii="Arial" w:eastAsia="Times New Roman" w:hAnsi="Arial" w:cs="Arial"/>
                <w:sz w:val="20"/>
                <w:szCs w:val="20"/>
                <w:lang w:eastAsia="en-GB"/>
              </w:rPr>
              <w:t>£'000</w:t>
            </w:r>
          </w:p>
        </w:tc>
        <w:tc>
          <w:tcPr>
            <w:tcW w:w="1041" w:type="dxa"/>
            <w:tcBorders>
              <w:top w:val="nil"/>
              <w:left w:val="nil"/>
              <w:bottom w:val="single" w:sz="4" w:space="0" w:color="auto"/>
              <w:right w:val="nil"/>
            </w:tcBorders>
            <w:shd w:val="clear" w:color="auto" w:fill="auto"/>
            <w:noWrap/>
            <w:vAlign w:val="center"/>
            <w:hideMark/>
          </w:tcPr>
          <w:p w14:paraId="6A75B337" w14:textId="77777777" w:rsidR="00676596" w:rsidRPr="00543D10" w:rsidRDefault="00676596" w:rsidP="005B39D0">
            <w:pPr>
              <w:spacing w:after="0" w:line="240" w:lineRule="auto"/>
              <w:jc w:val="right"/>
              <w:rPr>
                <w:rFonts w:ascii="Arial" w:eastAsia="Times New Roman" w:hAnsi="Arial" w:cs="Arial"/>
                <w:b/>
                <w:bCs/>
                <w:sz w:val="20"/>
                <w:szCs w:val="20"/>
                <w:lang w:eastAsia="en-GB"/>
              </w:rPr>
            </w:pPr>
            <w:r w:rsidRPr="00543D10">
              <w:rPr>
                <w:rFonts w:ascii="Arial" w:eastAsia="Times New Roman" w:hAnsi="Arial" w:cs="Arial"/>
                <w:b/>
                <w:bCs/>
                <w:sz w:val="20"/>
                <w:szCs w:val="20"/>
                <w:lang w:eastAsia="en-GB"/>
              </w:rPr>
              <w:t>£'000</w:t>
            </w:r>
          </w:p>
        </w:tc>
        <w:tc>
          <w:tcPr>
            <w:tcW w:w="1041" w:type="dxa"/>
            <w:tcBorders>
              <w:top w:val="nil"/>
              <w:left w:val="nil"/>
              <w:bottom w:val="single" w:sz="4" w:space="0" w:color="auto"/>
              <w:right w:val="nil"/>
            </w:tcBorders>
            <w:shd w:val="clear" w:color="auto" w:fill="auto"/>
            <w:noWrap/>
            <w:vAlign w:val="center"/>
            <w:hideMark/>
          </w:tcPr>
          <w:p w14:paraId="40693EAA" w14:textId="77777777" w:rsidR="00676596" w:rsidRPr="00543D10" w:rsidRDefault="00676596" w:rsidP="005B39D0">
            <w:pPr>
              <w:spacing w:after="0" w:line="240" w:lineRule="auto"/>
              <w:jc w:val="right"/>
              <w:rPr>
                <w:rFonts w:ascii="Arial" w:eastAsia="Times New Roman" w:hAnsi="Arial" w:cs="Arial"/>
                <w:sz w:val="20"/>
                <w:szCs w:val="20"/>
                <w:lang w:eastAsia="en-GB"/>
              </w:rPr>
            </w:pPr>
            <w:r w:rsidRPr="00543D10">
              <w:rPr>
                <w:rFonts w:ascii="Arial" w:eastAsia="Times New Roman" w:hAnsi="Arial" w:cs="Arial"/>
                <w:sz w:val="20"/>
                <w:szCs w:val="20"/>
                <w:lang w:eastAsia="en-GB"/>
              </w:rPr>
              <w:t>£'000</w:t>
            </w:r>
          </w:p>
        </w:tc>
      </w:tr>
      <w:tr w:rsidR="00543D10" w:rsidRPr="00543D10" w14:paraId="27AA4077" w14:textId="77777777" w:rsidTr="00B638C0">
        <w:trPr>
          <w:trHeight w:val="509"/>
        </w:trPr>
        <w:tc>
          <w:tcPr>
            <w:tcW w:w="3697" w:type="dxa"/>
            <w:tcBorders>
              <w:top w:val="nil"/>
              <w:left w:val="nil"/>
              <w:bottom w:val="nil"/>
              <w:right w:val="nil"/>
            </w:tcBorders>
            <w:shd w:val="clear" w:color="auto" w:fill="auto"/>
            <w:vAlign w:val="center"/>
            <w:hideMark/>
          </w:tcPr>
          <w:p w14:paraId="2FB2954A" w14:textId="77777777" w:rsidR="00676596" w:rsidRPr="00543D10" w:rsidRDefault="00676596" w:rsidP="00676596">
            <w:pPr>
              <w:spacing w:after="0" w:line="240" w:lineRule="auto"/>
              <w:rPr>
                <w:rFonts w:ascii="Arial" w:eastAsia="Times New Roman" w:hAnsi="Arial" w:cs="Arial"/>
                <w:sz w:val="20"/>
                <w:szCs w:val="20"/>
                <w:lang w:eastAsia="en-GB"/>
              </w:rPr>
            </w:pPr>
            <w:r w:rsidRPr="00543D10">
              <w:rPr>
                <w:rFonts w:ascii="Arial" w:eastAsia="Times New Roman" w:hAnsi="Arial" w:cs="Arial"/>
                <w:sz w:val="20"/>
                <w:szCs w:val="20"/>
                <w:lang w:eastAsia="en-GB"/>
              </w:rPr>
              <w:t>Cash and cash equivalents consists of:</w:t>
            </w:r>
          </w:p>
        </w:tc>
        <w:tc>
          <w:tcPr>
            <w:tcW w:w="1118" w:type="dxa"/>
            <w:tcBorders>
              <w:top w:val="nil"/>
              <w:left w:val="nil"/>
              <w:bottom w:val="nil"/>
              <w:right w:val="nil"/>
            </w:tcBorders>
            <w:shd w:val="clear" w:color="auto" w:fill="auto"/>
            <w:noWrap/>
            <w:vAlign w:val="center"/>
            <w:hideMark/>
          </w:tcPr>
          <w:p w14:paraId="71160BE0" w14:textId="77777777" w:rsidR="00676596" w:rsidRPr="00543D10" w:rsidRDefault="00676596" w:rsidP="00676596">
            <w:pPr>
              <w:spacing w:after="0" w:line="240" w:lineRule="auto"/>
              <w:rPr>
                <w:rFonts w:ascii="Arial" w:eastAsia="Times New Roman" w:hAnsi="Arial" w:cs="Arial"/>
                <w:sz w:val="20"/>
                <w:szCs w:val="20"/>
                <w:lang w:eastAsia="en-GB"/>
              </w:rPr>
            </w:pPr>
          </w:p>
        </w:tc>
        <w:tc>
          <w:tcPr>
            <w:tcW w:w="1165" w:type="dxa"/>
            <w:tcBorders>
              <w:top w:val="nil"/>
              <w:left w:val="nil"/>
              <w:bottom w:val="nil"/>
              <w:right w:val="nil"/>
            </w:tcBorders>
            <w:shd w:val="clear" w:color="auto" w:fill="auto"/>
            <w:noWrap/>
            <w:vAlign w:val="center"/>
            <w:hideMark/>
          </w:tcPr>
          <w:p w14:paraId="75D281F7" w14:textId="77777777" w:rsidR="00676596" w:rsidRPr="00543D10" w:rsidRDefault="00676596" w:rsidP="005B39D0">
            <w:pPr>
              <w:spacing w:after="0" w:line="240" w:lineRule="auto"/>
              <w:jc w:val="right"/>
              <w:rPr>
                <w:rFonts w:ascii="Times New Roman" w:eastAsia="Times New Roman" w:hAnsi="Times New Roman" w:cs="Times New Roman"/>
                <w:sz w:val="20"/>
                <w:szCs w:val="20"/>
                <w:lang w:eastAsia="en-GB"/>
              </w:rPr>
            </w:pPr>
          </w:p>
        </w:tc>
        <w:tc>
          <w:tcPr>
            <w:tcW w:w="1166" w:type="dxa"/>
            <w:tcBorders>
              <w:top w:val="nil"/>
              <w:left w:val="nil"/>
              <w:bottom w:val="nil"/>
              <w:right w:val="nil"/>
            </w:tcBorders>
            <w:shd w:val="clear" w:color="auto" w:fill="auto"/>
            <w:noWrap/>
            <w:vAlign w:val="center"/>
            <w:hideMark/>
          </w:tcPr>
          <w:p w14:paraId="27D0C8A8" w14:textId="77777777" w:rsidR="00676596" w:rsidRPr="00543D10" w:rsidRDefault="00676596" w:rsidP="005B39D0">
            <w:pPr>
              <w:spacing w:after="0" w:line="240" w:lineRule="auto"/>
              <w:jc w:val="right"/>
              <w:rPr>
                <w:rFonts w:ascii="Times New Roman" w:eastAsia="Times New Roman" w:hAnsi="Times New Roman" w:cs="Times New Roman"/>
                <w:sz w:val="20"/>
                <w:szCs w:val="20"/>
                <w:lang w:eastAsia="en-GB"/>
              </w:rPr>
            </w:pPr>
          </w:p>
        </w:tc>
        <w:tc>
          <w:tcPr>
            <w:tcW w:w="1041" w:type="dxa"/>
            <w:tcBorders>
              <w:top w:val="nil"/>
              <w:left w:val="nil"/>
              <w:bottom w:val="nil"/>
              <w:right w:val="nil"/>
            </w:tcBorders>
            <w:shd w:val="clear" w:color="auto" w:fill="auto"/>
            <w:noWrap/>
            <w:vAlign w:val="center"/>
            <w:hideMark/>
          </w:tcPr>
          <w:p w14:paraId="0FAEAC7A" w14:textId="77777777" w:rsidR="00676596" w:rsidRPr="00543D10" w:rsidRDefault="00676596" w:rsidP="005B39D0">
            <w:pPr>
              <w:spacing w:after="0" w:line="240" w:lineRule="auto"/>
              <w:jc w:val="right"/>
              <w:rPr>
                <w:rFonts w:ascii="Times New Roman" w:eastAsia="Times New Roman" w:hAnsi="Times New Roman" w:cs="Times New Roman"/>
                <w:sz w:val="20"/>
                <w:szCs w:val="20"/>
                <w:lang w:eastAsia="en-GB"/>
              </w:rPr>
            </w:pPr>
          </w:p>
        </w:tc>
        <w:tc>
          <w:tcPr>
            <w:tcW w:w="1041" w:type="dxa"/>
            <w:tcBorders>
              <w:top w:val="nil"/>
              <w:left w:val="nil"/>
              <w:bottom w:val="nil"/>
              <w:right w:val="nil"/>
            </w:tcBorders>
            <w:shd w:val="clear" w:color="auto" w:fill="auto"/>
            <w:noWrap/>
            <w:vAlign w:val="center"/>
            <w:hideMark/>
          </w:tcPr>
          <w:p w14:paraId="3B1B76D3" w14:textId="77777777" w:rsidR="00676596" w:rsidRPr="00543D10" w:rsidRDefault="00676596" w:rsidP="005B39D0">
            <w:pPr>
              <w:spacing w:after="0" w:line="240" w:lineRule="auto"/>
              <w:jc w:val="right"/>
              <w:rPr>
                <w:rFonts w:ascii="Times New Roman" w:eastAsia="Times New Roman" w:hAnsi="Times New Roman" w:cs="Times New Roman"/>
                <w:sz w:val="20"/>
                <w:szCs w:val="20"/>
                <w:lang w:eastAsia="en-GB"/>
              </w:rPr>
            </w:pPr>
          </w:p>
        </w:tc>
      </w:tr>
      <w:tr w:rsidR="0061265C" w:rsidRPr="00543D10" w14:paraId="64999059" w14:textId="77777777" w:rsidTr="00B638C0">
        <w:trPr>
          <w:trHeight w:val="313"/>
        </w:trPr>
        <w:tc>
          <w:tcPr>
            <w:tcW w:w="3697" w:type="dxa"/>
            <w:tcBorders>
              <w:top w:val="nil"/>
              <w:left w:val="nil"/>
              <w:bottom w:val="nil"/>
              <w:right w:val="nil"/>
            </w:tcBorders>
            <w:shd w:val="clear" w:color="auto" w:fill="auto"/>
            <w:vAlign w:val="center"/>
            <w:hideMark/>
          </w:tcPr>
          <w:p w14:paraId="4977D778" w14:textId="77777777" w:rsidR="0061265C" w:rsidRPr="00543D10" w:rsidRDefault="0061265C" w:rsidP="0061265C">
            <w:pPr>
              <w:spacing w:after="0" w:line="240" w:lineRule="auto"/>
              <w:rPr>
                <w:rFonts w:ascii="Arial" w:eastAsia="Times New Roman" w:hAnsi="Arial" w:cs="Arial"/>
                <w:sz w:val="20"/>
                <w:szCs w:val="20"/>
                <w:lang w:eastAsia="en-GB"/>
              </w:rPr>
            </w:pPr>
            <w:r w:rsidRPr="00543D10">
              <w:rPr>
                <w:rFonts w:ascii="Arial" w:eastAsia="Times New Roman" w:hAnsi="Arial" w:cs="Arial"/>
                <w:sz w:val="20"/>
                <w:szCs w:val="20"/>
                <w:lang w:eastAsia="en-GB"/>
              </w:rPr>
              <w:t>Cash at bank and in hand</w:t>
            </w:r>
          </w:p>
        </w:tc>
        <w:tc>
          <w:tcPr>
            <w:tcW w:w="1118" w:type="dxa"/>
            <w:tcBorders>
              <w:top w:val="nil"/>
              <w:left w:val="nil"/>
              <w:bottom w:val="nil"/>
              <w:right w:val="nil"/>
            </w:tcBorders>
            <w:shd w:val="clear" w:color="auto" w:fill="auto"/>
            <w:noWrap/>
            <w:vAlign w:val="center"/>
            <w:hideMark/>
          </w:tcPr>
          <w:p w14:paraId="1591DFF4" w14:textId="77777777" w:rsidR="0061265C" w:rsidRPr="00543D10" w:rsidRDefault="0061265C" w:rsidP="0061265C">
            <w:pPr>
              <w:spacing w:after="0" w:line="240" w:lineRule="auto"/>
              <w:rPr>
                <w:rFonts w:ascii="Arial" w:eastAsia="Times New Roman" w:hAnsi="Arial" w:cs="Arial"/>
                <w:sz w:val="20"/>
                <w:szCs w:val="20"/>
                <w:lang w:eastAsia="en-GB"/>
              </w:rPr>
            </w:pPr>
          </w:p>
        </w:tc>
        <w:tc>
          <w:tcPr>
            <w:tcW w:w="1165" w:type="dxa"/>
            <w:tcBorders>
              <w:top w:val="nil"/>
              <w:left w:val="nil"/>
              <w:bottom w:val="nil"/>
              <w:right w:val="nil"/>
            </w:tcBorders>
            <w:shd w:val="clear" w:color="auto" w:fill="auto"/>
            <w:noWrap/>
            <w:vAlign w:val="center"/>
          </w:tcPr>
          <w:p w14:paraId="18494073" w14:textId="77777777" w:rsidR="0061265C" w:rsidRPr="00543D10" w:rsidRDefault="00754275" w:rsidP="0061265C">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33,394</w:t>
            </w:r>
          </w:p>
        </w:tc>
        <w:tc>
          <w:tcPr>
            <w:tcW w:w="1166" w:type="dxa"/>
            <w:tcBorders>
              <w:top w:val="nil"/>
              <w:left w:val="nil"/>
              <w:bottom w:val="nil"/>
              <w:right w:val="nil"/>
            </w:tcBorders>
            <w:shd w:val="clear" w:color="auto" w:fill="auto"/>
            <w:noWrap/>
            <w:vAlign w:val="center"/>
            <w:hideMark/>
          </w:tcPr>
          <w:p w14:paraId="4D3A4714" w14:textId="77777777" w:rsidR="0061265C" w:rsidRPr="0061265C" w:rsidRDefault="0061265C" w:rsidP="0061265C">
            <w:pPr>
              <w:spacing w:after="0" w:line="240" w:lineRule="auto"/>
              <w:jc w:val="right"/>
              <w:rPr>
                <w:rFonts w:ascii="Arial" w:eastAsia="Times New Roman" w:hAnsi="Arial" w:cs="Arial"/>
                <w:sz w:val="20"/>
                <w:szCs w:val="20"/>
                <w:lang w:eastAsia="en-GB"/>
              </w:rPr>
            </w:pPr>
            <w:r w:rsidRPr="0061265C">
              <w:rPr>
                <w:rFonts w:ascii="Arial" w:eastAsia="Times New Roman" w:hAnsi="Arial" w:cs="Arial"/>
                <w:bCs/>
                <w:sz w:val="20"/>
                <w:szCs w:val="20"/>
                <w:lang w:eastAsia="en-GB"/>
              </w:rPr>
              <w:t>16,840</w:t>
            </w:r>
          </w:p>
        </w:tc>
        <w:tc>
          <w:tcPr>
            <w:tcW w:w="1041" w:type="dxa"/>
            <w:tcBorders>
              <w:top w:val="nil"/>
              <w:left w:val="nil"/>
              <w:bottom w:val="nil"/>
              <w:right w:val="nil"/>
            </w:tcBorders>
            <w:shd w:val="clear" w:color="auto" w:fill="auto"/>
            <w:noWrap/>
            <w:vAlign w:val="center"/>
          </w:tcPr>
          <w:p w14:paraId="4FC5B929" w14:textId="77777777" w:rsidR="0061265C" w:rsidRPr="00543D10" w:rsidRDefault="007B53DE" w:rsidP="007B53DE">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2,359</w:t>
            </w:r>
          </w:p>
        </w:tc>
        <w:tc>
          <w:tcPr>
            <w:tcW w:w="1041" w:type="dxa"/>
            <w:tcBorders>
              <w:top w:val="nil"/>
              <w:left w:val="nil"/>
              <w:bottom w:val="nil"/>
              <w:right w:val="nil"/>
            </w:tcBorders>
            <w:shd w:val="clear" w:color="auto" w:fill="auto"/>
            <w:noWrap/>
            <w:vAlign w:val="center"/>
            <w:hideMark/>
          </w:tcPr>
          <w:p w14:paraId="6F5D2D23" w14:textId="77777777" w:rsidR="0061265C" w:rsidRPr="0061265C" w:rsidRDefault="0061265C" w:rsidP="0061265C">
            <w:pPr>
              <w:spacing w:after="0" w:line="240" w:lineRule="auto"/>
              <w:jc w:val="right"/>
              <w:rPr>
                <w:rFonts w:ascii="Arial" w:eastAsia="Times New Roman" w:hAnsi="Arial" w:cs="Arial"/>
                <w:sz w:val="20"/>
                <w:szCs w:val="20"/>
                <w:lang w:eastAsia="en-GB"/>
              </w:rPr>
            </w:pPr>
            <w:r w:rsidRPr="0061265C">
              <w:rPr>
                <w:rFonts w:ascii="Arial" w:eastAsia="Times New Roman" w:hAnsi="Arial" w:cs="Arial"/>
                <w:bCs/>
                <w:sz w:val="20"/>
                <w:szCs w:val="20"/>
                <w:lang w:eastAsia="en-GB"/>
              </w:rPr>
              <w:t>4,956</w:t>
            </w:r>
          </w:p>
        </w:tc>
      </w:tr>
      <w:tr w:rsidR="0061265C" w:rsidRPr="00543D10" w14:paraId="7F29FE5D" w14:textId="77777777" w:rsidTr="00B638C0">
        <w:trPr>
          <w:trHeight w:val="313"/>
        </w:trPr>
        <w:tc>
          <w:tcPr>
            <w:tcW w:w="3697" w:type="dxa"/>
            <w:tcBorders>
              <w:top w:val="nil"/>
              <w:left w:val="nil"/>
              <w:bottom w:val="nil"/>
              <w:right w:val="nil"/>
            </w:tcBorders>
            <w:shd w:val="clear" w:color="auto" w:fill="auto"/>
            <w:vAlign w:val="center"/>
            <w:hideMark/>
          </w:tcPr>
          <w:p w14:paraId="72439141" w14:textId="77777777" w:rsidR="0061265C" w:rsidRPr="00543D10" w:rsidRDefault="0061265C" w:rsidP="0061265C">
            <w:pPr>
              <w:spacing w:after="0" w:line="240" w:lineRule="auto"/>
              <w:rPr>
                <w:rFonts w:ascii="Arial" w:eastAsia="Times New Roman" w:hAnsi="Arial" w:cs="Arial"/>
                <w:sz w:val="20"/>
                <w:szCs w:val="20"/>
                <w:lang w:eastAsia="en-GB"/>
              </w:rPr>
            </w:pPr>
            <w:r w:rsidRPr="00543D10">
              <w:rPr>
                <w:rFonts w:ascii="Arial" w:eastAsia="Times New Roman" w:hAnsi="Arial" w:cs="Arial"/>
                <w:sz w:val="20"/>
                <w:szCs w:val="20"/>
                <w:lang w:eastAsia="en-GB"/>
              </w:rPr>
              <w:t>Short term deposits</w:t>
            </w:r>
          </w:p>
        </w:tc>
        <w:tc>
          <w:tcPr>
            <w:tcW w:w="1118" w:type="dxa"/>
            <w:tcBorders>
              <w:top w:val="nil"/>
              <w:left w:val="nil"/>
              <w:bottom w:val="nil"/>
              <w:right w:val="nil"/>
            </w:tcBorders>
            <w:shd w:val="clear" w:color="auto" w:fill="auto"/>
            <w:noWrap/>
            <w:vAlign w:val="center"/>
            <w:hideMark/>
          </w:tcPr>
          <w:p w14:paraId="25284C2C" w14:textId="77777777" w:rsidR="0061265C" w:rsidRPr="00543D10" w:rsidRDefault="0061265C" w:rsidP="0061265C">
            <w:pPr>
              <w:spacing w:after="0" w:line="240" w:lineRule="auto"/>
              <w:rPr>
                <w:rFonts w:ascii="Arial" w:eastAsia="Times New Roman" w:hAnsi="Arial" w:cs="Arial"/>
                <w:sz w:val="20"/>
                <w:szCs w:val="20"/>
                <w:lang w:eastAsia="en-GB"/>
              </w:rPr>
            </w:pPr>
          </w:p>
        </w:tc>
        <w:tc>
          <w:tcPr>
            <w:tcW w:w="1165" w:type="dxa"/>
            <w:tcBorders>
              <w:top w:val="nil"/>
              <w:left w:val="nil"/>
              <w:bottom w:val="nil"/>
              <w:right w:val="nil"/>
            </w:tcBorders>
            <w:shd w:val="clear" w:color="auto" w:fill="auto"/>
            <w:noWrap/>
            <w:vAlign w:val="center"/>
          </w:tcPr>
          <w:p w14:paraId="15FEFAA5" w14:textId="77777777" w:rsidR="0061265C" w:rsidRPr="00543D10" w:rsidRDefault="00754275" w:rsidP="0061265C">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103</w:t>
            </w:r>
          </w:p>
        </w:tc>
        <w:tc>
          <w:tcPr>
            <w:tcW w:w="1166" w:type="dxa"/>
            <w:tcBorders>
              <w:top w:val="nil"/>
              <w:left w:val="nil"/>
              <w:bottom w:val="nil"/>
              <w:right w:val="nil"/>
            </w:tcBorders>
            <w:shd w:val="clear" w:color="auto" w:fill="auto"/>
            <w:noWrap/>
            <w:vAlign w:val="center"/>
            <w:hideMark/>
          </w:tcPr>
          <w:p w14:paraId="71E24A6E" w14:textId="77777777" w:rsidR="0061265C" w:rsidRPr="0061265C" w:rsidRDefault="0061265C" w:rsidP="0061265C">
            <w:pPr>
              <w:spacing w:after="0" w:line="240" w:lineRule="auto"/>
              <w:jc w:val="right"/>
              <w:rPr>
                <w:rFonts w:ascii="Arial" w:eastAsia="Times New Roman" w:hAnsi="Arial" w:cs="Arial"/>
                <w:sz w:val="20"/>
                <w:szCs w:val="20"/>
                <w:lang w:eastAsia="en-GB"/>
              </w:rPr>
            </w:pPr>
            <w:r w:rsidRPr="0061265C">
              <w:rPr>
                <w:rFonts w:ascii="Arial" w:eastAsia="Times New Roman" w:hAnsi="Arial" w:cs="Arial"/>
                <w:bCs/>
                <w:sz w:val="20"/>
                <w:szCs w:val="20"/>
                <w:lang w:eastAsia="en-GB"/>
              </w:rPr>
              <w:t>102</w:t>
            </w:r>
          </w:p>
        </w:tc>
        <w:tc>
          <w:tcPr>
            <w:tcW w:w="1041" w:type="dxa"/>
            <w:tcBorders>
              <w:top w:val="nil"/>
              <w:left w:val="nil"/>
              <w:bottom w:val="nil"/>
              <w:right w:val="nil"/>
            </w:tcBorders>
            <w:shd w:val="clear" w:color="auto" w:fill="auto"/>
            <w:noWrap/>
            <w:vAlign w:val="center"/>
          </w:tcPr>
          <w:p w14:paraId="114E4A89" w14:textId="77777777" w:rsidR="0061265C" w:rsidRPr="00543D10" w:rsidRDefault="00754275" w:rsidP="0061265C">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103</w:t>
            </w:r>
          </w:p>
        </w:tc>
        <w:tc>
          <w:tcPr>
            <w:tcW w:w="1041" w:type="dxa"/>
            <w:tcBorders>
              <w:top w:val="nil"/>
              <w:left w:val="nil"/>
              <w:bottom w:val="nil"/>
              <w:right w:val="nil"/>
            </w:tcBorders>
            <w:shd w:val="clear" w:color="auto" w:fill="auto"/>
            <w:noWrap/>
            <w:vAlign w:val="center"/>
            <w:hideMark/>
          </w:tcPr>
          <w:p w14:paraId="038E24E4" w14:textId="77777777" w:rsidR="0061265C" w:rsidRPr="0061265C" w:rsidRDefault="0061265C" w:rsidP="0061265C">
            <w:pPr>
              <w:spacing w:after="0" w:line="240" w:lineRule="auto"/>
              <w:jc w:val="right"/>
              <w:rPr>
                <w:rFonts w:ascii="Arial" w:eastAsia="Times New Roman" w:hAnsi="Arial" w:cs="Arial"/>
                <w:sz w:val="20"/>
                <w:szCs w:val="20"/>
                <w:lang w:eastAsia="en-GB"/>
              </w:rPr>
            </w:pPr>
            <w:r w:rsidRPr="0061265C">
              <w:rPr>
                <w:rFonts w:ascii="Arial" w:eastAsia="Times New Roman" w:hAnsi="Arial" w:cs="Arial"/>
                <w:bCs/>
                <w:sz w:val="20"/>
                <w:szCs w:val="20"/>
                <w:lang w:eastAsia="en-GB"/>
              </w:rPr>
              <w:t>102</w:t>
            </w:r>
          </w:p>
        </w:tc>
      </w:tr>
      <w:tr w:rsidR="0061265C" w:rsidRPr="00543D10" w14:paraId="5C692367" w14:textId="77777777" w:rsidTr="00B638C0">
        <w:trPr>
          <w:trHeight w:val="313"/>
        </w:trPr>
        <w:tc>
          <w:tcPr>
            <w:tcW w:w="3697" w:type="dxa"/>
            <w:tcBorders>
              <w:top w:val="single" w:sz="4" w:space="0" w:color="auto"/>
              <w:left w:val="nil"/>
              <w:bottom w:val="single" w:sz="4" w:space="0" w:color="auto"/>
              <w:right w:val="nil"/>
            </w:tcBorders>
            <w:shd w:val="clear" w:color="auto" w:fill="auto"/>
            <w:noWrap/>
            <w:vAlign w:val="center"/>
            <w:hideMark/>
          </w:tcPr>
          <w:p w14:paraId="09103731" w14:textId="77777777" w:rsidR="0061265C" w:rsidRPr="00543D10" w:rsidRDefault="0061265C" w:rsidP="0061265C">
            <w:pPr>
              <w:spacing w:after="0" w:line="240" w:lineRule="auto"/>
              <w:rPr>
                <w:rFonts w:ascii="Arial" w:eastAsia="Times New Roman" w:hAnsi="Arial" w:cs="Arial"/>
                <w:b/>
                <w:bCs/>
                <w:sz w:val="20"/>
                <w:szCs w:val="20"/>
                <w:lang w:eastAsia="en-GB"/>
              </w:rPr>
            </w:pPr>
            <w:r w:rsidRPr="00543D10">
              <w:rPr>
                <w:rFonts w:ascii="Arial" w:eastAsia="Times New Roman" w:hAnsi="Arial" w:cs="Arial"/>
                <w:sz w:val="20"/>
                <w:szCs w:val="20"/>
                <w:lang w:eastAsia="en-GB"/>
              </w:rPr>
              <w:t>Total cash at bank and in hand</w:t>
            </w:r>
          </w:p>
        </w:tc>
        <w:tc>
          <w:tcPr>
            <w:tcW w:w="1118" w:type="dxa"/>
            <w:tcBorders>
              <w:top w:val="single" w:sz="4" w:space="0" w:color="auto"/>
              <w:left w:val="nil"/>
              <w:bottom w:val="single" w:sz="4" w:space="0" w:color="auto"/>
              <w:right w:val="nil"/>
            </w:tcBorders>
            <w:shd w:val="clear" w:color="auto" w:fill="auto"/>
            <w:noWrap/>
            <w:vAlign w:val="center"/>
            <w:hideMark/>
          </w:tcPr>
          <w:p w14:paraId="4E21FA96" w14:textId="77777777" w:rsidR="0061265C" w:rsidRPr="00543D10" w:rsidRDefault="0061265C" w:rsidP="0061265C">
            <w:pPr>
              <w:spacing w:after="0" w:line="240" w:lineRule="auto"/>
              <w:rPr>
                <w:rFonts w:ascii="Arial" w:eastAsia="Times New Roman" w:hAnsi="Arial" w:cs="Arial"/>
                <w:b/>
                <w:bCs/>
                <w:sz w:val="20"/>
                <w:szCs w:val="20"/>
                <w:lang w:eastAsia="en-GB"/>
              </w:rPr>
            </w:pPr>
            <w:r w:rsidRPr="00543D10">
              <w:rPr>
                <w:rFonts w:ascii="Arial" w:eastAsia="Times New Roman" w:hAnsi="Arial" w:cs="Arial"/>
                <w:b/>
                <w:bCs/>
                <w:sz w:val="20"/>
                <w:szCs w:val="20"/>
                <w:lang w:eastAsia="en-GB"/>
              </w:rPr>
              <w:t> </w:t>
            </w:r>
          </w:p>
        </w:tc>
        <w:tc>
          <w:tcPr>
            <w:tcW w:w="1165" w:type="dxa"/>
            <w:tcBorders>
              <w:top w:val="single" w:sz="4" w:space="0" w:color="auto"/>
              <w:left w:val="nil"/>
              <w:bottom w:val="single" w:sz="4" w:space="0" w:color="auto"/>
              <w:right w:val="nil"/>
            </w:tcBorders>
            <w:shd w:val="clear" w:color="auto" w:fill="auto"/>
            <w:noWrap/>
            <w:vAlign w:val="center"/>
          </w:tcPr>
          <w:p w14:paraId="089737A5" w14:textId="77777777" w:rsidR="0061265C" w:rsidRPr="00543D10" w:rsidRDefault="00754275" w:rsidP="0061265C">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33,497</w:t>
            </w:r>
          </w:p>
        </w:tc>
        <w:tc>
          <w:tcPr>
            <w:tcW w:w="1166" w:type="dxa"/>
            <w:tcBorders>
              <w:top w:val="single" w:sz="4" w:space="0" w:color="auto"/>
              <w:left w:val="nil"/>
              <w:bottom w:val="single" w:sz="4" w:space="0" w:color="auto"/>
              <w:right w:val="nil"/>
            </w:tcBorders>
            <w:shd w:val="clear" w:color="auto" w:fill="auto"/>
            <w:noWrap/>
            <w:vAlign w:val="center"/>
            <w:hideMark/>
          </w:tcPr>
          <w:p w14:paraId="2C3E5EAE" w14:textId="77777777" w:rsidR="0061265C" w:rsidRPr="0061265C" w:rsidRDefault="0061265C" w:rsidP="0061265C">
            <w:pPr>
              <w:spacing w:after="0" w:line="240" w:lineRule="auto"/>
              <w:jc w:val="right"/>
              <w:rPr>
                <w:rFonts w:ascii="Arial" w:eastAsia="Times New Roman" w:hAnsi="Arial" w:cs="Arial"/>
                <w:sz w:val="20"/>
                <w:szCs w:val="20"/>
                <w:lang w:eastAsia="en-GB"/>
              </w:rPr>
            </w:pPr>
            <w:r w:rsidRPr="0061265C">
              <w:rPr>
                <w:rFonts w:ascii="Arial" w:eastAsia="Times New Roman" w:hAnsi="Arial" w:cs="Arial"/>
                <w:bCs/>
                <w:sz w:val="20"/>
                <w:szCs w:val="20"/>
                <w:lang w:eastAsia="en-GB"/>
              </w:rPr>
              <w:t>16,942</w:t>
            </w:r>
          </w:p>
        </w:tc>
        <w:tc>
          <w:tcPr>
            <w:tcW w:w="1041" w:type="dxa"/>
            <w:tcBorders>
              <w:top w:val="single" w:sz="4" w:space="0" w:color="auto"/>
              <w:left w:val="nil"/>
              <w:bottom w:val="single" w:sz="4" w:space="0" w:color="auto"/>
              <w:right w:val="nil"/>
            </w:tcBorders>
            <w:shd w:val="clear" w:color="auto" w:fill="auto"/>
            <w:noWrap/>
            <w:vAlign w:val="center"/>
          </w:tcPr>
          <w:p w14:paraId="6FC2F35A" w14:textId="77777777" w:rsidR="0061265C" w:rsidRPr="00543D10" w:rsidRDefault="007B53DE" w:rsidP="0061265C">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2,462</w:t>
            </w:r>
          </w:p>
        </w:tc>
        <w:tc>
          <w:tcPr>
            <w:tcW w:w="1041" w:type="dxa"/>
            <w:tcBorders>
              <w:top w:val="single" w:sz="4" w:space="0" w:color="auto"/>
              <w:left w:val="nil"/>
              <w:bottom w:val="single" w:sz="4" w:space="0" w:color="auto"/>
              <w:right w:val="nil"/>
            </w:tcBorders>
            <w:shd w:val="clear" w:color="auto" w:fill="auto"/>
            <w:noWrap/>
            <w:vAlign w:val="center"/>
            <w:hideMark/>
          </w:tcPr>
          <w:p w14:paraId="24FEC21A" w14:textId="77777777" w:rsidR="0061265C" w:rsidRPr="0061265C" w:rsidRDefault="0061265C" w:rsidP="0061265C">
            <w:pPr>
              <w:spacing w:after="0" w:line="240" w:lineRule="auto"/>
              <w:jc w:val="right"/>
              <w:rPr>
                <w:rFonts w:ascii="Arial" w:eastAsia="Times New Roman" w:hAnsi="Arial" w:cs="Arial"/>
                <w:sz w:val="20"/>
                <w:szCs w:val="20"/>
                <w:lang w:eastAsia="en-GB"/>
              </w:rPr>
            </w:pPr>
            <w:r w:rsidRPr="0061265C">
              <w:rPr>
                <w:rFonts w:ascii="Arial" w:eastAsia="Times New Roman" w:hAnsi="Arial" w:cs="Arial"/>
                <w:bCs/>
                <w:sz w:val="20"/>
                <w:szCs w:val="20"/>
                <w:lang w:eastAsia="en-GB"/>
              </w:rPr>
              <w:t>5,058</w:t>
            </w:r>
          </w:p>
        </w:tc>
      </w:tr>
    </w:tbl>
    <w:p w14:paraId="48801CF4" w14:textId="77777777" w:rsidR="00676596" w:rsidRPr="00543D10" w:rsidRDefault="00676596" w:rsidP="00676596">
      <w:pPr>
        <w:rPr>
          <w:rFonts w:ascii="Arial" w:hAnsi="Arial" w:cs="Arial"/>
          <w:b/>
          <w:sz w:val="20"/>
          <w:szCs w:val="20"/>
        </w:rPr>
      </w:pPr>
    </w:p>
    <w:p w14:paraId="75E3A41D" w14:textId="77777777" w:rsidR="00676596" w:rsidRDefault="00676596" w:rsidP="00676596">
      <w:pPr>
        <w:rPr>
          <w:rFonts w:ascii="Arial" w:hAnsi="Arial" w:cs="Arial"/>
          <w:b/>
          <w:sz w:val="20"/>
          <w:szCs w:val="20"/>
        </w:rPr>
      </w:pPr>
    </w:p>
    <w:p w14:paraId="391BE6D2" w14:textId="77777777" w:rsidR="009A2496" w:rsidRPr="00691ECF" w:rsidRDefault="009A2496" w:rsidP="00336B16">
      <w:pPr>
        <w:spacing w:after="240" w:line="240" w:lineRule="auto"/>
        <w:rPr>
          <w:rFonts w:ascii="Arial" w:hAnsi="Arial" w:cs="Arial"/>
          <w:b/>
          <w:sz w:val="20"/>
          <w:szCs w:val="20"/>
        </w:rPr>
      </w:pPr>
    </w:p>
    <w:p w14:paraId="7E72CA8C" w14:textId="77777777" w:rsidR="008D5B87" w:rsidRPr="00691ECF" w:rsidRDefault="008D5B87" w:rsidP="00336B16">
      <w:pPr>
        <w:spacing w:after="240" w:line="240" w:lineRule="auto"/>
        <w:rPr>
          <w:rFonts w:ascii="Arial" w:hAnsi="Arial" w:cs="Arial"/>
          <w:b/>
          <w:sz w:val="40"/>
          <w:szCs w:val="40"/>
        </w:rPr>
      </w:pPr>
    </w:p>
    <w:p w14:paraId="14D148E9" w14:textId="77777777" w:rsidR="000416E6" w:rsidRDefault="000416E6" w:rsidP="00336B16">
      <w:pPr>
        <w:spacing w:after="240" w:line="240" w:lineRule="auto"/>
        <w:rPr>
          <w:rFonts w:ascii="Arial" w:hAnsi="Arial" w:cs="Arial"/>
          <w:b/>
          <w:sz w:val="40"/>
          <w:szCs w:val="40"/>
        </w:rPr>
        <w:sectPr w:rsidR="000416E6" w:rsidSect="009C033F">
          <w:headerReference w:type="default" r:id="rId26"/>
          <w:headerReference w:type="first" r:id="rId27"/>
          <w:footerReference w:type="first" r:id="rId28"/>
          <w:type w:val="continuous"/>
          <w:pgSz w:w="11906" w:h="16838"/>
          <w:pgMar w:top="1440" w:right="424" w:bottom="1440" w:left="1440" w:header="708" w:footer="708" w:gutter="0"/>
          <w:cols w:space="708"/>
          <w:docGrid w:linePitch="360"/>
        </w:sectPr>
      </w:pPr>
    </w:p>
    <w:p w14:paraId="3BE6C36C" w14:textId="77777777" w:rsidR="002A206F" w:rsidRDefault="002A206F" w:rsidP="0033647E">
      <w:pPr>
        <w:spacing w:after="240" w:line="240" w:lineRule="auto"/>
        <w:rPr>
          <w:rFonts w:ascii="Arial" w:hAnsi="Arial" w:cs="Arial"/>
          <w:b/>
          <w:sz w:val="36"/>
          <w:szCs w:val="36"/>
        </w:rPr>
      </w:pPr>
      <w:r>
        <w:rPr>
          <w:rFonts w:ascii="Arial" w:hAnsi="Arial" w:cs="Arial"/>
          <w:b/>
          <w:sz w:val="36"/>
          <w:szCs w:val="36"/>
        </w:rPr>
        <w:br w:type="page"/>
      </w:r>
    </w:p>
    <w:p w14:paraId="1EE3E997" w14:textId="77777777" w:rsidR="00784069" w:rsidRPr="00336B16" w:rsidRDefault="008B1196" w:rsidP="005E47C9">
      <w:pPr>
        <w:keepLines/>
        <w:widowControl w:val="0"/>
        <w:tabs>
          <w:tab w:val="left" w:pos="567"/>
        </w:tabs>
        <w:spacing w:after="240" w:line="240" w:lineRule="auto"/>
        <w:ind w:left="567" w:hanging="567"/>
        <w:jc w:val="both"/>
        <w:rPr>
          <w:rFonts w:ascii="Arial" w:hAnsi="Arial" w:cs="Arial"/>
          <w:b/>
          <w:sz w:val="32"/>
          <w:szCs w:val="32"/>
        </w:rPr>
      </w:pPr>
      <w:r>
        <w:rPr>
          <w:rFonts w:ascii="Arial" w:hAnsi="Arial" w:cs="Arial"/>
          <w:b/>
          <w:sz w:val="32"/>
          <w:szCs w:val="32"/>
        </w:rPr>
        <w:lastRenderedPageBreak/>
        <w:t>Basis of preparation</w:t>
      </w:r>
    </w:p>
    <w:p w14:paraId="28851A27" w14:textId="77777777" w:rsidR="008B1196" w:rsidRDefault="00784069" w:rsidP="005E47C9">
      <w:pPr>
        <w:keepLines/>
        <w:widowControl w:val="0"/>
        <w:spacing w:after="240" w:line="240" w:lineRule="auto"/>
        <w:jc w:val="both"/>
        <w:rPr>
          <w:rFonts w:ascii="Arial" w:hAnsi="Arial" w:cs="Arial"/>
          <w:sz w:val="24"/>
          <w:szCs w:val="24"/>
        </w:rPr>
      </w:pPr>
      <w:r w:rsidRPr="00336B16">
        <w:rPr>
          <w:rFonts w:ascii="Arial" w:hAnsi="Arial" w:cs="Arial"/>
          <w:sz w:val="24"/>
          <w:szCs w:val="24"/>
        </w:rPr>
        <w:t>The financial statements have been prepared under the historical cost convention as modified by the revaluation of certain tangible fixed assets and fixed asset investments.</w:t>
      </w:r>
    </w:p>
    <w:p w14:paraId="15490AE9" w14:textId="77777777" w:rsidR="00784069" w:rsidRPr="00336B16" w:rsidRDefault="00784069" w:rsidP="005E47C9">
      <w:pPr>
        <w:keepLines/>
        <w:widowControl w:val="0"/>
        <w:spacing w:after="240" w:line="240" w:lineRule="auto"/>
        <w:jc w:val="both"/>
        <w:rPr>
          <w:rFonts w:ascii="Arial" w:hAnsi="Arial" w:cs="Arial"/>
          <w:b/>
          <w:sz w:val="24"/>
          <w:szCs w:val="24"/>
        </w:rPr>
      </w:pPr>
      <w:r w:rsidRPr="00336B16">
        <w:rPr>
          <w:rFonts w:ascii="Arial" w:hAnsi="Arial" w:cs="Arial"/>
          <w:b/>
          <w:sz w:val="24"/>
          <w:szCs w:val="24"/>
        </w:rPr>
        <w:t xml:space="preserve">Basis of consolidation </w:t>
      </w:r>
    </w:p>
    <w:p w14:paraId="2E343DB9" w14:textId="77777777" w:rsidR="00784069" w:rsidRDefault="00784069" w:rsidP="005E47C9">
      <w:pPr>
        <w:keepLines/>
        <w:widowControl w:val="0"/>
        <w:spacing w:after="240" w:line="240" w:lineRule="auto"/>
        <w:jc w:val="both"/>
        <w:rPr>
          <w:rFonts w:ascii="Arial" w:hAnsi="Arial" w:cs="Arial"/>
          <w:sz w:val="24"/>
          <w:szCs w:val="24"/>
        </w:rPr>
      </w:pPr>
      <w:r w:rsidRPr="00336B16">
        <w:rPr>
          <w:rFonts w:ascii="Arial" w:hAnsi="Arial" w:cs="Arial"/>
          <w:sz w:val="24"/>
          <w:szCs w:val="24"/>
        </w:rPr>
        <w:t xml:space="preserve">The consolidated financial statements include the activities of the Trust and its joint ventures and </w:t>
      </w:r>
      <w:r w:rsidR="00E7667B">
        <w:rPr>
          <w:rFonts w:ascii="Arial" w:hAnsi="Arial" w:cs="Arial"/>
          <w:sz w:val="24"/>
          <w:szCs w:val="24"/>
        </w:rPr>
        <w:t>subsidiary undertakings (note 9</w:t>
      </w:r>
      <w:r w:rsidRPr="00336B16">
        <w:rPr>
          <w:rFonts w:ascii="Arial" w:hAnsi="Arial" w:cs="Arial"/>
          <w:sz w:val="24"/>
          <w:szCs w:val="24"/>
        </w:rPr>
        <w:t xml:space="preserve">) made up to 31 August </w:t>
      </w:r>
      <w:r w:rsidR="0037645F">
        <w:rPr>
          <w:rFonts w:ascii="Arial" w:hAnsi="Arial" w:cs="Arial"/>
          <w:sz w:val="24"/>
          <w:szCs w:val="24"/>
        </w:rPr>
        <w:t>2020</w:t>
      </w:r>
      <w:r w:rsidRPr="00336B16">
        <w:rPr>
          <w:rFonts w:ascii="Arial" w:hAnsi="Arial" w:cs="Arial"/>
          <w:sz w:val="24"/>
          <w:szCs w:val="24"/>
        </w:rPr>
        <w:t>. Intra Group transactions and profits are eliminated on consolidation. The results, assets and liabilities of the subsidiary undertakings are combined with those of the Trust in the results of the Group on a line by line basis.</w:t>
      </w:r>
    </w:p>
    <w:p w14:paraId="2530BB13" w14:textId="77777777" w:rsidR="00E814DA" w:rsidRPr="00336B16" w:rsidRDefault="00E814DA" w:rsidP="005E47C9">
      <w:pPr>
        <w:keepLines/>
        <w:widowControl w:val="0"/>
        <w:spacing w:after="240" w:line="240" w:lineRule="auto"/>
        <w:jc w:val="both"/>
        <w:rPr>
          <w:rFonts w:ascii="Arial" w:hAnsi="Arial" w:cs="Arial"/>
          <w:sz w:val="24"/>
          <w:szCs w:val="24"/>
        </w:rPr>
      </w:pPr>
      <w:r w:rsidRPr="00336B16">
        <w:rPr>
          <w:rFonts w:ascii="Arial" w:hAnsi="Arial" w:cs="Arial"/>
          <w:sz w:val="24"/>
          <w:szCs w:val="24"/>
        </w:rPr>
        <w:t xml:space="preserve">Joint ventures are accounted for under the equity method of accounting. </w:t>
      </w:r>
    </w:p>
    <w:p w14:paraId="59858BB6" w14:textId="77777777" w:rsidR="00E814DA" w:rsidRPr="00336B16" w:rsidRDefault="00E814DA" w:rsidP="005E47C9">
      <w:pPr>
        <w:keepLines/>
        <w:widowControl w:val="0"/>
        <w:spacing w:after="240" w:line="240" w:lineRule="auto"/>
        <w:jc w:val="both"/>
        <w:rPr>
          <w:rFonts w:ascii="Arial" w:hAnsi="Arial" w:cs="Arial"/>
          <w:b/>
          <w:sz w:val="24"/>
          <w:szCs w:val="24"/>
        </w:rPr>
      </w:pPr>
      <w:r w:rsidRPr="00336B16">
        <w:rPr>
          <w:rFonts w:ascii="Arial" w:hAnsi="Arial" w:cs="Arial"/>
          <w:b/>
          <w:sz w:val="24"/>
          <w:szCs w:val="24"/>
        </w:rPr>
        <w:t xml:space="preserve">FRS 102 Exemptions </w:t>
      </w:r>
    </w:p>
    <w:p w14:paraId="734DADB7" w14:textId="77777777" w:rsidR="00E814DA" w:rsidRPr="00336B16" w:rsidRDefault="00E814DA" w:rsidP="005E47C9">
      <w:pPr>
        <w:keepLines/>
        <w:widowControl w:val="0"/>
        <w:spacing w:after="240" w:line="240" w:lineRule="auto"/>
        <w:jc w:val="both"/>
        <w:rPr>
          <w:rFonts w:ascii="Arial" w:hAnsi="Arial" w:cs="Arial"/>
          <w:sz w:val="24"/>
          <w:szCs w:val="24"/>
        </w:rPr>
      </w:pPr>
      <w:r w:rsidRPr="00336B16">
        <w:rPr>
          <w:rFonts w:ascii="Arial" w:hAnsi="Arial" w:cs="Arial"/>
          <w:sz w:val="24"/>
          <w:szCs w:val="24"/>
        </w:rPr>
        <w:t>FRS 102 allows a qualifying entity certain disclosure exemptions, subject to certain conditions, which have been complied with, including notification of, and no objection to, the use of exemptions by the Company’s Trustees.</w:t>
      </w:r>
    </w:p>
    <w:p w14:paraId="060E3534" w14:textId="77777777" w:rsidR="00E814DA" w:rsidRPr="00336B16" w:rsidRDefault="00E814DA" w:rsidP="005E47C9">
      <w:pPr>
        <w:keepLines/>
        <w:widowControl w:val="0"/>
        <w:spacing w:after="240" w:line="240" w:lineRule="auto"/>
        <w:jc w:val="both"/>
        <w:rPr>
          <w:rFonts w:ascii="Arial" w:hAnsi="Arial" w:cs="Arial"/>
          <w:sz w:val="24"/>
          <w:szCs w:val="24"/>
        </w:rPr>
      </w:pPr>
      <w:r w:rsidRPr="00336B16">
        <w:rPr>
          <w:rFonts w:ascii="Arial" w:hAnsi="Arial" w:cs="Arial"/>
          <w:sz w:val="24"/>
          <w:szCs w:val="24"/>
        </w:rPr>
        <w:t>The Company has taken advantage of the following exemptions:</w:t>
      </w:r>
    </w:p>
    <w:p w14:paraId="6A1BB8C5" w14:textId="77777777" w:rsidR="00E814DA" w:rsidRPr="00336B16" w:rsidRDefault="00E814DA" w:rsidP="005E47C9">
      <w:pPr>
        <w:pStyle w:val="ListParagraph"/>
        <w:keepLines/>
        <w:widowControl w:val="0"/>
        <w:numPr>
          <w:ilvl w:val="0"/>
          <w:numId w:val="7"/>
        </w:numPr>
        <w:spacing w:after="240" w:line="240" w:lineRule="auto"/>
        <w:jc w:val="both"/>
        <w:rPr>
          <w:rFonts w:ascii="Arial" w:hAnsi="Arial" w:cs="Arial"/>
          <w:sz w:val="24"/>
          <w:szCs w:val="24"/>
        </w:rPr>
      </w:pPr>
      <w:r w:rsidRPr="00F77AA2">
        <w:rPr>
          <w:rFonts w:ascii="Arial" w:hAnsi="Arial" w:cs="Arial"/>
          <w:sz w:val="24"/>
          <w:szCs w:val="24"/>
        </w:rPr>
        <w:t>f</w:t>
      </w:r>
      <w:r w:rsidRPr="00336B16">
        <w:rPr>
          <w:rFonts w:ascii="Arial" w:hAnsi="Arial" w:cs="Arial"/>
          <w:sz w:val="24"/>
          <w:szCs w:val="24"/>
        </w:rPr>
        <w:t>rom preparing a company statement of cash flows, on the basis that it is a qualifying entity and the consolidated group statement of cash flows, included in these financial statements, includes the company cash flows; and</w:t>
      </w:r>
    </w:p>
    <w:p w14:paraId="448C5633" w14:textId="77777777" w:rsidR="00E814DA" w:rsidRPr="00F77AA2" w:rsidRDefault="00E814DA" w:rsidP="005E47C9">
      <w:pPr>
        <w:pStyle w:val="ListParagraph"/>
        <w:keepLines/>
        <w:widowControl w:val="0"/>
        <w:numPr>
          <w:ilvl w:val="0"/>
          <w:numId w:val="7"/>
        </w:numPr>
        <w:spacing w:after="240" w:line="240" w:lineRule="auto"/>
        <w:jc w:val="both"/>
        <w:rPr>
          <w:rFonts w:ascii="Arial" w:hAnsi="Arial" w:cs="Arial"/>
          <w:sz w:val="24"/>
          <w:szCs w:val="24"/>
        </w:rPr>
      </w:pPr>
      <w:proofErr w:type="gramStart"/>
      <w:r w:rsidRPr="00F77AA2">
        <w:rPr>
          <w:rFonts w:ascii="Arial" w:hAnsi="Arial" w:cs="Arial"/>
          <w:sz w:val="24"/>
          <w:szCs w:val="24"/>
        </w:rPr>
        <w:t>f</w:t>
      </w:r>
      <w:r w:rsidRPr="00336B16">
        <w:rPr>
          <w:rFonts w:ascii="Arial" w:hAnsi="Arial" w:cs="Arial"/>
          <w:sz w:val="24"/>
          <w:szCs w:val="24"/>
        </w:rPr>
        <w:t>rom</w:t>
      </w:r>
      <w:proofErr w:type="gramEnd"/>
      <w:r w:rsidRPr="00336B16">
        <w:rPr>
          <w:rFonts w:ascii="Arial" w:hAnsi="Arial" w:cs="Arial"/>
          <w:sz w:val="24"/>
          <w:szCs w:val="24"/>
        </w:rPr>
        <w:t xml:space="preserve"> preparing a company Statement of Financial Activities (SOFA), on the basis that it is a qualifying entity and the consolidated SOFA, included in these financial statements, includes the company SOFA.</w:t>
      </w:r>
    </w:p>
    <w:p w14:paraId="56D3CD4D" w14:textId="77777777" w:rsidR="00E814DA" w:rsidRPr="00336B16" w:rsidRDefault="00E814DA" w:rsidP="005E47C9">
      <w:pPr>
        <w:keepLines/>
        <w:widowControl w:val="0"/>
        <w:spacing w:after="240" w:line="240" w:lineRule="auto"/>
        <w:jc w:val="both"/>
        <w:rPr>
          <w:rFonts w:ascii="Arial" w:hAnsi="Arial" w:cs="Arial"/>
          <w:b/>
          <w:sz w:val="24"/>
          <w:szCs w:val="24"/>
        </w:rPr>
      </w:pPr>
      <w:r w:rsidRPr="00336B16">
        <w:rPr>
          <w:rFonts w:ascii="Arial" w:hAnsi="Arial" w:cs="Arial"/>
          <w:b/>
          <w:sz w:val="24"/>
          <w:szCs w:val="24"/>
        </w:rPr>
        <w:t xml:space="preserve">Functional currency </w:t>
      </w:r>
    </w:p>
    <w:p w14:paraId="1677D698" w14:textId="77777777" w:rsidR="00E814DA" w:rsidRPr="00336B16" w:rsidRDefault="00E814DA" w:rsidP="005E47C9">
      <w:pPr>
        <w:keepLines/>
        <w:widowControl w:val="0"/>
        <w:spacing w:after="240" w:line="240" w:lineRule="auto"/>
        <w:jc w:val="both"/>
        <w:rPr>
          <w:rFonts w:ascii="Arial" w:hAnsi="Arial" w:cs="Arial"/>
          <w:sz w:val="24"/>
          <w:szCs w:val="24"/>
        </w:rPr>
      </w:pPr>
      <w:r w:rsidRPr="00336B16">
        <w:rPr>
          <w:rFonts w:ascii="Arial" w:hAnsi="Arial" w:cs="Arial"/>
          <w:sz w:val="24"/>
          <w:szCs w:val="24"/>
        </w:rPr>
        <w:t>The group financial statements are presented in pound sterling and rounded to thousands. The company’s functional and presentation currency is the pound sterling.</w:t>
      </w:r>
    </w:p>
    <w:p w14:paraId="0E7053F9" w14:textId="77777777" w:rsidR="008B1196" w:rsidRDefault="008B1196" w:rsidP="005E47C9">
      <w:pPr>
        <w:keepLines/>
        <w:widowControl w:val="0"/>
        <w:spacing w:after="240" w:line="240" w:lineRule="auto"/>
        <w:jc w:val="both"/>
        <w:rPr>
          <w:rFonts w:ascii="Arial" w:hAnsi="Arial" w:cs="Arial"/>
          <w:sz w:val="24"/>
          <w:szCs w:val="24"/>
        </w:rPr>
      </w:pPr>
    </w:p>
    <w:p w14:paraId="06522744" w14:textId="77777777" w:rsidR="008B1196" w:rsidRDefault="008B1196" w:rsidP="005E47C9">
      <w:pPr>
        <w:keepLines/>
        <w:widowControl w:val="0"/>
        <w:spacing w:after="240" w:line="240" w:lineRule="auto"/>
        <w:jc w:val="both"/>
        <w:rPr>
          <w:rFonts w:ascii="Arial" w:hAnsi="Arial" w:cs="Arial"/>
          <w:sz w:val="24"/>
          <w:szCs w:val="24"/>
        </w:rPr>
      </w:pPr>
      <w:r>
        <w:rPr>
          <w:rFonts w:ascii="Arial" w:hAnsi="Arial" w:cs="Arial"/>
          <w:b/>
          <w:sz w:val="32"/>
          <w:szCs w:val="32"/>
        </w:rPr>
        <w:t>Principal</w:t>
      </w:r>
      <w:r w:rsidR="00833243">
        <w:rPr>
          <w:rFonts w:ascii="Arial" w:hAnsi="Arial" w:cs="Arial"/>
          <w:b/>
          <w:sz w:val="32"/>
          <w:szCs w:val="32"/>
        </w:rPr>
        <w:t xml:space="preserve"> </w:t>
      </w:r>
      <w:r w:rsidRPr="008B1196">
        <w:rPr>
          <w:rFonts w:ascii="Arial" w:hAnsi="Arial" w:cs="Arial"/>
          <w:b/>
          <w:sz w:val="32"/>
          <w:szCs w:val="32"/>
        </w:rPr>
        <w:t xml:space="preserve">accounting </w:t>
      </w:r>
      <w:r>
        <w:rPr>
          <w:rFonts w:ascii="Arial" w:hAnsi="Arial" w:cs="Arial"/>
          <w:b/>
          <w:sz w:val="32"/>
          <w:szCs w:val="32"/>
        </w:rPr>
        <w:t>policies</w:t>
      </w:r>
      <w:r w:rsidRPr="00336B16">
        <w:rPr>
          <w:rFonts w:ascii="Arial" w:hAnsi="Arial" w:cs="Arial"/>
          <w:sz w:val="24"/>
          <w:szCs w:val="24"/>
        </w:rPr>
        <w:t xml:space="preserve"> </w:t>
      </w:r>
    </w:p>
    <w:p w14:paraId="18B90AD6" w14:textId="77777777" w:rsidR="008B1196" w:rsidRPr="00336B16" w:rsidRDefault="008B1196" w:rsidP="005E47C9">
      <w:pPr>
        <w:keepLines/>
        <w:widowControl w:val="0"/>
        <w:spacing w:after="240" w:line="240" w:lineRule="auto"/>
        <w:jc w:val="both"/>
        <w:rPr>
          <w:rFonts w:ascii="Arial" w:hAnsi="Arial" w:cs="Arial"/>
          <w:sz w:val="24"/>
          <w:szCs w:val="24"/>
        </w:rPr>
      </w:pPr>
      <w:r w:rsidRPr="00336B16">
        <w:rPr>
          <w:rFonts w:ascii="Arial" w:hAnsi="Arial" w:cs="Arial"/>
          <w:sz w:val="24"/>
          <w:szCs w:val="24"/>
        </w:rPr>
        <w:t>The financial statements of the charity, which is a public benefit entity under FRS 102, have been prepared under the historical cost convention in accordance with the Financial Reporting Standard Applicable in the UK and Republic of Ireland (FRS 102), the Accounting and Reporting by Charities: Statement of Recommended Practice applicable to charities preparing their accounting in accordance with the Financial reporting Standard applicable in the UK and Republic of Ireland (FRS 102) (Charities SORP (FRS 102)), the Charities Act 2011, the Charities and Trustee Investment (Scotland) Act 2005 and the Charities Accounts (Scotland) Regulations 2006 and the Companies Act 2006.</w:t>
      </w:r>
    </w:p>
    <w:p w14:paraId="0DE170E3" w14:textId="77777777" w:rsidR="002F3F71" w:rsidRDefault="002F3F71" w:rsidP="005E47C9">
      <w:pPr>
        <w:keepLines/>
        <w:widowControl w:val="0"/>
        <w:spacing w:after="240" w:line="240" w:lineRule="auto"/>
        <w:jc w:val="both"/>
        <w:rPr>
          <w:rFonts w:ascii="Arial" w:hAnsi="Arial" w:cs="Arial"/>
          <w:b/>
          <w:i/>
          <w:sz w:val="24"/>
          <w:szCs w:val="24"/>
        </w:rPr>
      </w:pPr>
    </w:p>
    <w:p w14:paraId="1CB47056" w14:textId="77777777" w:rsidR="002F3F71" w:rsidRDefault="002F3F71" w:rsidP="005E47C9">
      <w:pPr>
        <w:keepLines/>
        <w:widowControl w:val="0"/>
        <w:spacing w:after="240" w:line="240" w:lineRule="auto"/>
        <w:jc w:val="both"/>
        <w:rPr>
          <w:rFonts w:ascii="Arial" w:hAnsi="Arial" w:cs="Arial"/>
          <w:b/>
          <w:i/>
          <w:sz w:val="24"/>
          <w:szCs w:val="24"/>
        </w:rPr>
      </w:pPr>
    </w:p>
    <w:p w14:paraId="51464BBD" w14:textId="77777777" w:rsidR="002F3F71" w:rsidRDefault="002F3F71" w:rsidP="005E47C9">
      <w:pPr>
        <w:keepLines/>
        <w:widowControl w:val="0"/>
        <w:spacing w:after="240" w:line="240" w:lineRule="auto"/>
        <w:jc w:val="both"/>
        <w:rPr>
          <w:rFonts w:ascii="Arial" w:hAnsi="Arial" w:cs="Arial"/>
          <w:b/>
          <w:i/>
          <w:sz w:val="24"/>
          <w:szCs w:val="24"/>
        </w:rPr>
      </w:pPr>
    </w:p>
    <w:p w14:paraId="10D469DB" w14:textId="77777777" w:rsidR="002F3F71" w:rsidRDefault="002F3F71" w:rsidP="005E47C9">
      <w:pPr>
        <w:keepLines/>
        <w:widowControl w:val="0"/>
        <w:spacing w:after="240" w:line="240" w:lineRule="auto"/>
        <w:jc w:val="both"/>
        <w:rPr>
          <w:rFonts w:ascii="Arial" w:hAnsi="Arial" w:cs="Arial"/>
          <w:b/>
          <w:i/>
          <w:sz w:val="24"/>
          <w:szCs w:val="24"/>
        </w:rPr>
      </w:pPr>
    </w:p>
    <w:p w14:paraId="3FEDA204" w14:textId="77777777" w:rsidR="00DE204C" w:rsidRPr="004B3A7A" w:rsidRDefault="00DE204C" w:rsidP="005E47C9">
      <w:pPr>
        <w:keepLines/>
        <w:widowControl w:val="0"/>
        <w:spacing w:after="240" w:line="240" w:lineRule="auto"/>
        <w:jc w:val="both"/>
        <w:rPr>
          <w:rFonts w:ascii="Arial" w:hAnsi="Arial" w:cs="Arial"/>
          <w:i/>
          <w:sz w:val="24"/>
          <w:szCs w:val="24"/>
        </w:rPr>
      </w:pPr>
      <w:r w:rsidRPr="004B3A7A">
        <w:rPr>
          <w:rFonts w:ascii="Arial" w:hAnsi="Arial" w:cs="Arial"/>
          <w:b/>
          <w:i/>
          <w:sz w:val="24"/>
          <w:szCs w:val="24"/>
        </w:rPr>
        <w:lastRenderedPageBreak/>
        <w:t>Principal accounting policies (continued)</w:t>
      </w:r>
    </w:p>
    <w:p w14:paraId="1A6D5AC8" w14:textId="77777777" w:rsidR="008B1196" w:rsidRPr="00336B16" w:rsidRDefault="00DE204C" w:rsidP="005E47C9">
      <w:pPr>
        <w:keepLines/>
        <w:widowControl w:val="0"/>
        <w:spacing w:after="240" w:line="240" w:lineRule="auto"/>
        <w:jc w:val="both"/>
        <w:rPr>
          <w:rFonts w:ascii="Arial" w:hAnsi="Arial" w:cs="Arial"/>
          <w:sz w:val="24"/>
          <w:szCs w:val="24"/>
        </w:rPr>
      </w:pPr>
      <w:r w:rsidRPr="00336B16">
        <w:rPr>
          <w:rFonts w:ascii="Arial" w:hAnsi="Arial" w:cs="Arial"/>
          <w:sz w:val="24"/>
          <w:szCs w:val="24"/>
        </w:rPr>
        <w:t xml:space="preserve"> </w:t>
      </w:r>
      <w:r w:rsidR="008B1196" w:rsidRPr="00336B16">
        <w:rPr>
          <w:rFonts w:ascii="Arial" w:hAnsi="Arial" w:cs="Arial"/>
          <w:sz w:val="24"/>
          <w:szCs w:val="24"/>
        </w:rPr>
        <w:t>A summary of the significant accounting policies, which have been applied on a consistent basis, is set out below.</w:t>
      </w:r>
    </w:p>
    <w:p w14:paraId="704070A3" w14:textId="77777777" w:rsidR="00E814DA" w:rsidRPr="00336B16" w:rsidRDefault="00E814DA" w:rsidP="005E47C9">
      <w:pPr>
        <w:keepLines/>
        <w:widowControl w:val="0"/>
        <w:spacing w:after="240" w:line="240" w:lineRule="auto"/>
        <w:jc w:val="both"/>
        <w:rPr>
          <w:rFonts w:ascii="Arial" w:hAnsi="Arial" w:cs="Arial"/>
          <w:sz w:val="24"/>
          <w:szCs w:val="24"/>
        </w:rPr>
      </w:pPr>
      <w:r w:rsidRPr="00336B16">
        <w:rPr>
          <w:rFonts w:ascii="Arial" w:hAnsi="Arial" w:cs="Arial"/>
          <w:b/>
          <w:sz w:val="24"/>
          <w:szCs w:val="24"/>
        </w:rPr>
        <w:t>Incoming Resources</w:t>
      </w:r>
      <w:r w:rsidRPr="00336B16">
        <w:rPr>
          <w:rFonts w:ascii="Arial" w:hAnsi="Arial" w:cs="Arial"/>
          <w:sz w:val="24"/>
          <w:szCs w:val="24"/>
        </w:rPr>
        <w:t xml:space="preserve"> </w:t>
      </w:r>
    </w:p>
    <w:p w14:paraId="732E1014" w14:textId="77777777" w:rsidR="00E814DA" w:rsidRPr="00E814DA" w:rsidRDefault="00E814DA" w:rsidP="005E47C9">
      <w:pPr>
        <w:keepLines/>
        <w:widowControl w:val="0"/>
        <w:spacing w:after="240" w:line="240" w:lineRule="auto"/>
        <w:jc w:val="both"/>
        <w:rPr>
          <w:rFonts w:ascii="Arial" w:hAnsi="Arial" w:cs="Arial"/>
          <w:sz w:val="24"/>
          <w:szCs w:val="24"/>
        </w:rPr>
      </w:pPr>
      <w:r w:rsidRPr="00336B16">
        <w:rPr>
          <w:rFonts w:ascii="Arial" w:hAnsi="Arial" w:cs="Arial"/>
          <w:sz w:val="24"/>
          <w:szCs w:val="24"/>
        </w:rPr>
        <w:t>All incoming resources are recognised in the Statement of Financial Activities when there is an entitlement to the funds, the receipt is probable and the amount can be measured reliably.</w:t>
      </w:r>
    </w:p>
    <w:p w14:paraId="492BBAA3" w14:textId="77777777" w:rsidR="00E814DA" w:rsidRPr="00336B16" w:rsidRDefault="00E814DA" w:rsidP="005E47C9">
      <w:pPr>
        <w:keepLines/>
        <w:widowControl w:val="0"/>
        <w:spacing w:after="240" w:line="240" w:lineRule="auto"/>
        <w:jc w:val="both"/>
        <w:rPr>
          <w:rFonts w:ascii="Arial" w:hAnsi="Arial" w:cs="Arial"/>
          <w:b/>
          <w:sz w:val="24"/>
          <w:szCs w:val="24"/>
        </w:rPr>
      </w:pPr>
      <w:r w:rsidRPr="00336B16">
        <w:rPr>
          <w:rFonts w:ascii="Arial" w:hAnsi="Arial" w:cs="Arial"/>
          <w:b/>
          <w:sz w:val="24"/>
          <w:szCs w:val="24"/>
        </w:rPr>
        <w:t xml:space="preserve">Deferred income </w:t>
      </w:r>
    </w:p>
    <w:p w14:paraId="2DA3E44B" w14:textId="77777777" w:rsidR="00E814DA" w:rsidRPr="00336B16" w:rsidRDefault="00E814DA" w:rsidP="005E47C9">
      <w:pPr>
        <w:keepLines/>
        <w:widowControl w:val="0"/>
        <w:spacing w:after="240" w:line="240" w:lineRule="auto"/>
        <w:jc w:val="both"/>
        <w:rPr>
          <w:rFonts w:ascii="Arial" w:hAnsi="Arial" w:cs="Arial"/>
          <w:sz w:val="24"/>
          <w:szCs w:val="24"/>
        </w:rPr>
      </w:pPr>
      <w:r w:rsidRPr="00336B16">
        <w:rPr>
          <w:rFonts w:ascii="Arial" w:hAnsi="Arial" w:cs="Arial"/>
          <w:sz w:val="24"/>
          <w:szCs w:val="24"/>
        </w:rPr>
        <w:t>Where income is received for a specific period and that period straddles the Trust’s year end, the appropriate portion of income is carried forward to the following year.</w:t>
      </w:r>
    </w:p>
    <w:p w14:paraId="0379EC5D" w14:textId="77777777" w:rsidR="008B1196" w:rsidRDefault="00784069" w:rsidP="005E47C9">
      <w:pPr>
        <w:keepLines/>
        <w:widowControl w:val="0"/>
        <w:spacing w:after="240" w:line="240" w:lineRule="auto"/>
        <w:jc w:val="both"/>
        <w:rPr>
          <w:rFonts w:ascii="Arial" w:hAnsi="Arial" w:cs="Arial"/>
          <w:b/>
          <w:sz w:val="24"/>
          <w:szCs w:val="24"/>
        </w:rPr>
      </w:pPr>
      <w:r w:rsidRPr="00336B16">
        <w:rPr>
          <w:rFonts w:ascii="Arial" w:hAnsi="Arial" w:cs="Arial"/>
          <w:b/>
          <w:sz w:val="24"/>
          <w:szCs w:val="24"/>
        </w:rPr>
        <w:t xml:space="preserve">Donations and other voluntary income </w:t>
      </w:r>
    </w:p>
    <w:p w14:paraId="776D5A76" w14:textId="77777777" w:rsidR="001F44A2" w:rsidRDefault="00784069" w:rsidP="00047E5C">
      <w:pPr>
        <w:jc w:val="both"/>
        <w:rPr>
          <w:rFonts w:ascii="Arial" w:hAnsi="Arial" w:cs="Arial"/>
          <w:sz w:val="24"/>
          <w:szCs w:val="24"/>
        </w:rPr>
      </w:pPr>
      <w:r w:rsidRPr="00336B16">
        <w:rPr>
          <w:rFonts w:ascii="Arial" w:hAnsi="Arial" w:cs="Arial"/>
          <w:sz w:val="24"/>
          <w:szCs w:val="24"/>
        </w:rPr>
        <w:t>All donations and other voluntary income are included in the Statement of Financial Activities and accounted for according to the date of receipt.</w:t>
      </w:r>
      <w:r w:rsidR="001F44A2">
        <w:rPr>
          <w:rFonts w:ascii="Arial" w:hAnsi="Arial" w:cs="Arial"/>
          <w:sz w:val="24"/>
          <w:szCs w:val="24"/>
        </w:rPr>
        <w:t xml:space="preserve"> </w:t>
      </w:r>
    </w:p>
    <w:p w14:paraId="3934674A" w14:textId="77777777" w:rsidR="001F44A2" w:rsidRPr="001F44A2" w:rsidRDefault="001F44A2" w:rsidP="00047E5C">
      <w:pPr>
        <w:jc w:val="both"/>
        <w:rPr>
          <w:rFonts w:ascii="Arial" w:hAnsi="Arial" w:cs="Arial"/>
          <w:sz w:val="24"/>
          <w:szCs w:val="24"/>
        </w:rPr>
      </w:pPr>
      <w:r w:rsidRPr="001F44A2">
        <w:rPr>
          <w:rFonts w:ascii="Arial" w:hAnsi="Arial" w:cs="Arial"/>
          <w:sz w:val="24"/>
          <w:szCs w:val="24"/>
        </w:rPr>
        <w:t>Where assets and liabilities are received on the transfer of an existing academy into the academy trust, the transferred net assets are measured at fair value and recognised in the balance sheet at the point when the risks and rewards of ownership pass to the academy trust. An equal amount of income is recognised for the transfer of an existing academy into the academy trust within Donations and capital grant income to the net assets acquired.</w:t>
      </w:r>
    </w:p>
    <w:p w14:paraId="2A6B56A1" w14:textId="77777777" w:rsidR="001F44A2" w:rsidRDefault="001F44A2" w:rsidP="005E47C9">
      <w:pPr>
        <w:keepLines/>
        <w:widowControl w:val="0"/>
        <w:spacing w:after="240" w:line="240" w:lineRule="auto"/>
        <w:jc w:val="both"/>
        <w:rPr>
          <w:rFonts w:ascii="Arial" w:hAnsi="Arial" w:cs="Arial"/>
          <w:b/>
          <w:sz w:val="24"/>
          <w:szCs w:val="24"/>
        </w:rPr>
      </w:pPr>
    </w:p>
    <w:p w14:paraId="72E722AC" w14:textId="77777777" w:rsidR="001F44A2" w:rsidRDefault="001F44A2" w:rsidP="005E47C9">
      <w:pPr>
        <w:keepLines/>
        <w:widowControl w:val="0"/>
        <w:spacing w:after="240" w:line="240" w:lineRule="auto"/>
        <w:jc w:val="both"/>
        <w:rPr>
          <w:rFonts w:ascii="Arial" w:hAnsi="Arial" w:cs="Arial"/>
          <w:b/>
          <w:sz w:val="24"/>
          <w:szCs w:val="24"/>
        </w:rPr>
      </w:pPr>
    </w:p>
    <w:p w14:paraId="282A0590" w14:textId="77777777" w:rsidR="001F44A2" w:rsidRDefault="001F44A2" w:rsidP="005E47C9">
      <w:pPr>
        <w:keepLines/>
        <w:widowControl w:val="0"/>
        <w:spacing w:after="240" w:line="240" w:lineRule="auto"/>
        <w:jc w:val="both"/>
        <w:rPr>
          <w:rFonts w:ascii="Arial" w:hAnsi="Arial" w:cs="Arial"/>
          <w:b/>
          <w:sz w:val="24"/>
          <w:szCs w:val="24"/>
        </w:rPr>
      </w:pPr>
    </w:p>
    <w:p w14:paraId="6F24407F" w14:textId="77777777" w:rsidR="00F41088" w:rsidRPr="00336B16" w:rsidRDefault="00784069" w:rsidP="005E47C9">
      <w:pPr>
        <w:keepLines/>
        <w:widowControl w:val="0"/>
        <w:spacing w:after="240" w:line="240" w:lineRule="auto"/>
        <w:jc w:val="both"/>
        <w:rPr>
          <w:rFonts w:ascii="Arial" w:hAnsi="Arial" w:cs="Arial"/>
          <w:b/>
          <w:sz w:val="24"/>
          <w:szCs w:val="24"/>
        </w:rPr>
      </w:pPr>
      <w:r w:rsidRPr="00336B16">
        <w:rPr>
          <w:rFonts w:ascii="Arial" w:hAnsi="Arial" w:cs="Arial"/>
          <w:b/>
          <w:sz w:val="24"/>
          <w:szCs w:val="24"/>
        </w:rPr>
        <w:t xml:space="preserve">Sales and trading activities </w:t>
      </w:r>
    </w:p>
    <w:p w14:paraId="5CCB4A83" w14:textId="77777777" w:rsidR="008B1196" w:rsidRDefault="00784069" w:rsidP="005E47C9">
      <w:pPr>
        <w:keepLines/>
        <w:widowControl w:val="0"/>
        <w:spacing w:after="240" w:line="240" w:lineRule="auto"/>
        <w:jc w:val="both"/>
        <w:rPr>
          <w:rFonts w:ascii="Arial" w:hAnsi="Arial" w:cs="Arial"/>
          <w:sz w:val="24"/>
          <w:szCs w:val="24"/>
        </w:rPr>
      </w:pPr>
      <w:r w:rsidRPr="00336B16">
        <w:rPr>
          <w:rFonts w:ascii="Arial" w:hAnsi="Arial" w:cs="Arial"/>
          <w:sz w:val="24"/>
          <w:szCs w:val="24"/>
        </w:rPr>
        <w:t>Income from the Retail trading division (charity shops) and sales made as part of the Trust’s other trading operations are recognised on point of sale for both donated and purchased goods.</w:t>
      </w:r>
    </w:p>
    <w:p w14:paraId="7DF65F86" w14:textId="77777777" w:rsidR="00F41088" w:rsidRPr="00336B16" w:rsidRDefault="00784069" w:rsidP="005E47C9">
      <w:pPr>
        <w:keepLines/>
        <w:widowControl w:val="0"/>
        <w:spacing w:after="240" w:line="240" w:lineRule="auto"/>
        <w:jc w:val="both"/>
        <w:rPr>
          <w:rFonts w:ascii="Arial" w:hAnsi="Arial" w:cs="Arial"/>
          <w:b/>
          <w:sz w:val="24"/>
          <w:szCs w:val="24"/>
        </w:rPr>
      </w:pPr>
      <w:r w:rsidRPr="00336B16">
        <w:rPr>
          <w:rFonts w:ascii="Arial" w:hAnsi="Arial" w:cs="Arial"/>
          <w:b/>
          <w:sz w:val="24"/>
          <w:szCs w:val="24"/>
        </w:rPr>
        <w:t xml:space="preserve">Donated services from volunteers </w:t>
      </w:r>
    </w:p>
    <w:p w14:paraId="6FBB9302" w14:textId="77777777" w:rsidR="00E6171F" w:rsidRPr="00336B16" w:rsidRDefault="00784069" w:rsidP="005E47C9">
      <w:pPr>
        <w:keepLines/>
        <w:widowControl w:val="0"/>
        <w:spacing w:after="240" w:line="240" w:lineRule="auto"/>
        <w:jc w:val="both"/>
        <w:rPr>
          <w:rFonts w:ascii="Arial" w:hAnsi="Arial" w:cs="Arial"/>
          <w:sz w:val="24"/>
          <w:szCs w:val="24"/>
        </w:rPr>
      </w:pPr>
      <w:r w:rsidRPr="00336B16">
        <w:rPr>
          <w:rFonts w:ascii="Arial" w:hAnsi="Arial" w:cs="Arial"/>
          <w:sz w:val="24"/>
          <w:szCs w:val="24"/>
        </w:rPr>
        <w:t xml:space="preserve">Donated services from our volunteers are not included within the financial statements. </w:t>
      </w:r>
    </w:p>
    <w:p w14:paraId="0A03B355" w14:textId="77777777" w:rsidR="00784069" w:rsidRPr="00336B16" w:rsidRDefault="00784069" w:rsidP="005E47C9">
      <w:pPr>
        <w:keepLines/>
        <w:widowControl w:val="0"/>
        <w:spacing w:after="240" w:line="240" w:lineRule="auto"/>
        <w:jc w:val="both"/>
        <w:rPr>
          <w:rFonts w:ascii="Arial" w:hAnsi="Arial" w:cs="Arial"/>
          <w:sz w:val="24"/>
          <w:szCs w:val="24"/>
        </w:rPr>
      </w:pPr>
      <w:r w:rsidRPr="00336B16">
        <w:rPr>
          <w:rFonts w:ascii="Arial" w:hAnsi="Arial" w:cs="Arial"/>
          <w:sz w:val="24"/>
          <w:szCs w:val="24"/>
        </w:rPr>
        <w:t>The services of volunteers are critical to the Trust, particularly in relation to the operation of our retail shops. These ventures would not be able to continue without the support and time given by our network of volunteers.</w:t>
      </w:r>
    </w:p>
    <w:p w14:paraId="4B03843E" w14:textId="77777777" w:rsidR="002F3F71" w:rsidRDefault="00784069" w:rsidP="005E47C9">
      <w:pPr>
        <w:keepLines/>
        <w:widowControl w:val="0"/>
        <w:spacing w:after="240" w:line="240" w:lineRule="auto"/>
        <w:jc w:val="both"/>
        <w:rPr>
          <w:rFonts w:ascii="Arial" w:hAnsi="Arial" w:cs="Arial"/>
          <w:b/>
          <w:sz w:val="24"/>
          <w:szCs w:val="24"/>
        </w:rPr>
      </w:pPr>
      <w:r w:rsidRPr="00336B16">
        <w:rPr>
          <w:rFonts w:ascii="Arial" w:hAnsi="Arial" w:cs="Arial"/>
          <w:b/>
          <w:sz w:val="24"/>
          <w:szCs w:val="24"/>
        </w:rPr>
        <w:t xml:space="preserve">Donated goods for resale </w:t>
      </w:r>
    </w:p>
    <w:p w14:paraId="60F5197C" w14:textId="77777777" w:rsidR="00784069" w:rsidRPr="00336B16" w:rsidRDefault="00784069" w:rsidP="005E47C9">
      <w:pPr>
        <w:keepLines/>
        <w:widowControl w:val="0"/>
        <w:spacing w:after="240" w:line="240" w:lineRule="auto"/>
        <w:jc w:val="both"/>
        <w:rPr>
          <w:rFonts w:ascii="Arial" w:hAnsi="Arial" w:cs="Arial"/>
          <w:sz w:val="24"/>
          <w:szCs w:val="24"/>
        </w:rPr>
      </w:pPr>
      <w:r w:rsidRPr="00336B16">
        <w:rPr>
          <w:rFonts w:ascii="Arial" w:hAnsi="Arial" w:cs="Arial"/>
          <w:sz w:val="24"/>
          <w:szCs w:val="24"/>
        </w:rPr>
        <w:t>The charity receives donated goods for resale in its network of charity shops which it recognises at point of sale as the Trustees consider it to be impractical to recognise such gifts on receipt due to the large number of small value items received.</w:t>
      </w:r>
    </w:p>
    <w:p w14:paraId="35DF9785" w14:textId="77777777" w:rsidR="00F41088" w:rsidRPr="00336B16" w:rsidRDefault="00784069" w:rsidP="005E47C9">
      <w:pPr>
        <w:keepLines/>
        <w:widowControl w:val="0"/>
        <w:spacing w:after="240" w:line="240" w:lineRule="auto"/>
        <w:jc w:val="both"/>
        <w:rPr>
          <w:rFonts w:ascii="Arial" w:hAnsi="Arial" w:cs="Arial"/>
          <w:b/>
          <w:sz w:val="24"/>
          <w:szCs w:val="24"/>
        </w:rPr>
      </w:pPr>
      <w:r w:rsidRPr="00336B16">
        <w:rPr>
          <w:rFonts w:ascii="Arial" w:hAnsi="Arial" w:cs="Arial"/>
          <w:b/>
          <w:sz w:val="24"/>
          <w:szCs w:val="24"/>
        </w:rPr>
        <w:t>Grants</w:t>
      </w:r>
      <w:r w:rsidR="00720195" w:rsidRPr="00336B16">
        <w:rPr>
          <w:rFonts w:ascii="Arial" w:hAnsi="Arial" w:cs="Arial"/>
          <w:b/>
          <w:sz w:val="24"/>
          <w:szCs w:val="24"/>
        </w:rPr>
        <w:t xml:space="preserve"> </w:t>
      </w:r>
      <w:r w:rsidRPr="00336B16">
        <w:rPr>
          <w:rFonts w:ascii="Arial" w:hAnsi="Arial" w:cs="Arial"/>
          <w:b/>
          <w:sz w:val="24"/>
          <w:szCs w:val="24"/>
        </w:rPr>
        <w:t>/</w:t>
      </w:r>
      <w:r w:rsidR="00720195" w:rsidRPr="00336B16">
        <w:rPr>
          <w:rFonts w:ascii="Arial" w:hAnsi="Arial" w:cs="Arial"/>
          <w:b/>
          <w:sz w:val="24"/>
          <w:szCs w:val="24"/>
        </w:rPr>
        <w:t xml:space="preserve"> </w:t>
      </w:r>
      <w:r w:rsidRPr="00336B16">
        <w:rPr>
          <w:rFonts w:ascii="Arial" w:hAnsi="Arial" w:cs="Arial"/>
          <w:b/>
          <w:sz w:val="24"/>
          <w:szCs w:val="24"/>
        </w:rPr>
        <w:t xml:space="preserve">fees </w:t>
      </w:r>
    </w:p>
    <w:p w14:paraId="5DC48B40" w14:textId="77777777" w:rsidR="00784069" w:rsidRPr="00336B16" w:rsidRDefault="00784069" w:rsidP="005E47C9">
      <w:pPr>
        <w:keepLines/>
        <w:widowControl w:val="0"/>
        <w:spacing w:after="240" w:line="240" w:lineRule="auto"/>
        <w:jc w:val="both"/>
        <w:rPr>
          <w:rFonts w:ascii="Arial" w:hAnsi="Arial" w:cs="Arial"/>
          <w:sz w:val="24"/>
          <w:szCs w:val="24"/>
        </w:rPr>
      </w:pPr>
      <w:r w:rsidRPr="00336B16">
        <w:rPr>
          <w:rFonts w:ascii="Arial" w:hAnsi="Arial" w:cs="Arial"/>
          <w:sz w:val="24"/>
          <w:szCs w:val="24"/>
        </w:rPr>
        <w:t>All revenue grants and fees receivable principally from the Department of Work and Pensions, other Government agencies and local authorities relating to the period are included in the Statement of Financial Activities. All grants that relate to specific capital expenditure are disclosed as income in the year in which they are receivable and disclosed as restricted funds.</w:t>
      </w:r>
    </w:p>
    <w:p w14:paraId="581F1075" w14:textId="77777777" w:rsidR="00F41088" w:rsidRPr="00336B16" w:rsidRDefault="00784069" w:rsidP="005E47C9">
      <w:pPr>
        <w:keepLines/>
        <w:widowControl w:val="0"/>
        <w:spacing w:after="240" w:line="240" w:lineRule="auto"/>
        <w:jc w:val="both"/>
        <w:rPr>
          <w:rFonts w:ascii="Arial" w:hAnsi="Arial" w:cs="Arial"/>
          <w:b/>
          <w:sz w:val="24"/>
          <w:szCs w:val="24"/>
        </w:rPr>
      </w:pPr>
      <w:r w:rsidRPr="00336B16">
        <w:rPr>
          <w:rFonts w:ascii="Arial" w:hAnsi="Arial" w:cs="Arial"/>
          <w:b/>
          <w:sz w:val="24"/>
          <w:szCs w:val="24"/>
        </w:rPr>
        <w:t xml:space="preserve">Resources expended </w:t>
      </w:r>
    </w:p>
    <w:p w14:paraId="3AC73C29" w14:textId="77777777" w:rsidR="00E6171F" w:rsidRPr="00336B16" w:rsidRDefault="00784069" w:rsidP="005E47C9">
      <w:pPr>
        <w:keepLines/>
        <w:widowControl w:val="0"/>
        <w:spacing w:after="240" w:line="240" w:lineRule="auto"/>
        <w:jc w:val="both"/>
        <w:rPr>
          <w:rFonts w:ascii="Arial" w:hAnsi="Arial" w:cs="Arial"/>
          <w:sz w:val="24"/>
          <w:szCs w:val="24"/>
        </w:rPr>
      </w:pPr>
      <w:r w:rsidRPr="00336B16">
        <w:rPr>
          <w:rFonts w:ascii="Arial" w:hAnsi="Arial" w:cs="Arial"/>
          <w:sz w:val="24"/>
          <w:szCs w:val="24"/>
        </w:rPr>
        <w:t>All expenditure is included on an accrual</w:t>
      </w:r>
      <w:r w:rsidR="005D2450" w:rsidRPr="00336B16">
        <w:rPr>
          <w:rFonts w:ascii="Arial" w:hAnsi="Arial" w:cs="Arial"/>
          <w:sz w:val="24"/>
          <w:szCs w:val="24"/>
        </w:rPr>
        <w:t>s basis and is recognised when:</w:t>
      </w:r>
    </w:p>
    <w:p w14:paraId="085BBAB4" w14:textId="77777777" w:rsidR="009E727E" w:rsidRDefault="009E727E" w:rsidP="001F44A2">
      <w:pPr>
        <w:keepLines/>
        <w:widowControl w:val="0"/>
        <w:spacing w:after="240" w:line="240" w:lineRule="auto"/>
        <w:jc w:val="both"/>
        <w:rPr>
          <w:rFonts w:ascii="Arial" w:hAnsi="Arial" w:cs="Arial"/>
          <w:b/>
          <w:i/>
          <w:sz w:val="24"/>
          <w:szCs w:val="24"/>
        </w:rPr>
      </w:pPr>
    </w:p>
    <w:p w14:paraId="42163BA5" w14:textId="77777777" w:rsidR="001F44A2" w:rsidRPr="004B3A7A" w:rsidRDefault="001F44A2" w:rsidP="001F44A2">
      <w:pPr>
        <w:keepLines/>
        <w:widowControl w:val="0"/>
        <w:spacing w:after="240" w:line="240" w:lineRule="auto"/>
        <w:jc w:val="both"/>
        <w:rPr>
          <w:rFonts w:ascii="Arial" w:hAnsi="Arial" w:cs="Arial"/>
          <w:i/>
          <w:sz w:val="24"/>
          <w:szCs w:val="24"/>
        </w:rPr>
      </w:pPr>
      <w:r w:rsidRPr="004B3A7A">
        <w:rPr>
          <w:rFonts w:ascii="Arial" w:hAnsi="Arial" w:cs="Arial"/>
          <w:b/>
          <w:i/>
          <w:sz w:val="24"/>
          <w:szCs w:val="24"/>
        </w:rPr>
        <w:lastRenderedPageBreak/>
        <w:t>Principal accounting policies (continued)</w:t>
      </w:r>
    </w:p>
    <w:p w14:paraId="69FB01E1" w14:textId="77777777" w:rsidR="00E6171F" w:rsidRPr="00336B16" w:rsidRDefault="00496BBD" w:rsidP="005E47C9">
      <w:pPr>
        <w:pStyle w:val="ListParagraph"/>
        <w:keepLines/>
        <w:widowControl w:val="0"/>
        <w:numPr>
          <w:ilvl w:val="0"/>
          <w:numId w:val="5"/>
        </w:numPr>
        <w:autoSpaceDE w:val="0"/>
        <w:autoSpaceDN w:val="0"/>
        <w:adjustRightInd w:val="0"/>
        <w:spacing w:after="0" w:line="240" w:lineRule="auto"/>
        <w:ind w:left="426" w:hanging="284"/>
        <w:contextualSpacing w:val="0"/>
        <w:jc w:val="both"/>
        <w:rPr>
          <w:rFonts w:ascii="Arial" w:hAnsi="Arial" w:cs="Arial"/>
          <w:sz w:val="24"/>
          <w:szCs w:val="24"/>
        </w:rPr>
      </w:pPr>
      <w:r>
        <w:rPr>
          <w:rFonts w:ascii="Arial" w:hAnsi="Arial" w:cs="Arial"/>
          <w:sz w:val="24"/>
          <w:szCs w:val="24"/>
        </w:rPr>
        <w:t>t</w:t>
      </w:r>
      <w:r w:rsidR="00784069" w:rsidRPr="00336B16">
        <w:rPr>
          <w:rFonts w:ascii="Arial" w:hAnsi="Arial" w:cs="Arial"/>
          <w:sz w:val="24"/>
          <w:szCs w:val="24"/>
        </w:rPr>
        <w:t>here is a legal or constructive obligation to pay at the reporting date as a result of a past event</w:t>
      </w:r>
      <w:r w:rsidR="00E6171F" w:rsidRPr="00336B16">
        <w:rPr>
          <w:rFonts w:ascii="Arial" w:hAnsi="Arial" w:cs="Arial"/>
          <w:sz w:val="24"/>
          <w:szCs w:val="24"/>
        </w:rPr>
        <w:t>;</w:t>
      </w:r>
    </w:p>
    <w:p w14:paraId="5D8405E1" w14:textId="77777777" w:rsidR="00E6171F" w:rsidRPr="00336B16" w:rsidRDefault="00E814DA" w:rsidP="005E47C9">
      <w:pPr>
        <w:pStyle w:val="ListParagraph"/>
        <w:keepLines/>
        <w:widowControl w:val="0"/>
        <w:numPr>
          <w:ilvl w:val="0"/>
          <w:numId w:val="5"/>
        </w:numPr>
        <w:autoSpaceDE w:val="0"/>
        <w:autoSpaceDN w:val="0"/>
        <w:adjustRightInd w:val="0"/>
        <w:spacing w:after="0" w:line="240" w:lineRule="auto"/>
        <w:ind w:left="426" w:hanging="284"/>
        <w:contextualSpacing w:val="0"/>
        <w:jc w:val="both"/>
        <w:rPr>
          <w:rFonts w:ascii="Arial" w:hAnsi="Arial" w:cs="Arial"/>
          <w:sz w:val="24"/>
          <w:szCs w:val="24"/>
        </w:rPr>
      </w:pPr>
      <w:r>
        <w:rPr>
          <w:rFonts w:ascii="Arial" w:hAnsi="Arial" w:cs="Arial"/>
          <w:sz w:val="24"/>
          <w:szCs w:val="24"/>
        </w:rPr>
        <w:t>i</w:t>
      </w:r>
      <w:r w:rsidR="00784069" w:rsidRPr="00336B16">
        <w:rPr>
          <w:rFonts w:ascii="Arial" w:hAnsi="Arial" w:cs="Arial"/>
          <w:sz w:val="24"/>
          <w:szCs w:val="24"/>
        </w:rPr>
        <w:t>t is more likely than not that a transfer of economic benefit, often cash,</w:t>
      </w:r>
      <w:r w:rsidR="00E6171F" w:rsidRPr="00336B16">
        <w:rPr>
          <w:rFonts w:ascii="Arial" w:hAnsi="Arial" w:cs="Arial"/>
          <w:sz w:val="24"/>
          <w:szCs w:val="24"/>
        </w:rPr>
        <w:t xml:space="preserve"> will be required in settlement; and</w:t>
      </w:r>
    </w:p>
    <w:p w14:paraId="2CE26D38" w14:textId="77777777" w:rsidR="00E6171F" w:rsidRPr="00336B16" w:rsidRDefault="00E814DA" w:rsidP="005E47C9">
      <w:pPr>
        <w:pStyle w:val="ListParagraph"/>
        <w:keepLines/>
        <w:widowControl w:val="0"/>
        <w:numPr>
          <w:ilvl w:val="0"/>
          <w:numId w:val="5"/>
        </w:numPr>
        <w:autoSpaceDE w:val="0"/>
        <w:autoSpaceDN w:val="0"/>
        <w:adjustRightInd w:val="0"/>
        <w:spacing w:after="240" w:line="240" w:lineRule="auto"/>
        <w:ind w:left="426" w:hanging="284"/>
        <w:contextualSpacing w:val="0"/>
        <w:jc w:val="both"/>
        <w:rPr>
          <w:rFonts w:ascii="Arial" w:hAnsi="Arial" w:cs="Arial"/>
          <w:sz w:val="24"/>
          <w:szCs w:val="24"/>
        </w:rPr>
      </w:pPr>
      <w:proofErr w:type="gramStart"/>
      <w:r>
        <w:rPr>
          <w:rFonts w:ascii="Arial" w:hAnsi="Arial" w:cs="Arial"/>
          <w:sz w:val="24"/>
          <w:szCs w:val="24"/>
        </w:rPr>
        <w:t>w</w:t>
      </w:r>
      <w:r w:rsidR="00784069" w:rsidRPr="00336B16">
        <w:rPr>
          <w:rFonts w:ascii="Arial" w:hAnsi="Arial" w:cs="Arial"/>
          <w:sz w:val="24"/>
          <w:szCs w:val="24"/>
        </w:rPr>
        <w:t>hen</w:t>
      </w:r>
      <w:proofErr w:type="gramEnd"/>
      <w:r w:rsidR="00784069" w:rsidRPr="00336B16">
        <w:rPr>
          <w:rFonts w:ascii="Arial" w:hAnsi="Arial" w:cs="Arial"/>
          <w:sz w:val="24"/>
          <w:szCs w:val="24"/>
        </w:rPr>
        <w:t xml:space="preserve"> the amount of the obligation can be measured or estimated reliably.</w:t>
      </w:r>
    </w:p>
    <w:p w14:paraId="0584C714" w14:textId="77777777" w:rsidR="00E6171F" w:rsidRPr="00336B16" w:rsidRDefault="00784069" w:rsidP="005E47C9">
      <w:pPr>
        <w:keepLines/>
        <w:widowControl w:val="0"/>
        <w:spacing w:after="240" w:line="240" w:lineRule="auto"/>
        <w:jc w:val="both"/>
        <w:rPr>
          <w:rFonts w:ascii="Arial" w:hAnsi="Arial" w:cs="Arial"/>
          <w:sz w:val="24"/>
          <w:szCs w:val="24"/>
        </w:rPr>
      </w:pPr>
      <w:r w:rsidRPr="00336B16">
        <w:rPr>
          <w:rFonts w:ascii="Arial" w:hAnsi="Arial" w:cs="Arial"/>
          <w:sz w:val="24"/>
          <w:szCs w:val="24"/>
        </w:rPr>
        <w:t>Costs have been attributed to one of the functional categories of resources expended in the Statement of Financial Activities:</w:t>
      </w:r>
    </w:p>
    <w:p w14:paraId="51D5F38D" w14:textId="77777777" w:rsidR="00E6171F" w:rsidRPr="00336B16" w:rsidRDefault="00E814DA" w:rsidP="005E47C9">
      <w:pPr>
        <w:pStyle w:val="ListParagraph"/>
        <w:keepLines/>
        <w:widowControl w:val="0"/>
        <w:numPr>
          <w:ilvl w:val="1"/>
          <w:numId w:val="8"/>
        </w:numPr>
        <w:spacing w:after="240" w:line="240" w:lineRule="auto"/>
        <w:ind w:left="567" w:hanging="425"/>
        <w:jc w:val="both"/>
        <w:rPr>
          <w:rFonts w:ascii="Arial" w:hAnsi="Arial" w:cs="Arial"/>
          <w:sz w:val="24"/>
          <w:szCs w:val="24"/>
        </w:rPr>
      </w:pPr>
      <w:r>
        <w:rPr>
          <w:rFonts w:ascii="Arial" w:hAnsi="Arial" w:cs="Arial"/>
          <w:sz w:val="24"/>
          <w:szCs w:val="24"/>
        </w:rPr>
        <w:t>c</w:t>
      </w:r>
      <w:r w:rsidR="00784069" w:rsidRPr="00336B16">
        <w:rPr>
          <w:rFonts w:ascii="Arial" w:hAnsi="Arial" w:cs="Arial"/>
          <w:sz w:val="24"/>
          <w:szCs w:val="24"/>
        </w:rPr>
        <w:t xml:space="preserve">osts of raising funds are costs incurred in seeking voluntary contributions; operating charity shops </w:t>
      </w:r>
      <w:r w:rsidR="00E6171F" w:rsidRPr="00336B16">
        <w:rPr>
          <w:rFonts w:ascii="Arial" w:hAnsi="Arial" w:cs="Arial"/>
          <w:sz w:val="24"/>
          <w:szCs w:val="24"/>
        </w:rPr>
        <w:t>and investment management costs;</w:t>
      </w:r>
    </w:p>
    <w:p w14:paraId="17ED4549" w14:textId="77777777" w:rsidR="00E6171F" w:rsidRPr="00336B16" w:rsidRDefault="00E814DA" w:rsidP="005E47C9">
      <w:pPr>
        <w:pStyle w:val="ListParagraph"/>
        <w:keepLines/>
        <w:widowControl w:val="0"/>
        <w:numPr>
          <w:ilvl w:val="1"/>
          <w:numId w:val="8"/>
        </w:numPr>
        <w:spacing w:after="240" w:line="240" w:lineRule="auto"/>
        <w:ind w:left="567" w:hanging="425"/>
        <w:jc w:val="both"/>
        <w:rPr>
          <w:rFonts w:ascii="Arial" w:hAnsi="Arial" w:cs="Arial"/>
          <w:sz w:val="24"/>
          <w:szCs w:val="24"/>
        </w:rPr>
      </w:pPr>
      <w:r>
        <w:rPr>
          <w:rFonts w:ascii="Arial" w:hAnsi="Arial" w:cs="Arial"/>
          <w:sz w:val="24"/>
          <w:szCs w:val="24"/>
        </w:rPr>
        <w:t>c</w:t>
      </w:r>
      <w:r w:rsidR="00784069" w:rsidRPr="00336B16">
        <w:rPr>
          <w:rFonts w:ascii="Arial" w:hAnsi="Arial" w:cs="Arial"/>
          <w:sz w:val="24"/>
          <w:szCs w:val="24"/>
        </w:rPr>
        <w:t>haritable activity expenditure relates to relates to the costs of running and supporting the Trust’s various charitable activities for furthering its charitable aims for the benefit of its beneficiaries</w:t>
      </w:r>
      <w:r w:rsidR="00E6171F" w:rsidRPr="00336B16">
        <w:rPr>
          <w:rFonts w:ascii="Arial" w:hAnsi="Arial" w:cs="Arial"/>
          <w:sz w:val="24"/>
          <w:szCs w:val="24"/>
        </w:rPr>
        <w:t>; and</w:t>
      </w:r>
    </w:p>
    <w:p w14:paraId="0487CBED" w14:textId="77777777" w:rsidR="00784069" w:rsidRPr="00336B16" w:rsidRDefault="00E814DA" w:rsidP="005E47C9">
      <w:pPr>
        <w:pStyle w:val="ListParagraph"/>
        <w:keepLines/>
        <w:widowControl w:val="0"/>
        <w:numPr>
          <w:ilvl w:val="1"/>
          <w:numId w:val="8"/>
        </w:numPr>
        <w:spacing w:after="240" w:line="240" w:lineRule="auto"/>
        <w:ind w:left="567" w:hanging="425"/>
        <w:jc w:val="both"/>
        <w:rPr>
          <w:rFonts w:ascii="Arial" w:hAnsi="Arial" w:cs="Arial"/>
          <w:sz w:val="24"/>
          <w:szCs w:val="24"/>
        </w:rPr>
      </w:pPr>
      <w:r>
        <w:rPr>
          <w:rFonts w:ascii="Arial" w:hAnsi="Arial" w:cs="Arial"/>
          <w:sz w:val="24"/>
          <w:szCs w:val="24"/>
        </w:rPr>
        <w:t>‘</w:t>
      </w:r>
      <w:proofErr w:type="gramStart"/>
      <w:r>
        <w:rPr>
          <w:rFonts w:ascii="Arial" w:hAnsi="Arial" w:cs="Arial"/>
          <w:sz w:val="24"/>
          <w:szCs w:val="24"/>
        </w:rPr>
        <w:t>o</w:t>
      </w:r>
      <w:r w:rsidR="00784069" w:rsidRPr="00336B16">
        <w:rPr>
          <w:rFonts w:ascii="Arial" w:hAnsi="Arial" w:cs="Arial"/>
          <w:sz w:val="24"/>
          <w:szCs w:val="24"/>
        </w:rPr>
        <w:t>ther</w:t>
      </w:r>
      <w:proofErr w:type="gramEnd"/>
      <w:r w:rsidR="00784069" w:rsidRPr="00336B16">
        <w:rPr>
          <w:rFonts w:ascii="Arial" w:hAnsi="Arial" w:cs="Arial"/>
          <w:sz w:val="24"/>
          <w:szCs w:val="24"/>
        </w:rPr>
        <w:t>’ relates to costs incurred that are neither related to raising funds and nor part of the Trust’s expenditure on its charitable activities</w:t>
      </w:r>
      <w:r w:rsidR="00720195" w:rsidRPr="00336B16">
        <w:rPr>
          <w:rFonts w:ascii="Arial" w:hAnsi="Arial" w:cs="Arial"/>
          <w:sz w:val="24"/>
          <w:szCs w:val="24"/>
        </w:rPr>
        <w:t>.</w:t>
      </w:r>
    </w:p>
    <w:p w14:paraId="68A704BC" w14:textId="77777777" w:rsidR="008B1196" w:rsidRDefault="00784069" w:rsidP="005E47C9">
      <w:pPr>
        <w:keepLines/>
        <w:widowControl w:val="0"/>
        <w:spacing w:after="240" w:line="240" w:lineRule="auto"/>
        <w:jc w:val="both"/>
        <w:rPr>
          <w:rFonts w:ascii="Arial" w:hAnsi="Arial" w:cs="Arial"/>
          <w:b/>
          <w:sz w:val="24"/>
          <w:szCs w:val="24"/>
        </w:rPr>
      </w:pPr>
      <w:r w:rsidRPr="00336B16">
        <w:rPr>
          <w:rFonts w:ascii="Arial" w:hAnsi="Arial" w:cs="Arial"/>
          <w:b/>
          <w:sz w:val="24"/>
          <w:szCs w:val="24"/>
        </w:rPr>
        <w:t xml:space="preserve">Apportionment of costs </w:t>
      </w:r>
    </w:p>
    <w:p w14:paraId="6A6D7EA1" w14:textId="77777777" w:rsidR="00784069" w:rsidRPr="00336B16" w:rsidRDefault="00784069" w:rsidP="005E47C9">
      <w:pPr>
        <w:keepLines/>
        <w:widowControl w:val="0"/>
        <w:spacing w:after="240" w:line="240" w:lineRule="auto"/>
        <w:jc w:val="both"/>
        <w:rPr>
          <w:rFonts w:ascii="Arial" w:hAnsi="Arial" w:cs="Arial"/>
          <w:sz w:val="24"/>
          <w:szCs w:val="24"/>
        </w:rPr>
      </w:pPr>
      <w:r w:rsidRPr="00336B16">
        <w:rPr>
          <w:rFonts w:ascii="Arial" w:hAnsi="Arial" w:cs="Arial"/>
          <w:sz w:val="24"/>
          <w:szCs w:val="24"/>
        </w:rPr>
        <w:t>Costs have been allocated directly to a business heading wherever possible using relevant cost drivers for each support cost department. Support costs that have not been directly allocated to a business heading in this way have been attributed to a business heading based on the results of an activity based costing exercise undertaken for the organisation as a whole.</w:t>
      </w:r>
    </w:p>
    <w:p w14:paraId="059FDAA2" w14:textId="77777777" w:rsidR="001F44A2" w:rsidRDefault="001F44A2" w:rsidP="005E47C9">
      <w:pPr>
        <w:keepLines/>
        <w:widowControl w:val="0"/>
        <w:spacing w:after="240" w:line="240" w:lineRule="auto"/>
        <w:jc w:val="both"/>
        <w:rPr>
          <w:rFonts w:ascii="Arial" w:hAnsi="Arial" w:cs="Arial"/>
          <w:b/>
          <w:sz w:val="24"/>
          <w:szCs w:val="24"/>
        </w:rPr>
      </w:pPr>
    </w:p>
    <w:p w14:paraId="60931ACB" w14:textId="77777777" w:rsidR="00F41088" w:rsidRPr="00336B16" w:rsidRDefault="00784069" w:rsidP="005E47C9">
      <w:pPr>
        <w:keepLines/>
        <w:widowControl w:val="0"/>
        <w:spacing w:after="240" w:line="240" w:lineRule="auto"/>
        <w:jc w:val="both"/>
        <w:rPr>
          <w:rFonts w:ascii="Arial" w:hAnsi="Arial" w:cs="Arial"/>
          <w:b/>
          <w:sz w:val="24"/>
          <w:szCs w:val="24"/>
        </w:rPr>
      </w:pPr>
      <w:r w:rsidRPr="00336B16">
        <w:rPr>
          <w:rFonts w:ascii="Arial" w:hAnsi="Arial" w:cs="Arial"/>
          <w:b/>
          <w:sz w:val="24"/>
          <w:szCs w:val="24"/>
        </w:rPr>
        <w:t xml:space="preserve">Operating leases </w:t>
      </w:r>
    </w:p>
    <w:p w14:paraId="0677C274" w14:textId="77777777" w:rsidR="00784069" w:rsidRPr="00336B16" w:rsidRDefault="00784069" w:rsidP="005E47C9">
      <w:pPr>
        <w:keepLines/>
        <w:widowControl w:val="0"/>
        <w:spacing w:after="240" w:line="240" w:lineRule="auto"/>
        <w:jc w:val="both"/>
        <w:rPr>
          <w:rFonts w:ascii="Arial" w:hAnsi="Arial" w:cs="Arial"/>
          <w:sz w:val="24"/>
          <w:szCs w:val="24"/>
        </w:rPr>
      </w:pPr>
      <w:r w:rsidRPr="00336B16">
        <w:rPr>
          <w:rFonts w:ascii="Arial" w:hAnsi="Arial" w:cs="Arial"/>
          <w:sz w:val="24"/>
          <w:szCs w:val="24"/>
        </w:rPr>
        <w:t>Costs in respect of operating leases are charged on a straight line basis over the lease term.</w:t>
      </w:r>
    </w:p>
    <w:p w14:paraId="3B6B946A" w14:textId="77777777" w:rsidR="00F41088" w:rsidRPr="00336B16" w:rsidRDefault="00784069" w:rsidP="005E47C9">
      <w:pPr>
        <w:keepLines/>
        <w:widowControl w:val="0"/>
        <w:spacing w:after="240" w:line="240" w:lineRule="auto"/>
        <w:jc w:val="both"/>
        <w:rPr>
          <w:rFonts w:ascii="Arial" w:hAnsi="Arial" w:cs="Arial"/>
          <w:b/>
          <w:sz w:val="24"/>
          <w:szCs w:val="24"/>
        </w:rPr>
      </w:pPr>
      <w:r w:rsidRPr="00336B16">
        <w:rPr>
          <w:rFonts w:ascii="Arial" w:hAnsi="Arial" w:cs="Arial"/>
          <w:b/>
          <w:sz w:val="24"/>
          <w:szCs w:val="24"/>
        </w:rPr>
        <w:t xml:space="preserve">Irrecoverable VAT </w:t>
      </w:r>
    </w:p>
    <w:p w14:paraId="292969CC" w14:textId="77777777" w:rsidR="00784069" w:rsidRPr="00336B16" w:rsidRDefault="00784069" w:rsidP="005E47C9">
      <w:pPr>
        <w:keepLines/>
        <w:widowControl w:val="0"/>
        <w:spacing w:after="240" w:line="240" w:lineRule="auto"/>
        <w:jc w:val="both"/>
        <w:rPr>
          <w:rFonts w:ascii="Arial" w:hAnsi="Arial" w:cs="Arial"/>
          <w:sz w:val="24"/>
          <w:szCs w:val="24"/>
        </w:rPr>
      </w:pPr>
      <w:r w:rsidRPr="00336B16">
        <w:rPr>
          <w:rFonts w:ascii="Arial" w:hAnsi="Arial" w:cs="Arial"/>
          <w:sz w:val="24"/>
          <w:szCs w:val="24"/>
        </w:rPr>
        <w:t>Any irrecoverable VAT is charged to the Statement of Financial Activities or capitalised as part of the cost of the related asset, where appropriate.</w:t>
      </w:r>
    </w:p>
    <w:p w14:paraId="34CC6EEF" w14:textId="77777777" w:rsidR="00F41088" w:rsidRPr="00336B16" w:rsidRDefault="00784069" w:rsidP="005E47C9">
      <w:pPr>
        <w:keepLines/>
        <w:widowControl w:val="0"/>
        <w:spacing w:after="240" w:line="240" w:lineRule="auto"/>
        <w:jc w:val="both"/>
        <w:rPr>
          <w:rFonts w:ascii="Arial" w:hAnsi="Arial" w:cs="Arial"/>
          <w:b/>
          <w:sz w:val="24"/>
          <w:szCs w:val="24"/>
        </w:rPr>
      </w:pPr>
      <w:r w:rsidRPr="00336B16">
        <w:rPr>
          <w:rFonts w:ascii="Arial" w:hAnsi="Arial" w:cs="Arial"/>
          <w:b/>
          <w:sz w:val="24"/>
          <w:szCs w:val="24"/>
        </w:rPr>
        <w:t xml:space="preserve">Tangible fixed assets and depreciation </w:t>
      </w:r>
    </w:p>
    <w:p w14:paraId="21C886AA" w14:textId="77777777" w:rsidR="00DE1A7D" w:rsidRPr="00336B16" w:rsidRDefault="00784069" w:rsidP="005E47C9">
      <w:pPr>
        <w:keepLines/>
        <w:widowControl w:val="0"/>
        <w:spacing w:after="240" w:line="240" w:lineRule="auto"/>
        <w:jc w:val="both"/>
        <w:rPr>
          <w:rFonts w:ascii="Arial" w:hAnsi="Arial" w:cs="Arial"/>
          <w:sz w:val="24"/>
          <w:szCs w:val="24"/>
        </w:rPr>
      </w:pPr>
      <w:r w:rsidRPr="00336B16">
        <w:rPr>
          <w:rFonts w:ascii="Arial" w:hAnsi="Arial" w:cs="Arial"/>
          <w:sz w:val="24"/>
          <w:szCs w:val="24"/>
        </w:rPr>
        <w:t xml:space="preserve">Tangible fixed assets, are stated at cost less depreciation. </w:t>
      </w:r>
    </w:p>
    <w:p w14:paraId="24E2F84F" w14:textId="77777777" w:rsidR="00DE1A7D" w:rsidRPr="00336B16" w:rsidRDefault="00784069" w:rsidP="005E47C9">
      <w:pPr>
        <w:keepLines/>
        <w:widowControl w:val="0"/>
        <w:spacing w:after="240" w:line="240" w:lineRule="auto"/>
        <w:jc w:val="both"/>
        <w:rPr>
          <w:rFonts w:ascii="Arial" w:hAnsi="Arial" w:cs="Arial"/>
          <w:sz w:val="24"/>
          <w:szCs w:val="24"/>
        </w:rPr>
      </w:pPr>
      <w:r w:rsidRPr="00336B16">
        <w:rPr>
          <w:rFonts w:ascii="Arial" w:hAnsi="Arial" w:cs="Arial"/>
          <w:sz w:val="24"/>
          <w:szCs w:val="24"/>
        </w:rPr>
        <w:t xml:space="preserve">Land and buildings transferred as part of the Academies programme to Shaw Education Trust are reflected within freehold or long leasehold fixed assets at the point of transfer. They are recorded at valuation at the point of transfer and </w:t>
      </w:r>
      <w:r w:rsidR="005D2450" w:rsidRPr="00336B16">
        <w:rPr>
          <w:rFonts w:ascii="Arial" w:hAnsi="Arial" w:cs="Arial"/>
          <w:sz w:val="24"/>
          <w:szCs w:val="24"/>
        </w:rPr>
        <w:t>are depreciated from that date.</w:t>
      </w:r>
    </w:p>
    <w:p w14:paraId="325CAC4B" w14:textId="77777777" w:rsidR="00DE1A7D" w:rsidRPr="00336B16" w:rsidRDefault="00784069" w:rsidP="005E47C9">
      <w:pPr>
        <w:keepLines/>
        <w:widowControl w:val="0"/>
        <w:spacing w:after="240" w:line="240" w:lineRule="auto"/>
        <w:jc w:val="both"/>
        <w:rPr>
          <w:rFonts w:ascii="Arial" w:hAnsi="Arial" w:cs="Arial"/>
          <w:sz w:val="24"/>
          <w:szCs w:val="24"/>
        </w:rPr>
      </w:pPr>
      <w:r w:rsidRPr="00336B16">
        <w:rPr>
          <w:rFonts w:ascii="Arial" w:hAnsi="Arial" w:cs="Arial"/>
          <w:sz w:val="24"/>
          <w:szCs w:val="24"/>
        </w:rPr>
        <w:t>Where freehold land and buildings are purchased for use by specific services, the difference between the cost and estimated residual value is depreciated on a straight</w:t>
      </w:r>
      <w:r w:rsidR="00F41088" w:rsidRPr="00336B16">
        <w:rPr>
          <w:rFonts w:ascii="Arial" w:hAnsi="Arial" w:cs="Arial"/>
          <w:sz w:val="24"/>
          <w:szCs w:val="24"/>
        </w:rPr>
        <w:t xml:space="preserve"> </w:t>
      </w:r>
      <w:r w:rsidRPr="00336B16">
        <w:rPr>
          <w:rFonts w:ascii="Arial" w:hAnsi="Arial" w:cs="Arial"/>
          <w:sz w:val="24"/>
          <w:szCs w:val="24"/>
        </w:rPr>
        <w:t>line basis over the service contract’s life.</w:t>
      </w:r>
    </w:p>
    <w:p w14:paraId="284A7890" w14:textId="77777777" w:rsidR="001105A4" w:rsidRPr="001105A4" w:rsidRDefault="00784069" w:rsidP="005E47C9">
      <w:pPr>
        <w:keepLines/>
        <w:widowControl w:val="0"/>
        <w:spacing w:after="240" w:line="240" w:lineRule="auto"/>
        <w:jc w:val="both"/>
        <w:rPr>
          <w:rFonts w:ascii="Arial" w:hAnsi="Arial" w:cs="Arial"/>
          <w:b/>
          <w:i/>
          <w:sz w:val="24"/>
          <w:szCs w:val="24"/>
        </w:rPr>
      </w:pPr>
      <w:r w:rsidRPr="00336B16">
        <w:rPr>
          <w:rFonts w:ascii="Arial" w:hAnsi="Arial" w:cs="Arial"/>
          <w:sz w:val="24"/>
          <w:szCs w:val="24"/>
        </w:rPr>
        <w:t xml:space="preserve">Revalued long leasehold properties are amortised over the remaining life of the lease. Short leasehold improvements and charity shop fixed assets are depreciated over a period up to the first break clause on individual leases, or over five years if sooner. Assets under construction are not depreciated until they are </w:t>
      </w:r>
      <w:r w:rsidR="005D2450" w:rsidRPr="00336B16">
        <w:rPr>
          <w:rFonts w:ascii="Arial" w:hAnsi="Arial" w:cs="Arial"/>
          <w:sz w:val="24"/>
          <w:szCs w:val="24"/>
        </w:rPr>
        <w:t>completed and brought into use.</w:t>
      </w:r>
    </w:p>
    <w:p w14:paraId="4BFFF272" w14:textId="77777777" w:rsidR="00492E9F" w:rsidRDefault="00492E9F" w:rsidP="005E47C9">
      <w:pPr>
        <w:keepLines/>
        <w:widowControl w:val="0"/>
        <w:spacing w:after="240" w:line="240" w:lineRule="auto"/>
        <w:jc w:val="both"/>
        <w:rPr>
          <w:rFonts w:ascii="Arial" w:hAnsi="Arial" w:cs="Arial"/>
          <w:b/>
          <w:i/>
          <w:sz w:val="24"/>
          <w:szCs w:val="24"/>
        </w:rPr>
      </w:pPr>
    </w:p>
    <w:p w14:paraId="3504D9DA" w14:textId="77777777" w:rsidR="00492E9F" w:rsidRDefault="00492E9F" w:rsidP="005E47C9">
      <w:pPr>
        <w:keepLines/>
        <w:widowControl w:val="0"/>
        <w:spacing w:after="240" w:line="240" w:lineRule="auto"/>
        <w:jc w:val="both"/>
        <w:rPr>
          <w:rFonts w:ascii="Arial" w:hAnsi="Arial" w:cs="Arial"/>
          <w:b/>
          <w:i/>
          <w:sz w:val="24"/>
          <w:szCs w:val="24"/>
        </w:rPr>
      </w:pPr>
    </w:p>
    <w:p w14:paraId="16266341" w14:textId="77777777" w:rsidR="00492E9F" w:rsidRDefault="00492E9F" w:rsidP="005E47C9">
      <w:pPr>
        <w:keepLines/>
        <w:widowControl w:val="0"/>
        <w:spacing w:after="240" w:line="240" w:lineRule="auto"/>
        <w:jc w:val="both"/>
        <w:rPr>
          <w:rFonts w:ascii="Arial" w:hAnsi="Arial" w:cs="Arial"/>
          <w:b/>
          <w:i/>
          <w:sz w:val="24"/>
          <w:szCs w:val="24"/>
        </w:rPr>
      </w:pPr>
    </w:p>
    <w:p w14:paraId="59BA6D08" w14:textId="77777777" w:rsidR="00CE35F3" w:rsidRPr="004B3A7A" w:rsidRDefault="00CE35F3" w:rsidP="005E47C9">
      <w:pPr>
        <w:keepLines/>
        <w:widowControl w:val="0"/>
        <w:spacing w:after="240" w:line="240" w:lineRule="auto"/>
        <w:jc w:val="both"/>
        <w:rPr>
          <w:rFonts w:ascii="Arial" w:hAnsi="Arial" w:cs="Arial"/>
          <w:i/>
          <w:sz w:val="24"/>
          <w:szCs w:val="24"/>
        </w:rPr>
      </w:pPr>
      <w:r w:rsidRPr="004B3A7A">
        <w:rPr>
          <w:rFonts w:ascii="Arial" w:hAnsi="Arial" w:cs="Arial"/>
          <w:b/>
          <w:i/>
          <w:sz w:val="24"/>
          <w:szCs w:val="24"/>
        </w:rPr>
        <w:lastRenderedPageBreak/>
        <w:t>Principal accounting policies (continued)</w:t>
      </w:r>
    </w:p>
    <w:p w14:paraId="5FF5C37D" w14:textId="77777777" w:rsidR="00DE1A7D" w:rsidRPr="00336B16" w:rsidRDefault="00784069" w:rsidP="005E47C9">
      <w:pPr>
        <w:keepLines/>
        <w:widowControl w:val="0"/>
        <w:spacing w:after="240" w:line="240" w:lineRule="auto"/>
        <w:jc w:val="both"/>
        <w:rPr>
          <w:rFonts w:ascii="Arial" w:hAnsi="Arial" w:cs="Arial"/>
          <w:sz w:val="24"/>
          <w:szCs w:val="24"/>
        </w:rPr>
      </w:pPr>
      <w:r w:rsidRPr="00336B16">
        <w:rPr>
          <w:rFonts w:ascii="Arial" w:hAnsi="Arial" w:cs="Arial"/>
          <w:sz w:val="24"/>
          <w:szCs w:val="24"/>
        </w:rPr>
        <w:t>Depreciation is provided on all tangible fixed assets at rates calculated to write off the cost or valuation, less estimated residual values, on a straight-line basis over their expected useful economic life as follows:</w:t>
      </w:r>
    </w:p>
    <w:p w14:paraId="72598EB7" w14:textId="77777777" w:rsidR="00DE1A7D" w:rsidRPr="00336B16" w:rsidRDefault="00E814DA" w:rsidP="005E47C9">
      <w:pPr>
        <w:pStyle w:val="ListParagraph"/>
        <w:keepLines/>
        <w:widowControl w:val="0"/>
        <w:numPr>
          <w:ilvl w:val="0"/>
          <w:numId w:val="5"/>
        </w:numPr>
        <w:autoSpaceDE w:val="0"/>
        <w:autoSpaceDN w:val="0"/>
        <w:adjustRightInd w:val="0"/>
        <w:spacing w:after="0" w:line="240" w:lineRule="auto"/>
        <w:ind w:left="426" w:hanging="284"/>
        <w:contextualSpacing w:val="0"/>
        <w:jc w:val="both"/>
        <w:rPr>
          <w:rFonts w:ascii="Arial" w:hAnsi="Arial" w:cs="Arial"/>
          <w:sz w:val="24"/>
          <w:szCs w:val="24"/>
        </w:rPr>
      </w:pPr>
      <w:r>
        <w:rPr>
          <w:rFonts w:ascii="Arial" w:hAnsi="Arial" w:cs="Arial"/>
          <w:sz w:val="24"/>
          <w:szCs w:val="24"/>
        </w:rPr>
        <w:t>f</w:t>
      </w:r>
      <w:r w:rsidR="00784069" w:rsidRPr="00336B16">
        <w:rPr>
          <w:rFonts w:ascii="Arial" w:hAnsi="Arial" w:cs="Arial"/>
          <w:sz w:val="24"/>
          <w:szCs w:val="24"/>
        </w:rPr>
        <w:t>reehold buildings 2% (or over the lifetime of the contract if m</w:t>
      </w:r>
      <w:r w:rsidR="00DE1A7D" w:rsidRPr="00336B16">
        <w:rPr>
          <w:rFonts w:ascii="Arial" w:hAnsi="Arial" w:cs="Arial"/>
          <w:sz w:val="24"/>
          <w:szCs w:val="24"/>
        </w:rPr>
        <w:t>ore appropriate);</w:t>
      </w:r>
    </w:p>
    <w:p w14:paraId="70C4E96E" w14:textId="77777777" w:rsidR="00DE1A7D" w:rsidRPr="00336B16" w:rsidRDefault="00E814DA" w:rsidP="005E47C9">
      <w:pPr>
        <w:pStyle w:val="ListParagraph"/>
        <w:keepLines/>
        <w:widowControl w:val="0"/>
        <w:numPr>
          <w:ilvl w:val="0"/>
          <w:numId w:val="5"/>
        </w:numPr>
        <w:autoSpaceDE w:val="0"/>
        <w:autoSpaceDN w:val="0"/>
        <w:adjustRightInd w:val="0"/>
        <w:spacing w:after="0" w:line="240" w:lineRule="auto"/>
        <w:ind w:left="426" w:hanging="284"/>
        <w:contextualSpacing w:val="0"/>
        <w:jc w:val="both"/>
        <w:rPr>
          <w:rFonts w:ascii="Arial" w:hAnsi="Arial" w:cs="Arial"/>
          <w:sz w:val="24"/>
          <w:szCs w:val="24"/>
        </w:rPr>
      </w:pPr>
      <w:r>
        <w:rPr>
          <w:rFonts w:ascii="Arial" w:hAnsi="Arial" w:cs="Arial"/>
          <w:sz w:val="24"/>
          <w:szCs w:val="24"/>
        </w:rPr>
        <w:t>l</w:t>
      </w:r>
      <w:r w:rsidR="00784069" w:rsidRPr="00336B16">
        <w:rPr>
          <w:rFonts w:ascii="Arial" w:hAnsi="Arial" w:cs="Arial"/>
          <w:sz w:val="24"/>
          <w:szCs w:val="24"/>
        </w:rPr>
        <w:t>ong leasehold buildings 2% (or length of lease if shorter than 50 years)</w:t>
      </w:r>
      <w:r w:rsidR="004F6798" w:rsidRPr="00336B16">
        <w:rPr>
          <w:rFonts w:ascii="Arial" w:hAnsi="Arial" w:cs="Arial"/>
          <w:sz w:val="24"/>
          <w:szCs w:val="24"/>
        </w:rPr>
        <w:t>;</w:t>
      </w:r>
    </w:p>
    <w:p w14:paraId="4D3C10FA" w14:textId="77777777" w:rsidR="004F6798" w:rsidRPr="00336B16" w:rsidRDefault="00E814DA" w:rsidP="005E47C9">
      <w:pPr>
        <w:pStyle w:val="ListParagraph"/>
        <w:keepLines/>
        <w:widowControl w:val="0"/>
        <w:numPr>
          <w:ilvl w:val="0"/>
          <w:numId w:val="5"/>
        </w:numPr>
        <w:autoSpaceDE w:val="0"/>
        <w:autoSpaceDN w:val="0"/>
        <w:adjustRightInd w:val="0"/>
        <w:spacing w:after="0" w:line="240" w:lineRule="auto"/>
        <w:ind w:left="426" w:hanging="284"/>
        <w:contextualSpacing w:val="0"/>
        <w:jc w:val="both"/>
        <w:rPr>
          <w:rFonts w:ascii="Arial" w:hAnsi="Arial" w:cs="Arial"/>
          <w:sz w:val="24"/>
          <w:szCs w:val="24"/>
        </w:rPr>
      </w:pPr>
      <w:r>
        <w:rPr>
          <w:rFonts w:ascii="Arial" w:hAnsi="Arial" w:cs="Arial"/>
          <w:sz w:val="24"/>
          <w:szCs w:val="24"/>
        </w:rPr>
        <w:t>f</w:t>
      </w:r>
      <w:r w:rsidR="00784069" w:rsidRPr="00336B16">
        <w:rPr>
          <w:rFonts w:ascii="Arial" w:hAnsi="Arial" w:cs="Arial"/>
          <w:sz w:val="24"/>
          <w:szCs w:val="24"/>
        </w:rPr>
        <w:t>ixtures and fittings 20% (or more if first break clause of lease is within 5 years)</w:t>
      </w:r>
      <w:r w:rsidR="004F6798" w:rsidRPr="00336B16">
        <w:rPr>
          <w:rFonts w:ascii="Arial" w:hAnsi="Arial" w:cs="Arial"/>
          <w:sz w:val="24"/>
          <w:szCs w:val="24"/>
        </w:rPr>
        <w:t>;</w:t>
      </w:r>
    </w:p>
    <w:p w14:paraId="146435F1" w14:textId="77777777" w:rsidR="004F6798" w:rsidRPr="00336B16" w:rsidRDefault="00E814DA" w:rsidP="005E47C9">
      <w:pPr>
        <w:pStyle w:val="ListParagraph"/>
        <w:keepLines/>
        <w:widowControl w:val="0"/>
        <w:numPr>
          <w:ilvl w:val="0"/>
          <w:numId w:val="5"/>
        </w:numPr>
        <w:autoSpaceDE w:val="0"/>
        <w:autoSpaceDN w:val="0"/>
        <w:adjustRightInd w:val="0"/>
        <w:spacing w:after="0" w:line="240" w:lineRule="auto"/>
        <w:ind w:left="426" w:hanging="284"/>
        <w:contextualSpacing w:val="0"/>
        <w:jc w:val="both"/>
        <w:rPr>
          <w:rFonts w:ascii="Arial" w:hAnsi="Arial" w:cs="Arial"/>
          <w:sz w:val="24"/>
          <w:szCs w:val="24"/>
        </w:rPr>
      </w:pPr>
      <w:r>
        <w:rPr>
          <w:rFonts w:ascii="Arial" w:hAnsi="Arial" w:cs="Arial"/>
          <w:sz w:val="24"/>
          <w:szCs w:val="24"/>
        </w:rPr>
        <w:t>e</w:t>
      </w:r>
      <w:r w:rsidR="00784069" w:rsidRPr="00336B16">
        <w:rPr>
          <w:rFonts w:ascii="Arial" w:hAnsi="Arial" w:cs="Arial"/>
          <w:sz w:val="24"/>
          <w:szCs w:val="24"/>
        </w:rPr>
        <w:t>quipment and vehicles 20%</w:t>
      </w:r>
      <w:r w:rsidR="004F6798" w:rsidRPr="00336B16">
        <w:rPr>
          <w:rFonts w:ascii="Arial" w:hAnsi="Arial" w:cs="Arial"/>
          <w:sz w:val="24"/>
          <w:szCs w:val="24"/>
        </w:rPr>
        <w:t>;</w:t>
      </w:r>
    </w:p>
    <w:p w14:paraId="63762056" w14:textId="77777777" w:rsidR="004F6798" w:rsidRPr="00336B16" w:rsidRDefault="00E814DA" w:rsidP="005E47C9">
      <w:pPr>
        <w:pStyle w:val="ListParagraph"/>
        <w:keepLines/>
        <w:widowControl w:val="0"/>
        <w:numPr>
          <w:ilvl w:val="0"/>
          <w:numId w:val="5"/>
        </w:numPr>
        <w:autoSpaceDE w:val="0"/>
        <w:autoSpaceDN w:val="0"/>
        <w:adjustRightInd w:val="0"/>
        <w:spacing w:after="0" w:line="240" w:lineRule="auto"/>
        <w:ind w:left="426" w:hanging="284"/>
        <w:contextualSpacing w:val="0"/>
        <w:jc w:val="both"/>
        <w:rPr>
          <w:rFonts w:ascii="Arial" w:hAnsi="Arial" w:cs="Arial"/>
          <w:sz w:val="24"/>
          <w:szCs w:val="24"/>
        </w:rPr>
      </w:pPr>
      <w:r>
        <w:rPr>
          <w:rFonts w:ascii="Arial" w:hAnsi="Arial" w:cs="Arial"/>
          <w:sz w:val="24"/>
          <w:szCs w:val="24"/>
        </w:rPr>
        <w:t>c</w:t>
      </w:r>
      <w:r w:rsidR="00784069" w:rsidRPr="00336B16">
        <w:rPr>
          <w:rFonts w:ascii="Arial" w:hAnsi="Arial" w:cs="Arial"/>
          <w:sz w:val="24"/>
          <w:szCs w:val="24"/>
        </w:rPr>
        <w:t>omputer equipment 25%</w:t>
      </w:r>
      <w:r w:rsidR="004F6798" w:rsidRPr="00336B16">
        <w:rPr>
          <w:rFonts w:ascii="Arial" w:hAnsi="Arial" w:cs="Arial"/>
          <w:sz w:val="24"/>
          <w:szCs w:val="24"/>
        </w:rPr>
        <w:t>;</w:t>
      </w:r>
    </w:p>
    <w:p w14:paraId="45C36F83" w14:textId="77777777" w:rsidR="004F6798" w:rsidRPr="00336B16" w:rsidRDefault="00E814DA" w:rsidP="005E47C9">
      <w:pPr>
        <w:pStyle w:val="ListParagraph"/>
        <w:keepLines/>
        <w:widowControl w:val="0"/>
        <w:numPr>
          <w:ilvl w:val="0"/>
          <w:numId w:val="5"/>
        </w:numPr>
        <w:autoSpaceDE w:val="0"/>
        <w:autoSpaceDN w:val="0"/>
        <w:adjustRightInd w:val="0"/>
        <w:spacing w:after="240" w:line="240" w:lineRule="auto"/>
        <w:ind w:left="426" w:hanging="284"/>
        <w:contextualSpacing w:val="0"/>
        <w:jc w:val="both"/>
        <w:rPr>
          <w:rFonts w:ascii="Arial" w:hAnsi="Arial" w:cs="Arial"/>
          <w:sz w:val="24"/>
          <w:szCs w:val="24"/>
        </w:rPr>
      </w:pPr>
      <w:r>
        <w:rPr>
          <w:rFonts w:ascii="Arial" w:hAnsi="Arial" w:cs="Arial"/>
          <w:sz w:val="24"/>
          <w:szCs w:val="24"/>
        </w:rPr>
        <w:t>s</w:t>
      </w:r>
      <w:r w:rsidR="00784069" w:rsidRPr="00336B16">
        <w:rPr>
          <w:rFonts w:ascii="Arial" w:hAnsi="Arial" w:cs="Arial"/>
          <w:sz w:val="24"/>
          <w:szCs w:val="24"/>
        </w:rPr>
        <w:t xml:space="preserve">oftware 25% (or over the lifetime of the contract if more appropriate) </w:t>
      </w:r>
    </w:p>
    <w:p w14:paraId="7599E07C" w14:textId="77777777" w:rsidR="00784069" w:rsidRPr="00336B16" w:rsidRDefault="00784069" w:rsidP="005E47C9">
      <w:pPr>
        <w:keepLines/>
        <w:widowControl w:val="0"/>
        <w:spacing w:after="240" w:line="240" w:lineRule="auto"/>
        <w:jc w:val="both"/>
        <w:rPr>
          <w:rFonts w:ascii="Arial" w:hAnsi="Arial" w:cs="Arial"/>
          <w:sz w:val="24"/>
          <w:szCs w:val="24"/>
        </w:rPr>
      </w:pPr>
      <w:r w:rsidRPr="00336B16">
        <w:rPr>
          <w:rFonts w:ascii="Arial" w:hAnsi="Arial" w:cs="Arial"/>
          <w:sz w:val="24"/>
          <w:szCs w:val="24"/>
        </w:rPr>
        <w:t>Assets costing less than £3,000 are not capitalised.</w:t>
      </w:r>
    </w:p>
    <w:p w14:paraId="2B45E478" w14:textId="77777777" w:rsidR="00F41088" w:rsidRPr="00336B16" w:rsidRDefault="00784069" w:rsidP="005E47C9">
      <w:pPr>
        <w:keepLines/>
        <w:widowControl w:val="0"/>
        <w:spacing w:after="240" w:line="240" w:lineRule="auto"/>
        <w:jc w:val="both"/>
        <w:rPr>
          <w:rFonts w:ascii="Arial" w:hAnsi="Arial" w:cs="Arial"/>
          <w:b/>
          <w:sz w:val="24"/>
          <w:szCs w:val="24"/>
        </w:rPr>
      </w:pPr>
      <w:r w:rsidRPr="00336B16">
        <w:rPr>
          <w:rFonts w:ascii="Arial" w:hAnsi="Arial" w:cs="Arial"/>
          <w:b/>
          <w:sz w:val="24"/>
          <w:szCs w:val="24"/>
        </w:rPr>
        <w:t xml:space="preserve">Intangible fixed assets </w:t>
      </w:r>
      <w:r w:rsidR="00CE35F3">
        <w:rPr>
          <w:rFonts w:ascii="Arial" w:hAnsi="Arial" w:cs="Arial"/>
          <w:b/>
          <w:sz w:val="24"/>
          <w:szCs w:val="24"/>
        </w:rPr>
        <w:t>- goodwill</w:t>
      </w:r>
    </w:p>
    <w:p w14:paraId="335A86F8" w14:textId="77777777" w:rsidR="007F627F" w:rsidRPr="007F627F" w:rsidRDefault="007F627F" w:rsidP="005E47C9">
      <w:pPr>
        <w:pStyle w:val="CommentText"/>
        <w:jc w:val="both"/>
        <w:rPr>
          <w:rFonts w:ascii="Arial" w:hAnsi="Arial" w:cs="Arial"/>
          <w:sz w:val="24"/>
          <w:szCs w:val="24"/>
        </w:rPr>
      </w:pPr>
      <w:r w:rsidRPr="007F627F">
        <w:rPr>
          <w:rFonts w:ascii="Arial" w:hAnsi="Arial" w:cs="Arial"/>
          <w:sz w:val="24"/>
          <w:szCs w:val="24"/>
        </w:rPr>
        <w:t>Goodwill represents the excess of the cost of a business combination over the fair value of the Group’s share of the net identifiable assets of the acquired subsidiary at the date of acquisition. Goodwill on acquisition of subsidiaries is included in Intangible assets. Goodwill is carried at cost less accumulated amortisation and accumulated impairment losses. Goodwill amortisation is calculated by applying the straight-line method to its estimated useful life.</w:t>
      </w:r>
    </w:p>
    <w:p w14:paraId="32F8947D" w14:textId="77777777" w:rsidR="00784069" w:rsidRPr="004A4F45" w:rsidRDefault="00784069" w:rsidP="005E47C9">
      <w:pPr>
        <w:keepLines/>
        <w:widowControl w:val="0"/>
        <w:spacing w:after="240" w:line="240" w:lineRule="auto"/>
        <w:jc w:val="both"/>
        <w:rPr>
          <w:rFonts w:ascii="Arial" w:hAnsi="Arial" w:cs="Arial"/>
          <w:sz w:val="24"/>
          <w:szCs w:val="24"/>
        </w:rPr>
      </w:pPr>
      <w:r w:rsidRPr="00336B16">
        <w:rPr>
          <w:rFonts w:ascii="Arial" w:hAnsi="Arial" w:cs="Arial"/>
          <w:sz w:val="24"/>
          <w:szCs w:val="24"/>
        </w:rPr>
        <w:t xml:space="preserve">During 2017/18 Shaw Trust </w:t>
      </w:r>
      <w:r w:rsidR="00437A75">
        <w:rPr>
          <w:rFonts w:ascii="Arial" w:hAnsi="Arial" w:cs="Arial"/>
          <w:sz w:val="24"/>
          <w:szCs w:val="24"/>
        </w:rPr>
        <w:t xml:space="preserve">Limited </w:t>
      </w:r>
      <w:r w:rsidRPr="00336B16">
        <w:rPr>
          <w:rFonts w:ascii="Arial" w:hAnsi="Arial" w:cs="Arial"/>
          <w:sz w:val="24"/>
          <w:szCs w:val="24"/>
        </w:rPr>
        <w:t xml:space="preserve">acquired Ixion Holdings (Contracts) </w:t>
      </w:r>
      <w:r w:rsidR="00CD5D43">
        <w:rPr>
          <w:rFonts w:ascii="Arial" w:hAnsi="Arial" w:cs="Arial"/>
          <w:sz w:val="24"/>
          <w:szCs w:val="24"/>
        </w:rPr>
        <w:t>Limited</w:t>
      </w:r>
      <w:r w:rsidRPr="00336B16">
        <w:rPr>
          <w:rFonts w:ascii="Arial" w:hAnsi="Arial" w:cs="Arial"/>
          <w:sz w:val="24"/>
          <w:szCs w:val="24"/>
        </w:rPr>
        <w:t xml:space="preserve"> and Prospects Group 2011 Limited and the intangible fixed assets include goodwill arising on the purchase. In determining the period of amortisation, management considered the length of the current contracts, the performance of the business and the likelihood of securing additional future business and concluded that five years was a reasonable time over which to amortise the goodwill arising on these </w:t>
      </w:r>
      <w:r w:rsidRPr="004A4F45">
        <w:rPr>
          <w:rFonts w:ascii="Arial" w:hAnsi="Arial" w:cs="Arial"/>
          <w:sz w:val="24"/>
          <w:szCs w:val="24"/>
        </w:rPr>
        <w:t>acquisitions.</w:t>
      </w:r>
    </w:p>
    <w:p w14:paraId="05654253" w14:textId="77777777" w:rsidR="007F627F" w:rsidRPr="007F627F" w:rsidRDefault="007F627F" w:rsidP="005E47C9">
      <w:pPr>
        <w:keepLines/>
        <w:widowControl w:val="0"/>
        <w:spacing w:after="240" w:line="240" w:lineRule="auto"/>
        <w:jc w:val="both"/>
        <w:rPr>
          <w:rFonts w:ascii="Arial" w:hAnsi="Arial" w:cs="Arial"/>
          <w:sz w:val="24"/>
          <w:szCs w:val="24"/>
        </w:rPr>
      </w:pPr>
      <w:r w:rsidRPr="007F627F">
        <w:rPr>
          <w:rFonts w:ascii="Arial" w:hAnsi="Arial" w:cs="Arial"/>
          <w:sz w:val="24"/>
          <w:szCs w:val="24"/>
        </w:rPr>
        <w:t>For the purposes of impairment testing, goodwill is allocated to the cash-generating units expected to benefit from the acquisition. Cash-generating units to which goodwill has been allocated are tested for impairment at least annually, or more frequently when there is an indication that the unit may be impaired. If the recoverable amount of the cash-generating unit is less than the carrying amount of the unit, the impairment loss is allocated first to reduce the carrying amount of any goodwill allocated to the unit and then to the other assets of the unit pro-rata on the basis of the carrying amount of each asset in the unit.</w:t>
      </w:r>
    </w:p>
    <w:p w14:paraId="18AE2580" w14:textId="77777777" w:rsidR="007F627F" w:rsidRDefault="007F627F" w:rsidP="005E47C9">
      <w:pPr>
        <w:keepLines/>
        <w:widowControl w:val="0"/>
        <w:spacing w:after="240" w:line="240" w:lineRule="auto"/>
        <w:jc w:val="both"/>
        <w:rPr>
          <w:rFonts w:ascii="Arial" w:hAnsi="Arial" w:cs="Arial"/>
          <w:b/>
          <w:sz w:val="24"/>
          <w:szCs w:val="24"/>
          <w:highlight w:val="yellow"/>
        </w:rPr>
      </w:pPr>
    </w:p>
    <w:p w14:paraId="6BE14D94" w14:textId="77777777" w:rsidR="002B48E4" w:rsidRDefault="002B48E4" w:rsidP="005E47C9">
      <w:pPr>
        <w:keepLines/>
        <w:widowControl w:val="0"/>
        <w:spacing w:after="240" w:line="240" w:lineRule="auto"/>
        <w:jc w:val="both"/>
        <w:rPr>
          <w:rFonts w:ascii="Arial" w:hAnsi="Arial" w:cs="Arial"/>
          <w:b/>
          <w:sz w:val="24"/>
          <w:szCs w:val="24"/>
          <w:highlight w:val="yellow"/>
        </w:rPr>
      </w:pPr>
    </w:p>
    <w:p w14:paraId="3D6A1BCE" w14:textId="77777777" w:rsidR="002B48E4" w:rsidRDefault="002B48E4" w:rsidP="005E47C9">
      <w:pPr>
        <w:keepLines/>
        <w:widowControl w:val="0"/>
        <w:spacing w:after="240" w:line="240" w:lineRule="auto"/>
        <w:jc w:val="both"/>
        <w:rPr>
          <w:rFonts w:ascii="Arial" w:hAnsi="Arial" w:cs="Arial"/>
          <w:b/>
          <w:sz w:val="24"/>
          <w:szCs w:val="24"/>
          <w:highlight w:val="yellow"/>
        </w:rPr>
      </w:pPr>
    </w:p>
    <w:p w14:paraId="2AB97D30" w14:textId="77777777" w:rsidR="002B48E4" w:rsidRDefault="002B48E4" w:rsidP="005E47C9">
      <w:pPr>
        <w:keepLines/>
        <w:widowControl w:val="0"/>
        <w:spacing w:after="240" w:line="240" w:lineRule="auto"/>
        <w:jc w:val="both"/>
        <w:rPr>
          <w:rFonts w:ascii="Arial" w:hAnsi="Arial" w:cs="Arial"/>
          <w:b/>
          <w:sz w:val="24"/>
          <w:szCs w:val="24"/>
          <w:highlight w:val="yellow"/>
        </w:rPr>
      </w:pPr>
    </w:p>
    <w:p w14:paraId="29045BA0" w14:textId="77777777" w:rsidR="002B48E4" w:rsidRDefault="002B48E4" w:rsidP="005E47C9">
      <w:pPr>
        <w:keepLines/>
        <w:widowControl w:val="0"/>
        <w:spacing w:after="240" w:line="240" w:lineRule="auto"/>
        <w:jc w:val="both"/>
        <w:rPr>
          <w:rFonts w:ascii="Arial" w:hAnsi="Arial" w:cs="Arial"/>
          <w:b/>
          <w:sz w:val="24"/>
          <w:szCs w:val="24"/>
          <w:highlight w:val="yellow"/>
        </w:rPr>
      </w:pPr>
    </w:p>
    <w:p w14:paraId="273BE404" w14:textId="77777777" w:rsidR="002B48E4" w:rsidRDefault="002B48E4" w:rsidP="005E47C9">
      <w:pPr>
        <w:keepLines/>
        <w:widowControl w:val="0"/>
        <w:spacing w:after="240" w:line="240" w:lineRule="auto"/>
        <w:jc w:val="both"/>
        <w:rPr>
          <w:rFonts w:ascii="Arial" w:hAnsi="Arial" w:cs="Arial"/>
          <w:b/>
          <w:sz w:val="24"/>
          <w:szCs w:val="24"/>
          <w:highlight w:val="yellow"/>
        </w:rPr>
      </w:pPr>
    </w:p>
    <w:p w14:paraId="3FA72D98" w14:textId="77777777" w:rsidR="002B48E4" w:rsidRDefault="002B48E4" w:rsidP="005E47C9">
      <w:pPr>
        <w:keepLines/>
        <w:widowControl w:val="0"/>
        <w:spacing w:after="240" w:line="240" w:lineRule="auto"/>
        <w:jc w:val="both"/>
        <w:rPr>
          <w:rFonts w:ascii="Arial" w:hAnsi="Arial" w:cs="Arial"/>
          <w:b/>
          <w:sz w:val="24"/>
          <w:szCs w:val="24"/>
          <w:highlight w:val="yellow"/>
        </w:rPr>
      </w:pPr>
    </w:p>
    <w:p w14:paraId="0B8CE648" w14:textId="77777777" w:rsidR="007F627F" w:rsidRDefault="007F627F" w:rsidP="005E47C9">
      <w:pPr>
        <w:keepLines/>
        <w:widowControl w:val="0"/>
        <w:spacing w:after="240" w:line="240" w:lineRule="auto"/>
        <w:jc w:val="both"/>
        <w:rPr>
          <w:rFonts w:ascii="Arial" w:hAnsi="Arial" w:cs="Arial"/>
          <w:b/>
          <w:sz w:val="24"/>
          <w:szCs w:val="24"/>
          <w:highlight w:val="yellow"/>
        </w:rPr>
      </w:pPr>
    </w:p>
    <w:p w14:paraId="376B0544" w14:textId="77777777" w:rsidR="005E47C9" w:rsidRDefault="005E47C9">
      <w:pPr>
        <w:rPr>
          <w:rFonts w:ascii="Arial" w:hAnsi="Arial" w:cs="Arial"/>
          <w:b/>
          <w:i/>
          <w:sz w:val="24"/>
          <w:szCs w:val="24"/>
        </w:rPr>
      </w:pPr>
      <w:r>
        <w:rPr>
          <w:rFonts w:ascii="Arial" w:hAnsi="Arial" w:cs="Arial"/>
          <w:b/>
          <w:i/>
          <w:sz w:val="24"/>
          <w:szCs w:val="24"/>
        </w:rPr>
        <w:br w:type="page"/>
      </w:r>
    </w:p>
    <w:p w14:paraId="1FB5C285" w14:textId="77777777" w:rsidR="007F627F" w:rsidRPr="004B3A7A" w:rsidRDefault="007F627F" w:rsidP="005E47C9">
      <w:pPr>
        <w:keepLines/>
        <w:widowControl w:val="0"/>
        <w:spacing w:after="240" w:line="240" w:lineRule="auto"/>
        <w:jc w:val="both"/>
        <w:rPr>
          <w:rFonts w:ascii="Arial" w:hAnsi="Arial" w:cs="Arial"/>
          <w:i/>
          <w:sz w:val="24"/>
          <w:szCs w:val="24"/>
        </w:rPr>
      </w:pPr>
      <w:r w:rsidRPr="004B3A7A">
        <w:rPr>
          <w:rFonts w:ascii="Arial" w:hAnsi="Arial" w:cs="Arial"/>
          <w:b/>
          <w:i/>
          <w:sz w:val="24"/>
          <w:szCs w:val="24"/>
        </w:rPr>
        <w:lastRenderedPageBreak/>
        <w:t>Principal accounting policies (continued)</w:t>
      </w:r>
    </w:p>
    <w:p w14:paraId="1AF4205E" w14:textId="77777777" w:rsidR="00F41088" w:rsidRPr="00336B16" w:rsidRDefault="00784069" w:rsidP="005E47C9">
      <w:pPr>
        <w:keepLines/>
        <w:widowControl w:val="0"/>
        <w:spacing w:after="240" w:line="240" w:lineRule="auto"/>
        <w:jc w:val="both"/>
        <w:rPr>
          <w:rFonts w:ascii="Arial" w:hAnsi="Arial" w:cs="Arial"/>
          <w:b/>
          <w:sz w:val="24"/>
          <w:szCs w:val="24"/>
        </w:rPr>
      </w:pPr>
      <w:r w:rsidRPr="00336B16">
        <w:rPr>
          <w:rFonts w:ascii="Arial" w:hAnsi="Arial" w:cs="Arial"/>
          <w:b/>
          <w:sz w:val="24"/>
          <w:szCs w:val="24"/>
        </w:rPr>
        <w:t xml:space="preserve">Donated fixed assets </w:t>
      </w:r>
    </w:p>
    <w:p w14:paraId="228A6488" w14:textId="77777777" w:rsidR="00EA004B" w:rsidRDefault="00784069" w:rsidP="005E47C9">
      <w:pPr>
        <w:keepLines/>
        <w:widowControl w:val="0"/>
        <w:spacing w:after="240" w:line="240" w:lineRule="auto"/>
        <w:jc w:val="both"/>
        <w:rPr>
          <w:rFonts w:ascii="Arial" w:hAnsi="Arial" w:cs="Arial"/>
          <w:b/>
          <w:sz w:val="24"/>
          <w:szCs w:val="24"/>
        </w:rPr>
      </w:pPr>
      <w:r w:rsidRPr="00336B16">
        <w:rPr>
          <w:rFonts w:ascii="Arial" w:hAnsi="Arial" w:cs="Arial"/>
          <w:sz w:val="24"/>
          <w:szCs w:val="24"/>
        </w:rPr>
        <w:t>All donated fixed assets are included in the financial statements at a reasonable estimate of their market value at the date of receipt.</w:t>
      </w:r>
    </w:p>
    <w:p w14:paraId="323F7998" w14:textId="77777777" w:rsidR="00736D09" w:rsidRPr="00336B16" w:rsidRDefault="00784069" w:rsidP="005E47C9">
      <w:pPr>
        <w:keepLines/>
        <w:widowControl w:val="0"/>
        <w:spacing w:after="240" w:line="240" w:lineRule="auto"/>
        <w:jc w:val="both"/>
        <w:rPr>
          <w:rFonts w:ascii="Arial" w:hAnsi="Arial" w:cs="Arial"/>
          <w:b/>
          <w:sz w:val="24"/>
          <w:szCs w:val="24"/>
        </w:rPr>
      </w:pPr>
      <w:r w:rsidRPr="00336B16">
        <w:rPr>
          <w:rFonts w:ascii="Arial" w:hAnsi="Arial" w:cs="Arial"/>
          <w:b/>
          <w:sz w:val="24"/>
          <w:szCs w:val="24"/>
        </w:rPr>
        <w:t>Investments</w:t>
      </w:r>
    </w:p>
    <w:p w14:paraId="48287AEF" w14:textId="77777777" w:rsidR="00047E5C" w:rsidRPr="004A4F45" w:rsidRDefault="00FA7BA0" w:rsidP="00047E5C">
      <w:pPr>
        <w:keepLines/>
        <w:widowControl w:val="0"/>
        <w:spacing w:after="240" w:line="240" w:lineRule="auto"/>
        <w:jc w:val="both"/>
        <w:rPr>
          <w:rFonts w:ascii="Arial" w:hAnsi="Arial" w:cs="Arial"/>
          <w:sz w:val="24"/>
          <w:szCs w:val="24"/>
        </w:rPr>
      </w:pPr>
      <w:r>
        <w:rPr>
          <w:rFonts w:ascii="Arial" w:hAnsi="Arial" w:cs="Arial"/>
          <w:sz w:val="24"/>
          <w:szCs w:val="24"/>
        </w:rPr>
        <w:t>Fixed asset</w:t>
      </w:r>
      <w:r w:rsidR="00047E5C" w:rsidRPr="004A4F45">
        <w:rPr>
          <w:rFonts w:ascii="Arial" w:hAnsi="Arial" w:cs="Arial"/>
          <w:sz w:val="24"/>
          <w:szCs w:val="24"/>
        </w:rPr>
        <w:t xml:space="preserve"> investments are investments held in listed companies, government and corporate bonds and other investments. These investments are stated at mid-price market value at the period-end.</w:t>
      </w:r>
    </w:p>
    <w:p w14:paraId="5400FDF0" w14:textId="77777777" w:rsidR="00047E5C" w:rsidRPr="00336B16" w:rsidRDefault="00047E5C" w:rsidP="00047E5C">
      <w:pPr>
        <w:keepLines/>
        <w:widowControl w:val="0"/>
        <w:spacing w:after="240" w:line="240" w:lineRule="auto"/>
        <w:jc w:val="both"/>
        <w:rPr>
          <w:rFonts w:ascii="Arial" w:hAnsi="Arial" w:cs="Arial"/>
          <w:sz w:val="24"/>
          <w:szCs w:val="24"/>
        </w:rPr>
      </w:pPr>
      <w:r w:rsidRPr="004A4F45">
        <w:rPr>
          <w:rFonts w:ascii="Arial" w:hAnsi="Arial" w:cs="Arial"/>
          <w:sz w:val="24"/>
          <w:szCs w:val="24"/>
        </w:rPr>
        <w:t>Investments that have been liquidated are treated as short term and shown within current assets.</w:t>
      </w:r>
    </w:p>
    <w:p w14:paraId="451AB53B" w14:textId="77777777" w:rsidR="00047E5C" w:rsidRPr="00336B16" w:rsidRDefault="00047E5C" w:rsidP="00047E5C">
      <w:pPr>
        <w:keepLines/>
        <w:widowControl w:val="0"/>
        <w:spacing w:after="240" w:line="240" w:lineRule="auto"/>
        <w:jc w:val="both"/>
        <w:rPr>
          <w:rFonts w:ascii="Arial" w:hAnsi="Arial" w:cs="Arial"/>
          <w:sz w:val="24"/>
          <w:szCs w:val="24"/>
        </w:rPr>
      </w:pPr>
      <w:r w:rsidRPr="00336B16">
        <w:rPr>
          <w:rFonts w:ascii="Arial" w:hAnsi="Arial" w:cs="Arial"/>
          <w:sz w:val="24"/>
          <w:szCs w:val="24"/>
        </w:rPr>
        <w:t>Unrealised gains / (losses) are derived from the movement in market value during the year and are recorded in the Statement of Financial Activities.</w:t>
      </w:r>
    </w:p>
    <w:p w14:paraId="2CA7787E" w14:textId="77777777" w:rsidR="00EA004B" w:rsidRDefault="00784069" w:rsidP="005E47C9">
      <w:pPr>
        <w:keepLines/>
        <w:widowControl w:val="0"/>
        <w:spacing w:after="240" w:line="240" w:lineRule="auto"/>
        <w:jc w:val="both"/>
        <w:rPr>
          <w:rFonts w:ascii="Arial" w:hAnsi="Arial" w:cs="Arial"/>
          <w:sz w:val="24"/>
          <w:szCs w:val="24"/>
        </w:rPr>
      </w:pPr>
      <w:r w:rsidRPr="00336B16">
        <w:rPr>
          <w:rFonts w:ascii="Arial" w:hAnsi="Arial" w:cs="Arial"/>
          <w:sz w:val="24"/>
          <w:szCs w:val="24"/>
        </w:rPr>
        <w:t>Investments are carried at ‘fair value’ and therefore stated at market value as at the balance sheet date. Changes in fair value are recognised in the income and expenditure section of the Statement of Financial Activities.</w:t>
      </w:r>
    </w:p>
    <w:p w14:paraId="2FC64E5E" w14:textId="77777777" w:rsidR="00F41088" w:rsidRPr="00336B16" w:rsidRDefault="00784069" w:rsidP="005E47C9">
      <w:pPr>
        <w:keepLines/>
        <w:widowControl w:val="0"/>
        <w:spacing w:after="240" w:line="240" w:lineRule="auto"/>
        <w:jc w:val="both"/>
        <w:rPr>
          <w:rFonts w:ascii="Arial" w:hAnsi="Arial" w:cs="Arial"/>
          <w:b/>
          <w:sz w:val="24"/>
          <w:szCs w:val="24"/>
        </w:rPr>
      </w:pPr>
      <w:r w:rsidRPr="00336B16">
        <w:rPr>
          <w:rFonts w:ascii="Arial" w:hAnsi="Arial" w:cs="Arial"/>
          <w:b/>
          <w:sz w:val="24"/>
          <w:szCs w:val="24"/>
        </w:rPr>
        <w:t xml:space="preserve">Cash at bank and in hand </w:t>
      </w:r>
    </w:p>
    <w:p w14:paraId="65B948C2" w14:textId="77777777" w:rsidR="007F627F" w:rsidRPr="007F627F" w:rsidRDefault="007F627F" w:rsidP="005E47C9">
      <w:pPr>
        <w:pStyle w:val="CommentText"/>
        <w:jc w:val="both"/>
        <w:rPr>
          <w:rFonts w:ascii="Arial" w:hAnsi="Arial" w:cs="Arial"/>
          <w:sz w:val="24"/>
          <w:szCs w:val="24"/>
        </w:rPr>
      </w:pPr>
      <w:r w:rsidRPr="007F627F">
        <w:rPr>
          <w:rFonts w:ascii="Arial" w:hAnsi="Arial" w:cs="Arial"/>
          <w:sz w:val="24"/>
          <w:szCs w:val="24"/>
        </w:rPr>
        <w:t>Cash and cash equivalents are basic financial assets and include cash in hand, deposits held at call with banks, other short-term liquid investments with original maturities of three months or less, and bank overdrafts. Bank overdrafts are shown within borrowings in current liabilities.</w:t>
      </w:r>
    </w:p>
    <w:p w14:paraId="102927CD" w14:textId="77777777" w:rsidR="007F627F" w:rsidRDefault="007F627F" w:rsidP="005E47C9">
      <w:pPr>
        <w:keepLines/>
        <w:widowControl w:val="0"/>
        <w:spacing w:after="240" w:line="240" w:lineRule="auto"/>
        <w:jc w:val="both"/>
        <w:rPr>
          <w:rFonts w:ascii="Arial" w:hAnsi="Arial" w:cs="Arial"/>
          <w:b/>
          <w:sz w:val="24"/>
          <w:szCs w:val="24"/>
        </w:rPr>
      </w:pPr>
    </w:p>
    <w:p w14:paraId="15E8977A" w14:textId="77777777" w:rsidR="007F627F" w:rsidRDefault="007F627F" w:rsidP="005E47C9">
      <w:pPr>
        <w:keepLines/>
        <w:widowControl w:val="0"/>
        <w:spacing w:after="240" w:line="240" w:lineRule="auto"/>
        <w:jc w:val="both"/>
        <w:rPr>
          <w:rFonts w:ascii="Arial" w:hAnsi="Arial" w:cs="Arial"/>
          <w:b/>
          <w:sz w:val="24"/>
          <w:szCs w:val="24"/>
        </w:rPr>
      </w:pPr>
    </w:p>
    <w:p w14:paraId="1707D90C" w14:textId="77777777" w:rsidR="001C5D15" w:rsidRDefault="001C5D15" w:rsidP="005E47C9">
      <w:pPr>
        <w:keepLines/>
        <w:widowControl w:val="0"/>
        <w:spacing w:after="240" w:line="240" w:lineRule="auto"/>
        <w:jc w:val="both"/>
        <w:rPr>
          <w:rFonts w:ascii="Arial" w:hAnsi="Arial" w:cs="Arial"/>
          <w:b/>
          <w:sz w:val="24"/>
          <w:szCs w:val="24"/>
        </w:rPr>
      </w:pPr>
    </w:p>
    <w:p w14:paraId="231E5DE7" w14:textId="77777777" w:rsidR="00F41088" w:rsidRPr="00336B16" w:rsidRDefault="00784069" w:rsidP="005E47C9">
      <w:pPr>
        <w:keepLines/>
        <w:widowControl w:val="0"/>
        <w:spacing w:after="240" w:line="240" w:lineRule="auto"/>
        <w:jc w:val="both"/>
        <w:rPr>
          <w:rFonts w:ascii="Arial" w:hAnsi="Arial" w:cs="Arial"/>
          <w:b/>
          <w:sz w:val="24"/>
          <w:szCs w:val="24"/>
        </w:rPr>
      </w:pPr>
      <w:r w:rsidRPr="00336B16">
        <w:rPr>
          <w:rFonts w:ascii="Arial" w:hAnsi="Arial" w:cs="Arial"/>
          <w:b/>
          <w:sz w:val="24"/>
          <w:szCs w:val="24"/>
        </w:rPr>
        <w:t xml:space="preserve">Current asset investments </w:t>
      </w:r>
    </w:p>
    <w:p w14:paraId="5F0537C4" w14:textId="77777777" w:rsidR="00784069" w:rsidRPr="00336B16" w:rsidRDefault="00784069" w:rsidP="005E47C9">
      <w:pPr>
        <w:keepLines/>
        <w:widowControl w:val="0"/>
        <w:spacing w:after="240" w:line="240" w:lineRule="auto"/>
        <w:jc w:val="both"/>
        <w:rPr>
          <w:rFonts w:ascii="Arial" w:hAnsi="Arial" w:cs="Arial"/>
          <w:sz w:val="24"/>
          <w:szCs w:val="24"/>
        </w:rPr>
      </w:pPr>
      <w:r w:rsidRPr="00336B16">
        <w:rPr>
          <w:rFonts w:ascii="Arial" w:hAnsi="Arial" w:cs="Arial"/>
          <w:sz w:val="24"/>
          <w:szCs w:val="24"/>
        </w:rPr>
        <w:t>Current asset investments comprise cash held on term deposits with qualifying financial institutions.</w:t>
      </w:r>
    </w:p>
    <w:p w14:paraId="663933AA" w14:textId="77777777" w:rsidR="00F41088" w:rsidRPr="00336B16" w:rsidRDefault="00784069" w:rsidP="005E47C9">
      <w:pPr>
        <w:keepLines/>
        <w:widowControl w:val="0"/>
        <w:spacing w:after="240" w:line="240" w:lineRule="auto"/>
        <w:jc w:val="both"/>
        <w:rPr>
          <w:rFonts w:ascii="Arial" w:hAnsi="Arial" w:cs="Arial"/>
          <w:b/>
          <w:sz w:val="24"/>
          <w:szCs w:val="24"/>
        </w:rPr>
      </w:pPr>
      <w:r w:rsidRPr="00336B16">
        <w:rPr>
          <w:rFonts w:ascii="Arial" w:hAnsi="Arial" w:cs="Arial"/>
          <w:b/>
          <w:sz w:val="24"/>
          <w:szCs w:val="24"/>
        </w:rPr>
        <w:t xml:space="preserve">Financial instruments </w:t>
      </w:r>
    </w:p>
    <w:p w14:paraId="3B7FFC51" w14:textId="77777777" w:rsidR="004B3A7A" w:rsidRDefault="00784069" w:rsidP="005E47C9">
      <w:pPr>
        <w:keepLines/>
        <w:widowControl w:val="0"/>
        <w:spacing w:after="240" w:line="240" w:lineRule="auto"/>
        <w:jc w:val="both"/>
        <w:rPr>
          <w:rFonts w:ascii="Arial" w:hAnsi="Arial" w:cs="Arial"/>
          <w:sz w:val="24"/>
          <w:szCs w:val="24"/>
        </w:rPr>
      </w:pPr>
      <w:r w:rsidRPr="00336B16">
        <w:rPr>
          <w:rFonts w:ascii="Arial" w:hAnsi="Arial" w:cs="Arial"/>
          <w:sz w:val="24"/>
          <w:szCs w:val="24"/>
        </w:rPr>
        <w:t>The Group has chosen to adopt Sections 11 and 12 of FRS 102 in respect of Financial Instruments.</w:t>
      </w:r>
    </w:p>
    <w:p w14:paraId="37FF770F" w14:textId="77777777" w:rsidR="00CE35F3" w:rsidRDefault="00784069" w:rsidP="005E47C9">
      <w:pPr>
        <w:keepLines/>
        <w:widowControl w:val="0"/>
        <w:spacing w:after="240" w:line="240" w:lineRule="auto"/>
        <w:jc w:val="both"/>
        <w:rPr>
          <w:rFonts w:ascii="Arial" w:hAnsi="Arial" w:cs="Arial"/>
          <w:sz w:val="24"/>
          <w:szCs w:val="24"/>
        </w:rPr>
      </w:pPr>
      <w:r w:rsidRPr="00336B16">
        <w:rPr>
          <w:rFonts w:ascii="Arial" w:hAnsi="Arial" w:cs="Arial"/>
          <w:sz w:val="24"/>
          <w:szCs w:val="24"/>
        </w:rPr>
        <w:t>Financial Assets: Basic financial assets, including trade and other receivables, cash and bank balances and investments in commercial paper, are initially recognised at transaction price unless the arrangement constitutes a financing transaction, where the transaction is measured at the present value of the future receipts discounte</w:t>
      </w:r>
      <w:r w:rsidR="005D2450" w:rsidRPr="00336B16">
        <w:rPr>
          <w:rFonts w:ascii="Arial" w:hAnsi="Arial" w:cs="Arial"/>
          <w:sz w:val="24"/>
          <w:szCs w:val="24"/>
        </w:rPr>
        <w:t>d at a market rate of interest.</w:t>
      </w:r>
    </w:p>
    <w:p w14:paraId="5E8746CD" w14:textId="77777777" w:rsidR="00784069" w:rsidRPr="00336B16" w:rsidRDefault="00784069" w:rsidP="005E47C9">
      <w:pPr>
        <w:keepLines/>
        <w:widowControl w:val="0"/>
        <w:spacing w:after="240" w:line="240" w:lineRule="auto"/>
        <w:jc w:val="both"/>
        <w:rPr>
          <w:rFonts w:ascii="Arial" w:hAnsi="Arial" w:cs="Arial"/>
          <w:sz w:val="24"/>
          <w:szCs w:val="24"/>
        </w:rPr>
      </w:pPr>
      <w:r w:rsidRPr="00336B16">
        <w:rPr>
          <w:rFonts w:ascii="Arial" w:hAnsi="Arial" w:cs="Arial"/>
          <w:sz w:val="24"/>
          <w:szCs w:val="24"/>
        </w:rPr>
        <w:t>Financial liabilities: Basic financial liabilities, including trade and other payables, bank loans, loans from fellow group companies and preference shares that are classified as debt, are initially recognised at transaction price, unless the arrangement constitutes a financing transaction, where the debt instrument is measured at the present value of the future receipts discounted at a market rate of interest.</w:t>
      </w:r>
    </w:p>
    <w:p w14:paraId="06B403D6" w14:textId="77777777" w:rsidR="00F41088" w:rsidRPr="00336B16" w:rsidRDefault="00784069" w:rsidP="005E47C9">
      <w:pPr>
        <w:keepLines/>
        <w:widowControl w:val="0"/>
        <w:spacing w:after="240" w:line="240" w:lineRule="auto"/>
        <w:jc w:val="both"/>
        <w:rPr>
          <w:rFonts w:ascii="Arial" w:hAnsi="Arial" w:cs="Arial"/>
          <w:b/>
          <w:sz w:val="24"/>
          <w:szCs w:val="24"/>
        </w:rPr>
      </w:pPr>
      <w:r w:rsidRPr="00336B16">
        <w:rPr>
          <w:rFonts w:ascii="Arial" w:hAnsi="Arial" w:cs="Arial"/>
          <w:b/>
          <w:sz w:val="24"/>
          <w:szCs w:val="24"/>
        </w:rPr>
        <w:t xml:space="preserve">Stocks </w:t>
      </w:r>
    </w:p>
    <w:p w14:paraId="4303E8A8" w14:textId="77777777" w:rsidR="00784069" w:rsidRPr="00336B16" w:rsidRDefault="00784069" w:rsidP="005E47C9">
      <w:pPr>
        <w:keepLines/>
        <w:widowControl w:val="0"/>
        <w:spacing w:after="240" w:line="240" w:lineRule="auto"/>
        <w:jc w:val="both"/>
        <w:rPr>
          <w:rFonts w:ascii="Arial" w:hAnsi="Arial" w:cs="Arial"/>
          <w:sz w:val="24"/>
          <w:szCs w:val="24"/>
        </w:rPr>
      </w:pPr>
      <w:r w:rsidRPr="00336B16">
        <w:rPr>
          <w:rFonts w:ascii="Arial" w:hAnsi="Arial" w:cs="Arial"/>
          <w:sz w:val="24"/>
          <w:szCs w:val="24"/>
        </w:rPr>
        <w:t>Stocks are valued at the lower of cost and net realisable value. Where necessary, provision is made for obsolete, slow-moving and defective stocks.</w:t>
      </w:r>
    </w:p>
    <w:p w14:paraId="08014C8D" w14:textId="77777777" w:rsidR="00B561CA" w:rsidRPr="00336B16" w:rsidRDefault="00784069" w:rsidP="005E47C9">
      <w:pPr>
        <w:keepLines/>
        <w:widowControl w:val="0"/>
        <w:spacing w:after="240" w:line="240" w:lineRule="auto"/>
        <w:jc w:val="both"/>
        <w:rPr>
          <w:rFonts w:ascii="Arial" w:hAnsi="Arial" w:cs="Arial"/>
          <w:b/>
          <w:sz w:val="24"/>
          <w:szCs w:val="24"/>
        </w:rPr>
      </w:pPr>
      <w:r w:rsidRPr="00336B16">
        <w:rPr>
          <w:rFonts w:ascii="Arial" w:hAnsi="Arial" w:cs="Arial"/>
          <w:b/>
          <w:sz w:val="24"/>
          <w:szCs w:val="24"/>
        </w:rPr>
        <w:t xml:space="preserve">Designated funds </w:t>
      </w:r>
    </w:p>
    <w:p w14:paraId="34E276B2" w14:textId="77777777" w:rsidR="00784069" w:rsidRPr="00336B16" w:rsidRDefault="00784069" w:rsidP="005E47C9">
      <w:pPr>
        <w:keepLines/>
        <w:widowControl w:val="0"/>
        <w:spacing w:after="240" w:line="240" w:lineRule="auto"/>
        <w:jc w:val="both"/>
        <w:rPr>
          <w:rFonts w:ascii="Arial" w:hAnsi="Arial" w:cs="Arial"/>
          <w:sz w:val="24"/>
          <w:szCs w:val="24"/>
        </w:rPr>
      </w:pPr>
      <w:r w:rsidRPr="00336B16">
        <w:rPr>
          <w:rFonts w:ascii="Arial" w:hAnsi="Arial" w:cs="Arial"/>
          <w:sz w:val="24"/>
          <w:szCs w:val="24"/>
        </w:rPr>
        <w:t>Reserves which relate to specific fixed assets are held as designated funds.</w:t>
      </w:r>
    </w:p>
    <w:p w14:paraId="6EF04A5A" w14:textId="77777777" w:rsidR="007F627F" w:rsidRDefault="007F627F" w:rsidP="005E47C9">
      <w:pPr>
        <w:keepLines/>
        <w:widowControl w:val="0"/>
        <w:spacing w:after="240" w:line="240" w:lineRule="auto"/>
        <w:jc w:val="both"/>
        <w:rPr>
          <w:rFonts w:ascii="Arial" w:hAnsi="Arial" w:cs="Arial"/>
          <w:b/>
          <w:sz w:val="24"/>
          <w:szCs w:val="24"/>
        </w:rPr>
      </w:pPr>
    </w:p>
    <w:p w14:paraId="136147AC" w14:textId="77777777" w:rsidR="007F627F" w:rsidRDefault="007F627F" w:rsidP="005E47C9">
      <w:pPr>
        <w:keepLines/>
        <w:widowControl w:val="0"/>
        <w:spacing w:after="240" w:line="240" w:lineRule="auto"/>
        <w:jc w:val="both"/>
        <w:rPr>
          <w:rFonts w:ascii="Arial" w:hAnsi="Arial" w:cs="Arial"/>
          <w:b/>
          <w:sz w:val="24"/>
          <w:szCs w:val="24"/>
        </w:rPr>
      </w:pPr>
    </w:p>
    <w:p w14:paraId="16075765" w14:textId="77777777" w:rsidR="007F627F" w:rsidRPr="004B3A7A" w:rsidRDefault="007F627F" w:rsidP="005E47C9">
      <w:pPr>
        <w:keepLines/>
        <w:widowControl w:val="0"/>
        <w:spacing w:after="240" w:line="240" w:lineRule="auto"/>
        <w:jc w:val="both"/>
        <w:rPr>
          <w:rFonts w:ascii="Arial" w:hAnsi="Arial" w:cs="Arial"/>
          <w:i/>
          <w:sz w:val="24"/>
          <w:szCs w:val="24"/>
        </w:rPr>
      </w:pPr>
      <w:r w:rsidRPr="004B3A7A">
        <w:rPr>
          <w:rFonts w:ascii="Arial" w:hAnsi="Arial" w:cs="Arial"/>
          <w:b/>
          <w:i/>
          <w:sz w:val="24"/>
          <w:szCs w:val="24"/>
        </w:rPr>
        <w:lastRenderedPageBreak/>
        <w:t>Principal accounting policies (continued)</w:t>
      </w:r>
    </w:p>
    <w:p w14:paraId="32B0833A" w14:textId="77777777" w:rsidR="00B561CA" w:rsidRPr="00336B16" w:rsidRDefault="00784069" w:rsidP="005E47C9">
      <w:pPr>
        <w:keepLines/>
        <w:widowControl w:val="0"/>
        <w:spacing w:after="240" w:line="240" w:lineRule="auto"/>
        <w:jc w:val="both"/>
        <w:rPr>
          <w:rFonts w:ascii="Arial" w:hAnsi="Arial" w:cs="Arial"/>
          <w:b/>
          <w:sz w:val="24"/>
          <w:szCs w:val="24"/>
        </w:rPr>
      </w:pPr>
      <w:r w:rsidRPr="00336B16">
        <w:rPr>
          <w:rFonts w:ascii="Arial" w:hAnsi="Arial" w:cs="Arial"/>
          <w:b/>
          <w:sz w:val="24"/>
          <w:szCs w:val="24"/>
        </w:rPr>
        <w:t xml:space="preserve">Revaluation reserve </w:t>
      </w:r>
    </w:p>
    <w:p w14:paraId="38A71120" w14:textId="77777777" w:rsidR="00607836" w:rsidRPr="00336B16" w:rsidRDefault="00784069" w:rsidP="005E47C9">
      <w:pPr>
        <w:keepLines/>
        <w:widowControl w:val="0"/>
        <w:spacing w:after="240" w:line="240" w:lineRule="auto"/>
        <w:jc w:val="both"/>
        <w:rPr>
          <w:rFonts w:ascii="Arial" w:hAnsi="Arial" w:cs="Arial"/>
          <w:b/>
          <w:sz w:val="24"/>
          <w:szCs w:val="24"/>
        </w:rPr>
      </w:pPr>
      <w:r w:rsidRPr="00336B16">
        <w:rPr>
          <w:rFonts w:ascii="Arial" w:hAnsi="Arial" w:cs="Arial"/>
          <w:sz w:val="24"/>
          <w:szCs w:val="24"/>
        </w:rPr>
        <w:t>The difference between the market value and the historic cost of revalued, unrestricted, fixed assets, including available for sale investments, is accounted for within the revaluation reserve, along with the difference between the market value and historical cost of fixed asset investments.</w:t>
      </w:r>
    </w:p>
    <w:p w14:paraId="7C48D648" w14:textId="77777777" w:rsidR="00B561CA" w:rsidRPr="00336B16" w:rsidRDefault="00CE35F3" w:rsidP="005E47C9">
      <w:pPr>
        <w:keepLines/>
        <w:widowControl w:val="0"/>
        <w:spacing w:after="240" w:line="240" w:lineRule="auto"/>
        <w:jc w:val="both"/>
        <w:rPr>
          <w:rFonts w:ascii="Arial" w:hAnsi="Arial" w:cs="Arial"/>
          <w:b/>
          <w:sz w:val="24"/>
          <w:szCs w:val="24"/>
        </w:rPr>
      </w:pPr>
      <w:r>
        <w:rPr>
          <w:rFonts w:ascii="Arial" w:hAnsi="Arial" w:cs="Arial"/>
          <w:b/>
          <w:sz w:val="24"/>
          <w:szCs w:val="24"/>
        </w:rPr>
        <w:t>U</w:t>
      </w:r>
      <w:r w:rsidR="00784069" w:rsidRPr="00336B16">
        <w:rPr>
          <w:rFonts w:ascii="Arial" w:hAnsi="Arial" w:cs="Arial"/>
          <w:b/>
          <w:sz w:val="24"/>
          <w:szCs w:val="24"/>
        </w:rPr>
        <w:t xml:space="preserve">nrestricted funds </w:t>
      </w:r>
    </w:p>
    <w:p w14:paraId="11518A4F" w14:textId="77777777" w:rsidR="001105A4" w:rsidRPr="001105A4" w:rsidRDefault="00784069" w:rsidP="005E47C9">
      <w:pPr>
        <w:keepLines/>
        <w:widowControl w:val="0"/>
        <w:spacing w:after="240" w:line="240" w:lineRule="auto"/>
        <w:jc w:val="both"/>
        <w:rPr>
          <w:rFonts w:ascii="Arial" w:hAnsi="Arial" w:cs="Arial"/>
          <w:b/>
          <w:i/>
          <w:sz w:val="24"/>
          <w:szCs w:val="24"/>
        </w:rPr>
      </w:pPr>
      <w:r w:rsidRPr="00336B16">
        <w:rPr>
          <w:rFonts w:ascii="Arial" w:hAnsi="Arial" w:cs="Arial"/>
          <w:sz w:val="24"/>
          <w:szCs w:val="24"/>
        </w:rPr>
        <w:t>Unrestricted funds comprise accumulated surpluses and deficits on general funds. They are available for use at the discretion of the Trustees in furtherance of the objectives of the Trust.</w:t>
      </w:r>
    </w:p>
    <w:p w14:paraId="0033BFCF" w14:textId="77777777" w:rsidR="00B561CA" w:rsidRPr="00336B16" w:rsidRDefault="00784069" w:rsidP="005E47C9">
      <w:pPr>
        <w:keepLines/>
        <w:widowControl w:val="0"/>
        <w:spacing w:after="240" w:line="240" w:lineRule="auto"/>
        <w:jc w:val="both"/>
        <w:rPr>
          <w:rFonts w:ascii="Arial" w:hAnsi="Arial" w:cs="Arial"/>
          <w:b/>
          <w:sz w:val="24"/>
          <w:szCs w:val="24"/>
        </w:rPr>
      </w:pPr>
      <w:r w:rsidRPr="00336B16">
        <w:rPr>
          <w:rFonts w:ascii="Arial" w:hAnsi="Arial" w:cs="Arial"/>
          <w:b/>
          <w:sz w:val="24"/>
          <w:szCs w:val="24"/>
        </w:rPr>
        <w:t xml:space="preserve">Restricted funds </w:t>
      </w:r>
    </w:p>
    <w:p w14:paraId="5C522A22" w14:textId="77777777" w:rsidR="00784069" w:rsidRPr="00336B16" w:rsidRDefault="00784069" w:rsidP="005E47C9">
      <w:pPr>
        <w:keepLines/>
        <w:widowControl w:val="0"/>
        <w:spacing w:after="240" w:line="240" w:lineRule="auto"/>
        <w:jc w:val="both"/>
        <w:rPr>
          <w:rFonts w:ascii="Arial" w:hAnsi="Arial" w:cs="Arial"/>
          <w:sz w:val="24"/>
          <w:szCs w:val="24"/>
        </w:rPr>
      </w:pPr>
      <w:r w:rsidRPr="00336B16">
        <w:rPr>
          <w:rFonts w:ascii="Arial" w:hAnsi="Arial" w:cs="Arial"/>
          <w:sz w:val="24"/>
          <w:szCs w:val="24"/>
        </w:rPr>
        <w:t>These are funds where the purpose for which they can be used has been specifically restricted by the donor, contractual agreement or the law. The amounts in the funds represent the monies still remaining for future expenditure or funds represented by fixed assets.</w:t>
      </w:r>
    </w:p>
    <w:p w14:paraId="5727548F" w14:textId="77777777" w:rsidR="00B561CA" w:rsidRPr="00336B16" w:rsidRDefault="00784069" w:rsidP="005E47C9">
      <w:pPr>
        <w:keepLines/>
        <w:widowControl w:val="0"/>
        <w:spacing w:after="240" w:line="240" w:lineRule="auto"/>
        <w:jc w:val="both"/>
        <w:rPr>
          <w:rFonts w:ascii="Arial" w:hAnsi="Arial" w:cs="Arial"/>
          <w:b/>
          <w:sz w:val="24"/>
          <w:szCs w:val="24"/>
        </w:rPr>
      </w:pPr>
      <w:r w:rsidRPr="00336B16">
        <w:rPr>
          <w:rFonts w:ascii="Arial" w:hAnsi="Arial" w:cs="Arial"/>
          <w:b/>
          <w:sz w:val="24"/>
          <w:szCs w:val="24"/>
        </w:rPr>
        <w:t xml:space="preserve">Provisions </w:t>
      </w:r>
    </w:p>
    <w:p w14:paraId="1AE3E3FE" w14:textId="77777777" w:rsidR="00784069" w:rsidRDefault="00784069" w:rsidP="005E47C9">
      <w:pPr>
        <w:keepLines/>
        <w:widowControl w:val="0"/>
        <w:spacing w:after="240" w:line="240" w:lineRule="auto"/>
        <w:jc w:val="both"/>
        <w:rPr>
          <w:rFonts w:ascii="Arial" w:hAnsi="Arial" w:cs="Arial"/>
          <w:sz w:val="24"/>
          <w:szCs w:val="24"/>
        </w:rPr>
      </w:pPr>
      <w:r w:rsidRPr="00336B16">
        <w:rPr>
          <w:rFonts w:ascii="Arial" w:hAnsi="Arial" w:cs="Arial"/>
          <w:sz w:val="24"/>
          <w:szCs w:val="24"/>
        </w:rPr>
        <w:t>Provisions are recognised when the Trust has a legal or constructive financial obligation that can be reliably estimated and for which there is an expectation that payment will be made.</w:t>
      </w:r>
    </w:p>
    <w:p w14:paraId="33AE4C49" w14:textId="77777777" w:rsidR="00860235" w:rsidRDefault="00860235" w:rsidP="00860235">
      <w:pPr>
        <w:keepLines/>
        <w:widowControl w:val="0"/>
        <w:spacing w:after="240" w:line="240" w:lineRule="auto"/>
        <w:jc w:val="both"/>
        <w:rPr>
          <w:rFonts w:ascii="Arial" w:hAnsi="Arial" w:cs="Arial"/>
          <w:b/>
          <w:sz w:val="24"/>
          <w:szCs w:val="24"/>
        </w:rPr>
      </w:pPr>
      <w:r w:rsidRPr="00336B16">
        <w:rPr>
          <w:rFonts w:ascii="Arial" w:hAnsi="Arial" w:cs="Arial"/>
          <w:b/>
          <w:sz w:val="24"/>
          <w:szCs w:val="24"/>
        </w:rPr>
        <w:t xml:space="preserve">Pension costs </w:t>
      </w:r>
    </w:p>
    <w:p w14:paraId="40B14B29" w14:textId="77777777" w:rsidR="00860235" w:rsidRDefault="00860235" w:rsidP="00860235">
      <w:pPr>
        <w:keepLines/>
        <w:widowControl w:val="0"/>
        <w:spacing w:after="240" w:line="240" w:lineRule="auto"/>
        <w:jc w:val="both"/>
        <w:rPr>
          <w:rFonts w:ascii="Arial" w:hAnsi="Arial" w:cs="Arial"/>
          <w:sz w:val="24"/>
          <w:szCs w:val="24"/>
        </w:rPr>
      </w:pPr>
      <w:r w:rsidRPr="00336B16">
        <w:rPr>
          <w:rFonts w:ascii="Arial" w:hAnsi="Arial" w:cs="Arial"/>
          <w:sz w:val="24"/>
          <w:szCs w:val="24"/>
        </w:rPr>
        <w:t xml:space="preserve">The Trust operates insured defined contribution pensions for eligible employees.  All applicable pension costs are charged in the Statement of Financial Activities as incurred. </w:t>
      </w:r>
    </w:p>
    <w:p w14:paraId="6C9D3809" w14:textId="77777777" w:rsidR="00860235" w:rsidRDefault="00860235" w:rsidP="00860235">
      <w:pPr>
        <w:keepLines/>
        <w:widowControl w:val="0"/>
        <w:spacing w:after="240" w:line="240" w:lineRule="auto"/>
        <w:jc w:val="both"/>
        <w:rPr>
          <w:rFonts w:ascii="Arial" w:hAnsi="Arial" w:cs="Arial"/>
          <w:sz w:val="24"/>
          <w:szCs w:val="24"/>
        </w:rPr>
      </w:pPr>
      <w:r w:rsidRPr="00336B16">
        <w:rPr>
          <w:rFonts w:ascii="Arial" w:hAnsi="Arial" w:cs="Arial"/>
          <w:sz w:val="24"/>
          <w:szCs w:val="24"/>
        </w:rPr>
        <w:t xml:space="preserve">In addition to the core Shaw Trust </w:t>
      </w:r>
      <w:r w:rsidR="00437A75">
        <w:rPr>
          <w:rFonts w:ascii="Arial" w:hAnsi="Arial" w:cs="Arial"/>
          <w:sz w:val="24"/>
          <w:szCs w:val="24"/>
        </w:rPr>
        <w:t xml:space="preserve">Limited </w:t>
      </w:r>
      <w:r w:rsidRPr="00336B16">
        <w:rPr>
          <w:rFonts w:ascii="Arial" w:hAnsi="Arial" w:cs="Arial"/>
          <w:sz w:val="24"/>
          <w:szCs w:val="24"/>
        </w:rPr>
        <w:t>defined contribution pension scheme, the Trust operates a number of defined benefit pension arrangements, which are detailed in note 24 to the Financial Statements.</w:t>
      </w:r>
    </w:p>
    <w:p w14:paraId="667BB0CC" w14:textId="77777777" w:rsidR="00860235" w:rsidRPr="00492E9F" w:rsidRDefault="00860235" w:rsidP="00860235">
      <w:pPr>
        <w:keepLines/>
        <w:widowControl w:val="0"/>
        <w:spacing w:after="240" w:line="240" w:lineRule="auto"/>
        <w:jc w:val="both"/>
        <w:rPr>
          <w:rFonts w:ascii="Arial" w:hAnsi="Arial" w:cs="Arial"/>
          <w:sz w:val="24"/>
          <w:szCs w:val="24"/>
        </w:rPr>
      </w:pPr>
      <w:r w:rsidRPr="00492E9F">
        <w:rPr>
          <w:rFonts w:ascii="Arial" w:hAnsi="Arial" w:cs="Arial"/>
          <w:sz w:val="24"/>
          <w:szCs w:val="24"/>
        </w:rPr>
        <w:t>The actuarial valuations are obtained at least triennially and are updated at each balance sheet date. The amounts charged to net income</w:t>
      </w:r>
      <w:proofErr w:type="gramStart"/>
      <w:r w:rsidRPr="00492E9F">
        <w:rPr>
          <w:rFonts w:ascii="Arial" w:hAnsi="Arial" w:cs="Arial"/>
          <w:sz w:val="24"/>
          <w:szCs w:val="24"/>
        </w:rPr>
        <w:t>/(</w:t>
      </w:r>
      <w:proofErr w:type="gramEnd"/>
      <w:r w:rsidRPr="00492E9F">
        <w:rPr>
          <w:rFonts w:ascii="Arial" w:hAnsi="Arial" w:cs="Arial"/>
          <w:sz w:val="24"/>
          <w:szCs w:val="24"/>
        </w:rPr>
        <w:t>expenditure) are the current service costs and the costs of scheme introductions, benefit changes, settlements and curtailments. They are included as part of staff costs as incurred. Net interest on the net defined benefit liability/asset is also recognised in the Statement of Financial Activities and comprises the interest cost on the defined benefit obligation and interest income on the scheme assets, calculated by multiplying the fair value of the scheme assets at the beginning of the period by the rate used to discount the benefit obligations. The difference between the interest income on the scheme assets and the actual return on the scheme assets is recognised in other recognised gains and losses.</w:t>
      </w:r>
    </w:p>
    <w:p w14:paraId="323A61F2" w14:textId="77777777" w:rsidR="00860235" w:rsidRPr="00492E9F" w:rsidRDefault="00860235" w:rsidP="00860235">
      <w:pPr>
        <w:keepLines/>
        <w:widowControl w:val="0"/>
        <w:spacing w:after="240" w:line="240" w:lineRule="auto"/>
        <w:jc w:val="both"/>
        <w:rPr>
          <w:rFonts w:ascii="Arial" w:hAnsi="Arial" w:cs="Arial"/>
          <w:sz w:val="24"/>
          <w:szCs w:val="24"/>
        </w:rPr>
      </w:pPr>
      <w:r w:rsidRPr="00492E9F">
        <w:rPr>
          <w:rFonts w:ascii="Arial" w:hAnsi="Arial" w:cs="Arial"/>
          <w:sz w:val="24"/>
          <w:szCs w:val="24"/>
        </w:rPr>
        <w:t>Actuarial gains and losses are recognised immediately in other recognised gains and losses.</w:t>
      </w:r>
    </w:p>
    <w:p w14:paraId="04CC409B" w14:textId="77777777" w:rsidR="00860235" w:rsidRPr="00EA004B" w:rsidRDefault="00860235" w:rsidP="00860235">
      <w:pPr>
        <w:keepLines/>
        <w:widowControl w:val="0"/>
        <w:spacing w:after="240" w:line="240" w:lineRule="auto"/>
        <w:jc w:val="both"/>
        <w:rPr>
          <w:rFonts w:ascii="Arial" w:hAnsi="Arial" w:cs="Arial"/>
          <w:b/>
          <w:i/>
          <w:sz w:val="28"/>
          <w:szCs w:val="28"/>
        </w:rPr>
      </w:pPr>
      <w:r w:rsidRPr="00336B16">
        <w:rPr>
          <w:rFonts w:ascii="Arial" w:hAnsi="Arial" w:cs="Arial"/>
          <w:sz w:val="24"/>
          <w:szCs w:val="24"/>
        </w:rPr>
        <w:t>The costs to the Trust of funding the schemes are accounted for in accordance with FRS 102. The contributions paid by the Trust to the defined contribution schemes are charged as resources expended in the year in which they are payable, in accordance with the rules on accounting for defined contribution pension schemes as set out in FRS 102.</w:t>
      </w:r>
    </w:p>
    <w:p w14:paraId="2AD73CEC" w14:textId="77777777" w:rsidR="00860235" w:rsidRDefault="00860235" w:rsidP="00860235">
      <w:pPr>
        <w:keepLines/>
        <w:widowControl w:val="0"/>
        <w:spacing w:after="240" w:line="240" w:lineRule="auto"/>
        <w:jc w:val="both"/>
        <w:rPr>
          <w:rFonts w:ascii="Arial" w:hAnsi="Arial" w:cs="Arial"/>
          <w:sz w:val="24"/>
          <w:szCs w:val="24"/>
        </w:rPr>
      </w:pPr>
    </w:p>
    <w:p w14:paraId="1E48EF92" w14:textId="77777777" w:rsidR="00860235" w:rsidRDefault="00860235" w:rsidP="00860235">
      <w:pPr>
        <w:keepLines/>
        <w:widowControl w:val="0"/>
        <w:spacing w:after="240" w:line="240" w:lineRule="auto"/>
        <w:jc w:val="both"/>
        <w:rPr>
          <w:rFonts w:ascii="Arial" w:hAnsi="Arial" w:cs="Arial"/>
          <w:sz w:val="24"/>
          <w:szCs w:val="24"/>
        </w:rPr>
      </w:pPr>
    </w:p>
    <w:p w14:paraId="6F1B729A" w14:textId="77777777" w:rsidR="00860235" w:rsidRPr="00142F41" w:rsidRDefault="00860235" w:rsidP="00860235">
      <w:pPr>
        <w:keepLines/>
        <w:widowControl w:val="0"/>
        <w:spacing w:after="240" w:line="240" w:lineRule="auto"/>
        <w:jc w:val="both"/>
        <w:rPr>
          <w:rFonts w:ascii="Arial" w:hAnsi="Arial" w:cs="Arial"/>
          <w:i/>
          <w:sz w:val="24"/>
          <w:szCs w:val="24"/>
        </w:rPr>
      </w:pPr>
      <w:r w:rsidRPr="004B3A7A">
        <w:rPr>
          <w:rFonts w:ascii="Arial" w:hAnsi="Arial" w:cs="Arial"/>
          <w:b/>
          <w:i/>
          <w:sz w:val="24"/>
          <w:szCs w:val="24"/>
        </w:rPr>
        <w:lastRenderedPageBreak/>
        <w:t>Principal accounting policies (continued)</w:t>
      </w:r>
    </w:p>
    <w:p w14:paraId="0B08717D" w14:textId="77777777" w:rsidR="00860235" w:rsidRPr="00336B16" w:rsidRDefault="00860235" w:rsidP="00860235">
      <w:pPr>
        <w:keepLines/>
        <w:widowControl w:val="0"/>
        <w:spacing w:after="240" w:line="240" w:lineRule="auto"/>
        <w:jc w:val="both"/>
        <w:rPr>
          <w:rFonts w:ascii="Arial" w:hAnsi="Arial" w:cs="Arial"/>
          <w:b/>
          <w:sz w:val="24"/>
          <w:szCs w:val="24"/>
        </w:rPr>
      </w:pPr>
      <w:r w:rsidRPr="00336B16">
        <w:rPr>
          <w:rFonts w:ascii="Arial" w:hAnsi="Arial" w:cs="Arial"/>
          <w:b/>
          <w:sz w:val="24"/>
          <w:szCs w:val="24"/>
        </w:rPr>
        <w:t xml:space="preserve">Related party transactions </w:t>
      </w:r>
    </w:p>
    <w:p w14:paraId="5DF67F7B" w14:textId="77777777" w:rsidR="00860235" w:rsidRPr="00336B16" w:rsidRDefault="00860235" w:rsidP="00860235">
      <w:pPr>
        <w:keepLines/>
        <w:widowControl w:val="0"/>
        <w:spacing w:after="240" w:line="240" w:lineRule="auto"/>
        <w:jc w:val="both"/>
        <w:rPr>
          <w:rFonts w:ascii="Arial" w:hAnsi="Arial" w:cs="Arial"/>
          <w:sz w:val="24"/>
          <w:szCs w:val="24"/>
        </w:rPr>
      </w:pPr>
      <w:r w:rsidRPr="00336B16">
        <w:rPr>
          <w:rFonts w:ascii="Arial" w:hAnsi="Arial" w:cs="Arial"/>
          <w:sz w:val="24"/>
          <w:szCs w:val="24"/>
        </w:rPr>
        <w:t>The Shaw Trust Limited is the parent company within a group that prepares consolidated financial statements. The company has taken advantage of the exemption from disclosing transactions with Group entities under the terms of FRS 102.</w:t>
      </w:r>
    </w:p>
    <w:p w14:paraId="54857EEE" w14:textId="77777777" w:rsidR="00860235" w:rsidRPr="00336B16" w:rsidRDefault="00860235" w:rsidP="00860235">
      <w:pPr>
        <w:keepLines/>
        <w:widowControl w:val="0"/>
        <w:spacing w:after="240" w:line="240" w:lineRule="auto"/>
        <w:jc w:val="both"/>
        <w:rPr>
          <w:rFonts w:ascii="Arial" w:hAnsi="Arial" w:cs="Arial"/>
          <w:b/>
          <w:sz w:val="24"/>
          <w:szCs w:val="24"/>
        </w:rPr>
      </w:pPr>
      <w:r w:rsidRPr="00336B16">
        <w:rPr>
          <w:rFonts w:ascii="Arial" w:hAnsi="Arial" w:cs="Arial"/>
          <w:b/>
          <w:sz w:val="24"/>
          <w:szCs w:val="24"/>
        </w:rPr>
        <w:t xml:space="preserve">Foreign exchange transactions </w:t>
      </w:r>
    </w:p>
    <w:p w14:paraId="206343DC" w14:textId="77777777" w:rsidR="00860235" w:rsidRPr="00336B16" w:rsidRDefault="00860235" w:rsidP="00860235">
      <w:pPr>
        <w:keepLines/>
        <w:widowControl w:val="0"/>
        <w:spacing w:after="240" w:line="240" w:lineRule="auto"/>
        <w:jc w:val="both"/>
        <w:rPr>
          <w:rFonts w:ascii="Arial" w:hAnsi="Arial" w:cs="Arial"/>
          <w:b/>
          <w:sz w:val="24"/>
          <w:szCs w:val="24"/>
        </w:rPr>
      </w:pPr>
      <w:r w:rsidRPr="00336B16">
        <w:rPr>
          <w:rFonts w:ascii="Arial" w:hAnsi="Arial" w:cs="Arial"/>
          <w:sz w:val="24"/>
          <w:szCs w:val="24"/>
        </w:rPr>
        <w:t>Foreign currency transactions are recorded at the spot rate at the transaction date.</w:t>
      </w:r>
      <w:r w:rsidRPr="00336B16">
        <w:rPr>
          <w:rFonts w:ascii="Arial" w:hAnsi="Arial" w:cs="Arial"/>
          <w:b/>
          <w:sz w:val="24"/>
          <w:szCs w:val="24"/>
        </w:rPr>
        <w:t xml:space="preserve"> </w:t>
      </w:r>
    </w:p>
    <w:p w14:paraId="1B2F08C5" w14:textId="77777777" w:rsidR="00860235" w:rsidRPr="00336B16" w:rsidRDefault="00860235" w:rsidP="00860235">
      <w:pPr>
        <w:keepLines/>
        <w:widowControl w:val="0"/>
        <w:spacing w:after="240" w:line="240" w:lineRule="auto"/>
        <w:jc w:val="both"/>
        <w:rPr>
          <w:rFonts w:ascii="Arial" w:hAnsi="Arial" w:cs="Arial"/>
          <w:sz w:val="24"/>
          <w:szCs w:val="24"/>
        </w:rPr>
      </w:pPr>
      <w:r w:rsidRPr="00336B16">
        <w:rPr>
          <w:rFonts w:ascii="Arial" w:hAnsi="Arial" w:cs="Arial"/>
          <w:sz w:val="24"/>
          <w:szCs w:val="24"/>
        </w:rPr>
        <w:t>The assets and liabilities of the Trust’s joint ventures and subsidiaries are translated into sterling at the rates ruling at the balance sheet date. The revenue and expenses of those companies are translated into sterling at the average rate during the year and gains or losses arising on translation are dealt with through the Statement of Financial Activities.</w:t>
      </w:r>
    </w:p>
    <w:p w14:paraId="767029BB" w14:textId="77777777" w:rsidR="00860235" w:rsidRDefault="00860235" w:rsidP="00860235">
      <w:pPr>
        <w:keepLines/>
        <w:widowControl w:val="0"/>
        <w:spacing w:after="240" w:line="240" w:lineRule="auto"/>
        <w:jc w:val="both"/>
        <w:rPr>
          <w:rFonts w:ascii="Arial" w:hAnsi="Arial" w:cs="Arial"/>
          <w:b/>
          <w:sz w:val="24"/>
          <w:szCs w:val="24"/>
        </w:rPr>
      </w:pPr>
      <w:r w:rsidRPr="00336B16">
        <w:rPr>
          <w:rFonts w:ascii="Arial" w:hAnsi="Arial" w:cs="Arial"/>
          <w:b/>
          <w:sz w:val="24"/>
          <w:szCs w:val="24"/>
        </w:rPr>
        <w:t>Tax and deferred tax</w:t>
      </w:r>
    </w:p>
    <w:p w14:paraId="47FDE5AA" w14:textId="77777777" w:rsidR="00860235" w:rsidRDefault="00860235" w:rsidP="00860235">
      <w:pPr>
        <w:keepLines/>
        <w:widowControl w:val="0"/>
        <w:spacing w:after="240" w:line="240" w:lineRule="auto"/>
        <w:jc w:val="both"/>
        <w:rPr>
          <w:rFonts w:ascii="Arial" w:hAnsi="Arial" w:cs="Arial"/>
          <w:sz w:val="24"/>
          <w:szCs w:val="24"/>
        </w:rPr>
      </w:pPr>
      <w:r w:rsidRPr="00336B16">
        <w:rPr>
          <w:rFonts w:ascii="Arial" w:hAnsi="Arial" w:cs="Arial"/>
          <w:sz w:val="24"/>
          <w:szCs w:val="24"/>
        </w:rPr>
        <w:t>Current tax arising in non-charitable subsidiaries is recognised for the amount of income tax payable in respect of the taxable profit for the current or past reporting periods using the tax rates and laws that have been enacted or substantively enacted by the reporting date.</w:t>
      </w:r>
    </w:p>
    <w:p w14:paraId="726098F9" w14:textId="77777777" w:rsidR="00860235" w:rsidRDefault="00860235" w:rsidP="00860235">
      <w:pPr>
        <w:keepLines/>
        <w:widowControl w:val="0"/>
        <w:tabs>
          <w:tab w:val="left" w:pos="0"/>
        </w:tabs>
        <w:spacing w:after="240" w:line="240" w:lineRule="auto"/>
        <w:jc w:val="both"/>
        <w:rPr>
          <w:rFonts w:ascii="Arial" w:hAnsi="Arial" w:cs="Arial"/>
          <w:sz w:val="24"/>
          <w:szCs w:val="24"/>
        </w:rPr>
      </w:pPr>
      <w:r w:rsidRPr="00336B16">
        <w:rPr>
          <w:rFonts w:ascii="Arial" w:hAnsi="Arial" w:cs="Arial"/>
          <w:sz w:val="24"/>
          <w:szCs w:val="24"/>
        </w:rPr>
        <w:t xml:space="preserve">Deferred tax is recognised in respect of all timing differences at the reporting date, except as otherwise indicated. </w:t>
      </w:r>
    </w:p>
    <w:p w14:paraId="7ED99013" w14:textId="77777777" w:rsidR="00860235" w:rsidRDefault="00860235" w:rsidP="00860235">
      <w:pPr>
        <w:keepLines/>
        <w:widowControl w:val="0"/>
        <w:tabs>
          <w:tab w:val="left" w:pos="0"/>
        </w:tabs>
        <w:spacing w:after="240" w:line="240" w:lineRule="auto"/>
        <w:jc w:val="both"/>
        <w:rPr>
          <w:rFonts w:ascii="Arial" w:hAnsi="Arial" w:cs="Arial"/>
          <w:sz w:val="24"/>
          <w:szCs w:val="24"/>
        </w:rPr>
      </w:pPr>
      <w:r w:rsidRPr="00336B16">
        <w:rPr>
          <w:rFonts w:ascii="Arial" w:hAnsi="Arial" w:cs="Arial"/>
          <w:sz w:val="24"/>
          <w:szCs w:val="24"/>
        </w:rPr>
        <w:t>Deferred tax assets are only recognised to the extent that it is probably that they will be recovered against the reversal of deferred tax liabilities or other future taxable profits.</w:t>
      </w:r>
    </w:p>
    <w:p w14:paraId="7B792069" w14:textId="77777777" w:rsidR="00860235" w:rsidRDefault="00860235" w:rsidP="00860235">
      <w:pPr>
        <w:keepLines/>
        <w:widowControl w:val="0"/>
        <w:spacing w:after="240" w:line="240" w:lineRule="auto"/>
        <w:jc w:val="both"/>
        <w:rPr>
          <w:rFonts w:ascii="Arial" w:hAnsi="Arial" w:cs="Arial"/>
          <w:sz w:val="24"/>
          <w:szCs w:val="24"/>
        </w:rPr>
      </w:pPr>
      <w:r>
        <w:rPr>
          <w:rFonts w:ascii="Arial" w:hAnsi="Arial" w:cs="Arial"/>
          <w:sz w:val="24"/>
          <w:szCs w:val="24"/>
        </w:rPr>
        <w:t>D</w:t>
      </w:r>
      <w:r w:rsidRPr="00336B16">
        <w:rPr>
          <w:rFonts w:ascii="Arial" w:hAnsi="Arial" w:cs="Arial"/>
          <w:sz w:val="24"/>
          <w:szCs w:val="24"/>
        </w:rPr>
        <w:t>eferred tax is calculated using the tax rates and law that have been enacted or substantively enacted by the reporting date that are expected to ally to the reversal of the timing difference.</w:t>
      </w:r>
    </w:p>
    <w:p w14:paraId="70DD518E" w14:textId="77777777" w:rsidR="00860235" w:rsidRDefault="00860235" w:rsidP="00860235">
      <w:pPr>
        <w:keepLines/>
        <w:widowControl w:val="0"/>
        <w:spacing w:after="240" w:line="240" w:lineRule="auto"/>
        <w:jc w:val="both"/>
        <w:rPr>
          <w:rFonts w:ascii="Arial" w:hAnsi="Arial" w:cs="Arial"/>
          <w:sz w:val="24"/>
          <w:szCs w:val="24"/>
        </w:rPr>
      </w:pPr>
      <w:r w:rsidRPr="00336B16">
        <w:rPr>
          <w:rFonts w:ascii="Arial" w:hAnsi="Arial" w:cs="Arial"/>
          <w:sz w:val="24"/>
          <w:szCs w:val="24"/>
        </w:rPr>
        <w:t>Deferred tax liabilities are presented within provisions for liabilities and deferred tax assets within debtors</w:t>
      </w:r>
      <w:r>
        <w:rPr>
          <w:rFonts w:ascii="Arial" w:hAnsi="Arial" w:cs="Arial"/>
          <w:sz w:val="24"/>
          <w:szCs w:val="24"/>
        </w:rPr>
        <w:t xml:space="preserve">. </w:t>
      </w:r>
    </w:p>
    <w:p w14:paraId="758EA6B3" w14:textId="77777777" w:rsidR="00860235" w:rsidRPr="00D85D6F" w:rsidRDefault="00860235" w:rsidP="00860235">
      <w:pPr>
        <w:rPr>
          <w:rFonts w:ascii="Arial" w:hAnsi="Arial" w:cs="Arial"/>
          <w:b/>
          <w:sz w:val="24"/>
          <w:szCs w:val="24"/>
        </w:rPr>
      </w:pPr>
      <w:r w:rsidRPr="00D85D6F">
        <w:rPr>
          <w:rFonts w:ascii="Arial" w:hAnsi="Arial" w:cs="Arial"/>
          <w:b/>
          <w:sz w:val="24"/>
          <w:szCs w:val="24"/>
        </w:rPr>
        <w:t xml:space="preserve">Critical accounting judgements and estimation uncertainty </w:t>
      </w:r>
    </w:p>
    <w:p w14:paraId="7C9E1371" w14:textId="77777777" w:rsidR="00860235" w:rsidRDefault="00860235" w:rsidP="00860235">
      <w:pPr>
        <w:keepLines/>
        <w:widowControl w:val="0"/>
        <w:spacing w:after="240" w:line="240" w:lineRule="auto"/>
        <w:jc w:val="both"/>
        <w:rPr>
          <w:rFonts w:ascii="Arial" w:hAnsi="Arial" w:cs="Arial"/>
          <w:sz w:val="24"/>
          <w:szCs w:val="24"/>
        </w:rPr>
      </w:pPr>
      <w:r w:rsidRPr="00336B16">
        <w:rPr>
          <w:rFonts w:ascii="Arial" w:hAnsi="Arial" w:cs="Arial"/>
          <w:sz w:val="24"/>
          <w:szCs w:val="24"/>
        </w:rPr>
        <w:t>Estimates and judgements are continually evaluated and are based on historical experience and other factors, including expectations of future events that are believed to be reasonable under the circumstances.</w:t>
      </w:r>
    </w:p>
    <w:p w14:paraId="575CBDFA" w14:textId="77777777" w:rsidR="00860235" w:rsidRPr="00336B16" w:rsidRDefault="00860235" w:rsidP="00860235">
      <w:pPr>
        <w:pStyle w:val="ListParagraph"/>
        <w:keepLines/>
        <w:widowControl w:val="0"/>
        <w:numPr>
          <w:ilvl w:val="0"/>
          <w:numId w:val="1"/>
        </w:numPr>
        <w:spacing w:after="240" w:line="240" w:lineRule="auto"/>
        <w:contextualSpacing w:val="0"/>
        <w:jc w:val="both"/>
        <w:rPr>
          <w:rFonts w:ascii="Arial" w:hAnsi="Arial" w:cs="Arial"/>
          <w:b/>
          <w:sz w:val="24"/>
          <w:szCs w:val="24"/>
        </w:rPr>
      </w:pPr>
      <w:r w:rsidRPr="00336B16">
        <w:rPr>
          <w:rFonts w:ascii="Arial" w:hAnsi="Arial" w:cs="Arial"/>
          <w:b/>
          <w:sz w:val="24"/>
          <w:szCs w:val="24"/>
        </w:rPr>
        <w:t>Critical judgements in applying the Group’s accounting policies</w:t>
      </w:r>
    </w:p>
    <w:p w14:paraId="1BF0F744" w14:textId="77777777" w:rsidR="00860235" w:rsidRDefault="00860235" w:rsidP="00860235">
      <w:pPr>
        <w:jc w:val="both"/>
        <w:rPr>
          <w:rFonts w:ascii="Arial" w:hAnsi="Arial" w:cs="Arial"/>
          <w:sz w:val="24"/>
          <w:szCs w:val="24"/>
        </w:rPr>
      </w:pPr>
      <w:r w:rsidRPr="00336B16">
        <w:rPr>
          <w:rFonts w:ascii="Arial" w:hAnsi="Arial" w:cs="Arial"/>
          <w:sz w:val="24"/>
          <w:szCs w:val="24"/>
        </w:rPr>
        <w:t>Assessing whether the Group controls SET requires judgement</w:t>
      </w:r>
      <w:r>
        <w:rPr>
          <w:rFonts w:ascii="Arial" w:hAnsi="Arial" w:cs="Arial"/>
          <w:sz w:val="24"/>
          <w:szCs w:val="24"/>
        </w:rPr>
        <w:t>.</w:t>
      </w:r>
      <w:r w:rsidRPr="006E7BA3">
        <w:rPr>
          <w:rFonts w:ascii="Arial" w:hAnsi="Arial" w:cs="Arial"/>
          <w:sz w:val="24"/>
          <w:szCs w:val="24"/>
        </w:rPr>
        <w:t xml:space="preserve"> </w:t>
      </w:r>
      <w:r>
        <w:rPr>
          <w:rFonts w:ascii="Arial" w:hAnsi="Arial" w:cs="Arial"/>
          <w:sz w:val="24"/>
          <w:szCs w:val="24"/>
        </w:rPr>
        <w:t>SET is a wholly owned subsidiary of Shaw Trust</w:t>
      </w:r>
      <w:r w:rsidR="00437A75">
        <w:rPr>
          <w:rFonts w:ascii="Arial" w:hAnsi="Arial" w:cs="Arial"/>
          <w:sz w:val="24"/>
          <w:szCs w:val="24"/>
        </w:rPr>
        <w:t xml:space="preserve"> Limited</w:t>
      </w:r>
      <w:r>
        <w:rPr>
          <w:rFonts w:ascii="Arial" w:hAnsi="Arial" w:cs="Arial"/>
          <w:sz w:val="24"/>
          <w:szCs w:val="24"/>
        </w:rPr>
        <w:t xml:space="preserve">, who is also the sponsor company.  Through the SET Articles of Association Shaw Trust </w:t>
      </w:r>
      <w:r w:rsidR="00437A75">
        <w:rPr>
          <w:rFonts w:ascii="Arial" w:hAnsi="Arial" w:cs="Arial"/>
          <w:sz w:val="24"/>
          <w:szCs w:val="24"/>
        </w:rPr>
        <w:t xml:space="preserve">Limited </w:t>
      </w:r>
      <w:r>
        <w:rPr>
          <w:rFonts w:ascii="Arial" w:hAnsi="Arial" w:cs="Arial"/>
          <w:sz w:val="24"/>
          <w:szCs w:val="24"/>
        </w:rPr>
        <w:t>can appoint members and Trustees to the Shaw Education Trust Board, thereby giving control to the decision making and authority for the work of the Academy Trust.  The Group considers that these powers demonstrate that the Group controls SET.</w:t>
      </w:r>
    </w:p>
    <w:p w14:paraId="064A9E35" w14:textId="77777777" w:rsidR="00860235" w:rsidRDefault="00860235" w:rsidP="00860235">
      <w:pPr>
        <w:keepLines/>
        <w:widowControl w:val="0"/>
        <w:spacing w:after="240" w:line="240" w:lineRule="auto"/>
        <w:jc w:val="both"/>
        <w:rPr>
          <w:rFonts w:ascii="Arial" w:hAnsi="Arial" w:cs="Arial"/>
          <w:sz w:val="24"/>
          <w:szCs w:val="24"/>
        </w:rPr>
      </w:pPr>
      <w:r w:rsidRPr="004A4F45">
        <w:rPr>
          <w:rFonts w:ascii="Arial" w:hAnsi="Arial" w:cs="Arial"/>
          <w:sz w:val="24"/>
          <w:szCs w:val="24"/>
        </w:rPr>
        <w:t xml:space="preserve">In addition, Trustees have assessed the value of goodwill in the balance sheet and assessed the need for an impairment review. There is a significant judgement to establish the individual CGUs for the purpose of impairment and to establish a methodology for the allocation of Goodwill to each CGU. </w:t>
      </w:r>
    </w:p>
    <w:p w14:paraId="77A41B10" w14:textId="77777777" w:rsidR="00860235" w:rsidRDefault="00860235" w:rsidP="00860235">
      <w:pPr>
        <w:rPr>
          <w:rFonts w:ascii="Arial" w:hAnsi="Arial" w:cs="Arial"/>
          <w:b/>
          <w:i/>
          <w:sz w:val="24"/>
          <w:szCs w:val="24"/>
        </w:rPr>
      </w:pPr>
      <w:r>
        <w:rPr>
          <w:rFonts w:ascii="Arial" w:hAnsi="Arial" w:cs="Arial"/>
          <w:b/>
          <w:i/>
          <w:sz w:val="24"/>
          <w:szCs w:val="24"/>
        </w:rPr>
        <w:br w:type="page"/>
      </w:r>
    </w:p>
    <w:p w14:paraId="6DAF1D69" w14:textId="77777777" w:rsidR="00860235" w:rsidRPr="00AE28DD" w:rsidRDefault="00860235" w:rsidP="00DC0239">
      <w:pPr>
        <w:pStyle w:val="ListParagraph"/>
        <w:keepLines/>
        <w:widowControl w:val="0"/>
        <w:spacing w:after="240" w:line="240" w:lineRule="auto"/>
        <w:ind w:left="0"/>
        <w:jc w:val="both"/>
        <w:rPr>
          <w:rFonts w:ascii="Arial" w:hAnsi="Arial" w:cs="Arial"/>
          <w:i/>
          <w:sz w:val="24"/>
          <w:szCs w:val="24"/>
        </w:rPr>
      </w:pPr>
      <w:r w:rsidRPr="00AE28DD">
        <w:rPr>
          <w:rFonts w:ascii="Arial" w:hAnsi="Arial" w:cs="Arial"/>
          <w:b/>
          <w:i/>
          <w:sz w:val="24"/>
          <w:szCs w:val="24"/>
        </w:rPr>
        <w:lastRenderedPageBreak/>
        <w:t>Principal accounting policies (continued)</w:t>
      </w:r>
    </w:p>
    <w:p w14:paraId="720834DC" w14:textId="77777777" w:rsidR="00860235" w:rsidRDefault="00860235" w:rsidP="00860235">
      <w:pPr>
        <w:keepLines/>
        <w:widowControl w:val="0"/>
        <w:spacing w:after="240" w:line="240" w:lineRule="auto"/>
        <w:jc w:val="both"/>
        <w:rPr>
          <w:rFonts w:ascii="Arial" w:hAnsi="Arial" w:cs="Arial"/>
          <w:sz w:val="24"/>
          <w:szCs w:val="24"/>
        </w:rPr>
      </w:pPr>
      <w:r w:rsidRPr="004A4F45">
        <w:rPr>
          <w:rFonts w:ascii="Arial" w:hAnsi="Arial" w:cs="Arial"/>
          <w:sz w:val="24"/>
          <w:szCs w:val="24"/>
        </w:rPr>
        <w:t>In</w:t>
      </w:r>
      <w:r>
        <w:rPr>
          <w:rFonts w:ascii="Arial" w:hAnsi="Arial" w:cs="Arial"/>
          <w:sz w:val="24"/>
          <w:szCs w:val="24"/>
        </w:rPr>
        <w:t xml:space="preserve"> the case of the Prospects group we determined the CGUs to be the individual trading businesses as the cash flows, assets and liabilities of these businesses are separately identifiable</w:t>
      </w:r>
    </w:p>
    <w:p w14:paraId="3FE0D588" w14:textId="77777777" w:rsidR="00860235" w:rsidRPr="00D85D6F" w:rsidRDefault="00860235" w:rsidP="00860235">
      <w:pPr>
        <w:rPr>
          <w:rFonts w:ascii="Arial" w:hAnsi="Arial" w:cs="Arial"/>
          <w:b/>
          <w:sz w:val="24"/>
          <w:szCs w:val="24"/>
        </w:rPr>
      </w:pPr>
      <w:r w:rsidRPr="00D85D6F">
        <w:rPr>
          <w:rFonts w:ascii="Arial" w:hAnsi="Arial" w:cs="Arial"/>
          <w:b/>
          <w:sz w:val="24"/>
          <w:szCs w:val="24"/>
        </w:rPr>
        <w:t xml:space="preserve">Key accounting estimates and assumptions </w:t>
      </w:r>
    </w:p>
    <w:p w14:paraId="2F6C94C1" w14:textId="77777777" w:rsidR="00860235" w:rsidRPr="00336B16" w:rsidRDefault="00860235" w:rsidP="00860235">
      <w:pPr>
        <w:keepLines/>
        <w:widowControl w:val="0"/>
        <w:spacing w:after="240" w:line="240" w:lineRule="auto"/>
        <w:jc w:val="both"/>
        <w:rPr>
          <w:rFonts w:ascii="Arial" w:hAnsi="Arial" w:cs="Arial"/>
          <w:sz w:val="24"/>
          <w:szCs w:val="24"/>
        </w:rPr>
      </w:pPr>
      <w:r w:rsidRPr="00336B16">
        <w:rPr>
          <w:rFonts w:ascii="Arial" w:hAnsi="Arial" w:cs="Arial"/>
          <w:sz w:val="24"/>
          <w:szCs w:val="24"/>
        </w:rPr>
        <w:t>The Group makes estimates and assumptions concerning the future. The resulting accounting estimates will, by definition, seldom equal the related actual results. The estimates and assumptions that have a significant risk of causing a material adjustment to the carry amounts of assets and liabilities within the next financial year are addressed below.</w:t>
      </w:r>
    </w:p>
    <w:p w14:paraId="73937B7D" w14:textId="77777777" w:rsidR="00860235" w:rsidRPr="00336B16" w:rsidRDefault="00860235" w:rsidP="00860235">
      <w:pPr>
        <w:pStyle w:val="ListParagraph"/>
        <w:keepLines/>
        <w:widowControl w:val="0"/>
        <w:numPr>
          <w:ilvl w:val="0"/>
          <w:numId w:val="2"/>
        </w:numPr>
        <w:spacing w:after="240" w:line="240" w:lineRule="auto"/>
        <w:contextualSpacing w:val="0"/>
        <w:jc w:val="both"/>
        <w:rPr>
          <w:rFonts w:ascii="Arial" w:hAnsi="Arial" w:cs="Arial"/>
          <w:sz w:val="24"/>
          <w:szCs w:val="24"/>
        </w:rPr>
      </w:pPr>
      <w:r w:rsidRPr="00336B16">
        <w:rPr>
          <w:rFonts w:ascii="Arial" w:hAnsi="Arial" w:cs="Arial"/>
          <w:sz w:val="24"/>
          <w:szCs w:val="24"/>
        </w:rPr>
        <w:t>Impairment of intang</w:t>
      </w:r>
      <w:r>
        <w:rPr>
          <w:rFonts w:ascii="Arial" w:hAnsi="Arial" w:cs="Arial"/>
          <w:sz w:val="24"/>
          <w:szCs w:val="24"/>
        </w:rPr>
        <w:t>ible assets and goodwill (note 7</w:t>
      </w:r>
      <w:r w:rsidRPr="00336B16">
        <w:rPr>
          <w:rFonts w:ascii="Arial" w:hAnsi="Arial" w:cs="Arial"/>
          <w:sz w:val="24"/>
          <w:szCs w:val="24"/>
        </w:rPr>
        <w:t xml:space="preserve">) </w:t>
      </w:r>
    </w:p>
    <w:p w14:paraId="7BF56045" w14:textId="77777777" w:rsidR="00860235" w:rsidRPr="00492E9F" w:rsidRDefault="00860235" w:rsidP="00860235">
      <w:pPr>
        <w:keepLines/>
        <w:widowControl w:val="0"/>
        <w:spacing w:after="240" w:line="240" w:lineRule="auto"/>
        <w:jc w:val="both"/>
        <w:rPr>
          <w:rFonts w:ascii="Arial" w:hAnsi="Arial" w:cs="Arial"/>
          <w:sz w:val="24"/>
          <w:szCs w:val="24"/>
        </w:rPr>
      </w:pPr>
      <w:r w:rsidRPr="00336B16">
        <w:rPr>
          <w:rFonts w:ascii="Arial" w:hAnsi="Arial" w:cs="Arial"/>
          <w:sz w:val="24"/>
          <w:szCs w:val="24"/>
        </w:rPr>
        <w:t>The Group considers whether intangible assets and goodwill are impaired.  Where an indication of impairment is identified the estimation of recoverable value requires estimation of the recoverable valu</w:t>
      </w:r>
      <w:r>
        <w:rPr>
          <w:rFonts w:ascii="Arial" w:hAnsi="Arial" w:cs="Arial"/>
          <w:sz w:val="24"/>
          <w:szCs w:val="24"/>
        </w:rPr>
        <w:t>e of the CGU</w:t>
      </w:r>
      <w:r w:rsidRPr="00336B16">
        <w:rPr>
          <w:rFonts w:ascii="Arial" w:hAnsi="Arial" w:cs="Arial"/>
          <w:sz w:val="24"/>
          <w:szCs w:val="24"/>
        </w:rPr>
        <w:t xml:space="preserve">.  This requires estimation of the future cash flows from the CGUs and also selection of appropriate discount rates in order to calculate the net present </w:t>
      </w:r>
      <w:r w:rsidRPr="004A4F45">
        <w:rPr>
          <w:rFonts w:ascii="Arial" w:hAnsi="Arial" w:cs="Arial"/>
          <w:sz w:val="24"/>
          <w:szCs w:val="24"/>
        </w:rPr>
        <w:t xml:space="preserve">value of those cash flows. Where it indicates that the Net Present Value of the CGU is lower than its value shown in the </w:t>
      </w:r>
      <w:r w:rsidR="008679F3">
        <w:rPr>
          <w:rFonts w:ascii="Arial" w:hAnsi="Arial" w:cs="Arial"/>
          <w:sz w:val="24"/>
          <w:szCs w:val="24"/>
        </w:rPr>
        <w:t>financial statements</w:t>
      </w:r>
      <w:r w:rsidR="008679F3" w:rsidRPr="004A4F45">
        <w:rPr>
          <w:rFonts w:ascii="Arial" w:hAnsi="Arial" w:cs="Arial"/>
          <w:sz w:val="24"/>
          <w:szCs w:val="24"/>
        </w:rPr>
        <w:t xml:space="preserve"> </w:t>
      </w:r>
      <w:proofErr w:type="gramStart"/>
      <w:r w:rsidRPr="004A4F45">
        <w:rPr>
          <w:rFonts w:ascii="Arial" w:hAnsi="Arial" w:cs="Arial"/>
          <w:sz w:val="24"/>
          <w:szCs w:val="24"/>
        </w:rPr>
        <w:t>an</w:t>
      </w:r>
      <w:proofErr w:type="gramEnd"/>
      <w:r w:rsidRPr="004A4F45">
        <w:rPr>
          <w:rFonts w:ascii="Arial" w:hAnsi="Arial" w:cs="Arial"/>
          <w:sz w:val="24"/>
          <w:szCs w:val="24"/>
        </w:rPr>
        <w:t xml:space="preserve"> impairment is taken. In the year ended 31 August 2019 this amounted to an additional write-down in goodwill of £15.8m.</w:t>
      </w:r>
      <w:r>
        <w:rPr>
          <w:rFonts w:ascii="Arial" w:hAnsi="Arial" w:cs="Arial"/>
          <w:sz w:val="24"/>
          <w:szCs w:val="24"/>
        </w:rPr>
        <w:t xml:space="preserve"> </w:t>
      </w:r>
      <w:r w:rsidRPr="00492E9F">
        <w:rPr>
          <w:rFonts w:ascii="Arial" w:hAnsi="Arial" w:cs="Arial"/>
          <w:sz w:val="24"/>
          <w:szCs w:val="24"/>
        </w:rPr>
        <w:t>There was no such adjustment required in the year ended 31 August 2020.</w:t>
      </w:r>
    </w:p>
    <w:p w14:paraId="0F7B2CA2" w14:textId="77777777" w:rsidR="00860235" w:rsidRPr="00336B16" w:rsidRDefault="00860235" w:rsidP="00860235">
      <w:pPr>
        <w:pStyle w:val="ListParagraph"/>
        <w:keepLines/>
        <w:widowControl w:val="0"/>
        <w:numPr>
          <w:ilvl w:val="0"/>
          <w:numId w:val="2"/>
        </w:numPr>
        <w:spacing w:after="240" w:line="240" w:lineRule="auto"/>
        <w:contextualSpacing w:val="0"/>
        <w:jc w:val="both"/>
        <w:rPr>
          <w:rFonts w:ascii="Arial" w:hAnsi="Arial" w:cs="Arial"/>
          <w:sz w:val="24"/>
          <w:szCs w:val="24"/>
        </w:rPr>
      </w:pPr>
      <w:r w:rsidRPr="00336B16">
        <w:rPr>
          <w:rFonts w:ascii="Arial" w:hAnsi="Arial" w:cs="Arial"/>
          <w:sz w:val="24"/>
          <w:szCs w:val="24"/>
        </w:rPr>
        <w:t xml:space="preserve">Provisions (note 17) </w:t>
      </w:r>
    </w:p>
    <w:p w14:paraId="036BF62E" w14:textId="77777777" w:rsidR="00860235" w:rsidRPr="00336B16" w:rsidRDefault="00860235" w:rsidP="00860235">
      <w:pPr>
        <w:keepLines/>
        <w:widowControl w:val="0"/>
        <w:spacing w:after="240" w:line="240" w:lineRule="auto"/>
        <w:jc w:val="both"/>
        <w:rPr>
          <w:rFonts w:ascii="Arial" w:hAnsi="Arial" w:cs="Arial"/>
          <w:sz w:val="24"/>
          <w:szCs w:val="24"/>
        </w:rPr>
      </w:pPr>
      <w:r w:rsidRPr="00336B16">
        <w:rPr>
          <w:rFonts w:ascii="Arial" w:hAnsi="Arial" w:cs="Arial"/>
          <w:sz w:val="24"/>
          <w:szCs w:val="24"/>
        </w:rPr>
        <w:t xml:space="preserve">Provision is made for </w:t>
      </w:r>
      <w:r>
        <w:rPr>
          <w:rFonts w:ascii="Arial" w:hAnsi="Arial" w:cs="Arial"/>
          <w:sz w:val="24"/>
          <w:szCs w:val="24"/>
        </w:rPr>
        <w:t xml:space="preserve">dilapidations, </w:t>
      </w:r>
      <w:r w:rsidRPr="00336B16">
        <w:rPr>
          <w:rFonts w:ascii="Arial" w:hAnsi="Arial" w:cs="Arial"/>
          <w:sz w:val="24"/>
          <w:szCs w:val="24"/>
        </w:rPr>
        <w:t>asset retire</w:t>
      </w:r>
      <w:r>
        <w:rPr>
          <w:rFonts w:ascii="Arial" w:hAnsi="Arial" w:cs="Arial"/>
          <w:sz w:val="24"/>
          <w:szCs w:val="24"/>
        </w:rPr>
        <w:t xml:space="preserve">ment obligations </w:t>
      </w:r>
      <w:r w:rsidRPr="00336B16">
        <w:rPr>
          <w:rFonts w:ascii="Arial" w:hAnsi="Arial" w:cs="Arial"/>
          <w:sz w:val="24"/>
          <w:szCs w:val="24"/>
        </w:rPr>
        <w:t>and contingencies.</w:t>
      </w:r>
      <w:r>
        <w:rPr>
          <w:rFonts w:ascii="Arial" w:hAnsi="Arial" w:cs="Arial"/>
          <w:sz w:val="24"/>
          <w:szCs w:val="24"/>
        </w:rPr>
        <w:t xml:space="preserve"> </w:t>
      </w:r>
      <w:r w:rsidRPr="00336B16">
        <w:rPr>
          <w:rFonts w:ascii="Arial" w:hAnsi="Arial" w:cs="Arial"/>
          <w:sz w:val="24"/>
          <w:szCs w:val="24"/>
        </w:rPr>
        <w:t>These provisions require management’s best estimate of the costs that will be in</w:t>
      </w:r>
      <w:r>
        <w:rPr>
          <w:rFonts w:ascii="Arial" w:hAnsi="Arial" w:cs="Arial"/>
          <w:sz w:val="24"/>
          <w:szCs w:val="24"/>
        </w:rPr>
        <w:t xml:space="preserve">curred based on legislative and </w:t>
      </w:r>
      <w:r w:rsidRPr="00336B16">
        <w:rPr>
          <w:rFonts w:ascii="Arial" w:hAnsi="Arial" w:cs="Arial"/>
          <w:sz w:val="24"/>
          <w:szCs w:val="24"/>
        </w:rPr>
        <w:t>contractua</w:t>
      </w:r>
      <w:r>
        <w:rPr>
          <w:rFonts w:ascii="Arial" w:hAnsi="Arial" w:cs="Arial"/>
          <w:sz w:val="24"/>
          <w:szCs w:val="24"/>
        </w:rPr>
        <w:t>l requirements. In addition,</w:t>
      </w:r>
      <w:r w:rsidRPr="00336B16">
        <w:rPr>
          <w:rFonts w:ascii="Arial" w:hAnsi="Arial" w:cs="Arial"/>
          <w:sz w:val="24"/>
          <w:szCs w:val="24"/>
        </w:rPr>
        <w:t xml:space="preserve"> timing of the cash flows and discount rates used to establish net present value of the obligations require management judgement. </w:t>
      </w:r>
    </w:p>
    <w:p w14:paraId="5FD00672" w14:textId="77777777" w:rsidR="00860235" w:rsidRPr="004D46F9" w:rsidRDefault="00860235" w:rsidP="00860235">
      <w:pPr>
        <w:pStyle w:val="ListParagraph"/>
        <w:keepLines/>
        <w:widowControl w:val="0"/>
        <w:numPr>
          <w:ilvl w:val="0"/>
          <w:numId w:val="2"/>
        </w:numPr>
        <w:spacing w:after="240" w:line="240" w:lineRule="auto"/>
        <w:jc w:val="both"/>
        <w:rPr>
          <w:rFonts w:ascii="Arial" w:hAnsi="Arial" w:cs="Arial"/>
          <w:sz w:val="24"/>
          <w:szCs w:val="24"/>
        </w:rPr>
      </w:pPr>
      <w:r w:rsidRPr="004D46F9">
        <w:rPr>
          <w:rFonts w:ascii="Arial" w:hAnsi="Arial" w:cs="Arial"/>
          <w:sz w:val="24"/>
          <w:szCs w:val="24"/>
        </w:rPr>
        <w:t xml:space="preserve">Defined benefit pension scheme (note 24) </w:t>
      </w:r>
    </w:p>
    <w:p w14:paraId="4A94250C" w14:textId="77777777" w:rsidR="00860235" w:rsidRDefault="00860235" w:rsidP="00860235">
      <w:pPr>
        <w:keepLines/>
        <w:widowControl w:val="0"/>
        <w:spacing w:after="240" w:line="240" w:lineRule="auto"/>
        <w:jc w:val="both"/>
        <w:rPr>
          <w:rFonts w:ascii="Arial" w:hAnsi="Arial" w:cs="Arial"/>
          <w:sz w:val="24"/>
          <w:szCs w:val="24"/>
        </w:rPr>
      </w:pPr>
      <w:r w:rsidRPr="00336B16">
        <w:rPr>
          <w:rFonts w:ascii="Arial" w:hAnsi="Arial" w:cs="Arial"/>
          <w:sz w:val="24"/>
          <w:szCs w:val="24"/>
        </w:rPr>
        <w:t>The Group has obligations to pay pension benefits to certain employees. The cost of these benefits and the present value of the obligation depend on a number of factors, including: life expectancy, salary in</w:t>
      </w:r>
      <w:r>
        <w:rPr>
          <w:rFonts w:ascii="Arial" w:hAnsi="Arial" w:cs="Arial"/>
          <w:sz w:val="24"/>
          <w:szCs w:val="24"/>
        </w:rPr>
        <w:t>creases, asset valuation and the</w:t>
      </w:r>
      <w:r w:rsidRPr="00336B16">
        <w:rPr>
          <w:rFonts w:ascii="Arial" w:hAnsi="Arial" w:cs="Arial"/>
          <w:sz w:val="24"/>
          <w:szCs w:val="24"/>
        </w:rPr>
        <w:t xml:space="preserve"> </w:t>
      </w:r>
      <w:r>
        <w:rPr>
          <w:rFonts w:ascii="Arial" w:hAnsi="Arial" w:cs="Arial"/>
          <w:sz w:val="24"/>
          <w:szCs w:val="24"/>
        </w:rPr>
        <w:t xml:space="preserve">corporate bond </w:t>
      </w:r>
      <w:r w:rsidRPr="00336B16">
        <w:rPr>
          <w:rFonts w:ascii="Arial" w:hAnsi="Arial" w:cs="Arial"/>
          <w:sz w:val="24"/>
          <w:szCs w:val="24"/>
        </w:rPr>
        <w:t>discount rate. Management estimates these factors in determining the net pension obligation in the balance sheet. The assumptions reflect historical experience and current trends.</w:t>
      </w:r>
    </w:p>
    <w:p w14:paraId="305E0AD6" w14:textId="77777777" w:rsidR="00EA004B" w:rsidRDefault="00EA004B" w:rsidP="00190D85">
      <w:pPr>
        <w:rPr>
          <w:rFonts w:ascii="Arial" w:hAnsi="Arial" w:cs="Arial"/>
          <w:b/>
          <w:sz w:val="32"/>
          <w:szCs w:val="32"/>
        </w:rPr>
        <w:sectPr w:rsidR="00EA004B" w:rsidSect="00EA004B">
          <w:type w:val="continuous"/>
          <w:pgSz w:w="11906" w:h="16838"/>
          <w:pgMar w:top="1440" w:right="1440" w:bottom="1440" w:left="1440" w:header="708" w:footer="708" w:gutter="0"/>
          <w:cols w:num="2" w:space="708"/>
          <w:docGrid w:linePitch="360"/>
        </w:sectPr>
      </w:pPr>
    </w:p>
    <w:p w14:paraId="22D2868A" w14:textId="77777777" w:rsidR="00190D85" w:rsidRDefault="00EA004B" w:rsidP="00017DCA">
      <w:pPr>
        <w:rPr>
          <w:rFonts w:ascii="Arial" w:hAnsi="Arial" w:cs="Arial"/>
          <w:b/>
          <w:sz w:val="32"/>
          <w:szCs w:val="32"/>
        </w:rPr>
      </w:pPr>
      <w:r>
        <w:rPr>
          <w:rFonts w:ascii="Arial" w:hAnsi="Arial" w:cs="Arial"/>
          <w:b/>
          <w:sz w:val="32"/>
          <w:szCs w:val="32"/>
        </w:rPr>
        <w:br w:type="page"/>
      </w:r>
      <w:r w:rsidR="00190D85" w:rsidRPr="00F04499">
        <w:rPr>
          <w:rFonts w:ascii="Arial" w:hAnsi="Arial" w:cs="Arial"/>
          <w:b/>
          <w:sz w:val="32"/>
          <w:szCs w:val="32"/>
        </w:rPr>
        <w:lastRenderedPageBreak/>
        <w:t xml:space="preserve">Notes to the financial </w:t>
      </w:r>
      <w:r w:rsidR="008679F3">
        <w:rPr>
          <w:rFonts w:ascii="Arial" w:hAnsi="Arial" w:cs="Arial"/>
          <w:b/>
          <w:sz w:val="32"/>
          <w:szCs w:val="32"/>
        </w:rPr>
        <w:t>statements</w:t>
      </w:r>
    </w:p>
    <w:p w14:paraId="01802AF6" w14:textId="77777777" w:rsidR="005E2010" w:rsidRDefault="005E2010" w:rsidP="00017DCA">
      <w:pPr>
        <w:rPr>
          <w:rFonts w:ascii="Arial" w:eastAsia="Times New Roman" w:hAnsi="Arial" w:cs="Arial"/>
          <w:b/>
          <w:bCs/>
          <w:sz w:val="24"/>
          <w:szCs w:val="24"/>
          <w:lang w:eastAsia="en-GB"/>
        </w:rPr>
      </w:pPr>
      <w:r w:rsidRPr="00F04499">
        <w:rPr>
          <w:rFonts w:ascii="Arial" w:eastAsia="Times New Roman" w:hAnsi="Arial" w:cs="Arial"/>
          <w:b/>
          <w:bCs/>
          <w:sz w:val="24"/>
          <w:szCs w:val="24"/>
          <w:lang w:eastAsia="en-GB"/>
        </w:rPr>
        <w:t>1. Total incoming resources / material funders</w:t>
      </w:r>
    </w:p>
    <w:p w14:paraId="2CFCD624" w14:textId="77777777" w:rsidR="005E2010" w:rsidRPr="00F04499" w:rsidRDefault="005E2010" w:rsidP="00017DCA">
      <w:pPr>
        <w:rPr>
          <w:rFonts w:ascii="Arial" w:hAnsi="Arial" w:cs="Arial"/>
          <w:b/>
          <w:sz w:val="32"/>
          <w:szCs w:val="32"/>
        </w:rPr>
      </w:pPr>
      <w:r w:rsidRPr="005E6CAA">
        <w:rPr>
          <w:rFonts w:ascii="Arial" w:eastAsia="Times New Roman" w:hAnsi="Arial" w:cs="Arial"/>
          <w:lang w:eastAsia="en-GB"/>
        </w:rPr>
        <w:t>The total income of the Trust, including income derived from international joint ventures, comprises:</w:t>
      </w:r>
    </w:p>
    <w:tbl>
      <w:tblPr>
        <w:tblW w:w="10246" w:type="dxa"/>
        <w:tblLook w:val="04A0" w:firstRow="1" w:lastRow="0" w:firstColumn="1" w:lastColumn="0" w:noHBand="0" w:noVBand="1"/>
      </w:tblPr>
      <w:tblGrid>
        <w:gridCol w:w="2679"/>
        <w:gridCol w:w="500"/>
        <w:gridCol w:w="895"/>
        <w:gridCol w:w="257"/>
        <w:gridCol w:w="64"/>
        <w:gridCol w:w="700"/>
        <w:gridCol w:w="163"/>
        <w:gridCol w:w="102"/>
        <w:gridCol w:w="437"/>
        <w:gridCol w:w="327"/>
        <w:gridCol w:w="97"/>
        <w:gridCol w:w="156"/>
        <w:gridCol w:w="357"/>
        <w:gridCol w:w="196"/>
        <w:gridCol w:w="176"/>
        <w:gridCol w:w="251"/>
        <w:gridCol w:w="107"/>
        <w:gridCol w:w="290"/>
        <w:gridCol w:w="1115"/>
        <w:gridCol w:w="100"/>
        <w:gridCol w:w="611"/>
        <w:gridCol w:w="666"/>
      </w:tblGrid>
      <w:tr w:rsidR="00226CBF" w:rsidRPr="00034E33" w14:paraId="0BFFC195" w14:textId="77777777" w:rsidTr="00454D0E">
        <w:trPr>
          <w:gridAfter w:val="3"/>
          <w:wAfter w:w="1377" w:type="dxa"/>
          <w:trHeight w:val="470"/>
        </w:trPr>
        <w:tc>
          <w:tcPr>
            <w:tcW w:w="2679" w:type="dxa"/>
            <w:tcBorders>
              <w:top w:val="nil"/>
              <w:left w:val="nil"/>
              <w:bottom w:val="nil"/>
              <w:right w:val="nil"/>
            </w:tcBorders>
            <w:shd w:val="clear" w:color="auto" w:fill="auto"/>
            <w:noWrap/>
            <w:vAlign w:val="center"/>
            <w:hideMark/>
          </w:tcPr>
          <w:p w14:paraId="7AAFF473" w14:textId="77777777" w:rsidR="00226CBF" w:rsidRPr="00034E33" w:rsidRDefault="00226CBF" w:rsidP="00226CBF">
            <w:pPr>
              <w:spacing w:after="0" w:line="240" w:lineRule="auto"/>
              <w:rPr>
                <w:rFonts w:ascii="Times New Roman" w:eastAsia="Times New Roman" w:hAnsi="Times New Roman" w:cs="Times New Roman"/>
                <w:sz w:val="20"/>
                <w:szCs w:val="20"/>
                <w:lang w:eastAsia="en-GB"/>
              </w:rPr>
            </w:pPr>
          </w:p>
        </w:tc>
        <w:tc>
          <w:tcPr>
            <w:tcW w:w="1395" w:type="dxa"/>
            <w:gridSpan w:val="2"/>
            <w:tcBorders>
              <w:top w:val="nil"/>
              <w:left w:val="nil"/>
              <w:bottom w:val="nil"/>
              <w:right w:val="nil"/>
            </w:tcBorders>
            <w:shd w:val="clear" w:color="auto" w:fill="auto"/>
            <w:vAlign w:val="center"/>
            <w:hideMark/>
          </w:tcPr>
          <w:p w14:paraId="4B41CF28" w14:textId="77777777" w:rsidR="00226CBF" w:rsidRPr="00C44565" w:rsidRDefault="00226CBF" w:rsidP="00C44565">
            <w:pPr>
              <w:spacing w:after="0" w:line="240" w:lineRule="auto"/>
              <w:jc w:val="right"/>
              <w:rPr>
                <w:rFonts w:ascii="Arial" w:eastAsia="Times New Roman" w:hAnsi="Arial" w:cs="Arial"/>
                <w:b/>
                <w:sz w:val="20"/>
                <w:szCs w:val="20"/>
                <w:lang w:eastAsia="en-GB"/>
              </w:rPr>
            </w:pPr>
            <w:r w:rsidRPr="00C44565">
              <w:rPr>
                <w:rFonts w:ascii="Arial" w:eastAsia="Times New Roman" w:hAnsi="Arial" w:cs="Arial"/>
                <w:b/>
                <w:sz w:val="20"/>
                <w:szCs w:val="20"/>
                <w:lang w:eastAsia="en-GB"/>
              </w:rPr>
              <w:t>Unrestricted funds</w:t>
            </w:r>
          </w:p>
        </w:tc>
        <w:tc>
          <w:tcPr>
            <w:tcW w:w="1286" w:type="dxa"/>
            <w:gridSpan w:val="5"/>
            <w:tcBorders>
              <w:top w:val="nil"/>
              <w:left w:val="nil"/>
              <w:bottom w:val="nil"/>
              <w:right w:val="nil"/>
            </w:tcBorders>
            <w:shd w:val="clear" w:color="auto" w:fill="auto"/>
            <w:vAlign w:val="center"/>
            <w:hideMark/>
          </w:tcPr>
          <w:p w14:paraId="36B51F01" w14:textId="77777777" w:rsidR="00226CBF" w:rsidRPr="00C44565" w:rsidRDefault="00226CBF" w:rsidP="00C44565">
            <w:pPr>
              <w:spacing w:after="0" w:line="240" w:lineRule="auto"/>
              <w:jc w:val="right"/>
              <w:rPr>
                <w:rFonts w:ascii="Arial" w:eastAsia="Times New Roman" w:hAnsi="Arial" w:cs="Arial"/>
                <w:b/>
                <w:sz w:val="20"/>
                <w:szCs w:val="20"/>
                <w:lang w:eastAsia="en-GB"/>
              </w:rPr>
            </w:pPr>
            <w:r w:rsidRPr="00C44565">
              <w:rPr>
                <w:rFonts w:ascii="Arial" w:eastAsia="Times New Roman" w:hAnsi="Arial" w:cs="Arial"/>
                <w:b/>
                <w:sz w:val="20"/>
                <w:szCs w:val="20"/>
                <w:lang w:eastAsia="en-GB"/>
              </w:rPr>
              <w:t xml:space="preserve">Restricted </w:t>
            </w:r>
            <w:r w:rsidRPr="00C44565">
              <w:rPr>
                <w:rFonts w:ascii="Arial" w:eastAsia="Times New Roman" w:hAnsi="Arial" w:cs="Arial"/>
                <w:b/>
                <w:sz w:val="20"/>
                <w:szCs w:val="20"/>
                <w:lang w:eastAsia="en-GB"/>
              </w:rPr>
              <w:br/>
              <w:t>funds</w:t>
            </w:r>
          </w:p>
        </w:tc>
        <w:tc>
          <w:tcPr>
            <w:tcW w:w="1374" w:type="dxa"/>
            <w:gridSpan w:val="5"/>
            <w:tcBorders>
              <w:top w:val="nil"/>
              <w:left w:val="nil"/>
              <w:bottom w:val="nil"/>
              <w:right w:val="nil"/>
            </w:tcBorders>
            <w:shd w:val="clear" w:color="auto" w:fill="auto"/>
            <w:noWrap/>
            <w:vAlign w:val="center"/>
            <w:hideMark/>
          </w:tcPr>
          <w:p w14:paraId="5D732B4C" w14:textId="77777777" w:rsidR="00226CBF" w:rsidRPr="00C44565" w:rsidRDefault="00226CBF" w:rsidP="00C44565">
            <w:pPr>
              <w:spacing w:after="0" w:line="240" w:lineRule="auto"/>
              <w:jc w:val="right"/>
              <w:rPr>
                <w:rFonts w:ascii="Arial" w:eastAsia="Times New Roman" w:hAnsi="Arial" w:cs="Arial"/>
                <w:b/>
                <w:bCs/>
                <w:sz w:val="20"/>
                <w:szCs w:val="20"/>
                <w:lang w:eastAsia="en-GB"/>
              </w:rPr>
            </w:pPr>
            <w:r w:rsidRPr="00C44565">
              <w:rPr>
                <w:rFonts w:ascii="Arial" w:eastAsia="Times New Roman" w:hAnsi="Arial" w:cs="Arial"/>
                <w:b/>
                <w:bCs/>
                <w:sz w:val="20"/>
                <w:szCs w:val="20"/>
                <w:lang w:eastAsia="en-GB"/>
              </w:rPr>
              <w:t>Year ended 31 August 2020</w:t>
            </w:r>
          </w:p>
        </w:tc>
        <w:tc>
          <w:tcPr>
            <w:tcW w:w="2135" w:type="dxa"/>
            <w:gridSpan w:val="6"/>
            <w:tcBorders>
              <w:top w:val="nil"/>
              <w:left w:val="nil"/>
              <w:bottom w:val="nil"/>
              <w:right w:val="nil"/>
            </w:tcBorders>
            <w:shd w:val="clear" w:color="auto" w:fill="auto"/>
            <w:noWrap/>
            <w:vAlign w:val="center"/>
            <w:hideMark/>
          </w:tcPr>
          <w:p w14:paraId="2650FCD2" w14:textId="77777777" w:rsidR="00226CBF" w:rsidRPr="00226CBF" w:rsidRDefault="00226CBF" w:rsidP="00C44565">
            <w:pPr>
              <w:spacing w:after="0" w:line="240" w:lineRule="auto"/>
              <w:jc w:val="right"/>
              <w:rPr>
                <w:rFonts w:ascii="Arial" w:eastAsia="Times New Roman" w:hAnsi="Arial" w:cs="Arial"/>
                <w:sz w:val="20"/>
                <w:szCs w:val="20"/>
                <w:lang w:eastAsia="en-GB"/>
              </w:rPr>
            </w:pPr>
            <w:r w:rsidRPr="00226CBF">
              <w:rPr>
                <w:rFonts w:ascii="Arial" w:eastAsia="Times New Roman" w:hAnsi="Arial" w:cs="Arial"/>
                <w:bCs/>
                <w:sz w:val="20"/>
                <w:szCs w:val="20"/>
                <w:lang w:eastAsia="en-GB"/>
              </w:rPr>
              <w:t xml:space="preserve">Year ended 31 August </w:t>
            </w:r>
            <w:r>
              <w:rPr>
                <w:rFonts w:ascii="Arial" w:eastAsia="Times New Roman" w:hAnsi="Arial" w:cs="Arial"/>
                <w:bCs/>
                <w:sz w:val="20"/>
                <w:szCs w:val="20"/>
                <w:lang w:eastAsia="en-GB"/>
              </w:rPr>
              <w:t>2019</w:t>
            </w:r>
          </w:p>
        </w:tc>
      </w:tr>
      <w:tr w:rsidR="00226CBF" w:rsidRPr="00034E33" w14:paraId="5588699A" w14:textId="77777777" w:rsidTr="00454D0E">
        <w:trPr>
          <w:gridAfter w:val="3"/>
          <w:wAfter w:w="1377" w:type="dxa"/>
          <w:trHeight w:val="297"/>
        </w:trPr>
        <w:tc>
          <w:tcPr>
            <w:tcW w:w="2679" w:type="dxa"/>
            <w:tcBorders>
              <w:top w:val="nil"/>
              <w:left w:val="nil"/>
              <w:bottom w:val="single" w:sz="4" w:space="0" w:color="auto"/>
              <w:right w:val="nil"/>
            </w:tcBorders>
            <w:shd w:val="clear" w:color="auto" w:fill="auto"/>
            <w:noWrap/>
            <w:vAlign w:val="center"/>
            <w:hideMark/>
          </w:tcPr>
          <w:p w14:paraId="6DB23AEE" w14:textId="77777777" w:rsidR="00226CBF" w:rsidRPr="00034E33" w:rsidRDefault="00226CBF" w:rsidP="00226CBF">
            <w:pPr>
              <w:spacing w:after="0" w:line="240" w:lineRule="auto"/>
              <w:rPr>
                <w:rFonts w:ascii="Arial" w:eastAsia="Times New Roman" w:hAnsi="Arial" w:cs="Arial"/>
                <w:sz w:val="20"/>
                <w:szCs w:val="20"/>
                <w:lang w:eastAsia="en-GB"/>
              </w:rPr>
            </w:pPr>
            <w:r w:rsidRPr="00034E33">
              <w:rPr>
                <w:rFonts w:ascii="Arial" w:eastAsia="Times New Roman" w:hAnsi="Arial" w:cs="Arial"/>
                <w:sz w:val="20"/>
                <w:szCs w:val="20"/>
                <w:lang w:eastAsia="en-GB"/>
              </w:rPr>
              <w:t> </w:t>
            </w:r>
          </w:p>
        </w:tc>
        <w:tc>
          <w:tcPr>
            <w:tcW w:w="1395" w:type="dxa"/>
            <w:gridSpan w:val="2"/>
            <w:tcBorders>
              <w:top w:val="nil"/>
              <w:left w:val="nil"/>
              <w:bottom w:val="single" w:sz="4" w:space="0" w:color="auto"/>
              <w:right w:val="nil"/>
            </w:tcBorders>
            <w:shd w:val="clear" w:color="auto" w:fill="auto"/>
            <w:noWrap/>
            <w:vAlign w:val="center"/>
            <w:hideMark/>
          </w:tcPr>
          <w:p w14:paraId="698BB970" w14:textId="77777777" w:rsidR="00226CBF" w:rsidRPr="00C44565" w:rsidRDefault="00226CBF" w:rsidP="00C44565">
            <w:pPr>
              <w:spacing w:after="0" w:line="240" w:lineRule="auto"/>
              <w:jc w:val="right"/>
              <w:rPr>
                <w:rFonts w:ascii="Arial" w:eastAsia="Times New Roman" w:hAnsi="Arial" w:cs="Arial"/>
                <w:b/>
                <w:sz w:val="20"/>
                <w:szCs w:val="20"/>
                <w:lang w:eastAsia="en-GB"/>
              </w:rPr>
            </w:pPr>
          </w:p>
          <w:p w14:paraId="3055FCFE" w14:textId="77777777" w:rsidR="00226CBF" w:rsidRPr="00C44565" w:rsidRDefault="00226CBF" w:rsidP="00C44565">
            <w:pPr>
              <w:spacing w:after="0" w:line="240" w:lineRule="auto"/>
              <w:jc w:val="right"/>
              <w:rPr>
                <w:rFonts w:ascii="Arial" w:eastAsia="Times New Roman" w:hAnsi="Arial" w:cs="Arial"/>
                <w:b/>
                <w:sz w:val="20"/>
                <w:szCs w:val="20"/>
                <w:lang w:eastAsia="en-GB"/>
              </w:rPr>
            </w:pPr>
            <w:r w:rsidRPr="00C44565">
              <w:rPr>
                <w:rFonts w:ascii="Arial" w:eastAsia="Times New Roman" w:hAnsi="Arial" w:cs="Arial"/>
                <w:b/>
                <w:sz w:val="20"/>
                <w:szCs w:val="20"/>
                <w:lang w:eastAsia="en-GB"/>
              </w:rPr>
              <w:t>£'000</w:t>
            </w:r>
          </w:p>
        </w:tc>
        <w:tc>
          <w:tcPr>
            <w:tcW w:w="1286" w:type="dxa"/>
            <w:gridSpan w:val="5"/>
            <w:tcBorders>
              <w:top w:val="nil"/>
              <w:left w:val="nil"/>
              <w:bottom w:val="single" w:sz="4" w:space="0" w:color="auto"/>
              <w:right w:val="nil"/>
            </w:tcBorders>
            <w:shd w:val="clear" w:color="auto" w:fill="auto"/>
            <w:noWrap/>
            <w:vAlign w:val="center"/>
            <w:hideMark/>
          </w:tcPr>
          <w:p w14:paraId="6DD7670D" w14:textId="77777777" w:rsidR="00226CBF" w:rsidRPr="00C44565" w:rsidRDefault="00226CBF" w:rsidP="00C44565">
            <w:pPr>
              <w:spacing w:after="0" w:line="240" w:lineRule="auto"/>
              <w:jc w:val="right"/>
              <w:rPr>
                <w:rFonts w:ascii="Arial" w:eastAsia="Times New Roman" w:hAnsi="Arial" w:cs="Arial"/>
                <w:b/>
                <w:sz w:val="20"/>
                <w:szCs w:val="20"/>
                <w:lang w:eastAsia="en-GB"/>
              </w:rPr>
            </w:pPr>
          </w:p>
          <w:p w14:paraId="7B994233" w14:textId="77777777" w:rsidR="00226CBF" w:rsidRPr="00C44565" w:rsidRDefault="00226CBF" w:rsidP="00C44565">
            <w:pPr>
              <w:spacing w:after="0" w:line="240" w:lineRule="auto"/>
              <w:jc w:val="right"/>
              <w:rPr>
                <w:rFonts w:ascii="Arial" w:eastAsia="Times New Roman" w:hAnsi="Arial" w:cs="Arial"/>
                <w:b/>
                <w:sz w:val="20"/>
                <w:szCs w:val="20"/>
                <w:lang w:eastAsia="en-GB"/>
              </w:rPr>
            </w:pPr>
            <w:r w:rsidRPr="00C44565">
              <w:rPr>
                <w:rFonts w:ascii="Arial" w:eastAsia="Times New Roman" w:hAnsi="Arial" w:cs="Arial"/>
                <w:b/>
                <w:sz w:val="20"/>
                <w:szCs w:val="20"/>
                <w:lang w:eastAsia="en-GB"/>
              </w:rPr>
              <w:t>£'000</w:t>
            </w:r>
          </w:p>
        </w:tc>
        <w:tc>
          <w:tcPr>
            <w:tcW w:w="1374" w:type="dxa"/>
            <w:gridSpan w:val="5"/>
            <w:tcBorders>
              <w:top w:val="nil"/>
              <w:left w:val="nil"/>
              <w:bottom w:val="single" w:sz="4" w:space="0" w:color="auto"/>
              <w:right w:val="nil"/>
            </w:tcBorders>
            <w:shd w:val="clear" w:color="auto" w:fill="auto"/>
            <w:noWrap/>
            <w:vAlign w:val="center"/>
            <w:hideMark/>
          </w:tcPr>
          <w:p w14:paraId="418D8EB2" w14:textId="77777777" w:rsidR="00226CBF" w:rsidRPr="00C44565" w:rsidRDefault="00226CBF" w:rsidP="00C44565">
            <w:pPr>
              <w:spacing w:after="0" w:line="240" w:lineRule="auto"/>
              <w:jc w:val="right"/>
              <w:rPr>
                <w:rFonts w:ascii="Arial" w:eastAsia="Times New Roman" w:hAnsi="Arial" w:cs="Arial"/>
                <w:b/>
                <w:bCs/>
                <w:sz w:val="20"/>
                <w:szCs w:val="20"/>
                <w:lang w:eastAsia="en-GB"/>
              </w:rPr>
            </w:pPr>
          </w:p>
          <w:p w14:paraId="6EA8195B" w14:textId="77777777" w:rsidR="00226CBF" w:rsidRPr="00C44565" w:rsidRDefault="00226CBF" w:rsidP="00C44565">
            <w:pPr>
              <w:spacing w:after="0" w:line="240" w:lineRule="auto"/>
              <w:jc w:val="right"/>
              <w:rPr>
                <w:rFonts w:ascii="Arial" w:eastAsia="Times New Roman" w:hAnsi="Arial" w:cs="Arial"/>
                <w:b/>
                <w:bCs/>
                <w:sz w:val="20"/>
                <w:szCs w:val="20"/>
                <w:lang w:eastAsia="en-GB"/>
              </w:rPr>
            </w:pPr>
            <w:r w:rsidRPr="00C44565">
              <w:rPr>
                <w:rFonts w:ascii="Arial" w:eastAsia="Times New Roman" w:hAnsi="Arial" w:cs="Arial"/>
                <w:b/>
                <w:bCs/>
                <w:sz w:val="20"/>
                <w:szCs w:val="20"/>
                <w:lang w:eastAsia="en-GB"/>
              </w:rPr>
              <w:t>£'000</w:t>
            </w:r>
          </w:p>
        </w:tc>
        <w:tc>
          <w:tcPr>
            <w:tcW w:w="2135" w:type="dxa"/>
            <w:gridSpan w:val="6"/>
            <w:tcBorders>
              <w:top w:val="nil"/>
              <w:left w:val="nil"/>
              <w:bottom w:val="single" w:sz="4" w:space="0" w:color="auto"/>
              <w:right w:val="nil"/>
            </w:tcBorders>
            <w:shd w:val="clear" w:color="auto" w:fill="auto"/>
            <w:noWrap/>
            <w:vAlign w:val="center"/>
            <w:hideMark/>
          </w:tcPr>
          <w:p w14:paraId="41E197F8" w14:textId="77777777" w:rsidR="00226CBF" w:rsidRPr="00226CBF" w:rsidRDefault="00226CBF" w:rsidP="00C44565">
            <w:pPr>
              <w:spacing w:after="0" w:line="240" w:lineRule="auto"/>
              <w:jc w:val="right"/>
              <w:rPr>
                <w:rFonts w:ascii="Arial" w:eastAsia="Times New Roman" w:hAnsi="Arial" w:cs="Arial"/>
                <w:bCs/>
                <w:sz w:val="20"/>
                <w:szCs w:val="20"/>
                <w:lang w:eastAsia="en-GB"/>
              </w:rPr>
            </w:pPr>
          </w:p>
          <w:p w14:paraId="068FCBC1" w14:textId="77777777" w:rsidR="00226CBF" w:rsidRPr="00226CBF" w:rsidRDefault="00226CBF" w:rsidP="00C44565">
            <w:pPr>
              <w:spacing w:after="0" w:line="240" w:lineRule="auto"/>
              <w:jc w:val="right"/>
              <w:rPr>
                <w:rFonts w:ascii="Arial" w:eastAsia="Times New Roman" w:hAnsi="Arial" w:cs="Arial"/>
                <w:sz w:val="20"/>
                <w:szCs w:val="20"/>
                <w:lang w:eastAsia="en-GB"/>
              </w:rPr>
            </w:pPr>
            <w:r w:rsidRPr="00226CBF">
              <w:rPr>
                <w:rFonts w:ascii="Arial" w:eastAsia="Times New Roman" w:hAnsi="Arial" w:cs="Arial"/>
                <w:bCs/>
                <w:sz w:val="20"/>
                <w:szCs w:val="20"/>
                <w:lang w:eastAsia="en-GB"/>
              </w:rPr>
              <w:t>£'000</w:t>
            </w:r>
          </w:p>
        </w:tc>
      </w:tr>
      <w:tr w:rsidR="00454D0E" w:rsidRPr="00034E33" w14:paraId="03D41A5D" w14:textId="77777777" w:rsidTr="00692813">
        <w:trPr>
          <w:gridAfter w:val="1"/>
          <w:wAfter w:w="666" w:type="dxa"/>
          <w:trHeight w:val="297"/>
        </w:trPr>
        <w:tc>
          <w:tcPr>
            <w:tcW w:w="9580" w:type="dxa"/>
            <w:gridSpan w:val="21"/>
            <w:tcBorders>
              <w:top w:val="nil"/>
              <w:left w:val="nil"/>
              <w:bottom w:val="nil"/>
              <w:right w:val="nil"/>
            </w:tcBorders>
            <w:shd w:val="clear" w:color="auto" w:fill="auto"/>
            <w:noWrap/>
            <w:vAlign w:val="center"/>
            <w:hideMark/>
          </w:tcPr>
          <w:p w14:paraId="6D482584" w14:textId="77777777" w:rsidR="00454D0E" w:rsidRPr="00034E33" w:rsidRDefault="00454D0E" w:rsidP="00454D0E">
            <w:pPr>
              <w:spacing w:after="0" w:line="240" w:lineRule="auto"/>
              <w:rPr>
                <w:rFonts w:ascii="Times New Roman" w:eastAsia="Times New Roman" w:hAnsi="Times New Roman" w:cs="Times New Roman"/>
                <w:sz w:val="20"/>
                <w:szCs w:val="20"/>
                <w:lang w:eastAsia="en-GB"/>
              </w:rPr>
            </w:pPr>
            <w:r w:rsidRPr="00034E33">
              <w:rPr>
                <w:rFonts w:ascii="Arial" w:eastAsia="Times New Roman" w:hAnsi="Arial" w:cs="Arial"/>
                <w:b/>
                <w:bCs/>
                <w:sz w:val="20"/>
                <w:szCs w:val="20"/>
                <w:lang w:eastAsia="en-GB"/>
              </w:rPr>
              <w:t>Incoming resources from generated funds</w:t>
            </w:r>
          </w:p>
        </w:tc>
      </w:tr>
      <w:tr w:rsidR="0061265C" w:rsidRPr="00034E33" w14:paraId="780D3E26" w14:textId="77777777" w:rsidTr="00454D0E">
        <w:trPr>
          <w:gridAfter w:val="3"/>
          <w:wAfter w:w="1377" w:type="dxa"/>
          <w:trHeight w:val="484"/>
        </w:trPr>
        <w:tc>
          <w:tcPr>
            <w:tcW w:w="2679" w:type="dxa"/>
            <w:tcBorders>
              <w:top w:val="nil"/>
              <w:left w:val="nil"/>
              <w:bottom w:val="nil"/>
              <w:right w:val="nil"/>
            </w:tcBorders>
            <w:shd w:val="clear" w:color="auto" w:fill="auto"/>
            <w:vAlign w:val="center"/>
            <w:hideMark/>
          </w:tcPr>
          <w:p w14:paraId="7B041A5A" w14:textId="77777777" w:rsidR="0061265C" w:rsidRPr="00034E33" w:rsidRDefault="0061265C" w:rsidP="0061265C">
            <w:pPr>
              <w:spacing w:after="0" w:line="240" w:lineRule="auto"/>
              <w:rPr>
                <w:rFonts w:ascii="Arial" w:eastAsia="Times New Roman" w:hAnsi="Arial" w:cs="Arial"/>
                <w:sz w:val="20"/>
                <w:szCs w:val="20"/>
                <w:lang w:eastAsia="en-GB"/>
              </w:rPr>
            </w:pPr>
            <w:r w:rsidRPr="00034E33">
              <w:rPr>
                <w:rFonts w:ascii="Arial" w:eastAsia="Times New Roman" w:hAnsi="Arial" w:cs="Arial"/>
                <w:sz w:val="20"/>
                <w:szCs w:val="20"/>
                <w:lang w:eastAsia="en-GB"/>
              </w:rPr>
              <w:t>Donation of net assets arising on mergers</w:t>
            </w:r>
          </w:p>
        </w:tc>
        <w:tc>
          <w:tcPr>
            <w:tcW w:w="1395" w:type="dxa"/>
            <w:gridSpan w:val="2"/>
            <w:tcBorders>
              <w:top w:val="nil"/>
              <w:left w:val="nil"/>
              <w:bottom w:val="nil"/>
              <w:right w:val="nil"/>
            </w:tcBorders>
            <w:shd w:val="clear" w:color="auto" w:fill="auto"/>
            <w:noWrap/>
            <w:vAlign w:val="center"/>
          </w:tcPr>
          <w:p w14:paraId="6773F437" w14:textId="77777777" w:rsidR="0061265C" w:rsidRPr="00034E33" w:rsidRDefault="00003B30" w:rsidP="0061265C">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w:t>
            </w:r>
          </w:p>
        </w:tc>
        <w:tc>
          <w:tcPr>
            <w:tcW w:w="1723" w:type="dxa"/>
            <w:gridSpan w:val="6"/>
            <w:tcBorders>
              <w:top w:val="nil"/>
              <w:left w:val="nil"/>
              <w:bottom w:val="nil"/>
              <w:right w:val="nil"/>
            </w:tcBorders>
            <w:shd w:val="clear" w:color="auto" w:fill="auto"/>
            <w:noWrap/>
            <w:vAlign w:val="center"/>
          </w:tcPr>
          <w:p w14:paraId="666CD631" w14:textId="77777777" w:rsidR="0061265C" w:rsidRPr="00034E33" w:rsidRDefault="00EC10DA" w:rsidP="0061265C">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13,674</w:t>
            </w:r>
          </w:p>
        </w:tc>
        <w:tc>
          <w:tcPr>
            <w:tcW w:w="1309" w:type="dxa"/>
            <w:gridSpan w:val="6"/>
            <w:tcBorders>
              <w:top w:val="nil"/>
              <w:left w:val="nil"/>
              <w:bottom w:val="nil"/>
              <w:right w:val="nil"/>
            </w:tcBorders>
            <w:shd w:val="clear" w:color="auto" w:fill="auto"/>
            <w:noWrap/>
            <w:vAlign w:val="center"/>
          </w:tcPr>
          <w:p w14:paraId="78620B6F" w14:textId="77777777" w:rsidR="0061265C" w:rsidRPr="00034E33" w:rsidRDefault="00EC10DA" w:rsidP="0061265C">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13,674</w:t>
            </w:r>
          </w:p>
        </w:tc>
        <w:tc>
          <w:tcPr>
            <w:tcW w:w="1763" w:type="dxa"/>
            <w:gridSpan w:val="4"/>
            <w:tcBorders>
              <w:top w:val="nil"/>
              <w:left w:val="nil"/>
              <w:bottom w:val="nil"/>
              <w:right w:val="nil"/>
            </w:tcBorders>
            <w:shd w:val="clear" w:color="auto" w:fill="auto"/>
            <w:noWrap/>
            <w:vAlign w:val="center"/>
            <w:hideMark/>
          </w:tcPr>
          <w:p w14:paraId="645DA845" w14:textId="77777777" w:rsidR="0061265C" w:rsidRPr="0061265C" w:rsidRDefault="0061265C" w:rsidP="0061265C">
            <w:pPr>
              <w:spacing w:after="0" w:line="240" w:lineRule="auto"/>
              <w:jc w:val="right"/>
              <w:rPr>
                <w:rFonts w:ascii="Arial" w:eastAsia="Times New Roman" w:hAnsi="Arial" w:cs="Arial"/>
                <w:sz w:val="20"/>
                <w:szCs w:val="20"/>
                <w:lang w:eastAsia="en-GB"/>
              </w:rPr>
            </w:pPr>
            <w:r w:rsidRPr="0061265C">
              <w:rPr>
                <w:rFonts w:ascii="Arial" w:eastAsia="Times New Roman" w:hAnsi="Arial" w:cs="Arial"/>
                <w:bCs/>
                <w:sz w:val="20"/>
                <w:szCs w:val="20"/>
                <w:lang w:eastAsia="en-GB"/>
              </w:rPr>
              <w:t>21,349</w:t>
            </w:r>
          </w:p>
        </w:tc>
      </w:tr>
      <w:tr w:rsidR="0061265C" w:rsidRPr="00034E33" w14:paraId="181B757F" w14:textId="77777777" w:rsidTr="00454D0E">
        <w:trPr>
          <w:gridAfter w:val="3"/>
          <w:wAfter w:w="1377" w:type="dxa"/>
          <w:trHeight w:val="297"/>
        </w:trPr>
        <w:tc>
          <w:tcPr>
            <w:tcW w:w="2679" w:type="dxa"/>
            <w:tcBorders>
              <w:top w:val="nil"/>
              <w:left w:val="nil"/>
              <w:bottom w:val="nil"/>
              <w:right w:val="nil"/>
            </w:tcBorders>
            <w:shd w:val="clear" w:color="auto" w:fill="auto"/>
            <w:vAlign w:val="center"/>
            <w:hideMark/>
          </w:tcPr>
          <w:p w14:paraId="2F1624E7" w14:textId="77777777" w:rsidR="0061265C" w:rsidRPr="00034E33" w:rsidRDefault="0061265C" w:rsidP="0061265C">
            <w:pPr>
              <w:spacing w:after="0" w:line="240" w:lineRule="auto"/>
              <w:rPr>
                <w:rFonts w:ascii="Arial" w:eastAsia="Times New Roman" w:hAnsi="Arial" w:cs="Arial"/>
                <w:sz w:val="20"/>
                <w:szCs w:val="20"/>
                <w:lang w:eastAsia="en-GB"/>
              </w:rPr>
            </w:pPr>
            <w:r w:rsidRPr="00034E33">
              <w:rPr>
                <w:rFonts w:ascii="Arial" w:eastAsia="Times New Roman" w:hAnsi="Arial" w:cs="Arial"/>
                <w:sz w:val="20"/>
                <w:szCs w:val="20"/>
                <w:lang w:eastAsia="en-GB"/>
              </w:rPr>
              <w:t>Donations and Legacies</w:t>
            </w:r>
          </w:p>
        </w:tc>
        <w:tc>
          <w:tcPr>
            <w:tcW w:w="1395" w:type="dxa"/>
            <w:gridSpan w:val="2"/>
            <w:tcBorders>
              <w:top w:val="nil"/>
              <w:left w:val="nil"/>
              <w:bottom w:val="nil"/>
              <w:right w:val="nil"/>
            </w:tcBorders>
            <w:shd w:val="clear" w:color="auto" w:fill="auto"/>
            <w:noWrap/>
            <w:vAlign w:val="center"/>
          </w:tcPr>
          <w:p w14:paraId="7F92775F" w14:textId="77777777" w:rsidR="0061265C" w:rsidRPr="00034E33" w:rsidRDefault="00175AF1">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49</w:t>
            </w:r>
          </w:p>
        </w:tc>
        <w:tc>
          <w:tcPr>
            <w:tcW w:w="1723" w:type="dxa"/>
            <w:gridSpan w:val="6"/>
            <w:tcBorders>
              <w:top w:val="nil"/>
              <w:left w:val="nil"/>
              <w:bottom w:val="nil"/>
              <w:right w:val="nil"/>
            </w:tcBorders>
            <w:shd w:val="clear" w:color="auto" w:fill="auto"/>
            <w:noWrap/>
            <w:vAlign w:val="center"/>
          </w:tcPr>
          <w:p w14:paraId="30FA8654" w14:textId="77777777" w:rsidR="0061265C" w:rsidRPr="00034E33" w:rsidRDefault="00175AF1" w:rsidP="0061265C">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25,352</w:t>
            </w:r>
          </w:p>
        </w:tc>
        <w:tc>
          <w:tcPr>
            <w:tcW w:w="1309" w:type="dxa"/>
            <w:gridSpan w:val="6"/>
            <w:tcBorders>
              <w:top w:val="nil"/>
              <w:left w:val="nil"/>
              <w:bottom w:val="nil"/>
              <w:right w:val="nil"/>
            </w:tcBorders>
            <w:shd w:val="clear" w:color="auto" w:fill="auto"/>
            <w:noWrap/>
            <w:vAlign w:val="center"/>
          </w:tcPr>
          <w:p w14:paraId="16000016" w14:textId="77777777" w:rsidR="0061265C" w:rsidRPr="00034E33" w:rsidRDefault="00EC10DA" w:rsidP="0061265C">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25,401</w:t>
            </w:r>
          </w:p>
        </w:tc>
        <w:tc>
          <w:tcPr>
            <w:tcW w:w="1763" w:type="dxa"/>
            <w:gridSpan w:val="4"/>
            <w:tcBorders>
              <w:top w:val="nil"/>
              <w:left w:val="nil"/>
              <w:bottom w:val="nil"/>
              <w:right w:val="nil"/>
            </w:tcBorders>
            <w:shd w:val="clear" w:color="auto" w:fill="auto"/>
            <w:noWrap/>
            <w:vAlign w:val="center"/>
            <w:hideMark/>
          </w:tcPr>
          <w:p w14:paraId="19100EFB" w14:textId="77777777" w:rsidR="0061265C" w:rsidRPr="0061265C" w:rsidRDefault="0061265C" w:rsidP="0061265C">
            <w:pPr>
              <w:spacing w:after="0" w:line="240" w:lineRule="auto"/>
              <w:jc w:val="right"/>
              <w:rPr>
                <w:rFonts w:ascii="Arial" w:eastAsia="Times New Roman" w:hAnsi="Arial" w:cs="Arial"/>
                <w:sz w:val="20"/>
                <w:szCs w:val="20"/>
                <w:lang w:eastAsia="en-GB"/>
              </w:rPr>
            </w:pPr>
            <w:r w:rsidRPr="0061265C">
              <w:rPr>
                <w:rFonts w:ascii="Arial" w:eastAsia="Times New Roman" w:hAnsi="Arial" w:cs="Arial"/>
                <w:bCs/>
                <w:sz w:val="20"/>
                <w:szCs w:val="20"/>
                <w:lang w:eastAsia="en-GB"/>
              </w:rPr>
              <w:t>3,689</w:t>
            </w:r>
          </w:p>
        </w:tc>
      </w:tr>
      <w:tr w:rsidR="0061265C" w:rsidRPr="00034E33" w14:paraId="010F4D9D" w14:textId="77777777" w:rsidTr="00454D0E">
        <w:trPr>
          <w:gridAfter w:val="3"/>
          <w:wAfter w:w="1377" w:type="dxa"/>
          <w:trHeight w:val="297"/>
        </w:trPr>
        <w:tc>
          <w:tcPr>
            <w:tcW w:w="2679" w:type="dxa"/>
            <w:tcBorders>
              <w:top w:val="nil"/>
              <w:left w:val="nil"/>
              <w:bottom w:val="nil"/>
              <w:right w:val="nil"/>
            </w:tcBorders>
            <w:shd w:val="clear" w:color="auto" w:fill="auto"/>
            <w:vAlign w:val="center"/>
            <w:hideMark/>
          </w:tcPr>
          <w:p w14:paraId="70775975" w14:textId="77777777" w:rsidR="0061265C" w:rsidRPr="00034E33" w:rsidRDefault="0061265C" w:rsidP="0061265C">
            <w:pPr>
              <w:spacing w:after="0" w:line="240" w:lineRule="auto"/>
              <w:rPr>
                <w:rFonts w:ascii="Arial" w:eastAsia="Times New Roman" w:hAnsi="Arial" w:cs="Arial"/>
                <w:sz w:val="20"/>
                <w:szCs w:val="20"/>
                <w:lang w:eastAsia="en-GB"/>
              </w:rPr>
            </w:pPr>
            <w:r w:rsidRPr="00034E33">
              <w:rPr>
                <w:rFonts w:ascii="Arial" w:eastAsia="Times New Roman" w:hAnsi="Arial" w:cs="Arial"/>
                <w:sz w:val="20"/>
                <w:szCs w:val="20"/>
                <w:lang w:eastAsia="en-GB"/>
              </w:rPr>
              <w:t>Other Trading Activities (Note 1a)</w:t>
            </w:r>
          </w:p>
        </w:tc>
        <w:tc>
          <w:tcPr>
            <w:tcW w:w="1395" w:type="dxa"/>
            <w:gridSpan w:val="2"/>
            <w:tcBorders>
              <w:top w:val="nil"/>
              <w:left w:val="nil"/>
              <w:bottom w:val="nil"/>
              <w:right w:val="nil"/>
            </w:tcBorders>
            <w:shd w:val="clear" w:color="auto" w:fill="auto"/>
            <w:noWrap/>
            <w:vAlign w:val="center"/>
          </w:tcPr>
          <w:p w14:paraId="2DAFD2EB" w14:textId="77777777" w:rsidR="0061265C" w:rsidRPr="00034E33" w:rsidRDefault="00003B30" w:rsidP="0061265C">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2,642</w:t>
            </w:r>
          </w:p>
        </w:tc>
        <w:tc>
          <w:tcPr>
            <w:tcW w:w="1723" w:type="dxa"/>
            <w:gridSpan w:val="6"/>
            <w:tcBorders>
              <w:top w:val="nil"/>
              <w:left w:val="nil"/>
              <w:bottom w:val="nil"/>
              <w:right w:val="nil"/>
            </w:tcBorders>
            <w:shd w:val="clear" w:color="auto" w:fill="auto"/>
            <w:noWrap/>
            <w:vAlign w:val="center"/>
          </w:tcPr>
          <w:p w14:paraId="4D3B4D20" w14:textId="77777777" w:rsidR="0061265C" w:rsidRPr="00034E33" w:rsidRDefault="00003B30" w:rsidP="0061265C">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287</w:t>
            </w:r>
          </w:p>
        </w:tc>
        <w:tc>
          <w:tcPr>
            <w:tcW w:w="1309" w:type="dxa"/>
            <w:gridSpan w:val="6"/>
            <w:tcBorders>
              <w:top w:val="nil"/>
              <w:left w:val="nil"/>
              <w:bottom w:val="nil"/>
              <w:right w:val="nil"/>
            </w:tcBorders>
            <w:shd w:val="clear" w:color="auto" w:fill="auto"/>
            <w:noWrap/>
            <w:vAlign w:val="center"/>
          </w:tcPr>
          <w:p w14:paraId="770A9099" w14:textId="77777777" w:rsidR="0061265C" w:rsidRPr="00034E33" w:rsidRDefault="00003B30" w:rsidP="0061265C">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2,929</w:t>
            </w:r>
          </w:p>
        </w:tc>
        <w:tc>
          <w:tcPr>
            <w:tcW w:w="1763" w:type="dxa"/>
            <w:gridSpan w:val="4"/>
            <w:tcBorders>
              <w:top w:val="nil"/>
              <w:left w:val="nil"/>
              <w:bottom w:val="nil"/>
              <w:right w:val="nil"/>
            </w:tcBorders>
            <w:shd w:val="clear" w:color="auto" w:fill="auto"/>
            <w:noWrap/>
            <w:vAlign w:val="center"/>
            <w:hideMark/>
          </w:tcPr>
          <w:p w14:paraId="6B5A44D3" w14:textId="77777777" w:rsidR="0061265C" w:rsidRPr="0061265C" w:rsidRDefault="0061265C" w:rsidP="0061265C">
            <w:pPr>
              <w:spacing w:after="0" w:line="240" w:lineRule="auto"/>
              <w:jc w:val="right"/>
              <w:rPr>
                <w:rFonts w:ascii="Arial" w:eastAsia="Times New Roman" w:hAnsi="Arial" w:cs="Arial"/>
                <w:sz w:val="20"/>
                <w:szCs w:val="20"/>
                <w:lang w:eastAsia="en-GB"/>
              </w:rPr>
            </w:pPr>
            <w:r w:rsidRPr="0061265C">
              <w:rPr>
                <w:rFonts w:ascii="Arial" w:eastAsia="Times New Roman" w:hAnsi="Arial" w:cs="Arial"/>
                <w:bCs/>
                <w:sz w:val="20"/>
                <w:szCs w:val="20"/>
                <w:lang w:eastAsia="en-GB"/>
              </w:rPr>
              <w:t>4,660</w:t>
            </w:r>
          </w:p>
        </w:tc>
      </w:tr>
      <w:tr w:rsidR="0061265C" w:rsidRPr="00034E33" w14:paraId="62C0B6C0" w14:textId="77777777" w:rsidTr="00454D0E">
        <w:trPr>
          <w:gridAfter w:val="3"/>
          <w:wAfter w:w="1377" w:type="dxa"/>
          <w:trHeight w:val="297"/>
        </w:trPr>
        <w:tc>
          <w:tcPr>
            <w:tcW w:w="2679" w:type="dxa"/>
            <w:tcBorders>
              <w:top w:val="nil"/>
              <w:left w:val="nil"/>
              <w:bottom w:val="nil"/>
              <w:right w:val="nil"/>
            </w:tcBorders>
            <w:shd w:val="clear" w:color="auto" w:fill="auto"/>
            <w:vAlign w:val="center"/>
            <w:hideMark/>
          </w:tcPr>
          <w:p w14:paraId="4321365C" w14:textId="77777777" w:rsidR="0061265C" w:rsidRPr="00034E33" w:rsidRDefault="0061265C" w:rsidP="0061265C">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Income on investments, interests and dividends</w:t>
            </w:r>
          </w:p>
        </w:tc>
        <w:tc>
          <w:tcPr>
            <w:tcW w:w="1395" w:type="dxa"/>
            <w:gridSpan w:val="2"/>
            <w:tcBorders>
              <w:top w:val="nil"/>
              <w:left w:val="nil"/>
              <w:bottom w:val="nil"/>
              <w:right w:val="nil"/>
            </w:tcBorders>
            <w:shd w:val="clear" w:color="auto" w:fill="auto"/>
            <w:noWrap/>
            <w:vAlign w:val="center"/>
          </w:tcPr>
          <w:p w14:paraId="6C2F3559" w14:textId="77777777" w:rsidR="0061265C" w:rsidRPr="00FE1EEA" w:rsidRDefault="009B32DE" w:rsidP="009B32DE">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14</w:t>
            </w:r>
          </w:p>
        </w:tc>
        <w:tc>
          <w:tcPr>
            <w:tcW w:w="1723" w:type="dxa"/>
            <w:gridSpan w:val="6"/>
            <w:tcBorders>
              <w:top w:val="nil"/>
              <w:left w:val="nil"/>
              <w:bottom w:val="nil"/>
              <w:right w:val="nil"/>
            </w:tcBorders>
            <w:shd w:val="clear" w:color="auto" w:fill="auto"/>
            <w:noWrap/>
            <w:vAlign w:val="center"/>
          </w:tcPr>
          <w:p w14:paraId="6A1E7909" w14:textId="77777777" w:rsidR="0061265C" w:rsidRPr="00FE1EEA" w:rsidRDefault="0081244D" w:rsidP="0061265C">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w:t>
            </w:r>
          </w:p>
        </w:tc>
        <w:tc>
          <w:tcPr>
            <w:tcW w:w="1309" w:type="dxa"/>
            <w:gridSpan w:val="6"/>
            <w:tcBorders>
              <w:top w:val="nil"/>
              <w:left w:val="nil"/>
              <w:bottom w:val="nil"/>
              <w:right w:val="nil"/>
            </w:tcBorders>
            <w:shd w:val="clear" w:color="auto" w:fill="auto"/>
            <w:noWrap/>
            <w:vAlign w:val="center"/>
          </w:tcPr>
          <w:p w14:paraId="2E164914" w14:textId="77777777" w:rsidR="0061265C" w:rsidRPr="00FE1EEA" w:rsidRDefault="009B32DE" w:rsidP="0061265C">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14</w:t>
            </w:r>
          </w:p>
        </w:tc>
        <w:tc>
          <w:tcPr>
            <w:tcW w:w="1763" w:type="dxa"/>
            <w:gridSpan w:val="4"/>
            <w:tcBorders>
              <w:top w:val="nil"/>
              <w:left w:val="nil"/>
              <w:bottom w:val="nil"/>
              <w:right w:val="nil"/>
            </w:tcBorders>
            <w:shd w:val="clear" w:color="auto" w:fill="auto"/>
            <w:noWrap/>
            <w:vAlign w:val="center"/>
            <w:hideMark/>
          </w:tcPr>
          <w:p w14:paraId="27FE52F1" w14:textId="77777777" w:rsidR="0061265C" w:rsidRPr="0061265C" w:rsidRDefault="0061265C" w:rsidP="0061265C">
            <w:pPr>
              <w:spacing w:after="0" w:line="240" w:lineRule="auto"/>
              <w:jc w:val="right"/>
              <w:rPr>
                <w:rFonts w:ascii="Arial" w:eastAsia="Times New Roman" w:hAnsi="Arial" w:cs="Arial"/>
                <w:sz w:val="20"/>
                <w:szCs w:val="20"/>
                <w:lang w:eastAsia="en-GB"/>
              </w:rPr>
            </w:pPr>
            <w:r w:rsidRPr="0061265C">
              <w:rPr>
                <w:rFonts w:ascii="Arial" w:eastAsia="Times New Roman" w:hAnsi="Arial" w:cs="Arial"/>
                <w:bCs/>
                <w:sz w:val="20"/>
                <w:szCs w:val="20"/>
                <w:lang w:eastAsia="en-GB"/>
              </w:rPr>
              <w:t>285</w:t>
            </w:r>
          </w:p>
        </w:tc>
      </w:tr>
      <w:tr w:rsidR="00842E02" w:rsidRPr="00034E33" w14:paraId="51389514" w14:textId="77777777" w:rsidTr="00454D0E">
        <w:trPr>
          <w:gridAfter w:val="3"/>
          <w:wAfter w:w="1377" w:type="dxa"/>
          <w:trHeight w:val="297"/>
        </w:trPr>
        <w:tc>
          <w:tcPr>
            <w:tcW w:w="2679" w:type="dxa"/>
            <w:tcBorders>
              <w:top w:val="nil"/>
              <w:left w:val="nil"/>
              <w:bottom w:val="nil"/>
              <w:right w:val="nil"/>
            </w:tcBorders>
            <w:shd w:val="clear" w:color="auto" w:fill="auto"/>
            <w:vAlign w:val="center"/>
          </w:tcPr>
          <w:p w14:paraId="162FBD5E" w14:textId="77777777" w:rsidR="00842E02" w:rsidRPr="00034E33" w:rsidRDefault="00842E02" w:rsidP="0061265C">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Covid related grants</w:t>
            </w:r>
          </w:p>
        </w:tc>
        <w:tc>
          <w:tcPr>
            <w:tcW w:w="1395" w:type="dxa"/>
            <w:gridSpan w:val="2"/>
            <w:tcBorders>
              <w:top w:val="nil"/>
              <w:left w:val="nil"/>
              <w:bottom w:val="nil"/>
              <w:right w:val="nil"/>
            </w:tcBorders>
            <w:shd w:val="clear" w:color="auto" w:fill="auto"/>
            <w:noWrap/>
            <w:vAlign w:val="center"/>
          </w:tcPr>
          <w:p w14:paraId="40807BEA" w14:textId="77777777" w:rsidR="00842E02" w:rsidRDefault="00124480" w:rsidP="0061265C">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1,050</w:t>
            </w:r>
          </w:p>
        </w:tc>
        <w:tc>
          <w:tcPr>
            <w:tcW w:w="1723" w:type="dxa"/>
            <w:gridSpan w:val="6"/>
            <w:tcBorders>
              <w:top w:val="nil"/>
              <w:left w:val="nil"/>
              <w:bottom w:val="nil"/>
              <w:right w:val="nil"/>
            </w:tcBorders>
            <w:shd w:val="clear" w:color="auto" w:fill="auto"/>
            <w:noWrap/>
            <w:vAlign w:val="center"/>
          </w:tcPr>
          <w:p w14:paraId="1C1EA5C3" w14:textId="77777777" w:rsidR="00842E02" w:rsidRDefault="00842E02" w:rsidP="0061265C">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w:t>
            </w:r>
          </w:p>
        </w:tc>
        <w:tc>
          <w:tcPr>
            <w:tcW w:w="1309" w:type="dxa"/>
            <w:gridSpan w:val="6"/>
            <w:tcBorders>
              <w:top w:val="nil"/>
              <w:left w:val="nil"/>
              <w:bottom w:val="nil"/>
              <w:right w:val="nil"/>
            </w:tcBorders>
            <w:shd w:val="clear" w:color="auto" w:fill="auto"/>
            <w:noWrap/>
            <w:vAlign w:val="center"/>
          </w:tcPr>
          <w:p w14:paraId="5EC9F6F1" w14:textId="77777777" w:rsidR="00842E02" w:rsidRDefault="00124480" w:rsidP="0061265C">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1,050</w:t>
            </w:r>
          </w:p>
        </w:tc>
        <w:tc>
          <w:tcPr>
            <w:tcW w:w="1763" w:type="dxa"/>
            <w:gridSpan w:val="4"/>
            <w:tcBorders>
              <w:top w:val="nil"/>
              <w:left w:val="nil"/>
              <w:bottom w:val="nil"/>
              <w:right w:val="nil"/>
            </w:tcBorders>
            <w:shd w:val="clear" w:color="auto" w:fill="auto"/>
            <w:noWrap/>
            <w:vAlign w:val="center"/>
          </w:tcPr>
          <w:p w14:paraId="051351DF" w14:textId="77777777" w:rsidR="00842E02" w:rsidRPr="0061265C" w:rsidRDefault="00842E02" w:rsidP="0061265C">
            <w:pPr>
              <w:spacing w:after="0" w:line="240" w:lineRule="auto"/>
              <w:jc w:val="right"/>
              <w:rPr>
                <w:rFonts w:ascii="Arial" w:eastAsia="Times New Roman" w:hAnsi="Arial" w:cs="Arial"/>
                <w:bCs/>
                <w:sz w:val="20"/>
                <w:szCs w:val="20"/>
                <w:lang w:eastAsia="en-GB"/>
              </w:rPr>
            </w:pPr>
            <w:r>
              <w:rPr>
                <w:rFonts w:ascii="Arial" w:eastAsia="Times New Roman" w:hAnsi="Arial" w:cs="Arial"/>
                <w:bCs/>
                <w:sz w:val="20"/>
                <w:szCs w:val="20"/>
                <w:lang w:eastAsia="en-GB"/>
              </w:rPr>
              <w:t>-</w:t>
            </w:r>
          </w:p>
        </w:tc>
      </w:tr>
      <w:tr w:rsidR="0061265C" w:rsidRPr="00034E33" w14:paraId="5FD2D2E6" w14:textId="77777777" w:rsidTr="00454D0E">
        <w:trPr>
          <w:gridAfter w:val="3"/>
          <w:wAfter w:w="1377" w:type="dxa"/>
          <w:trHeight w:val="297"/>
        </w:trPr>
        <w:tc>
          <w:tcPr>
            <w:tcW w:w="2679" w:type="dxa"/>
            <w:tcBorders>
              <w:top w:val="nil"/>
              <w:left w:val="nil"/>
              <w:bottom w:val="nil"/>
              <w:right w:val="nil"/>
            </w:tcBorders>
            <w:shd w:val="clear" w:color="auto" w:fill="auto"/>
            <w:vAlign w:val="center"/>
            <w:hideMark/>
          </w:tcPr>
          <w:p w14:paraId="02BBFB88" w14:textId="77777777" w:rsidR="0061265C" w:rsidRPr="00034E33" w:rsidRDefault="0061265C" w:rsidP="0061265C">
            <w:pPr>
              <w:spacing w:after="0" w:line="240" w:lineRule="auto"/>
              <w:rPr>
                <w:rFonts w:ascii="Arial" w:eastAsia="Times New Roman" w:hAnsi="Arial" w:cs="Arial"/>
                <w:sz w:val="20"/>
                <w:szCs w:val="20"/>
                <w:lang w:eastAsia="en-GB"/>
              </w:rPr>
            </w:pPr>
            <w:r w:rsidRPr="00034E33">
              <w:rPr>
                <w:rFonts w:ascii="Arial" w:eastAsia="Times New Roman" w:hAnsi="Arial" w:cs="Arial"/>
                <w:sz w:val="20"/>
                <w:szCs w:val="20"/>
                <w:lang w:eastAsia="en-GB"/>
              </w:rPr>
              <w:t>Other Income</w:t>
            </w:r>
          </w:p>
        </w:tc>
        <w:tc>
          <w:tcPr>
            <w:tcW w:w="1395" w:type="dxa"/>
            <w:gridSpan w:val="2"/>
            <w:tcBorders>
              <w:top w:val="nil"/>
              <w:left w:val="nil"/>
              <w:bottom w:val="nil"/>
              <w:right w:val="nil"/>
            </w:tcBorders>
            <w:shd w:val="clear" w:color="auto" w:fill="auto"/>
            <w:noWrap/>
            <w:vAlign w:val="center"/>
          </w:tcPr>
          <w:p w14:paraId="00AD4D07" w14:textId="77777777" w:rsidR="0061265C" w:rsidRPr="00034E33" w:rsidRDefault="009B32DE" w:rsidP="0061265C">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5</w:t>
            </w:r>
          </w:p>
        </w:tc>
        <w:tc>
          <w:tcPr>
            <w:tcW w:w="1723" w:type="dxa"/>
            <w:gridSpan w:val="6"/>
            <w:tcBorders>
              <w:top w:val="nil"/>
              <w:left w:val="nil"/>
              <w:bottom w:val="nil"/>
              <w:right w:val="nil"/>
            </w:tcBorders>
            <w:shd w:val="clear" w:color="auto" w:fill="auto"/>
            <w:noWrap/>
            <w:vAlign w:val="center"/>
          </w:tcPr>
          <w:p w14:paraId="1370B700" w14:textId="77777777" w:rsidR="0061265C" w:rsidRPr="00034E33" w:rsidRDefault="0081244D" w:rsidP="0061265C">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w:t>
            </w:r>
          </w:p>
        </w:tc>
        <w:tc>
          <w:tcPr>
            <w:tcW w:w="1309" w:type="dxa"/>
            <w:gridSpan w:val="6"/>
            <w:tcBorders>
              <w:top w:val="nil"/>
              <w:left w:val="nil"/>
              <w:bottom w:val="nil"/>
              <w:right w:val="nil"/>
            </w:tcBorders>
            <w:shd w:val="clear" w:color="auto" w:fill="auto"/>
            <w:noWrap/>
            <w:vAlign w:val="center"/>
          </w:tcPr>
          <w:p w14:paraId="662940FA" w14:textId="77777777" w:rsidR="0061265C" w:rsidRPr="00034E33" w:rsidRDefault="009B32DE" w:rsidP="0061265C">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5</w:t>
            </w:r>
          </w:p>
        </w:tc>
        <w:tc>
          <w:tcPr>
            <w:tcW w:w="1763" w:type="dxa"/>
            <w:gridSpan w:val="4"/>
            <w:tcBorders>
              <w:top w:val="nil"/>
              <w:left w:val="nil"/>
              <w:bottom w:val="nil"/>
              <w:right w:val="nil"/>
            </w:tcBorders>
            <w:shd w:val="clear" w:color="auto" w:fill="auto"/>
            <w:noWrap/>
            <w:vAlign w:val="center"/>
            <w:hideMark/>
          </w:tcPr>
          <w:p w14:paraId="57AE968F" w14:textId="77777777" w:rsidR="0061265C" w:rsidRPr="0061265C" w:rsidRDefault="0061265C" w:rsidP="0061265C">
            <w:pPr>
              <w:spacing w:after="0" w:line="240" w:lineRule="auto"/>
              <w:jc w:val="right"/>
              <w:rPr>
                <w:rFonts w:ascii="Arial" w:eastAsia="Times New Roman" w:hAnsi="Arial" w:cs="Arial"/>
                <w:sz w:val="20"/>
                <w:szCs w:val="20"/>
                <w:lang w:eastAsia="en-GB"/>
              </w:rPr>
            </w:pPr>
            <w:r w:rsidRPr="0061265C">
              <w:rPr>
                <w:rFonts w:ascii="Arial" w:eastAsia="Times New Roman" w:hAnsi="Arial" w:cs="Arial"/>
                <w:bCs/>
                <w:sz w:val="20"/>
                <w:szCs w:val="20"/>
                <w:lang w:eastAsia="en-GB"/>
              </w:rPr>
              <w:t>22</w:t>
            </w:r>
          </w:p>
        </w:tc>
      </w:tr>
      <w:tr w:rsidR="0061265C" w:rsidRPr="00034E33" w14:paraId="253DD401" w14:textId="77777777" w:rsidTr="00454D0E">
        <w:trPr>
          <w:gridAfter w:val="3"/>
          <w:wAfter w:w="1377" w:type="dxa"/>
          <w:trHeight w:val="415"/>
        </w:trPr>
        <w:tc>
          <w:tcPr>
            <w:tcW w:w="2679" w:type="dxa"/>
            <w:tcBorders>
              <w:top w:val="single" w:sz="4" w:space="0" w:color="auto"/>
              <w:left w:val="nil"/>
              <w:bottom w:val="single" w:sz="4" w:space="0" w:color="auto"/>
              <w:right w:val="nil"/>
            </w:tcBorders>
            <w:shd w:val="clear" w:color="auto" w:fill="auto"/>
            <w:vAlign w:val="center"/>
            <w:hideMark/>
          </w:tcPr>
          <w:p w14:paraId="35F1B16C" w14:textId="77777777" w:rsidR="0061265C" w:rsidRPr="00034E33" w:rsidRDefault="0061265C" w:rsidP="0061265C">
            <w:pPr>
              <w:spacing w:after="0" w:line="240" w:lineRule="auto"/>
              <w:rPr>
                <w:rFonts w:ascii="Arial" w:eastAsia="Times New Roman" w:hAnsi="Arial" w:cs="Arial"/>
                <w:b/>
                <w:bCs/>
                <w:sz w:val="20"/>
                <w:szCs w:val="20"/>
                <w:lang w:eastAsia="en-GB"/>
              </w:rPr>
            </w:pPr>
            <w:r w:rsidRPr="00034E33">
              <w:rPr>
                <w:rFonts w:ascii="Arial" w:eastAsia="Times New Roman" w:hAnsi="Arial" w:cs="Arial"/>
                <w:b/>
                <w:bCs/>
                <w:sz w:val="20"/>
                <w:szCs w:val="20"/>
                <w:lang w:eastAsia="en-GB"/>
              </w:rPr>
              <w:t>Incoming resources from generated funds</w:t>
            </w:r>
          </w:p>
        </w:tc>
        <w:tc>
          <w:tcPr>
            <w:tcW w:w="1395" w:type="dxa"/>
            <w:gridSpan w:val="2"/>
            <w:tcBorders>
              <w:top w:val="single" w:sz="4" w:space="0" w:color="auto"/>
              <w:left w:val="nil"/>
              <w:bottom w:val="single" w:sz="4" w:space="0" w:color="auto"/>
              <w:right w:val="nil"/>
            </w:tcBorders>
            <w:shd w:val="clear" w:color="auto" w:fill="auto"/>
            <w:noWrap/>
            <w:vAlign w:val="center"/>
          </w:tcPr>
          <w:p w14:paraId="14305D58" w14:textId="77777777" w:rsidR="0061265C" w:rsidRPr="00034E33" w:rsidRDefault="00175AF1" w:rsidP="0061265C">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3,760</w:t>
            </w:r>
          </w:p>
        </w:tc>
        <w:tc>
          <w:tcPr>
            <w:tcW w:w="1723" w:type="dxa"/>
            <w:gridSpan w:val="6"/>
            <w:tcBorders>
              <w:top w:val="single" w:sz="4" w:space="0" w:color="auto"/>
              <w:left w:val="nil"/>
              <w:bottom w:val="single" w:sz="4" w:space="0" w:color="auto"/>
              <w:right w:val="nil"/>
            </w:tcBorders>
            <w:shd w:val="clear" w:color="auto" w:fill="auto"/>
            <w:noWrap/>
            <w:vAlign w:val="center"/>
          </w:tcPr>
          <w:p w14:paraId="1E79BC08" w14:textId="77777777" w:rsidR="0061265C" w:rsidRPr="00034E33" w:rsidRDefault="00166A0B" w:rsidP="0061265C">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39,313</w:t>
            </w:r>
          </w:p>
        </w:tc>
        <w:tc>
          <w:tcPr>
            <w:tcW w:w="1309" w:type="dxa"/>
            <w:gridSpan w:val="6"/>
            <w:tcBorders>
              <w:top w:val="single" w:sz="4" w:space="0" w:color="auto"/>
              <w:left w:val="nil"/>
              <w:bottom w:val="single" w:sz="4" w:space="0" w:color="auto"/>
              <w:right w:val="nil"/>
            </w:tcBorders>
            <w:shd w:val="clear" w:color="auto" w:fill="auto"/>
            <w:noWrap/>
            <w:vAlign w:val="center"/>
          </w:tcPr>
          <w:p w14:paraId="3F2F4830" w14:textId="77777777" w:rsidR="0061265C" w:rsidRPr="00034E33" w:rsidRDefault="00124480" w:rsidP="0061265C">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43,073</w:t>
            </w:r>
          </w:p>
        </w:tc>
        <w:tc>
          <w:tcPr>
            <w:tcW w:w="1763" w:type="dxa"/>
            <w:gridSpan w:val="4"/>
            <w:tcBorders>
              <w:top w:val="single" w:sz="4" w:space="0" w:color="auto"/>
              <w:left w:val="nil"/>
              <w:bottom w:val="single" w:sz="4" w:space="0" w:color="auto"/>
              <w:right w:val="nil"/>
            </w:tcBorders>
            <w:shd w:val="clear" w:color="auto" w:fill="auto"/>
            <w:noWrap/>
            <w:vAlign w:val="center"/>
            <w:hideMark/>
          </w:tcPr>
          <w:p w14:paraId="13F125A5" w14:textId="77777777" w:rsidR="0061265C" w:rsidRPr="0061265C" w:rsidRDefault="0061265C" w:rsidP="0061265C">
            <w:pPr>
              <w:spacing w:after="0" w:line="240" w:lineRule="auto"/>
              <w:jc w:val="right"/>
              <w:rPr>
                <w:rFonts w:ascii="Arial" w:eastAsia="Times New Roman" w:hAnsi="Arial" w:cs="Arial"/>
                <w:sz w:val="20"/>
                <w:szCs w:val="20"/>
                <w:lang w:eastAsia="en-GB"/>
              </w:rPr>
            </w:pPr>
            <w:r w:rsidRPr="0061265C">
              <w:rPr>
                <w:rFonts w:ascii="Arial" w:eastAsia="Times New Roman" w:hAnsi="Arial" w:cs="Arial"/>
                <w:bCs/>
                <w:sz w:val="20"/>
                <w:szCs w:val="20"/>
                <w:lang w:eastAsia="en-GB"/>
              </w:rPr>
              <w:t>30,005</w:t>
            </w:r>
          </w:p>
        </w:tc>
      </w:tr>
      <w:tr w:rsidR="00190D85" w:rsidRPr="00034E33" w14:paraId="10E75B3A" w14:textId="77777777" w:rsidTr="00454D0E">
        <w:trPr>
          <w:gridAfter w:val="3"/>
          <w:wAfter w:w="1377" w:type="dxa"/>
          <w:trHeight w:val="541"/>
        </w:trPr>
        <w:tc>
          <w:tcPr>
            <w:tcW w:w="2679" w:type="dxa"/>
            <w:tcBorders>
              <w:top w:val="nil"/>
              <w:left w:val="nil"/>
              <w:bottom w:val="nil"/>
              <w:right w:val="nil"/>
            </w:tcBorders>
            <w:shd w:val="clear" w:color="auto" w:fill="auto"/>
            <w:vAlign w:val="center"/>
            <w:hideMark/>
          </w:tcPr>
          <w:p w14:paraId="4FFAF285" w14:textId="77777777" w:rsidR="00190D85" w:rsidRPr="00034E33" w:rsidRDefault="00190D85" w:rsidP="001F6984">
            <w:pPr>
              <w:spacing w:after="0" w:line="240" w:lineRule="auto"/>
              <w:rPr>
                <w:rFonts w:ascii="Arial" w:eastAsia="Times New Roman" w:hAnsi="Arial" w:cs="Arial"/>
                <w:b/>
                <w:bCs/>
                <w:sz w:val="20"/>
                <w:szCs w:val="20"/>
                <w:lang w:eastAsia="en-GB"/>
              </w:rPr>
            </w:pPr>
            <w:r w:rsidRPr="00034E33">
              <w:rPr>
                <w:rFonts w:ascii="Arial" w:eastAsia="Times New Roman" w:hAnsi="Arial" w:cs="Arial"/>
                <w:b/>
                <w:bCs/>
                <w:sz w:val="20"/>
                <w:szCs w:val="20"/>
                <w:lang w:eastAsia="en-GB"/>
              </w:rPr>
              <w:t>Incoming resources from charitable activities</w:t>
            </w:r>
          </w:p>
        </w:tc>
        <w:tc>
          <w:tcPr>
            <w:tcW w:w="1395" w:type="dxa"/>
            <w:gridSpan w:val="2"/>
            <w:tcBorders>
              <w:top w:val="nil"/>
              <w:left w:val="nil"/>
              <w:bottom w:val="nil"/>
              <w:right w:val="nil"/>
            </w:tcBorders>
            <w:shd w:val="clear" w:color="auto" w:fill="auto"/>
            <w:noWrap/>
            <w:vAlign w:val="center"/>
            <w:hideMark/>
          </w:tcPr>
          <w:p w14:paraId="6936AF15" w14:textId="77777777" w:rsidR="00190D85" w:rsidRPr="00034E33" w:rsidRDefault="00190D85" w:rsidP="005B39D0">
            <w:pPr>
              <w:spacing w:after="0" w:line="240" w:lineRule="auto"/>
              <w:jc w:val="right"/>
              <w:rPr>
                <w:rFonts w:ascii="Arial" w:eastAsia="Times New Roman" w:hAnsi="Arial" w:cs="Arial"/>
                <w:b/>
                <w:bCs/>
                <w:sz w:val="20"/>
                <w:szCs w:val="20"/>
                <w:lang w:eastAsia="en-GB"/>
              </w:rPr>
            </w:pPr>
          </w:p>
        </w:tc>
        <w:tc>
          <w:tcPr>
            <w:tcW w:w="1723" w:type="dxa"/>
            <w:gridSpan w:val="6"/>
            <w:tcBorders>
              <w:top w:val="nil"/>
              <w:left w:val="nil"/>
              <w:bottom w:val="nil"/>
              <w:right w:val="nil"/>
            </w:tcBorders>
            <w:shd w:val="clear" w:color="auto" w:fill="auto"/>
            <w:noWrap/>
            <w:vAlign w:val="center"/>
            <w:hideMark/>
          </w:tcPr>
          <w:p w14:paraId="71E79F81" w14:textId="77777777" w:rsidR="00190D85" w:rsidRPr="00034E33" w:rsidRDefault="00190D85" w:rsidP="005B39D0">
            <w:pPr>
              <w:spacing w:after="0" w:line="240" w:lineRule="auto"/>
              <w:jc w:val="right"/>
              <w:rPr>
                <w:rFonts w:ascii="Times New Roman" w:eastAsia="Times New Roman" w:hAnsi="Times New Roman" w:cs="Times New Roman"/>
                <w:sz w:val="20"/>
                <w:szCs w:val="20"/>
                <w:lang w:eastAsia="en-GB"/>
              </w:rPr>
            </w:pPr>
          </w:p>
        </w:tc>
        <w:tc>
          <w:tcPr>
            <w:tcW w:w="1309" w:type="dxa"/>
            <w:gridSpan w:val="6"/>
            <w:tcBorders>
              <w:top w:val="nil"/>
              <w:left w:val="nil"/>
              <w:bottom w:val="nil"/>
              <w:right w:val="nil"/>
            </w:tcBorders>
            <w:shd w:val="clear" w:color="auto" w:fill="auto"/>
            <w:noWrap/>
            <w:vAlign w:val="center"/>
            <w:hideMark/>
          </w:tcPr>
          <w:p w14:paraId="5DDF00C3" w14:textId="77777777" w:rsidR="00190D85" w:rsidRPr="00034E33" w:rsidRDefault="00190D85" w:rsidP="005B39D0">
            <w:pPr>
              <w:spacing w:after="0" w:line="240" w:lineRule="auto"/>
              <w:jc w:val="right"/>
              <w:rPr>
                <w:rFonts w:ascii="Times New Roman" w:eastAsia="Times New Roman" w:hAnsi="Times New Roman" w:cs="Times New Roman"/>
                <w:sz w:val="20"/>
                <w:szCs w:val="20"/>
                <w:lang w:eastAsia="en-GB"/>
              </w:rPr>
            </w:pPr>
          </w:p>
        </w:tc>
        <w:tc>
          <w:tcPr>
            <w:tcW w:w="1763" w:type="dxa"/>
            <w:gridSpan w:val="4"/>
            <w:tcBorders>
              <w:top w:val="nil"/>
              <w:left w:val="nil"/>
              <w:bottom w:val="nil"/>
              <w:right w:val="nil"/>
            </w:tcBorders>
            <w:shd w:val="clear" w:color="auto" w:fill="auto"/>
            <w:noWrap/>
            <w:vAlign w:val="center"/>
            <w:hideMark/>
          </w:tcPr>
          <w:p w14:paraId="4F2D1E11" w14:textId="77777777" w:rsidR="00190D85" w:rsidRPr="00034E33" w:rsidRDefault="00190D85" w:rsidP="005B39D0">
            <w:pPr>
              <w:spacing w:after="0" w:line="240" w:lineRule="auto"/>
              <w:jc w:val="right"/>
              <w:rPr>
                <w:rFonts w:ascii="Times New Roman" w:eastAsia="Times New Roman" w:hAnsi="Times New Roman" w:cs="Times New Roman"/>
                <w:sz w:val="20"/>
                <w:szCs w:val="20"/>
                <w:lang w:eastAsia="en-GB"/>
              </w:rPr>
            </w:pPr>
          </w:p>
        </w:tc>
      </w:tr>
      <w:tr w:rsidR="0061265C" w:rsidRPr="0088736E" w14:paraId="07B513FF" w14:textId="77777777" w:rsidTr="00454D0E">
        <w:trPr>
          <w:gridAfter w:val="3"/>
          <w:wAfter w:w="1377" w:type="dxa"/>
          <w:trHeight w:val="707"/>
        </w:trPr>
        <w:tc>
          <w:tcPr>
            <w:tcW w:w="2679" w:type="dxa"/>
            <w:tcBorders>
              <w:top w:val="nil"/>
              <w:left w:val="nil"/>
              <w:bottom w:val="nil"/>
              <w:right w:val="nil"/>
            </w:tcBorders>
            <w:shd w:val="clear" w:color="auto" w:fill="auto"/>
            <w:hideMark/>
          </w:tcPr>
          <w:p w14:paraId="16A38CE0" w14:textId="77777777" w:rsidR="0061265C" w:rsidRPr="00F73427" w:rsidRDefault="0061265C" w:rsidP="0061265C">
            <w:pPr>
              <w:spacing w:after="0" w:line="240" w:lineRule="auto"/>
              <w:rPr>
                <w:rFonts w:ascii="Arial" w:eastAsia="Times New Roman" w:hAnsi="Arial" w:cs="Arial"/>
                <w:bCs/>
                <w:sz w:val="20"/>
                <w:szCs w:val="20"/>
                <w:lang w:eastAsia="en-GB"/>
              </w:rPr>
            </w:pPr>
            <w:r w:rsidRPr="00F73427">
              <w:rPr>
                <w:rFonts w:ascii="Arial" w:eastAsia="Times New Roman" w:hAnsi="Arial" w:cs="Arial"/>
                <w:bCs/>
                <w:sz w:val="20"/>
                <w:szCs w:val="20"/>
                <w:lang w:eastAsia="en-GB"/>
              </w:rPr>
              <w:t>Contract delivery, social enterprises and other charitable activities</w:t>
            </w:r>
          </w:p>
        </w:tc>
        <w:tc>
          <w:tcPr>
            <w:tcW w:w="1395" w:type="dxa"/>
            <w:gridSpan w:val="2"/>
            <w:tcBorders>
              <w:top w:val="nil"/>
              <w:left w:val="nil"/>
              <w:bottom w:val="nil"/>
              <w:right w:val="nil"/>
            </w:tcBorders>
            <w:shd w:val="clear" w:color="auto" w:fill="auto"/>
            <w:noWrap/>
            <w:vAlign w:val="center"/>
          </w:tcPr>
          <w:p w14:paraId="1B6027D2" w14:textId="77777777" w:rsidR="0061265C" w:rsidRPr="0088736E" w:rsidRDefault="00166A0B" w:rsidP="0061265C">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116,179</w:t>
            </w:r>
          </w:p>
        </w:tc>
        <w:tc>
          <w:tcPr>
            <w:tcW w:w="1723" w:type="dxa"/>
            <w:gridSpan w:val="6"/>
            <w:tcBorders>
              <w:top w:val="nil"/>
              <w:left w:val="nil"/>
              <w:bottom w:val="nil"/>
              <w:right w:val="nil"/>
            </w:tcBorders>
            <w:shd w:val="clear" w:color="auto" w:fill="auto"/>
            <w:noWrap/>
            <w:vAlign w:val="center"/>
          </w:tcPr>
          <w:p w14:paraId="52E470D7" w14:textId="77777777" w:rsidR="0061265C" w:rsidRPr="0088736E" w:rsidRDefault="00166A0B" w:rsidP="0061265C">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63,990</w:t>
            </w:r>
          </w:p>
        </w:tc>
        <w:tc>
          <w:tcPr>
            <w:tcW w:w="1309" w:type="dxa"/>
            <w:gridSpan w:val="6"/>
            <w:tcBorders>
              <w:top w:val="nil"/>
              <w:left w:val="nil"/>
              <w:bottom w:val="nil"/>
              <w:right w:val="nil"/>
            </w:tcBorders>
            <w:shd w:val="clear" w:color="auto" w:fill="auto"/>
            <w:noWrap/>
            <w:vAlign w:val="center"/>
          </w:tcPr>
          <w:p w14:paraId="20C9C1DF" w14:textId="77777777" w:rsidR="0061265C" w:rsidRPr="0088736E" w:rsidRDefault="00124480" w:rsidP="0061265C">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180,169</w:t>
            </w:r>
          </w:p>
        </w:tc>
        <w:tc>
          <w:tcPr>
            <w:tcW w:w="1763" w:type="dxa"/>
            <w:gridSpan w:val="4"/>
            <w:tcBorders>
              <w:top w:val="nil"/>
              <w:left w:val="nil"/>
              <w:bottom w:val="nil"/>
              <w:right w:val="nil"/>
            </w:tcBorders>
            <w:shd w:val="clear" w:color="auto" w:fill="auto"/>
            <w:noWrap/>
            <w:vAlign w:val="center"/>
            <w:hideMark/>
          </w:tcPr>
          <w:p w14:paraId="771F52B6" w14:textId="77777777" w:rsidR="0061265C" w:rsidRPr="0061265C" w:rsidRDefault="00570DFD" w:rsidP="0061265C">
            <w:pPr>
              <w:spacing w:after="0" w:line="240" w:lineRule="auto"/>
              <w:jc w:val="right"/>
              <w:rPr>
                <w:rFonts w:ascii="Arial" w:eastAsia="Times New Roman" w:hAnsi="Arial" w:cs="Arial"/>
                <w:sz w:val="20"/>
                <w:szCs w:val="20"/>
                <w:lang w:eastAsia="en-GB"/>
              </w:rPr>
            </w:pPr>
            <w:r w:rsidRPr="000F0746">
              <w:rPr>
                <w:rFonts w:ascii="Arial" w:eastAsia="Times New Roman" w:hAnsi="Arial" w:cs="Arial"/>
                <w:bCs/>
                <w:sz w:val="20"/>
                <w:szCs w:val="20"/>
                <w:lang w:eastAsia="en-GB"/>
              </w:rPr>
              <w:t>178,190</w:t>
            </w:r>
          </w:p>
        </w:tc>
      </w:tr>
      <w:tr w:rsidR="0061265C" w:rsidRPr="0088736E" w14:paraId="599D71B6" w14:textId="77777777" w:rsidTr="00454D0E">
        <w:trPr>
          <w:gridAfter w:val="3"/>
          <w:wAfter w:w="1377" w:type="dxa"/>
          <w:trHeight w:val="297"/>
        </w:trPr>
        <w:tc>
          <w:tcPr>
            <w:tcW w:w="2679" w:type="dxa"/>
            <w:tcBorders>
              <w:top w:val="nil"/>
              <w:left w:val="nil"/>
              <w:bottom w:val="nil"/>
              <w:right w:val="nil"/>
            </w:tcBorders>
            <w:shd w:val="clear" w:color="auto" w:fill="auto"/>
            <w:vAlign w:val="center"/>
            <w:hideMark/>
          </w:tcPr>
          <w:p w14:paraId="48CCC520" w14:textId="77777777" w:rsidR="0061265C" w:rsidRPr="0088736E" w:rsidRDefault="009B32DE" w:rsidP="0061265C">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 xml:space="preserve">Joint Venture - </w:t>
            </w:r>
            <w:proofErr w:type="spellStart"/>
            <w:r w:rsidR="00083DDE">
              <w:rPr>
                <w:rFonts w:ascii="Arial" w:eastAsia="Times New Roman" w:hAnsi="Arial" w:cs="Arial"/>
                <w:sz w:val="20"/>
                <w:szCs w:val="20"/>
                <w:lang w:eastAsia="en-GB"/>
              </w:rPr>
              <w:t>Intergracja</w:t>
            </w:r>
            <w:proofErr w:type="spellEnd"/>
          </w:p>
        </w:tc>
        <w:tc>
          <w:tcPr>
            <w:tcW w:w="1395" w:type="dxa"/>
            <w:gridSpan w:val="2"/>
            <w:tcBorders>
              <w:top w:val="nil"/>
              <w:left w:val="nil"/>
              <w:bottom w:val="nil"/>
              <w:right w:val="nil"/>
            </w:tcBorders>
            <w:shd w:val="clear" w:color="auto" w:fill="auto"/>
            <w:noWrap/>
            <w:vAlign w:val="center"/>
          </w:tcPr>
          <w:p w14:paraId="72B32BE5" w14:textId="77777777" w:rsidR="0061265C" w:rsidRPr="0088736E" w:rsidRDefault="0081244D" w:rsidP="0061265C">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w:t>
            </w:r>
          </w:p>
        </w:tc>
        <w:tc>
          <w:tcPr>
            <w:tcW w:w="1723" w:type="dxa"/>
            <w:gridSpan w:val="6"/>
            <w:tcBorders>
              <w:top w:val="nil"/>
              <w:left w:val="nil"/>
              <w:bottom w:val="nil"/>
              <w:right w:val="nil"/>
            </w:tcBorders>
            <w:shd w:val="clear" w:color="auto" w:fill="auto"/>
            <w:noWrap/>
            <w:vAlign w:val="center"/>
          </w:tcPr>
          <w:p w14:paraId="5EA7F723" w14:textId="77777777" w:rsidR="0061265C" w:rsidRPr="0088736E" w:rsidRDefault="00EC10DA" w:rsidP="0061265C">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w:t>
            </w:r>
            <w:r w:rsidR="0081244D">
              <w:rPr>
                <w:rFonts w:ascii="Arial" w:eastAsia="Times New Roman" w:hAnsi="Arial" w:cs="Arial"/>
                <w:sz w:val="20"/>
                <w:szCs w:val="20"/>
                <w:lang w:eastAsia="en-GB"/>
              </w:rPr>
              <w:t>119</w:t>
            </w:r>
            <w:r>
              <w:rPr>
                <w:rFonts w:ascii="Arial" w:eastAsia="Times New Roman" w:hAnsi="Arial" w:cs="Arial"/>
                <w:sz w:val="20"/>
                <w:szCs w:val="20"/>
                <w:lang w:eastAsia="en-GB"/>
              </w:rPr>
              <w:t>)</w:t>
            </w:r>
          </w:p>
        </w:tc>
        <w:tc>
          <w:tcPr>
            <w:tcW w:w="1309" w:type="dxa"/>
            <w:gridSpan w:val="6"/>
            <w:tcBorders>
              <w:top w:val="nil"/>
              <w:left w:val="nil"/>
              <w:bottom w:val="nil"/>
              <w:right w:val="nil"/>
            </w:tcBorders>
            <w:shd w:val="clear" w:color="auto" w:fill="auto"/>
            <w:noWrap/>
            <w:vAlign w:val="center"/>
          </w:tcPr>
          <w:p w14:paraId="6CC0D8CC" w14:textId="77777777" w:rsidR="0061265C" w:rsidRPr="0088736E" w:rsidRDefault="00EC10DA" w:rsidP="0061265C">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w:t>
            </w:r>
            <w:r w:rsidR="0081244D">
              <w:rPr>
                <w:rFonts w:ascii="Arial" w:eastAsia="Times New Roman" w:hAnsi="Arial" w:cs="Arial"/>
                <w:b/>
                <w:bCs/>
                <w:sz w:val="20"/>
                <w:szCs w:val="20"/>
                <w:lang w:eastAsia="en-GB"/>
              </w:rPr>
              <w:t>119</w:t>
            </w:r>
            <w:r>
              <w:rPr>
                <w:rFonts w:ascii="Arial" w:eastAsia="Times New Roman" w:hAnsi="Arial" w:cs="Arial"/>
                <w:b/>
                <w:bCs/>
                <w:sz w:val="20"/>
                <w:szCs w:val="20"/>
                <w:lang w:eastAsia="en-GB"/>
              </w:rPr>
              <w:t>)</w:t>
            </w:r>
          </w:p>
        </w:tc>
        <w:tc>
          <w:tcPr>
            <w:tcW w:w="1763" w:type="dxa"/>
            <w:gridSpan w:val="4"/>
            <w:tcBorders>
              <w:top w:val="nil"/>
              <w:left w:val="nil"/>
              <w:bottom w:val="nil"/>
              <w:right w:val="nil"/>
            </w:tcBorders>
            <w:shd w:val="clear" w:color="auto" w:fill="auto"/>
            <w:noWrap/>
            <w:vAlign w:val="center"/>
            <w:hideMark/>
          </w:tcPr>
          <w:p w14:paraId="3D49F735" w14:textId="77777777" w:rsidR="0061265C" w:rsidRPr="00161381" w:rsidRDefault="00570DFD" w:rsidP="0061265C">
            <w:pPr>
              <w:spacing w:after="0" w:line="240" w:lineRule="auto"/>
              <w:jc w:val="right"/>
              <w:rPr>
                <w:rFonts w:ascii="Arial" w:eastAsia="Times New Roman" w:hAnsi="Arial" w:cs="Arial"/>
                <w:sz w:val="20"/>
                <w:szCs w:val="20"/>
                <w:highlight w:val="yellow"/>
                <w:lang w:eastAsia="en-GB"/>
              </w:rPr>
            </w:pPr>
            <w:r w:rsidRPr="00161381">
              <w:rPr>
                <w:rFonts w:ascii="Arial" w:eastAsia="Times New Roman" w:hAnsi="Arial" w:cs="Arial"/>
                <w:bCs/>
                <w:sz w:val="20"/>
                <w:szCs w:val="20"/>
                <w:lang w:eastAsia="en-GB"/>
              </w:rPr>
              <w:t>(</w:t>
            </w:r>
            <w:r w:rsidR="0061265C" w:rsidRPr="00E94AEA">
              <w:rPr>
                <w:rFonts w:ascii="Arial" w:eastAsia="Times New Roman" w:hAnsi="Arial" w:cs="Arial"/>
                <w:bCs/>
                <w:sz w:val="20"/>
                <w:szCs w:val="20"/>
                <w:lang w:eastAsia="en-GB"/>
              </w:rPr>
              <w:t>1,828</w:t>
            </w:r>
            <w:r w:rsidRPr="00E94AEA">
              <w:rPr>
                <w:rFonts w:ascii="Arial" w:eastAsia="Times New Roman" w:hAnsi="Arial" w:cs="Arial"/>
                <w:bCs/>
                <w:sz w:val="20"/>
                <w:szCs w:val="20"/>
                <w:lang w:eastAsia="en-GB"/>
              </w:rPr>
              <w:t>)</w:t>
            </w:r>
          </w:p>
        </w:tc>
      </w:tr>
      <w:tr w:rsidR="0061265C" w:rsidRPr="000F0746" w14:paraId="6D947693" w14:textId="77777777" w:rsidTr="00454D0E">
        <w:trPr>
          <w:gridAfter w:val="3"/>
          <w:wAfter w:w="1377" w:type="dxa"/>
          <w:trHeight w:val="441"/>
        </w:trPr>
        <w:tc>
          <w:tcPr>
            <w:tcW w:w="2679" w:type="dxa"/>
            <w:tcBorders>
              <w:top w:val="single" w:sz="4" w:space="0" w:color="auto"/>
              <w:left w:val="nil"/>
              <w:bottom w:val="single" w:sz="4" w:space="0" w:color="auto"/>
              <w:right w:val="nil"/>
            </w:tcBorders>
            <w:shd w:val="clear" w:color="auto" w:fill="auto"/>
            <w:vAlign w:val="center"/>
            <w:hideMark/>
          </w:tcPr>
          <w:p w14:paraId="08203B92" w14:textId="77777777" w:rsidR="0061265C" w:rsidRPr="0088736E" w:rsidRDefault="0061265C" w:rsidP="0061265C">
            <w:pPr>
              <w:spacing w:after="0" w:line="240" w:lineRule="auto"/>
              <w:rPr>
                <w:rFonts w:ascii="Arial" w:eastAsia="Times New Roman" w:hAnsi="Arial" w:cs="Arial"/>
                <w:b/>
                <w:bCs/>
                <w:sz w:val="20"/>
                <w:szCs w:val="20"/>
                <w:lang w:eastAsia="en-GB"/>
              </w:rPr>
            </w:pPr>
            <w:r w:rsidRPr="0088736E">
              <w:rPr>
                <w:rFonts w:ascii="Arial" w:eastAsia="Times New Roman" w:hAnsi="Arial" w:cs="Arial"/>
                <w:b/>
                <w:bCs/>
                <w:sz w:val="20"/>
                <w:szCs w:val="20"/>
                <w:lang w:eastAsia="en-GB"/>
              </w:rPr>
              <w:t>Incoming resources from charitable activities</w:t>
            </w:r>
          </w:p>
        </w:tc>
        <w:tc>
          <w:tcPr>
            <w:tcW w:w="1395" w:type="dxa"/>
            <w:gridSpan w:val="2"/>
            <w:tcBorders>
              <w:top w:val="single" w:sz="4" w:space="0" w:color="auto"/>
              <w:left w:val="nil"/>
              <w:bottom w:val="single" w:sz="4" w:space="0" w:color="auto"/>
              <w:right w:val="nil"/>
            </w:tcBorders>
            <w:shd w:val="clear" w:color="auto" w:fill="auto"/>
            <w:noWrap/>
            <w:vAlign w:val="center"/>
          </w:tcPr>
          <w:p w14:paraId="579A0B75" w14:textId="77777777" w:rsidR="0061265C" w:rsidRPr="0088736E" w:rsidRDefault="00166A0B" w:rsidP="0061265C">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116,179</w:t>
            </w:r>
          </w:p>
        </w:tc>
        <w:tc>
          <w:tcPr>
            <w:tcW w:w="1723" w:type="dxa"/>
            <w:gridSpan w:val="6"/>
            <w:tcBorders>
              <w:top w:val="single" w:sz="4" w:space="0" w:color="auto"/>
              <w:left w:val="nil"/>
              <w:bottom w:val="single" w:sz="4" w:space="0" w:color="auto"/>
              <w:right w:val="nil"/>
            </w:tcBorders>
            <w:shd w:val="clear" w:color="auto" w:fill="auto"/>
            <w:noWrap/>
            <w:vAlign w:val="center"/>
          </w:tcPr>
          <w:p w14:paraId="4BB662EB" w14:textId="77777777" w:rsidR="0061265C" w:rsidRPr="0088736E" w:rsidRDefault="00166A0B" w:rsidP="0061265C">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63,871</w:t>
            </w:r>
          </w:p>
        </w:tc>
        <w:tc>
          <w:tcPr>
            <w:tcW w:w="1309" w:type="dxa"/>
            <w:gridSpan w:val="6"/>
            <w:tcBorders>
              <w:top w:val="single" w:sz="4" w:space="0" w:color="auto"/>
              <w:left w:val="nil"/>
              <w:bottom w:val="single" w:sz="4" w:space="0" w:color="auto"/>
              <w:right w:val="nil"/>
            </w:tcBorders>
            <w:shd w:val="clear" w:color="auto" w:fill="auto"/>
            <w:noWrap/>
            <w:vAlign w:val="center"/>
          </w:tcPr>
          <w:p w14:paraId="2EFD9BED" w14:textId="77777777" w:rsidR="0061265C" w:rsidRPr="0088736E" w:rsidRDefault="00124480" w:rsidP="0061265C">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180,050</w:t>
            </w:r>
          </w:p>
        </w:tc>
        <w:tc>
          <w:tcPr>
            <w:tcW w:w="1763" w:type="dxa"/>
            <w:gridSpan w:val="4"/>
            <w:tcBorders>
              <w:top w:val="single" w:sz="4" w:space="0" w:color="auto"/>
              <w:left w:val="nil"/>
              <w:bottom w:val="single" w:sz="4" w:space="0" w:color="auto"/>
              <w:right w:val="nil"/>
            </w:tcBorders>
            <w:shd w:val="clear" w:color="auto" w:fill="auto"/>
            <w:noWrap/>
            <w:vAlign w:val="center"/>
            <w:hideMark/>
          </w:tcPr>
          <w:p w14:paraId="5253A2AC" w14:textId="77777777" w:rsidR="0061265C" w:rsidRPr="000F0746" w:rsidRDefault="00570DFD" w:rsidP="0061265C">
            <w:pPr>
              <w:spacing w:after="0" w:line="240" w:lineRule="auto"/>
              <w:jc w:val="right"/>
              <w:rPr>
                <w:rFonts w:ascii="Arial" w:eastAsia="Times New Roman" w:hAnsi="Arial" w:cs="Arial"/>
                <w:sz w:val="20"/>
                <w:szCs w:val="20"/>
                <w:lang w:eastAsia="en-GB"/>
              </w:rPr>
            </w:pPr>
            <w:r>
              <w:rPr>
                <w:rFonts w:ascii="Arial" w:eastAsia="Times New Roman" w:hAnsi="Arial" w:cs="Arial"/>
                <w:bCs/>
                <w:sz w:val="20"/>
                <w:szCs w:val="20"/>
                <w:lang w:eastAsia="en-GB"/>
              </w:rPr>
              <w:t>176,362</w:t>
            </w:r>
          </w:p>
        </w:tc>
      </w:tr>
      <w:tr w:rsidR="0061265C" w:rsidRPr="0088736E" w14:paraId="2D1432D5" w14:textId="77777777" w:rsidTr="00454D0E">
        <w:trPr>
          <w:gridAfter w:val="3"/>
          <w:wAfter w:w="1377" w:type="dxa"/>
          <w:trHeight w:val="297"/>
        </w:trPr>
        <w:tc>
          <w:tcPr>
            <w:tcW w:w="2679" w:type="dxa"/>
            <w:tcBorders>
              <w:top w:val="nil"/>
              <w:left w:val="nil"/>
              <w:bottom w:val="single" w:sz="4" w:space="0" w:color="auto"/>
              <w:right w:val="nil"/>
            </w:tcBorders>
            <w:shd w:val="clear" w:color="auto" w:fill="auto"/>
            <w:vAlign w:val="center"/>
            <w:hideMark/>
          </w:tcPr>
          <w:p w14:paraId="7395DA4A" w14:textId="77777777" w:rsidR="0061265C" w:rsidRPr="0088736E" w:rsidRDefault="0061265C" w:rsidP="0061265C">
            <w:pPr>
              <w:spacing w:after="0" w:line="240" w:lineRule="auto"/>
              <w:rPr>
                <w:rFonts w:ascii="Arial" w:eastAsia="Times New Roman" w:hAnsi="Arial" w:cs="Arial"/>
                <w:b/>
                <w:bCs/>
                <w:sz w:val="20"/>
                <w:szCs w:val="20"/>
                <w:lang w:eastAsia="en-GB"/>
              </w:rPr>
            </w:pPr>
            <w:r w:rsidRPr="0088736E">
              <w:rPr>
                <w:rFonts w:ascii="Arial" w:eastAsia="Times New Roman" w:hAnsi="Arial" w:cs="Arial"/>
                <w:b/>
                <w:bCs/>
                <w:sz w:val="20"/>
                <w:szCs w:val="20"/>
                <w:lang w:eastAsia="en-GB"/>
              </w:rPr>
              <w:t>Total</w:t>
            </w:r>
          </w:p>
        </w:tc>
        <w:tc>
          <w:tcPr>
            <w:tcW w:w="1395" w:type="dxa"/>
            <w:gridSpan w:val="2"/>
            <w:tcBorders>
              <w:top w:val="nil"/>
              <w:left w:val="nil"/>
              <w:bottom w:val="single" w:sz="4" w:space="0" w:color="auto"/>
              <w:right w:val="nil"/>
            </w:tcBorders>
            <w:shd w:val="clear" w:color="auto" w:fill="auto"/>
            <w:noWrap/>
            <w:vAlign w:val="center"/>
          </w:tcPr>
          <w:p w14:paraId="56E43082" w14:textId="77777777" w:rsidR="0061265C" w:rsidRPr="0088736E" w:rsidRDefault="0081244D" w:rsidP="0061265C">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119,</w:t>
            </w:r>
            <w:r w:rsidR="00520104">
              <w:rPr>
                <w:rFonts w:ascii="Arial" w:eastAsia="Times New Roman" w:hAnsi="Arial" w:cs="Arial"/>
                <w:sz w:val="20"/>
                <w:szCs w:val="20"/>
                <w:lang w:eastAsia="en-GB"/>
              </w:rPr>
              <w:t>939</w:t>
            </w:r>
          </w:p>
        </w:tc>
        <w:tc>
          <w:tcPr>
            <w:tcW w:w="1723" w:type="dxa"/>
            <w:gridSpan w:val="6"/>
            <w:tcBorders>
              <w:top w:val="nil"/>
              <w:left w:val="nil"/>
              <w:bottom w:val="single" w:sz="4" w:space="0" w:color="auto"/>
              <w:right w:val="nil"/>
            </w:tcBorders>
            <w:shd w:val="clear" w:color="auto" w:fill="auto"/>
            <w:noWrap/>
            <w:vAlign w:val="center"/>
          </w:tcPr>
          <w:p w14:paraId="0B25CD29" w14:textId="77777777" w:rsidR="0061265C" w:rsidRPr="0088736E" w:rsidRDefault="00A558F1" w:rsidP="0061265C">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103,184</w:t>
            </w:r>
          </w:p>
        </w:tc>
        <w:tc>
          <w:tcPr>
            <w:tcW w:w="1309" w:type="dxa"/>
            <w:gridSpan w:val="6"/>
            <w:tcBorders>
              <w:top w:val="nil"/>
              <w:left w:val="nil"/>
              <w:bottom w:val="single" w:sz="4" w:space="0" w:color="auto"/>
              <w:right w:val="nil"/>
            </w:tcBorders>
            <w:shd w:val="clear" w:color="auto" w:fill="auto"/>
            <w:noWrap/>
            <w:vAlign w:val="center"/>
          </w:tcPr>
          <w:p w14:paraId="443C60E1" w14:textId="77777777" w:rsidR="0061265C" w:rsidRPr="0088736E" w:rsidRDefault="00A558F1" w:rsidP="0061265C">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223,123</w:t>
            </w:r>
          </w:p>
        </w:tc>
        <w:tc>
          <w:tcPr>
            <w:tcW w:w="1763" w:type="dxa"/>
            <w:gridSpan w:val="4"/>
            <w:tcBorders>
              <w:top w:val="nil"/>
              <w:left w:val="nil"/>
              <w:bottom w:val="single" w:sz="4" w:space="0" w:color="auto"/>
              <w:right w:val="nil"/>
            </w:tcBorders>
            <w:shd w:val="clear" w:color="auto" w:fill="auto"/>
            <w:noWrap/>
            <w:vAlign w:val="center"/>
            <w:hideMark/>
          </w:tcPr>
          <w:p w14:paraId="5B5D8069" w14:textId="77777777" w:rsidR="0061265C" w:rsidRPr="0061265C" w:rsidRDefault="00930CCD" w:rsidP="0061265C">
            <w:pPr>
              <w:spacing w:after="0" w:line="240" w:lineRule="auto"/>
              <w:jc w:val="right"/>
              <w:rPr>
                <w:rFonts w:ascii="Arial" w:eastAsia="Times New Roman" w:hAnsi="Arial" w:cs="Arial"/>
                <w:sz w:val="20"/>
                <w:szCs w:val="20"/>
                <w:lang w:eastAsia="en-GB"/>
              </w:rPr>
            </w:pPr>
            <w:r>
              <w:rPr>
                <w:rFonts w:ascii="Arial" w:eastAsia="Times New Roman" w:hAnsi="Arial" w:cs="Arial"/>
                <w:bCs/>
                <w:sz w:val="20"/>
                <w:szCs w:val="20"/>
                <w:lang w:eastAsia="en-GB"/>
              </w:rPr>
              <w:t>206,367</w:t>
            </w:r>
          </w:p>
        </w:tc>
      </w:tr>
      <w:tr w:rsidR="00190D85" w:rsidRPr="00034E33" w14:paraId="415F89BA" w14:textId="77777777" w:rsidTr="00454D0E">
        <w:trPr>
          <w:trHeight w:val="297"/>
        </w:trPr>
        <w:tc>
          <w:tcPr>
            <w:tcW w:w="3179" w:type="dxa"/>
            <w:gridSpan w:val="2"/>
            <w:tcBorders>
              <w:top w:val="nil"/>
              <w:left w:val="nil"/>
              <w:bottom w:val="nil"/>
              <w:right w:val="nil"/>
            </w:tcBorders>
            <w:shd w:val="clear" w:color="auto" w:fill="auto"/>
            <w:noWrap/>
            <w:vAlign w:val="center"/>
            <w:hideMark/>
          </w:tcPr>
          <w:p w14:paraId="7AEEE46D" w14:textId="77777777" w:rsidR="00190D85" w:rsidRPr="0088736E" w:rsidRDefault="00190D85" w:rsidP="001F6984">
            <w:pPr>
              <w:spacing w:after="0" w:line="240" w:lineRule="auto"/>
              <w:rPr>
                <w:rFonts w:ascii="Arial" w:eastAsia="Times New Roman" w:hAnsi="Arial" w:cs="Arial"/>
                <w:sz w:val="20"/>
                <w:szCs w:val="20"/>
                <w:lang w:eastAsia="en-GB"/>
              </w:rPr>
            </w:pPr>
          </w:p>
        </w:tc>
        <w:tc>
          <w:tcPr>
            <w:tcW w:w="1916" w:type="dxa"/>
            <w:gridSpan w:val="4"/>
            <w:tcBorders>
              <w:top w:val="nil"/>
              <w:left w:val="nil"/>
              <w:bottom w:val="nil"/>
              <w:right w:val="nil"/>
            </w:tcBorders>
            <w:shd w:val="clear" w:color="auto" w:fill="auto"/>
            <w:noWrap/>
            <w:vAlign w:val="center"/>
            <w:hideMark/>
          </w:tcPr>
          <w:p w14:paraId="39BE1BA4" w14:textId="77777777" w:rsidR="00190D85" w:rsidRPr="0088736E" w:rsidRDefault="00190D85" w:rsidP="005B39D0">
            <w:pPr>
              <w:spacing w:after="0" w:line="240" w:lineRule="auto"/>
              <w:jc w:val="right"/>
              <w:rPr>
                <w:rFonts w:ascii="Times New Roman" w:eastAsia="Times New Roman" w:hAnsi="Times New Roman" w:cs="Times New Roman"/>
                <w:sz w:val="20"/>
                <w:szCs w:val="20"/>
                <w:lang w:eastAsia="en-GB"/>
              </w:rPr>
            </w:pPr>
          </w:p>
        </w:tc>
        <w:tc>
          <w:tcPr>
            <w:tcW w:w="1835" w:type="dxa"/>
            <w:gridSpan w:val="8"/>
            <w:tcBorders>
              <w:top w:val="nil"/>
              <w:left w:val="nil"/>
              <w:bottom w:val="nil"/>
              <w:right w:val="nil"/>
            </w:tcBorders>
            <w:shd w:val="clear" w:color="auto" w:fill="auto"/>
            <w:noWrap/>
            <w:vAlign w:val="center"/>
            <w:hideMark/>
          </w:tcPr>
          <w:p w14:paraId="4D3727BD" w14:textId="77777777" w:rsidR="00190D85" w:rsidRPr="0088736E" w:rsidRDefault="00190D85" w:rsidP="005B39D0">
            <w:pPr>
              <w:spacing w:after="0" w:line="240" w:lineRule="auto"/>
              <w:jc w:val="right"/>
              <w:rPr>
                <w:rFonts w:ascii="Times New Roman" w:eastAsia="Times New Roman" w:hAnsi="Times New Roman" w:cs="Times New Roman"/>
                <w:sz w:val="20"/>
                <w:szCs w:val="20"/>
                <w:lang w:eastAsia="en-GB"/>
              </w:rPr>
            </w:pPr>
          </w:p>
        </w:tc>
        <w:tc>
          <w:tcPr>
            <w:tcW w:w="2039" w:type="dxa"/>
            <w:gridSpan w:val="6"/>
            <w:tcBorders>
              <w:top w:val="nil"/>
              <w:left w:val="nil"/>
              <w:bottom w:val="nil"/>
              <w:right w:val="nil"/>
            </w:tcBorders>
            <w:shd w:val="clear" w:color="auto" w:fill="auto"/>
            <w:noWrap/>
            <w:vAlign w:val="center"/>
            <w:hideMark/>
          </w:tcPr>
          <w:p w14:paraId="57FC4A3C" w14:textId="77777777" w:rsidR="00190D85" w:rsidRPr="0088736E" w:rsidRDefault="00190D85" w:rsidP="005B39D0">
            <w:pPr>
              <w:spacing w:after="0" w:line="240" w:lineRule="auto"/>
              <w:jc w:val="right"/>
              <w:rPr>
                <w:rFonts w:ascii="Times New Roman" w:eastAsia="Times New Roman" w:hAnsi="Times New Roman" w:cs="Times New Roman"/>
                <w:sz w:val="20"/>
                <w:szCs w:val="20"/>
                <w:lang w:eastAsia="en-GB"/>
              </w:rPr>
            </w:pPr>
          </w:p>
        </w:tc>
        <w:tc>
          <w:tcPr>
            <w:tcW w:w="1277" w:type="dxa"/>
            <w:gridSpan w:val="2"/>
            <w:tcBorders>
              <w:top w:val="nil"/>
              <w:left w:val="nil"/>
              <w:bottom w:val="nil"/>
              <w:right w:val="nil"/>
            </w:tcBorders>
            <w:shd w:val="clear" w:color="auto" w:fill="auto"/>
            <w:noWrap/>
            <w:vAlign w:val="center"/>
            <w:hideMark/>
          </w:tcPr>
          <w:p w14:paraId="04B8D211" w14:textId="77777777" w:rsidR="00190D85" w:rsidRPr="0088736E" w:rsidRDefault="00190D85" w:rsidP="001F6984">
            <w:pPr>
              <w:spacing w:after="0" w:line="240" w:lineRule="auto"/>
              <w:rPr>
                <w:rFonts w:ascii="Times New Roman" w:eastAsia="Times New Roman" w:hAnsi="Times New Roman" w:cs="Times New Roman"/>
                <w:sz w:val="20"/>
                <w:szCs w:val="20"/>
                <w:lang w:eastAsia="en-GB"/>
              </w:rPr>
            </w:pPr>
          </w:p>
        </w:tc>
      </w:tr>
      <w:tr w:rsidR="00190D85" w:rsidRPr="00034E33" w14:paraId="47B8A4E8" w14:textId="77777777" w:rsidTr="00454D0E">
        <w:trPr>
          <w:trHeight w:val="554"/>
        </w:trPr>
        <w:tc>
          <w:tcPr>
            <w:tcW w:w="10246" w:type="dxa"/>
            <w:gridSpan w:val="22"/>
            <w:tcBorders>
              <w:top w:val="nil"/>
              <w:left w:val="nil"/>
              <w:bottom w:val="nil"/>
              <w:right w:val="nil"/>
            </w:tcBorders>
            <w:shd w:val="clear" w:color="auto" w:fill="auto"/>
            <w:hideMark/>
          </w:tcPr>
          <w:p w14:paraId="09337D37" w14:textId="77777777" w:rsidR="005E2010" w:rsidRPr="0088736E" w:rsidRDefault="005E2010" w:rsidP="005E2010">
            <w:pPr>
              <w:spacing w:after="0" w:line="240" w:lineRule="auto"/>
              <w:ind w:right="1481"/>
              <w:rPr>
                <w:rFonts w:ascii="Arial" w:eastAsia="Times New Roman" w:hAnsi="Arial" w:cs="Arial"/>
                <w:sz w:val="24"/>
                <w:szCs w:val="24"/>
                <w:lang w:eastAsia="en-GB"/>
              </w:rPr>
            </w:pPr>
            <w:r w:rsidRPr="0088736E">
              <w:rPr>
                <w:rFonts w:ascii="Arial" w:eastAsia="Times New Roman" w:hAnsi="Arial" w:cs="Arial"/>
                <w:sz w:val="24"/>
                <w:szCs w:val="24"/>
                <w:lang w:eastAsia="en-GB"/>
              </w:rPr>
              <w:t xml:space="preserve">The Trustees </w:t>
            </w:r>
            <w:r w:rsidRPr="00BE6C5F">
              <w:rPr>
                <w:rFonts w:ascii="Arial" w:eastAsia="Times New Roman" w:hAnsi="Arial" w:cs="Arial"/>
                <w:sz w:val="24"/>
                <w:szCs w:val="24"/>
                <w:lang w:eastAsia="en-GB"/>
              </w:rPr>
              <w:t>consider material funders to be</w:t>
            </w:r>
            <w:r w:rsidRPr="0088736E">
              <w:rPr>
                <w:rFonts w:ascii="Arial" w:eastAsia="Times New Roman" w:hAnsi="Arial" w:cs="Arial"/>
                <w:sz w:val="24"/>
                <w:szCs w:val="24"/>
                <w:lang w:eastAsia="en-GB"/>
              </w:rPr>
              <w:t xml:space="preserve"> those contributing over 10% of income.</w:t>
            </w:r>
          </w:p>
          <w:p w14:paraId="175755E3" w14:textId="77777777" w:rsidR="005E2010" w:rsidRPr="0088736E" w:rsidRDefault="005E2010" w:rsidP="005E2010">
            <w:pPr>
              <w:spacing w:after="0" w:line="240" w:lineRule="auto"/>
              <w:ind w:right="1481"/>
              <w:rPr>
                <w:rFonts w:ascii="Arial" w:eastAsia="Times New Roman" w:hAnsi="Arial" w:cs="Arial"/>
                <w:sz w:val="24"/>
                <w:szCs w:val="24"/>
                <w:lang w:eastAsia="en-GB"/>
              </w:rPr>
            </w:pPr>
          </w:p>
          <w:p w14:paraId="0C86B411" w14:textId="77777777" w:rsidR="005E2010" w:rsidRDefault="005E2010" w:rsidP="005E2010">
            <w:pPr>
              <w:spacing w:after="0" w:line="240" w:lineRule="auto"/>
              <w:ind w:right="1481"/>
              <w:rPr>
                <w:rFonts w:ascii="Arial" w:eastAsia="Times New Roman" w:hAnsi="Arial" w:cs="Arial"/>
                <w:sz w:val="24"/>
                <w:szCs w:val="24"/>
                <w:lang w:eastAsia="en-GB"/>
              </w:rPr>
            </w:pPr>
            <w:r>
              <w:rPr>
                <w:rFonts w:ascii="Arial" w:eastAsia="Times New Roman" w:hAnsi="Arial" w:cs="Arial"/>
                <w:sz w:val="24"/>
                <w:szCs w:val="24"/>
                <w:lang w:eastAsia="en-GB"/>
              </w:rPr>
              <w:t>Material</w:t>
            </w:r>
            <w:r w:rsidRPr="0088736E">
              <w:rPr>
                <w:rFonts w:ascii="Arial" w:eastAsia="Times New Roman" w:hAnsi="Arial" w:cs="Arial"/>
                <w:sz w:val="24"/>
                <w:szCs w:val="24"/>
                <w:lang w:eastAsia="en-GB"/>
              </w:rPr>
              <w:t xml:space="preserve"> funder</w:t>
            </w:r>
            <w:r>
              <w:rPr>
                <w:rFonts w:ascii="Arial" w:eastAsia="Times New Roman" w:hAnsi="Arial" w:cs="Arial"/>
                <w:sz w:val="24"/>
                <w:szCs w:val="24"/>
                <w:lang w:eastAsia="en-GB"/>
              </w:rPr>
              <w:t>s are</w:t>
            </w:r>
            <w:r w:rsidRPr="0088736E">
              <w:rPr>
                <w:rFonts w:ascii="Arial" w:eastAsia="Times New Roman" w:hAnsi="Arial" w:cs="Arial"/>
                <w:sz w:val="24"/>
                <w:szCs w:val="24"/>
                <w:lang w:eastAsia="en-GB"/>
              </w:rPr>
              <w:t xml:space="preserve"> The Department of Work and Pensions (DWP) from which a total of £</w:t>
            </w:r>
            <w:r>
              <w:rPr>
                <w:rFonts w:ascii="Arial" w:eastAsia="Times New Roman" w:hAnsi="Arial" w:cs="Arial"/>
                <w:sz w:val="24"/>
                <w:szCs w:val="24"/>
                <w:lang w:eastAsia="en-GB"/>
              </w:rPr>
              <w:t>25.4</w:t>
            </w:r>
            <w:r w:rsidRPr="0088736E">
              <w:rPr>
                <w:rFonts w:ascii="Arial" w:eastAsia="Times New Roman" w:hAnsi="Arial" w:cs="Arial"/>
                <w:sz w:val="24"/>
                <w:szCs w:val="24"/>
                <w:lang w:eastAsia="en-GB"/>
              </w:rPr>
              <w:t>million (</w:t>
            </w:r>
            <w:r>
              <w:rPr>
                <w:rFonts w:ascii="Arial" w:eastAsia="Times New Roman" w:hAnsi="Arial" w:cs="Arial"/>
                <w:sz w:val="24"/>
                <w:szCs w:val="24"/>
                <w:lang w:eastAsia="en-GB"/>
              </w:rPr>
              <w:t>2019: £21.3 million) was earned. Shaw Education Trust received £43.3 million (2019: £37.4</w:t>
            </w:r>
            <w:r w:rsidRPr="002946F0">
              <w:rPr>
                <w:rFonts w:ascii="Arial" w:eastAsia="Times New Roman" w:hAnsi="Arial" w:cs="Arial"/>
                <w:sz w:val="24"/>
                <w:szCs w:val="24"/>
                <w:lang w:eastAsia="en-GB"/>
              </w:rPr>
              <w:t xml:space="preserve"> million) </w:t>
            </w:r>
            <w:r>
              <w:rPr>
                <w:rFonts w:ascii="Arial" w:eastAsia="Times New Roman" w:hAnsi="Arial" w:cs="Arial"/>
                <w:sz w:val="24"/>
                <w:szCs w:val="24"/>
                <w:lang w:eastAsia="en-GB"/>
              </w:rPr>
              <w:t>general annual grant from Department for Education.</w:t>
            </w:r>
          </w:p>
          <w:p w14:paraId="26B6B869" w14:textId="77777777" w:rsidR="005E2010" w:rsidRDefault="005E2010" w:rsidP="005E2010">
            <w:pPr>
              <w:spacing w:after="0" w:line="240" w:lineRule="auto"/>
              <w:ind w:right="1481"/>
              <w:rPr>
                <w:rFonts w:ascii="Arial" w:eastAsia="Times New Roman" w:hAnsi="Arial" w:cs="Arial"/>
                <w:sz w:val="24"/>
                <w:szCs w:val="24"/>
                <w:lang w:eastAsia="en-GB"/>
              </w:rPr>
            </w:pPr>
          </w:p>
          <w:p w14:paraId="4ACD4B84" w14:textId="77777777" w:rsidR="005E2010" w:rsidRDefault="005E2010" w:rsidP="005E2010">
            <w:pPr>
              <w:spacing w:after="0" w:line="240" w:lineRule="auto"/>
              <w:ind w:right="1481"/>
              <w:rPr>
                <w:rFonts w:ascii="Arial" w:eastAsia="Times New Roman" w:hAnsi="Arial" w:cs="Arial"/>
                <w:sz w:val="24"/>
                <w:szCs w:val="24"/>
                <w:lang w:eastAsia="en-GB"/>
              </w:rPr>
            </w:pPr>
            <w:r w:rsidRPr="0088736E">
              <w:rPr>
                <w:rFonts w:ascii="Arial" w:eastAsia="Times New Roman" w:hAnsi="Arial" w:cs="Arial"/>
                <w:sz w:val="24"/>
                <w:szCs w:val="24"/>
                <w:lang w:eastAsia="en-GB"/>
              </w:rPr>
              <w:t>The fair value of net assets acquired from business combinations are treated as a donation (see note 2</w:t>
            </w:r>
            <w:r>
              <w:rPr>
                <w:rFonts w:ascii="Arial" w:eastAsia="Times New Roman" w:hAnsi="Arial" w:cs="Arial"/>
                <w:sz w:val="24"/>
                <w:szCs w:val="24"/>
                <w:lang w:eastAsia="en-GB"/>
              </w:rPr>
              <w:t>5</w:t>
            </w:r>
            <w:r w:rsidRPr="0088736E">
              <w:rPr>
                <w:rFonts w:ascii="Arial" w:eastAsia="Times New Roman" w:hAnsi="Arial" w:cs="Arial"/>
                <w:sz w:val="24"/>
                <w:szCs w:val="24"/>
                <w:lang w:eastAsia="en-GB"/>
              </w:rPr>
              <w:t>).</w:t>
            </w:r>
          </w:p>
          <w:p w14:paraId="40D6E9B5" w14:textId="77777777" w:rsidR="005E2010" w:rsidRPr="0088736E" w:rsidRDefault="005E2010" w:rsidP="005E2010">
            <w:pPr>
              <w:spacing w:after="0" w:line="240" w:lineRule="auto"/>
              <w:ind w:right="1481"/>
              <w:rPr>
                <w:rFonts w:ascii="Arial" w:eastAsia="Times New Roman" w:hAnsi="Arial" w:cs="Arial"/>
                <w:sz w:val="24"/>
                <w:szCs w:val="24"/>
                <w:lang w:eastAsia="en-GB"/>
              </w:rPr>
            </w:pPr>
          </w:p>
          <w:p w14:paraId="0FD0AE08" w14:textId="77777777" w:rsidR="005E2010" w:rsidRDefault="005E2010" w:rsidP="005E2010">
            <w:pPr>
              <w:tabs>
                <w:tab w:val="left" w:pos="567"/>
              </w:tabs>
              <w:ind w:right="1481"/>
              <w:rPr>
                <w:rFonts w:ascii="Arial" w:hAnsi="Arial" w:cs="Arial"/>
                <w:b/>
                <w:i/>
                <w:sz w:val="24"/>
                <w:szCs w:val="24"/>
              </w:rPr>
            </w:pPr>
          </w:p>
          <w:p w14:paraId="53B12440" w14:textId="77777777" w:rsidR="00454D0E" w:rsidRDefault="00454D0E" w:rsidP="005E2010">
            <w:pPr>
              <w:tabs>
                <w:tab w:val="left" w:pos="567"/>
              </w:tabs>
              <w:ind w:right="1481"/>
              <w:rPr>
                <w:rFonts w:ascii="Arial" w:hAnsi="Arial" w:cs="Arial"/>
                <w:b/>
                <w:i/>
                <w:sz w:val="24"/>
                <w:szCs w:val="24"/>
              </w:rPr>
            </w:pPr>
          </w:p>
          <w:p w14:paraId="4DC87FB2" w14:textId="77777777" w:rsidR="00454D0E" w:rsidRDefault="00454D0E" w:rsidP="005E2010">
            <w:pPr>
              <w:tabs>
                <w:tab w:val="left" w:pos="567"/>
              </w:tabs>
              <w:ind w:right="1481"/>
              <w:rPr>
                <w:rFonts w:ascii="Arial" w:hAnsi="Arial" w:cs="Arial"/>
                <w:b/>
                <w:i/>
                <w:sz w:val="24"/>
                <w:szCs w:val="24"/>
              </w:rPr>
            </w:pPr>
          </w:p>
          <w:p w14:paraId="1FD79E57" w14:textId="77777777" w:rsidR="0088736E" w:rsidRDefault="0088736E" w:rsidP="005E2010">
            <w:pPr>
              <w:spacing w:after="0" w:line="240" w:lineRule="auto"/>
              <w:ind w:right="1481"/>
              <w:rPr>
                <w:rFonts w:ascii="Arial" w:eastAsia="Times New Roman" w:hAnsi="Arial" w:cs="Arial"/>
                <w:sz w:val="24"/>
                <w:szCs w:val="24"/>
                <w:lang w:eastAsia="en-GB"/>
              </w:rPr>
            </w:pPr>
          </w:p>
          <w:p w14:paraId="2DE23ECE" w14:textId="77777777" w:rsidR="005E2010" w:rsidRPr="0088736E" w:rsidRDefault="005E2010" w:rsidP="005E2010">
            <w:pPr>
              <w:spacing w:after="0" w:line="240" w:lineRule="auto"/>
              <w:ind w:right="1481"/>
              <w:rPr>
                <w:rFonts w:ascii="Arial" w:eastAsia="Times New Roman" w:hAnsi="Arial" w:cs="Arial"/>
                <w:sz w:val="24"/>
                <w:szCs w:val="24"/>
                <w:lang w:eastAsia="en-GB"/>
              </w:rPr>
            </w:pPr>
          </w:p>
          <w:p w14:paraId="5B903E73" w14:textId="77777777" w:rsidR="00190D85" w:rsidRPr="0088736E" w:rsidRDefault="00190D85" w:rsidP="00C44565">
            <w:pPr>
              <w:spacing w:after="0" w:line="240" w:lineRule="auto"/>
              <w:ind w:right="206"/>
              <w:rPr>
                <w:rFonts w:ascii="Arial" w:eastAsia="Times New Roman" w:hAnsi="Arial" w:cs="Arial"/>
                <w:sz w:val="24"/>
                <w:szCs w:val="24"/>
                <w:lang w:eastAsia="en-GB"/>
              </w:rPr>
            </w:pPr>
          </w:p>
        </w:tc>
      </w:tr>
      <w:tr w:rsidR="005E2010" w:rsidRPr="00034E33" w14:paraId="3D503E72" w14:textId="77777777" w:rsidTr="00454D0E">
        <w:trPr>
          <w:trHeight w:val="554"/>
        </w:trPr>
        <w:tc>
          <w:tcPr>
            <w:tcW w:w="10246" w:type="dxa"/>
            <w:gridSpan w:val="22"/>
            <w:tcBorders>
              <w:top w:val="nil"/>
              <w:left w:val="nil"/>
              <w:bottom w:val="nil"/>
              <w:right w:val="nil"/>
            </w:tcBorders>
            <w:shd w:val="clear" w:color="auto" w:fill="auto"/>
          </w:tcPr>
          <w:p w14:paraId="119B3E09" w14:textId="77777777" w:rsidR="005E2010" w:rsidRPr="0088736E" w:rsidRDefault="005E2010" w:rsidP="005E2010">
            <w:pPr>
              <w:tabs>
                <w:tab w:val="left" w:pos="567"/>
              </w:tabs>
              <w:ind w:right="1481"/>
              <w:rPr>
                <w:rFonts w:ascii="Arial" w:hAnsi="Arial" w:cs="Arial"/>
                <w:b/>
                <w:i/>
                <w:sz w:val="24"/>
                <w:szCs w:val="24"/>
              </w:rPr>
            </w:pPr>
            <w:r w:rsidRPr="0088736E">
              <w:rPr>
                <w:rFonts w:ascii="Arial" w:hAnsi="Arial" w:cs="Arial"/>
                <w:b/>
                <w:i/>
                <w:sz w:val="24"/>
                <w:szCs w:val="24"/>
              </w:rPr>
              <w:lastRenderedPageBreak/>
              <w:t xml:space="preserve">Notes to the financial </w:t>
            </w:r>
            <w:r>
              <w:rPr>
                <w:rFonts w:ascii="Arial" w:hAnsi="Arial" w:cs="Arial"/>
                <w:b/>
                <w:i/>
                <w:sz w:val="24"/>
                <w:szCs w:val="24"/>
              </w:rPr>
              <w:t>statements</w:t>
            </w:r>
            <w:r w:rsidRPr="0088736E">
              <w:rPr>
                <w:rFonts w:ascii="Arial" w:hAnsi="Arial" w:cs="Arial"/>
                <w:b/>
                <w:i/>
                <w:sz w:val="24"/>
                <w:szCs w:val="24"/>
              </w:rPr>
              <w:t xml:space="preserve"> (continued)</w:t>
            </w:r>
          </w:p>
          <w:p w14:paraId="0BA7AC60" w14:textId="77777777" w:rsidR="005E2010" w:rsidRPr="0088736E" w:rsidRDefault="005E2010" w:rsidP="005E2010">
            <w:pPr>
              <w:spacing w:after="0" w:line="240" w:lineRule="auto"/>
              <w:ind w:right="1481"/>
              <w:rPr>
                <w:rFonts w:ascii="Arial" w:eastAsia="Times New Roman" w:hAnsi="Arial" w:cs="Arial"/>
                <w:b/>
                <w:bCs/>
                <w:sz w:val="24"/>
                <w:szCs w:val="24"/>
                <w:lang w:eastAsia="en-GB"/>
              </w:rPr>
            </w:pPr>
            <w:r w:rsidRPr="0088736E">
              <w:rPr>
                <w:rFonts w:ascii="Arial" w:eastAsia="Times New Roman" w:hAnsi="Arial" w:cs="Arial"/>
                <w:b/>
                <w:bCs/>
                <w:sz w:val="24"/>
                <w:szCs w:val="24"/>
                <w:lang w:eastAsia="en-GB"/>
              </w:rPr>
              <w:t>1. Total incoming resources / material funders (continued)</w:t>
            </w:r>
          </w:p>
          <w:p w14:paraId="3A8C8ED4" w14:textId="77777777" w:rsidR="005E2010" w:rsidRPr="0088736E" w:rsidRDefault="005E2010" w:rsidP="005E2010">
            <w:pPr>
              <w:spacing w:after="0" w:line="240" w:lineRule="auto"/>
              <w:ind w:right="1481"/>
              <w:rPr>
                <w:rFonts w:ascii="Arial" w:eastAsia="Times New Roman" w:hAnsi="Arial" w:cs="Arial"/>
                <w:sz w:val="24"/>
                <w:szCs w:val="24"/>
                <w:lang w:eastAsia="en-GB"/>
              </w:rPr>
            </w:pPr>
          </w:p>
        </w:tc>
      </w:tr>
      <w:tr w:rsidR="00190D85" w:rsidRPr="00034E33" w14:paraId="0A6DADD5" w14:textId="77777777" w:rsidTr="00454D0E">
        <w:trPr>
          <w:trHeight w:val="297"/>
        </w:trPr>
        <w:tc>
          <w:tcPr>
            <w:tcW w:w="10246" w:type="dxa"/>
            <w:gridSpan w:val="22"/>
            <w:tcBorders>
              <w:top w:val="nil"/>
              <w:left w:val="nil"/>
              <w:bottom w:val="nil"/>
              <w:right w:val="nil"/>
            </w:tcBorders>
            <w:shd w:val="clear" w:color="auto" w:fill="auto"/>
            <w:noWrap/>
            <w:vAlign w:val="center"/>
            <w:hideMark/>
          </w:tcPr>
          <w:p w14:paraId="4A7876AD" w14:textId="77777777" w:rsidR="00190D85" w:rsidRPr="001F6984" w:rsidRDefault="00190D85" w:rsidP="00A21A2D">
            <w:pPr>
              <w:spacing w:after="0" w:line="240" w:lineRule="auto"/>
              <w:ind w:right="1058"/>
              <w:rPr>
                <w:rFonts w:ascii="Arial" w:eastAsia="Times New Roman" w:hAnsi="Arial" w:cs="Arial"/>
                <w:sz w:val="24"/>
                <w:szCs w:val="24"/>
                <w:lang w:eastAsia="en-GB"/>
              </w:rPr>
            </w:pPr>
            <w:r w:rsidRPr="001F6984">
              <w:rPr>
                <w:rFonts w:ascii="Arial" w:eastAsia="Times New Roman" w:hAnsi="Arial" w:cs="Arial"/>
                <w:sz w:val="24"/>
                <w:szCs w:val="24"/>
                <w:lang w:eastAsia="en-GB"/>
              </w:rPr>
              <w:t>The results of the Shaw Trust Limited, as required to be disclosed by paragraph 397 of the Charity SORP, are:</w:t>
            </w:r>
          </w:p>
        </w:tc>
      </w:tr>
      <w:tr w:rsidR="0088736E" w:rsidRPr="00034E33" w14:paraId="2A2A8E88" w14:textId="77777777" w:rsidTr="00454D0E">
        <w:trPr>
          <w:gridAfter w:val="6"/>
          <w:wAfter w:w="2889" w:type="dxa"/>
          <w:trHeight w:val="297"/>
        </w:trPr>
        <w:tc>
          <w:tcPr>
            <w:tcW w:w="3179" w:type="dxa"/>
            <w:gridSpan w:val="2"/>
            <w:tcBorders>
              <w:top w:val="nil"/>
              <w:left w:val="nil"/>
              <w:right w:val="nil"/>
            </w:tcBorders>
            <w:shd w:val="clear" w:color="auto" w:fill="auto"/>
            <w:noWrap/>
            <w:vAlign w:val="center"/>
            <w:hideMark/>
          </w:tcPr>
          <w:p w14:paraId="2CB275D5" w14:textId="77777777" w:rsidR="0088736E" w:rsidRPr="00034E33" w:rsidRDefault="0088736E" w:rsidP="0088736E">
            <w:pPr>
              <w:spacing w:after="0" w:line="240" w:lineRule="auto"/>
              <w:rPr>
                <w:rFonts w:ascii="Times New Roman" w:eastAsia="Times New Roman" w:hAnsi="Times New Roman" w:cs="Times New Roman"/>
                <w:sz w:val="20"/>
                <w:szCs w:val="20"/>
                <w:lang w:eastAsia="en-GB"/>
              </w:rPr>
            </w:pPr>
          </w:p>
        </w:tc>
        <w:tc>
          <w:tcPr>
            <w:tcW w:w="1916" w:type="dxa"/>
            <w:gridSpan w:val="4"/>
            <w:tcBorders>
              <w:top w:val="nil"/>
              <w:left w:val="nil"/>
              <w:right w:val="nil"/>
            </w:tcBorders>
            <w:shd w:val="clear" w:color="auto" w:fill="auto"/>
            <w:noWrap/>
            <w:vAlign w:val="center"/>
            <w:hideMark/>
          </w:tcPr>
          <w:p w14:paraId="555F41B9" w14:textId="77777777" w:rsidR="0088736E" w:rsidRPr="00034E33" w:rsidRDefault="0088736E" w:rsidP="0088736E">
            <w:pPr>
              <w:spacing w:after="0" w:line="240" w:lineRule="auto"/>
              <w:rPr>
                <w:rFonts w:ascii="Times New Roman" w:eastAsia="Times New Roman" w:hAnsi="Times New Roman" w:cs="Times New Roman"/>
                <w:sz w:val="20"/>
                <w:szCs w:val="20"/>
                <w:lang w:eastAsia="en-GB"/>
              </w:rPr>
            </w:pPr>
          </w:p>
        </w:tc>
        <w:tc>
          <w:tcPr>
            <w:tcW w:w="1126" w:type="dxa"/>
            <w:gridSpan w:val="5"/>
            <w:tcBorders>
              <w:top w:val="nil"/>
              <w:left w:val="nil"/>
              <w:bottom w:val="nil"/>
              <w:right w:val="nil"/>
            </w:tcBorders>
            <w:shd w:val="clear" w:color="auto" w:fill="auto"/>
            <w:noWrap/>
            <w:vAlign w:val="center"/>
            <w:hideMark/>
          </w:tcPr>
          <w:p w14:paraId="42692BC6" w14:textId="77777777" w:rsidR="0088736E" w:rsidRPr="00034E33" w:rsidRDefault="0088736E" w:rsidP="0088736E">
            <w:pPr>
              <w:spacing w:after="0" w:line="240" w:lineRule="auto"/>
              <w:jc w:val="right"/>
              <w:rPr>
                <w:rFonts w:ascii="Arial" w:eastAsia="Times New Roman" w:hAnsi="Arial" w:cs="Arial"/>
                <w:b/>
                <w:bCs/>
                <w:sz w:val="20"/>
                <w:szCs w:val="20"/>
                <w:lang w:eastAsia="en-GB"/>
              </w:rPr>
            </w:pPr>
          </w:p>
        </w:tc>
        <w:tc>
          <w:tcPr>
            <w:tcW w:w="1136" w:type="dxa"/>
            <w:gridSpan w:val="5"/>
            <w:tcBorders>
              <w:top w:val="nil"/>
              <w:left w:val="nil"/>
              <w:bottom w:val="nil"/>
              <w:right w:val="nil"/>
            </w:tcBorders>
            <w:shd w:val="clear" w:color="auto" w:fill="auto"/>
            <w:noWrap/>
          </w:tcPr>
          <w:p w14:paraId="57C13567" w14:textId="77777777" w:rsidR="0088736E" w:rsidRPr="00034E33" w:rsidRDefault="0088736E" w:rsidP="0088736E">
            <w:pPr>
              <w:spacing w:after="0" w:line="240" w:lineRule="auto"/>
              <w:jc w:val="right"/>
              <w:rPr>
                <w:rFonts w:ascii="Arial" w:eastAsia="Times New Roman" w:hAnsi="Arial" w:cs="Arial"/>
                <w:sz w:val="20"/>
                <w:szCs w:val="20"/>
                <w:lang w:eastAsia="en-GB"/>
              </w:rPr>
            </w:pPr>
          </w:p>
        </w:tc>
      </w:tr>
      <w:tr w:rsidR="00ED24FC" w:rsidRPr="00034E33" w14:paraId="7DE751C5" w14:textId="77777777" w:rsidTr="00454D0E">
        <w:trPr>
          <w:gridAfter w:val="2"/>
          <w:wAfter w:w="1277" w:type="dxa"/>
          <w:trHeight w:val="297"/>
        </w:trPr>
        <w:tc>
          <w:tcPr>
            <w:tcW w:w="3179" w:type="dxa"/>
            <w:gridSpan w:val="2"/>
            <w:tcBorders>
              <w:top w:val="nil"/>
              <w:left w:val="nil"/>
              <w:right w:val="nil"/>
            </w:tcBorders>
            <w:shd w:val="clear" w:color="auto" w:fill="auto"/>
            <w:noWrap/>
            <w:vAlign w:val="center"/>
          </w:tcPr>
          <w:p w14:paraId="3DAAB047" w14:textId="77777777" w:rsidR="00ED24FC" w:rsidRPr="00034E33" w:rsidRDefault="00ED24FC" w:rsidP="00ED24FC">
            <w:pPr>
              <w:spacing w:after="0" w:line="240" w:lineRule="auto"/>
              <w:rPr>
                <w:rFonts w:ascii="Arial" w:eastAsia="Times New Roman" w:hAnsi="Arial" w:cs="Arial"/>
                <w:sz w:val="20"/>
                <w:szCs w:val="20"/>
                <w:lang w:eastAsia="en-GB"/>
              </w:rPr>
            </w:pPr>
          </w:p>
        </w:tc>
        <w:tc>
          <w:tcPr>
            <w:tcW w:w="1216" w:type="dxa"/>
            <w:gridSpan w:val="3"/>
            <w:tcBorders>
              <w:top w:val="nil"/>
              <w:left w:val="nil"/>
              <w:right w:val="nil"/>
            </w:tcBorders>
            <w:shd w:val="clear" w:color="auto" w:fill="auto"/>
            <w:noWrap/>
            <w:vAlign w:val="center"/>
          </w:tcPr>
          <w:p w14:paraId="58396876" w14:textId="77777777" w:rsidR="00ED24FC" w:rsidRPr="00034E33" w:rsidRDefault="00ED24FC" w:rsidP="00ED24FC">
            <w:pPr>
              <w:spacing w:after="0" w:line="240" w:lineRule="auto"/>
              <w:rPr>
                <w:rFonts w:ascii="Arial" w:eastAsia="Times New Roman" w:hAnsi="Arial" w:cs="Arial"/>
                <w:sz w:val="20"/>
                <w:szCs w:val="20"/>
                <w:lang w:eastAsia="en-GB"/>
              </w:rPr>
            </w:pPr>
          </w:p>
        </w:tc>
        <w:tc>
          <w:tcPr>
            <w:tcW w:w="1982" w:type="dxa"/>
            <w:gridSpan w:val="7"/>
            <w:tcBorders>
              <w:top w:val="nil"/>
              <w:left w:val="nil"/>
              <w:bottom w:val="nil"/>
              <w:right w:val="nil"/>
            </w:tcBorders>
            <w:shd w:val="clear" w:color="auto" w:fill="auto"/>
            <w:noWrap/>
            <w:vAlign w:val="center"/>
            <w:hideMark/>
          </w:tcPr>
          <w:p w14:paraId="2D695A73" w14:textId="77777777" w:rsidR="00ED24FC" w:rsidRPr="00034E33" w:rsidRDefault="00ED24FC" w:rsidP="00454D0E">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 xml:space="preserve">Year ended </w:t>
            </w:r>
            <w:r w:rsidR="00454D0E">
              <w:rPr>
                <w:rFonts w:ascii="Arial" w:eastAsia="Times New Roman" w:hAnsi="Arial" w:cs="Arial"/>
                <w:b/>
                <w:bCs/>
                <w:sz w:val="20"/>
                <w:szCs w:val="20"/>
                <w:lang w:eastAsia="en-GB"/>
              </w:rPr>
              <w:br/>
            </w:r>
            <w:r>
              <w:rPr>
                <w:rFonts w:ascii="Arial" w:eastAsia="Times New Roman" w:hAnsi="Arial" w:cs="Arial"/>
                <w:b/>
                <w:bCs/>
                <w:sz w:val="20"/>
                <w:szCs w:val="20"/>
                <w:lang w:eastAsia="en-GB"/>
              </w:rPr>
              <w:t>31 August</w:t>
            </w:r>
            <w:r w:rsidR="00454D0E">
              <w:rPr>
                <w:rFonts w:ascii="Arial" w:eastAsia="Times New Roman" w:hAnsi="Arial" w:cs="Arial"/>
                <w:b/>
                <w:bCs/>
                <w:sz w:val="20"/>
                <w:szCs w:val="20"/>
                <w:lang w:eastAsia="en-GB"/>
              </w:rPr>
              <w:t xml:space="preserve"> </w:t>
            </w:r>
            <w:r>
              <w:rPr>
                <w:rFonts w:ascii="Arial" w:eastAsia="Times New Roman" w:hAnsi="Arial" w:cs="Arial"/>
                <w:b/>
                <w:bCs/>
                <w:sz w:val="20"/>
                <w:szCs w:val="20"/>
                <w:lang w:eastAsia="en-GB"/>
              </w:rPr>
              <w:t>2020</w:t>
            </w:r>
          </w:p>
        </w:tc>
        <w:tc>
          <w:tcPr>
            <w:tcW w:w="2592" w:type="dxa"/>
            <w:gridSpan w:val="8"/>
            <w:tcBorders>
              <w:top w:val="nil"/>
              <w:left w:val="nil"/>
              <w:bottom w:val="nil"/>
              <w:right w:val="nil"/>
            </w:tcBorders>
            <w:shd w:val="clear" w:color="auto" w:fill="auto"/>
            <w:noWrap/>
            <w:vAlign w:val="center"/>
            <w:hideMark/>
          </w:tcPr>
          <w:p w14:paraId="3DBFB09D" w14:textId="77777777" w:rsidR="00ED24FC" w:rsidRPr="00034E33" w:rsidRDefault="00ED24FC" w:rsidP="005C26C8">
            <w:pPr>
              <w:spacing w:after="0" w:line="240" w:lineRule="auto"/>
              <w:jc w:val="right"/>
              <w:rPr>
                <w:rFonts w:ascii="Arial" w:eastAsia="Times New Roman" w:hAnsi="Arial" w:cs="Arial"/>
                <w:sz w:val="20"/>
                <w:szCs w:val="20"/>
                <w:lang w:eastAsia="en-GB"/>
              </w:rPr>
            </w:pPr>
            <w:r w:rsidRPr="00226CBF">
              <w:rPr>
                <w:rFonts w:ascii="Arial" w:eastAsia="Times New Roman" w:hAnsi="Arial" w:cs="Arial"/>
                <w:bCs/>
                <w:sz w:val="20"/>
                <w:szCs w:val="20"/>
                <w:lang w:eastAsia="en-GB"/>
              </w:rPr>
              <w:t xml:space="preserve">Year ended </w:t>
            </w:r>
            <w:r w:rsidR="00454D0E">
              <w:rPr>
                <w:rFonts w:ascii="Arial" w:eastAsia="Times New Roman" w:hAnsi="Arial" w:cs="Arial"/>
                <w:bCs/>
                <w:sz w:val="20"/>
                <w:szCs w:val="20"/>
                <w:lang w:eastAsia="en-GB"/>
              </w:rPr>
              <w:br/>
            </w:r>
            <w:r w:rsidRPr="00226CBF">
              <w:rPr>
                <w:rFonts w:ascii="Arial" w:eastAsia="Times New Roman" w:hAnsi="Arial" w:cs="Arial"/>
                <w:bCs/>
                <w:sz w:val="20"/>
                <w:szCs w:val="20"/>
                <w:lang w:eastAsia="en-GB"/>
              </w:rPr>
              <w:t xml:space="preserve">31 August </w:t>
            </w:r>
            <w:r>
              <w:rPr>
                <w:rFonts w:ascii="Arial" w:eastAsia="Times New Roman" w:hAnsi="Arial" w:cs="Arial"/>
                <w:bCs/>
                <w:sz w:val="20"/>
                <w:szCs w:val="20"/>
                <w:lang w:eastAsia="en-GB"/>
              </w:rPr>
              <w:t>2019</w:t>
            </w:r>
          </w:p>
        </w:tc>
      </w:tr>
      <w:tr w:rsidR="00ED24FC" w:rsidRPr="00034E33" w14:paraId="0F8A17AA" w14:textId="77777777" w:rsidTr="00454D0E">
        <w:trPr>
          <w:gridAfter w:val="2"/>
          <w:wAfter w:w="1277" w:type="dxa"/>
          <w:trHeight w:val="297"/>
        </w:trPr>
        <w:tc>
          <w:tcPr>
            <w:tcW w:w="3179" w:type="dxa"/>
            <w:gridSpan w:val="2"/>
            <w:tcBorders>
              <w:top w:val="nil"/>
              <w:left w:val="nil"/>
              <w:bottom w:val="single" w:sz="4" w:space="0" w:color="auto"/>
              <w:right w:val="nil"/>
            </w:tcBorders>
            <w:shd w:val="clear" w:color="auto" w:fill="auto"/>
            <w:noWrap/>
            <w:vAlign w:val="center"/>
          </w:tcPr>
          <w:p w14:paraId="2E38F17F" w14:textId="77777777" w:rsidR="00ED24FC" w:rsidRPr="00034E33" w:rsidRDefault="00ED24FC" w:rsidP="00ED24FC">
            <w:pPr>
              <w:spacing w:after="0" w:line="240" w:lineRule="auto"/>
              <w:rPr>
                <w:rFonts w:ascii="Arial" w:eastAsia="Times New Roman" w:hAnsi="Arial" w:cs="Arial"/>
                <w:sz w:val="20"/>
                <w:szCs w:val="20"/>
                <w:lang w:eastAsia="en-GB"/>
              </w:rPr>
            </w:pPr>
          </w:p>
        </w:tc>
        <w:tc>
          <w:tcPr>
            <w:tcW w:w="1216" w:type="dxa"/>
            <w:gridSpan w:val="3"/>
            <w:tcBorders>
              <w:top w:val="nil"/>
              <w:left w:val="nil"/>
              <w:bottom w:val="single" w:sz="4" w:space="0" w:color="auto"/>
              <w:right w:val="nil"/>
            </w:tcBorders>
            <w:shd w:val="clear" w:color="auto" w:fill="auto"/>
            <w:noWrap/>
            <w:vAlign w:val="center"/>
          </w:tcPr>
          <w:p w14:paraId="59956396" w14:textId="77777777" w:rsidR="00ED24FC" w:rsidRPr="00034E33" w:rsidRDefault="00ED24FC" w:rsidP="00ED24FC">
            <w:pPr>
              <w:spacing w:after="0" w:line="240" w:lineRule="auto"/>
              <w:rPr>
                <w:rFonts w:ascii="Arial" w:eastAsia="Times New Roman" w:hAnsi="Arial" w:cs="Arial"/>
                <w:sz w:val="20"/>
                <w:szCs w:val="20"/>
                <w:lang w:eastAsia="en-GB"/>
              </w:rPr>
            </w:pPr>
          </w:p>
        </w:tc>
        <w:tc>
          <w:tcPr>
            <w:tcW w:w="1982" w:type="dxa"/>
            <w:gridSpan w:val="7"/>
            <w:tcBorders>
              <w:top w:val="nil"/>
              <w:left w:val="nil"/>
              <w:bottom w:val="single" w:sz="4" w:space="0" w:color="auto"/>
              <w:right w:val="nil"/>
            </w:tcBorders>
            <w:shd w:val="clear" w:color="auto" w:fill="auto"/>
            <w:noWrap/>
            <w:vAlign w:val="center"/>
          </w:tcPr>
          <w:p w14:paraId="531A5226" w14:textId="77777777" w:rsidR="00ED24FC" w:rsidRDefault="00ED24FC" w:rsidP="005C26C8">
            <w:pPr>
              <w:spacing w:after="0" w:line="240" w:lineRule="auto"/>
              <w:jc w:val="right"/>
              <w:rPr>
                <w:rFonts w:ascii="Arial" w:eastAsia="Times New Roman" w:hAnsi="Arial" w:cs="Arial"/>
                <w:b/>
                <w:bCs/>
                <w:sz w:val="20"/>
                <w:szCs w:val="20"/>
                <w:lang w:eastAsia="en-GB"/>
              </w:rPr>
            </w:pPr>
            <w:r w:rsidRPr="00034E33">
              <w:rPr>
                <w:rFonts w:ascii="Arial" w:eastAsia="Times New Roman" w:hAnsi="Arial" w:cs="Arial"/>
                <w:b/>
                <w:bCs/>
                <w:sz w:val="20"/>
                <w:szCs w:val="20"/>
                <w:lang w:eastAsia="en-GB"/>
              </w:rPr>
              <w:t>£'000</w:t>
            </w:r>
          </w:p>
        </w:tc>
        <w:tc>
          <w:tcPr>
            <w:tcW w:w="2592" w:type="dxa"/>
            <w:gridSpan w:val="8"/>
            <w:tcBorders>
              <w:top w:val="nil"/>
              <w:left w:val="nil"/>
              <w:bottom w:val="single" w:sz="4" w:space="0" w:color="auto"/>
              <w:right w:val="nil"/>
            </w:tcBorders>
            <w:shd w:val="clear" w:color="auto" w:fill="auto"/>
            <w:noWrap/>
            <w:vAlign w:val="center"/>
          </w:tcPr>
          <w:p w14:paraId="33CE61C8" w14:textId="77777777" w:rsidR="00ED24FC" w:rsidRDefault="00ED24FC" w:rsidP="005C26C8">
            <w:pPr>
              <w:spacing w:after="0" w:line="240" w:lineRule="auto"/>
              <w:jc w:val="right"/>
              <w:rPr>
                <w:rFonts w:ascii="Arial" w:eastAsia="Times New Roman" w:hAnsi="Arial" w:cs="Arial"/>
                <w:sz w:val="20"/>
                <w:szCs w:val="20"/>
                <w:lang w:eastAsia="en-GB"/>
              </w:rPr>
            </w:pPr>
            <w:r w:rsidRPr="00226CBF">
              <w:rPr>
                <w:rFonts w:ascii="Arial" w:eastAsia="Times New Roman" w:hAnsi="Arial" w:cs="Arial"/>
                <w:bCs/>
                <w:sz w:val="20"/>
                <w:szCs w:val="20"/>
                <w:lang w:eastAsia="en-GB"/>
              </w:rPr>
              <w:t>£'000</w:t>
            </w:r>
          </w:p>
        </w:tc>
      </w:tr>
      <w:tr w:rsidR="00ED24FC" w:rsidRPr="00034E33" w14:paraId="3E6CEE41" w14:textId="77777777" w:rsidTr="00454D0E">
        <w:trPr>
          <w:gridAfter w:val="5"/>
          <w:wAfter w:w="2782" w:type="dxa"/>
          <w:trHeight w:val="297"/>
        </w:trPr>
        <w:tc>
          <w:tcPr>
            <w:tcW w:w="3179" w:type="dxa"/>
            <w:gridSpan w:val="2"/>
            <w:tcBorders>
              <w:top w:val="single" w:sz="4" w:space="0" w:color="auto"/>
              <w:left w:val="nil"/>
              <w:right w:val="nil"/>
            </w:tcBorders>
            <w:shd w:val="clear" w:color="auto" w:fill="auto"/>
            <w:noWrap/>
            <w:vAlign w:val="center"/>
          </w:tcPr>
          <w:p w14:paraId="3FBA9EB6" w14:textId="77777777" w:rsidR="00ED24FC" w:rsidRDefault="00ED24FC" w:rsidP="00226CBF">
            <w:pPr>
              <w:spacing w:after="0" w:line="240" w:lineRule="auto"/>
              <w:rPr>
                <w:rFonts w:ascii="Arial" w:eastAsia="Times New Roman" w:hAnsi="Arial" w:cs="Arial"/>
                <w:sz w:val="20"/>
                <w:szCs w:val="20"/>
                <w:lang w:eastAsia="en-GB"/>
              </w:rPr>
            </w:pPr>
          </w:p>
        </w:tc>
        <w:tc>
          <w:tcPr>
            <w:tcW w:w="2079" w:type="dxa"/>
            <w:gridSpan w:val="5"/>
            <w:tcBorders>
              <w:top w:val="single" w:sz="4" w:space="0" w:color="auto"/>
              <w:left w:val="nil"/>
              <w:right w:val="nil"/>
            </w:tcBorders>
            <w:shd w:val="clear" w:color="auto" w:fill="auto"/>
            <w:noWrap/>
            <w:vAlign w:val="center"/>
          </w:tcPr>
          <w:p w14:paraId="756790AB" w14:textId="77777777" w:rsidR="00ED24FC" w:rsidRPr="00034E33" w:rsidRDefault="00ED24FC" w:rsidP="00226CBF">
            <w:pPr>
              <w:spacing w:after="0" w:line="240" w:lineRule="auto"/>
              <w:rPr>
                <w:rFonts w:ascii="Arial" w:eastAsia="Times New Roman" w:hAnsi="Arial" w:cs="Arial"/>
                <w:sz w:val="20"/>
                <w:szCs w:val="20"/>
                <w:lang w:eastAsia="en-GB"/>
              </w:rPr>
            </w:pPr>
          </w:p>
        </w:tc>
        <w:tc>
          <w:tcPr>
            <w:tcW w:w="1119" w:type="dxa"/>
            <w:gridSpan w:val="5"/>
            <w:tcBorders>
              <w:top w:val="nil"/>
              <w:left w:val="nil"/>
              <w:bottom w:val="nil"/>
              <w:right w:val="nil"/>
            </w:tcBorders>
            <w:shd w:val="clear" w:color="auto" w:fill="auto"/>
            <w:noWrap/>
            <w:vAlign w:val="center"/>
          </w:tcPr>
          <w:p w14:paraId="2125E72F" w14:textId="77777777" w:rsidR="00ED24FC" w:rsidRDefault="00ED24FC" w:rsidP="00226CBF">
            <w:pPr>
              <w:spacing w:after="0" w:line="240" w:lineRule="auto"/>
              <w:jc w:val="right"/>
              <w:rPr>
                <w:rFonts w:ascii="Arial" w:eastAsia="Times New Roman" w:hAnsi="Arial" w:cs="Arial"/>
                <w:b/>
                <w:bCs/>
                <w:sz w:val="20"/>
                <w:szCs w:val="20"/>
                <w:lang w:eastAsia="en-GB"/>
              </w:rPr>
            </w:pPr>
          </w:p>
        </w:tc>
        <w:tc>
          <w:tcPr>
            <w:tcW w:w="1087" w:type="dxa"/>
            <w:gridSpan w:val="5"/>
            <w:tcBorders>
              <w:top w:val="nil"/>
              <w:left w:val="nil"/>
              <w:bottom w:val="nil"/>
              <w:right w:val="nil"/>
            </w:tcBorders>
            <w:shd w:val="clear" w:color="auto" w:fill="auto"/>
            <w:noWrap/>
            <w:vAlign w:val="center"/>
          </w:tcPr>
          <w:p w14:paraId="4622C1AD" w14:textId="77777777" w:rsidR="00ED24FC" w:rsidRDefault="00ED24FC" w:rsidP="00A21A2D">
            <w:pPr>
              <w:spacing w:after="0" w:line="240" w:lineRule="auto"/>
              <w:ind w:right="-59"/>
              <w:jc w:val="right"/>
              <w:rPr>
                <w:rFonts w:ascii="Arial" w:eastAsia="Times New Roman" w:hAnsi="Arial" w:cs="Arial"/>
                <w:sz w:val="20"/>
                <w:szCs w:val="20"/>
                <w:lang w:eastAsia="en-GB"/>
              </w:rPr>
            </w:pPr>
          </w:p>
        </w:tc>
      </w:tr>
      <w:tr w:rsidR="0061265C" w:rsidRPr="00543D10" w14:paraId="4DDFAC88" w14:textId="77777777" w:rsidTr="00454D0E">
        <w:trPr>
          <w:gridAfter w:val="2"/>
          <w:wAfter w:w="1277" w:type="dxa"/>
          <w:trHeight w:val="297"/>
        </w:trPr>
        <w:tc>
          <w:tcPr>
            <w:tcW w:w="3179" w:type="dxa"/>
            <w:gridSpan w:val="2"/>
            <w:tcBorders>
              <w:left w:val="nil"/>
              <w:bottom w:val="nil"/>
              <w:right w:val="nil"/>
            </w:tcBorders>
            <w:shd w:val="clear" w:color="auto" w:fill="auto"/>
            <w:noWrap/>
            <w:vAlign w:val="center"/>
            <w:hideMark/>
          </w:tcPr>
          <w:p w14:paraId="73FCF65F" w14:textId="77777777" w:rsidR="0061265C" w:rsidRPr="00543D10" w:rsidRDefault="0061265C" w:rsidP="0061265C">
            <w:pPr>
              <w:spacing w:after="0" w:line="240" w:lineRule="auto"/>
              <w:rPr>
                <w:rFonts w:ascii="Arial" w:eastAsia="Times New Roman" w:hAnsi="Arial" w:cs="Arial"/>
                <w:sz w:val="20"/>
                <w:szCs w:val="20"/>
                <w:lang w:eastAsia="en-GB"/>
              </w:rPr>
            </w:pPr>
            <w:r w:rsidRPr="00543D10">
              <w:rPr>
                <w:rFonts w:ascii="Arial" w:eastAsia="Times New Roman" w:hAnsi="Arial" w:cs="Arial"/>
                <w:sz w:val="20"/>
                <w:szCs w:val="20"/>
                <w:lang w:eastAsia="en-GB"/>
              </w:rPr>
              <w:t>Total income</w:t>
            </w:r>
          </w:p>
        </w:tc>
        <w:tc>
          <w:tcPr>
            <w:tcW w:w="2079" w:type="dxa"/>
            <w:gridSpan w:val="5"/>
            <w:tcBorders>
              <w:left w:val="nil"/>
              <w:bottom w:val="nil"/>
              <w:right w:val="nil"/>
            </w:tcBorders>
            <w:shd w:val="clear" w:color="auto" w:fill="auto"/>
            <w:noWrap/>
            <w:vAlign w:val="center"/>
            <w:hideMark/>
          </w:tcPr>
          <w:p w14:paraId="4A8494A5" w14:textId="77777777" w:rsidR="0061265C" w:rsidRPr="00543D10" w:rsidRDefault="0061265C" w:rsidP="0061265C">
            <w:pPr>
              <w:spacing w:after="0" w:line="240" w:lineRule="auto"/>
              <w:rPr>
                <w:rFonts w:ascii="Arial" w:eastAsia="Times New Roman" w:hAnsi="Arial" w:cs="Arial"/>
                <w:sz w:val="20"/>
                <w:szCs w:val="20"/>
                <w:lang w:eastAsia="en-GB"/>
              </w:rPr>
            </w:pPr>
          </w:p>
        </w:tc>
        <w:tc>
          <w:tcPr>
            <w:tcW w:w="1119" w:type="dxa"/>
            <w:gridSpan w:val="5"/>
            <w:tcBorders>
              <w:top w:val="nil"/>
              <w:left w:val="nil"/>
              <w:bottom w:val="nil"/>
              <w:right w:val="nil"/>
            </w:tcBorders>
            <w:shd w:val="clear" w:color="auto" w:fill="auto"/>
            <w:noWrap/>
            <w:vAlign w:val="center"/>
          </w:tcPr>
          <w:p w14:paraId="5B475AC7" w14:textId="77777777" w:rsidR="0061265C" w:rsidRPr="00543D10" w:rsidRDefault="00A558F1" w:rsidP="0061265C">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40,919</w:t>
            </w:r>
          </w:p>
        </w:tc>
        <w:tc>
          <w:tcPr>
            <w:tcW w:w="2592" w:type="dxa"/>
            <w:gridSpan w:val="8"/>
            <w:tcBorders>
              <w:top w:val="nil"/>
              <w:left w:val="nil"/>
              <w:bottom w:val="nil"/>
              <w:right w:val="nil"/>
            </w:tcBorders>
            <w:shd w:val="clear" w:color="auto" w:fill="auto"/>
            <w:noWrap/>
            <w:vAlign w:val="center"/>
            <w:hideMark/>
          </w:tcPr>
          <w:p w14:paraId="5B726027" w14:textId="77777777" w:rsidR="0061265C" w:rsidRPr="0061265C" w:rsidRDefault="00B638C0" w:rsidP="00A21A2D">
            <w:pPr>
              <w:spacing w:after="0" w:line="240" w:lineRule="auto"/>
              <w:ind w:right="-59"/>
              <w:jc w:val="right"/>
              <w:rPr>
                <w:rFonts w:ascii="Arial" w:eastAsia="Times New Roman" w:hAnsi="Arial" w:cs="Arial"/>
                <w:sz w:val="20"/>
                <w:szCs w:val="20"/>
                <w:lang w:eastAsia="en-GB"/>
              </w:rPr>
            </w:pPr>
            <w:r>
              <w:rPr>
                <w:rFonts w:ascii="Arial" w:eastAsia="Times New Roman" w:hAnsi="Arial" w:cs="Arial"/>
                <w:bCs/>
                <w:sz w:val="20"/>
                <w:szCs w:val="20"/>
                <w:lang w:eastAsia="en-GB"/>
              </w:rPr>
              <w:t xml:space="preserve"> </w:t>
            </w:r>
            <w:r w:rsidR="0061265C" w:rsidRPr="0061265C">
              <w:rPr>
                <w:rFonts w:ascii="Arial" w:eastAsia="Times New Roman" w:hAnsi="Arial" w:cs="Arial"/>
                <w:bCs/>
                <w:sz w:val="20"/>
                <w:szCs w:val="20"/>
                <w:lang w:eastAsia="en-GB"/>
              </w:rPr>
              <w:t>39,830</w:t>
            </w:r>
          </w:p>
        </w:tc>
      </w:tr>
      <w:tr w:rsidR="0061265C" w:rsidRPr="00543D10" w14:paraId="01542B65" w14:textId="77777777" w:rsidTr="00454D0E">
        <w:trPr>
          <w:gridAfter w:val="2"/>
          <w:wAfter w:w="1277" w:type="dxa"/>
          <w:trHeight w:val="297"/>
        </w:trPr>
        <w:tc>
          <w:tcPr>
            <w:tcW w:w="3179" w:type="dxa"/>
            <w:gridSpan w:val="2"/>
            <w:tcBorders>
              <w:top w:val="nil"/>
              <w:left w:val="nil"/>
              <w:bottom w:val="single" w:sz="4" w:space="0" w:color="auto"/>
              <w:right w:val="nil"/>
            </w:tcBorders>
            <w:shd w:val="clear" w:color="auto" w:fill="auto"/>
            <w:noWrap/>
            <w:vAlign w:val="center"/>
            <w:hideMark/>
          </w:tcPr>
          <w:p w14:paraId="18EABA9F" w14:textId="77777777" w:rsidR="0061265C" w:rsidRPr="00543D10" w:rsidRDefault="0061265C" w:rsidP="0061265C">
            <w:pPr>
              <w:spacing w:after="0" w:line="240" w:lineRule="auto"/>
              <w:rPr>
                <w:rFonts w:ascii="Arial" w:eastAsia="Times New Roman" w:hAnsi="Arial" w:cs="Arial"/>
                <w:sz w:val="20"/>
                <w:szCs w:val="20"/>
                <w:lang w:eastAsia="en-GB"/>
              </w:rPr>
            </w:pPr>
            <w:r w:rsidRPr="00543D10">
              <w:rPr>
                <w:rFonts w:ascii="Arial" w:eastAsia="Times New Roman" w:hAnsi="Arial" w:cs="Arial"/>
                <w:sz w:val="20"/>
                <w:szCs w:val="20"/>
                <w:lang w:eastAsia="en-GB"/>
              </w:rPr>
              <w:t>Net outgoing (incoming) resources</w:t>
            </w:r>
          </w:p>
        </w:tc>
        <w:tc>
          <w:tcPr>
            <w:tcW w:w="2079" w:type="dxa"/>
            <w:gridSpan w:val="5"/>
            <w:tcBorders>
              <w:top w:val="nil"/>
              <w:left w:val="nil"/>
              <w:bottom w:val="single" w:sz="4" w:space="0" w:color="auto"/>
              <w:right w:val="nil"/>
            </w:tcBorders>
            <w:shd w:val="clear" w:color="auto" w:fill="auto"/>
            <w:noWrap/>
            <w:vAlign w:val="center"/>
            <w:hideMark/>
          </w:tcPr>
          <w:p w14:paraId="000617BE" w14:textId="77777777" w:rsidR="0061265C" w:rsidRPr="00543D10" w:rsidRDefault="0061265C" w:rsidP="0061265C">
            <w:pPr>
              <w:spacing w:after="0" w:line="240" w:lineRule="auto"/>
              <w:rPr>
                <w:rFonts w:ascii="Arial" w:eastAsia="Times New Roman" w:hAnsi="Arial" w:cs="Arial"/>
                <w:sz w:val="20"/>
                <w:szCs w:val="20"/>
                <w:lang w:eastAsia="en-GB"/>
              </w:rPr>
            </w:pPr>
            <w:r w:rsidRPr="00543D10">
              <w:rPr>
                <w:rFonts w:ascii="Arial" w:eastAsia="Times New Roman" w:hAnsi="Arial" w:cs="Arial"/>
                <w:sz w:val="20"/>
                <w:szCs w:val="20"/>
                <w:lang w:eastAsia="en-GB"/>
              </w:rPr>
              <w:t> </w:t>
            </w:r>
          </w:p>
        </w:tc>
        <w:tc>
          <w:tcPr>
            <w:tcW w:w="1119" w:type="dxa"/>
            <w:gridSpan w:val="5"/>
            <w:tcBorders>
              <w:top w:val="nil"/>
              <w:left w:val="nil"/>
              <w:bottom w:val="single" w:sz="4" w:space="0" w:color="auto"/>
              <w:right w:val="nil"/>
            </w:tcBorders>
            <w:shd w:val="clear" w:color="auto" w:fill="auto"/>
            <w:noWrap/>
            <w:vAlign w:val="center"/>
          </w:tcPr>
          <w:p w14:paraId="04C98D6C" w14:textId="77777777" w:rsidR="0061265C" w:rsidRPr="00543D10" w:rsidRDefault="00A2387A" w:rsidP="0061265C">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7,</w:t>
            </w:r>
            <w:r w:rsidR="00450989">
              <w:rPr>
                <w:rFonts w:ascii="Arial" w:eastAsia="Times New Roman" w:hAnsi="Arial" w:cs="Arial"/>
                <w:b/>
                <w:bCs/>
                <w:sz w:val="20"/>
                <w:szCs w:val="20"/>
                <w:lang w:eastAsia="en-GB"/>
              </w:rPr>
              <w:t>133</w:t>
            </w:r>
          </w:p>
        </w:tc>
        <w:tc>
          <w:tcPr>
            <w:tcW w:w="2592" w:type="dxa"/>
            <w:gridSpan w:val="8"/>
            <w:tcBorders>
              <w:top w:val="nil"/>
              <w:left w:val="nil"/>
              <w:bottom w:val="single" w:sz="4" w:space="0" w:color="auto"/>
              <w:right w:val="nil"/>
            </w:tcBorders>
            <w:shd w:val="clear" w:color="auto" w:fill="auto"/>
            <w:noWrap/>
            <w:vAlign w:val="center"/>
            <w:hideMark/>
          </w:tcPr>
          <w:p w14:paraId="434320F5" w14:textId="77777777" w:rsidR="0061265C" w:rsidRPr="0061265C" w:rsidRDefault="00EA1641" w:rsidP="00A21A2D">
            <w:pPr>
              <w:spacing w:after="0" w:line="240" w:lineRule="auto"/>
              <w:ind w:right="-59"/>
              <w:jc w:val="right"/>
              <w:rPr>
                <w:rFonts w:ascii="Arial" w:eastAsia="Times New Roman" w:hAnsi="Arial" w:cs="Arial"/>
                <w:sz w:val="20"/>
                <w:szCs w:val="20"/>
                <w:lang w:eastAsia="en-GB"/>
              </w:rPr>
            </w:pPr>
            <w:r>
              <w:rPr>
                <w:rFonts w:ascii="Arial" w:eastAsia="Times New Roman" w:hAnsi="Arial" w:cs="Arial"/>
                <w:bCs/>
                <w:sz w:val="20"/>
                <w:szCs w:val="20"/>
                <w:lang w:eastAsia="en-GB"/>
              </w:rPr>
              <w:t xml:space="preserve"> </w:t>
            </w:r>
            <w:r w:rsidR="0061265C" w:rsidRPr="0061265C">
              <w:rPr>
                <w:rFonts w:ascii="Arial" w:eastAsia="Times New Roman" w:hAnsi="Arial" w:cs="Arial"/>
                <w:bCs/>
                <w:sz w:val="20"/>
                <w:szCs w:val="20"/>
                <w:lang w:eastAsia="en-GB"/>
              </w:rPr>
              <w:t>18,251</w:t>
            </w:r>
          </w:p>
        </w:tc>
      </w:tr>
      <w:tr w:rsidR="0061265C" w:rsidRPr="00543D10" w14:paraId="017B21F9" w14:textId="77777777" w:rsidTr="00454D0E">
        <w:trPr>
          <w:gridAfter w:val="5"/>
          <w:wAfter w:w="2782" w:type="dxa"/>
          <w:trHeight w:val="297"/>
        </w:trPr>
        <w:tc>
          <w:tcPr>
            <w:tcW w:w="3179" w:type="dxa"/>
            <w:gridSpan w:val="2"/>
            <w:tcBorders>
              <w:top w:val="nil"/>
              <w:left w:val="nil"/>
              <w:bottom w:val="nil"/>
              <w:right w:val="nil"/>
            </w:tcBorders>
            <w:shd w:val="clear" w:color="auto" w:fill="auto"/>
            <w:noWrap/>
            <w:vAlign w:val="center"/>
            <w:hideMark/>
          </w:tcPr>
          <w:p w14:paraId="15118189" w14:textId="77777777" w:rsidR="0061265C" w:rsidRPr="00543D10" w:rsidRDefault="0061265C" w:rsidP="0061265C">
            <w:pPr>
              <w:spacing w:after="0" w:line="240" w:lineRule="auto"/>
              <w:rPr>
                <w:rFonts w:ascii="Arial" w:eastAsia="Times New Roman" w:hAnsi="Arial" w:cs="Arial"/>
                <w:sz w:val="20"/>
                <w:szCs w:val="20"/>
                <w:lang w:eastAsia="en-GB"/>
              </w:rPr>
            </w:pPr>
          </w:p>
        </w:tc>
        <w:tc>
          <w:tcPr>
            <w:tcW w:w="1152" w:type="dxa"/>
            <w:gridSpan w:val="2"/>
            <w:tcBorders>
              <w:top w:val="nil"/>
              <w:left w:val="nil"/>
              <w:bottom w:val="nil"/>
              <w:right w:val="nil"/>
            </w:tcBorders>
            <w:shd w:val="clear" w:color="auto" w:fill="auto"/>
            <w:noWrap/>
            <w:vAlign w:val="center"/>
            <w:hideMark/>
          </w:tcPr>
          <w:p w14:paraId="5BA30EF4" w14:textId="77777777" w:rsidR="0061265C" w:rsidRPr="00543D10" w:rsidRDefault="0061265C" w:rsidP="0061265C">
            <w:pPr>
              <w:spacing w:after="0" w:line="240" w:lineRule="auto"/>
              <w:rPr>
                <w:rFonts w:ascii="Times New Roman" w:eastAsia="Times New Roman" w:hAnsi="Times New Roman" w:cs="Times New Roman"/>
                <w:sz w:val="20"/>
                <w:szCs w:val="20"/>
                <w:lang w:eastAsia="en-GB"/>
              </w:rPr>
            </w:pPr>
          </w:p>
        </w:tc>
        <w:tc>
          <w:tcPr>
            <w:tcW w:w="2046" w:type="dxa"/>
            <w:gridSpan w:val="8"/>
            <w:tcBorders>
              <w:top w:val="nil"/>
              <w:left w:val="nil"/>
              <w:bottom w:val="nil"/>
              <w:right w:val="nil"/>
            </w:tcBorders>
            <w:shd w:val="clear" w:color="auto" w:fill="auto"/>
            <w:noWrap/>
            <w:vAlign w:val="center"/>
          </w:tcPr>
          <w:p w14:paraId="19819619" w14:textId="77777777" w:rsidR="0061265C" w:rsidRPr="00543D10" w:rsidRDefault="0061265C" w:rsidP="0061265C">
            <w:pPr>
              <w:spacing w:after="0" w:line="240" w:lineRule="auto"/>
              <w:jc w:val="right"/>
              <w:rPr>
                <w:rFonts w:ascii="Times New Roman" w:eastAsia="Times New Roman" w:hAnsi="Times New Roman" w:cs="Times New Roman"/>
                <w:sz w:val="20"/>
                <w:szCs w:val="20"/>
                <w:lang w:eastAsia="en-GB"/>
              </w:rPr>
            </w:pPr>
          </w:p>
        </w:tc>
        <w:tc>
          <w:tcPr>
            <w:tcW w:w="1087" w:type="dxa"/>
            <w:gridSpan w:val="5"/>
            <w:tcBorders>
              <w:top w:val="nil"/>
              <w:left w:val="nil"/>
              <w:bottom w:val="nil"/>
              <w:right w:val="nil"/>
            </w:tcBorders>
            <w:shd w:val="clear" w:color="auto" w:fill="auto"/>
            <w:noWrap/>
            <w:vAlign w:val="center"/>
            <w:hideMark/>
          </w:tcPr>
          <w:p w14:paraId="1B680B03" w14:textId="77777777" w:rsidR="0061265C" w:rsidRPr="0061265C" w:rsidRDefault="0061265C" w:rsidP="0061265C">
            <w:pPr>
              <w:spacing w:after="0" w:line="240" w:lineRule="auto"/>
              <w:jc w:val="right"/>
              <w:rPr>
                <w:rFonts w:ascii="Times New Roman" w:eastAsia="Times New Roman" w:hAnsi="Times New Roman" w:cs="Times New Roman"/>
                <w:sz w:val="20"/>
                <w:szCs w:val="20"/>
                <w:lang w:eastAsia="en-GB"/>
              </w:rPr>
            </w:pPr>
          </w:p>
        </w:tc>
      </w:tr>
      <w:tr w:rsidR="00ED24FC" w:rsidRPr="00543D10" w14:paraId="36F7C9CA" w14:textId="77777777" w:rsidTr="00454D0E">
        <w:trPr>
          <w:gridAfter w:val="5"/>
          <w:wAfter w:w="2782" w:type="dxa"/>
          <w:trHeight w:val="297"/>
        </w:trPr>
        <w:tc>
          <w:tcPr>
            <w:tcW w:w="3179" w:type="dxa"/>
            <w:gridSpan w:val="2"/>
            <w:tcBorders>
              <w:top w:val="nil"/>
              <w:left w:val="nil"/>
              <w:bottom w:val="nil"/>
              <w:right w:val="nil"/>
            </w:tcBorders>
            <w:shd w:val="clear" w:color="auto" w:fill="auto"/>
            <w:noWrap/>
            <w:vAlign w:val="center"/>
          </w:tcPr>
          <w:p w14:paraId="6BD3038E" w14:textId="77777777" w:rsidR="00ED24FC" w:rsidRPr="00543D10" w:rsidRDefault="00ED24FC" w:rsidP="0061265C">
            <w:pPr>
              <w:spacing w:after="0" w:line="240" w:lineRule="auto"/>
              <w:rPr>
                <w:rFonts w:ascii="Arial" w:eastAsia="Times New Roman" w:hAnsi="Arial" w:cs="Arial"/>
                <w:sz w:val="20"/>
                <w:szCs w:val="20"/>
                <w:lang w:eastAsia="en-GB"/>
              </w:rPr>
            </w:pPr>
            <w:r w:rsidRPr="00543D10">
              <w:rPr>
                <w:rFonts w:ascii="Arial" w:eastAsia="Times New Roman" w:hAnsi="Arial" w:cs="Arial"/>
                <w:b/>
                <w:bCs/>
                <w:sz w:val="24"/>
                <w:szCs w:val="24"/>
                <w:lang w:eastAsia="en-GB"/>
              </w:rPr>
              <w:t>1a. Other Trading Activities</w:t>
            </w:r>
          </w:p>
        </w:tc>
        <w:tc>
          <w:tcPr>
            <w:tcW w:w="1152" w:type="dxa"/>
            <w:gridSpan w:val="2"/>
            <w:tcBorders>
              <w:top w:val="nil"/>
              <w:left w:val="nil"/>
              <w:bottom w:val="nil"/>
              <w:right w:val="nil"/>
            </w:tcBorders>
            <w:shd w:val="clear" w:color="auto" w:fill="auto"/>
            <w:noWrap/>
            <w:vAlign w:val="center"/>
          </w:tcPr>
          <w:p w14:paraId="193C3DF9" w14:textId="77777777" w:rsidR="00ED24FC" w:rsidRPr="00543D10" w:rsidRDefault="00ED24FC" w:rsidP="0061265C">
            <w:pPr>
              <w:spacing w:after="0" w:line="240" w:lineRule="auto"/>
              <w:rPr>
                <w:rFonts w:ascii="Times New Roman" w:eastAsia="Times New Roman" w:hAnsi="Times New Roman" w:cs="Times New Roman"/>
                <w:sz w:val="20"/>
                <w:szCs w:val="20"/>
                <w:lang w:eastAsia="en-GB"/>
              </w:rPr>
            </w:pPr>
          </w:p>
        </w:tc>
        <w:tc>
          <w:tcPr>
            <w:tcW w:w="2046" w:type="dxa"/>
            <w:gridSpan w:val="8"/>
            <w:tcBorders>
              <w:top w:val="nil"/>
              <w:left w:val="nil"/>
              <w:bottom w:val="nil"/>
              <w:right w:val="nil"/>
            </w:tcBorders>
            <w:shd w:val="clear" w:color="auto" w:fill="auto"/>
            <w:noWrap/>
            <w:vAlign w:val="center"/>
          </w:tcPr>
          <w:p w14:paraId="37224150" w14:textId="77777777" w:rsidR="00ED24FC" w:rsidRPr="00543D10" w:rsidRDefault="00ED24FC" w:rsidP="0061265C">
            <w:pPr>
              <w:spacing w:after="0" w:line="240" w:lineRule="auto"/>
              <w:jc w:val="right"/>
              <w:rPr>
                <w:rFonts w:ascii="Times New Roman" w:eastAsia="Times New Roman" w:hAnsi="Times New Roman" w:cs="Times New Roman"/>
                <w:sz w:val="20"/>
                <w:szCs w:val="20"/>
                <w:lang w:eastAsia="en-GB"/>
              </w:rPr>
            </w:pPr>
          </w:p>
        </w:tc>
        <w:tc>
          <w:tcPr>
            <w:tcW w:w="1087" w:type="dxa"/>
            <w:gridSpan w:val="5"/>
            <w:tcBorders>
              <w:top w:val="nil"/>
              <w:left w:val="nil"/>
              <w:bottom w:val="nil"/>
              <w:right w:val="nil"/>
            </w:tcBorders>
            <w:shd w:val="clear" w:color="auto" w:fill="auto"/>
            <w:noWrap/>
            <w:vAlign w:val="center"/>
          </w:tcPr>
          <w:p w14:paraId="38307B52" w14:textId="77777777" w:rsidR="00ED24FC" w:rsidRPr="0061265C" w:rsidRDefault="00ED24FC" w:rsidP="0061265C">
            <w:pPr>
              <w:spacing w:after="0" w:line="240" w:lineRule="auto"/>
              <w:jc w:val="right"/>
              <w:rPr>
                <w:rFonts w:ascii="Times New Roman" w:eastAsia="Times New Roman" w:hAnsi="Times New Roman" w:cs="Times New Roman"/>
                <w:sz w:val="20"/>
                <w:szCs w:val="20"/>
                <w:lang w:eastAsia="en-GB"/>
              </w:rPr>
            </w:pPr>
          </w:p>
        </w:tc>
      </w:tr>
      <w:tr w:rsidR="00ED24FC" w:rsidRPr="00543D10" w14:paraId="6AC918D6" w14:textId="77777777" w:rsidTr="00454D0E">
        <w:trPr>
          <w:gridAfter w:val="4"/>
          <w:wAfter w:w="2492" w:type="dxa"/>
          <w:trHeight w:val="297"/>
        </w:trPr>
        <w:tc>
          <w:tcPr>
            <w:tcW w:w="3179" w:type="dxa"/>
            <w:gridSpan w:val="2"/>
            <w:tcBorders>
              <w:top w:val="nil"/>
              <w:left w:val="nil"/>
              <w:bottom w:val="nil"/>
              <w:right w:val="nil"/>
            </w:tcBorders>
            <w:shd w:val="clear" w:color="auto" w:fill="auto"/>
            <w:noWrap/>
            <w:vAlign w:val="center"/>
          </w:tcPr>
          <w:p w14:paraId="5B050B6B" w14:textId="77777777" w:rsidR="00ED24FC" w:rsidRDefault="00ED24FC" w:rsidP="0061265C">
            <w:pPr>
              <w:spacing w:after="0" w:line="240" w:lineRule="auto"/>
              <w:rPr>
                <w:rFonts w:ascii="Arial" w:eastAsia="Times New Roman" w:hAnsi="Arial" w:cs="Arial"/>
                <w:sz w:val="20"/>
                <w:szCs w:val="20"/>
                <w:lang w:eastAsia="en-GB"/>
              </w:rPr>
            </w:pPr>
          </w:p>
        </w:tc>
        <w:tc>
          <w:tcPr>
            <w:tcW w:w="1152" w:type="dxa"/>
            <w:gridSpan w:val="2"/>
            <w:tcBorders>
              <w:top w:val="nil"/>
              <w:left w:val="nil"/>
              <w:bottom w:val="nil"/>
              <w:right w:val="nil"/>
            </w:tcBorders>
            <w:shd w:val="clear" w:color="auto" w:fill="auto"/>
            <w:noWrap/>
            <w:vAlign w:val="center"/>
          </w:tcPr>
          <w:p w14:paraId="6B93FB2F" w14:textId="77777777" w:rsidR="00ED24FC" w:rsidRPr="00543D10" w:rsidRDefault="00ED24FC" w:rsidP="0061265C">
            <w:pPr>
              <w:spacing w:after="0" w:line="240" w:lineRule="auto"/>
              <w:rPr>
                <w:rFonts w:ascii="Times New Roman" w:eastAsia="Times New Roman" w:hAnsi="Times New Roman" w:cs="Times New Roman"/>
                <w:sz w:val="20"/>
                <w:szCs w:val="20"/>
                <w:lang w:eastAsia="en-GB"/>
              </w:rPr>
            </w:pPr>
          </w:p>
        </w:tc>
        <w:tc>
          <w:tcPr>
            <w:tcW w:w="1793" w:type="dxa"/>
            <w:gridSpan w:val="6"/>
            <w:tcBorders>
              <w:top w:val="nil"/>
              <w:left w:val="nil"/>
              <w:bottom w:val="nil"/>
              <w:right w:val="nil"/>
            </w:tcBorders>
            <w:shd w:val="clear" w:color="auto" w:fill="auto"/>
            <w:noWrap/>
            <w:vAlign w:val="center"/>
          </w:tcPr>
          <w:p w14:paraId="271828D2" w14:textId="77777777" w:rsidR="00ED24FC" w:rsidRPr="00543D10" w:rsidRDefault="00ED24FC" w:rsidP="0061265C">
            <w:pPr>
              <w:spacing w:after="0" w:line="240" w:lineRule="auto"/>
              <w:jc w:val="right"/>
              <w:rPr>
                <w:rFonts w:ascii="Times New Roman" w:eastAsia="Times New Roman" w:hAnsi="Times New Roman" w:cs="Times New Roman"/>
                <w:sz w:val="20"/>
                <w:szCs w:val="20"/>
                <w:lang w:eastAsia="en-GB"/>
              </w:rPr>
            </w:pPr>
          </w:p>
        </w:tc>
        <w:tc>
          <w:tcPr>
            <w:tcW w:w="1630" w:type="dxa"/>
            <w:gridSpan w:val="8"/>
            <w:tcBorders>
              <w:top w:val="nil"/>
              <w:left w:val="nil"/>
              <w:bottom w:val="nil"/>
              <w:right w:val="nil"/>
            </w:tcBorders>
            <w:shd w:val="clear" w:color="auto" w:fill="auto"/>
            <w:noWrap/>
            <w:vAlign w:val="center"/>
          </w:tcPr>
          <w:p w14:paraId="64E2C5BF" w14:textId="77777777" w:rsidR="00ED24FC" w:rsidRDefault="00ED24FC" w:rsidP="0061265C">
            <w:pPr>
              <w:spacing w:after="0" w:line="240" w:lineRule="auto"/>
              <w:jc w:val="right"/>
              <w:rPr>
                <w:rFonts w:ascii="Times New Roman" w:eastAsia="Times New Roman" w:hAnsi="Times New Roman" w:cs="Times New Roman"/>
                <w:sz w:val="20"/>
                <w:szCs w:val="20"/>
                <w:lang w:eastAsia="en-GB"/>
              </w:rPr>
            </w:pPr>
          </w:p>
        </w:tc>
      </w:tr>
      <w:tr w:rsidR="005C26C8" w:rsidRPr="00543D10" w14:paraId="41555D66" w14:textId="77777777" w:rsidTr="00454D0E">
        <w:trPr>
          <w:gridAfter w:val="2"/>
          <w:wAfter w:w="1277" w:type="dxa"/>
          <w:trHeight w:val="297"/>
        </w:trPr>
        <w:tc>
          <w:tcPr>
            <w:tcW w:w="3179" w:type="dxa"/>
            <w:gridSpan w:val="2"/>
            <w:tcBorders>
              <w:top w:val="nil"/>
              <w:left w:val="nil"/>
              <w:bottom w:val="nil"/>
              <w:right w:val="nil"/>
            </w:tcBorders>
            <w:shd w:val="clear" w:color="auto" w:fill="auto"/>
            <w:noWrap/>
            <w:vAlign w:val="center"/>
            <w:hideMark/>
          </w:tcPr>
          <w:p w14:paraId="3FCAAB86" w14:textId="77777777" w:rsidR="005C26C8" w:rsidRPr="00543D10" w:rsidRDefault="005C26C8" w:rsidP="005C26C8">
            <w:pPr>
              <w:spacing w:after="0" w:line="240" w:lineRule="auto"/>
              <w:rPr>
                <w:rFonts w:ascii="Arial" w:eastAsia="Times New Roman" w:hAnsi="Arial" w:cs="Arial"/>
                <w:b/>
                <w:bCs/>
                <w:sz w:val="24"/>
                <w:szCs w:val="24"/>
                <w:lang w:eastAsia="en-GB"/>
              </w:rPr>
            </w:pPr>
          </w:p>
          <w:p w14:paraId="5D230F2A" w14:textId="77777777" w:rsidR="005C26C8" w:rsidRPr="00543D10" w:rsidRDefault="005C26C8" w:rsidP="005C26C8">
            <w:pPr>
              <w:spacing w:after="0" w:line="240" w:lineRule="auto"/>
              <w:rPr>
                <w:rFonts w:ascii="Arial" w:eastAsia="Times New Roman" w:hAnsi="Arial" w:cs="Arial"/>
                <w:b/>
                <w:bCs/>
                <w:sz w:val="24"/>
                <w:szCs w:val="24"/>
                <w:lang w:eastAsia="en-GB"/>
              </w:rPr>
            </w:pPr>
          </w:p>
        </w:tc>
        <w:tc>
          <w:tcPr>
            <w:tcW w:w="1152" w:type="dxa"/>
            <w:gridSpan w:val="2"/>
            <w:tcBorders>
              <w:top w:val="nil"/>
              <w:left w:val="nil"/>
              <w:bottom w:val="nil"/>
              <w:right w:val="nil"/>
            </w:tcBorders>
            <w:shd w:val="clear" w:color="auto" w:fill="auto"/>
            <w:noWrap/>
            <w:vAlign w:val="center"/>
            <w:hideMark/>
          </w:tcPr>
          <w:p w14:paraId="2509B625" w14:textId="77777777" w:rsidR="005C26C8" w:rsidRPr="00543D10" w:rsidRDefault="005C26C8" w:rsidP="005C26C8">
            <w:pPr>
              <w:spacing w:after="0" w:line="240" w:lineRule="auto"/>
              <w:rPr>
                <w:rFonts w:ascii="Arial" w:eastAsia="Times New Roman" w:hAnsi="Arial" w:cs="Arial"/>
                <w:b/>
                <w:bCs/>
                <w:sz w:val="24"/>
                <w:szCs w:val="24"/>
                <w:lang w:eastAsia="en-GB"/>
              </w:rPr>
            </w:pPr>
          </w:p>
        </w:tc>
        <w:tc>
          <w:tcPr>
            <w:tcW w:w="2046" w:type="dxa"/>
            <w:gridSpan w:val="8"/>
            <w:tcBorders>
              <w:top w:val="nil"/>
              <w:left w:val="nil"/>
              <w:bottom w:val="nil"/>
              <w:right w:val="nil"/>
            </w:tcBorders>
            <w:shd w:val="clear" w:color="auto" w:fill="auto"/>
            <w:noWrap/>
            <w:vAlign w:val="center"/>
          </w:tcPr>
          <w:p w14:paraId="009D74E6" w14:textId="77777777" w:rsidR="005C26C8" w:rsidRPr="00543D10" w:rsidRDefault="005C26C8" w:rsidP="005C26C8">
            <w:pPr>
              <w:spacing w:after="0" w:line="240" w:lineRule="auto"/>
              <w:jc w:val="right"/>
              <w:rPr>
                <w:rFonts w:ascii="Times New Roman" w:eastAsia="Times New Roman" w:hAnsi="Times New Roman" w:cs="Times New Roman"/>
                <w:sz w:val="20"/>
                <w:szCs w:val="20"/>
                <w:lang w:eastAsia="en-GB"/>
              </w:rPr>
            </w:pPr>
            <w:r>
              <w:rPr>
                <w:rFonts w:ascii="Arial" w:eastAsia="Times New Roman" w:hAnsi="Arial" w:cs="Arial"/>
                <w:b/>
                <w:bCs/>
                <w:sz w:val="20"/>
                <w:szCs w:val="20"/>
                <w:lang w:eastAsia="en-GB"/>
              </w:rPr>
              <w:t xml:space="preserve">Year ended </w:t>
            </w:r>
            <w:r w:rsidR="00454D0E">
              <w:rPr>
                <w:rFonts w:ascii="Arial" w:eastAsia="Times New Roman" w:hAnsi="Arial" w:cs="Arial"/>
                <w:b/>
                <w:bCs/>
                <w:sz w:val="20"/>
                <w:szCs w:val="20"/>
                <w:lang w:eastAsia="en-GB"/>
              </w:rPr>
              <w:br/>
            </w:r>
            <w:r>
              <w:rPr>
                <w:rFonts w:ascii="Arial" w:eastAsia="Times New Roman" w:hAnsi="Arial" w:cs="Arial"/>
                <w:b/>
                <w:bCs/>
                <w:sz w:val="20"/>
                <w:szCs w:val="20"/>
                <w:lang w:eastAsia="en-GB"/>
              </w:rPr>
              <w:t>31 August 2020</w:t>
            </w:r>
          </w:p>
        </w:tc>
        <w:tc>
          <w:tcPr>
            <w:tcW w:w="2592" w:type="dxa"/>
            <w:gridSpan w:val="8"/>
            <w:tcBorders>
              <w:top w:val="nil"/>
              <w:left w:val="nil"/>
              <w:bottom w:val="nil"/>
              <w:right w:val="nil"/>
            </w:tcBorders>
            <w:shd w:val="clear" w:color="auto" w:fill="auto"/>
            <w:noWrap/>
            <w:vAlign w:val="center"/>
            <w:hideMark/>
          </w:tcPr>
          <w:p w14:paraId="339A4BA9" w14:textId="77777777" w:rsidR="005C26C8" w:rsidRPr="0061265C" w:rsidRDefault="005C26C8" w:rsidP="006647C2">
            <w:pPr>
              <w:spacing w:after="0" w:line="240" w:lineRule="auto"/>
              <w:ind w:right="-15"/>
              <w:jc w:val="right"/>
              <w:rPr>
                <w:rFonts w:ascii="Times New Roman" w:eastAsia="Times New Roman" w:hAnsi="Times New Roman" w:cs="Times New Roman"/>
                <w:sz w:val="20"/>
                <w:szCs w:val="20"/>
                <w:lang w:eastAsia="en-GB"/>
              </w:rPr>
            </w:pPr>
            <w:r w:rsidRPr="00226CBF">
              <w:rPr>
                <w:rFonts w:ascii="Arial" w:eastAsia="Times New Roman" w:hAnsi="Arial" w:cs="Arial"/>
                <w:bCs/>
                <w:sz w:val="20"/>
                <w:szCs w:val="20"/>
                <w:lang w:eastAsia="en-GB"/>
              </w:rPr>
              <w:t>Year ended</w:t>
            </w:r>
            <w:r w:rsidR="00454D0E">
              <w:rPr>
                <w:rFonts w:ascii="Arial" w:eastAsia="Times New Roman" w:hAnsi="Arial" w:cs="Arial"/>
                <w:bCs/>
                <w:sz w:val="20"/>
                <w:szCs w:val="20"/>
                <w:lang w:eastAsia="en-GB"/>
              </w:rPr>
              <w:br/>
            </w:r>
            <w:r w:rsidRPr="00226CBF">
              <w:rPr>
                <w:rFonts w:ascii="Arial" w:eastAsia="Times New Roman" w:hAnsi="Arial" w:cs="Arial"/>
                <w:bCs/>
                <w:sz w:val="20"/>
                <w:szCs w:val="20"/>
                <w:lang w:eastAsia="en-GB"/>
              </w:rPr>
              <w:t xml:space="preserve"> 31 August </w:t>
            </w:r>
            <w:r>
              <w:rPr>
                <w:rFonts w:ascii="Arial" w:eastAsia="Times New Roman" w:hAnsi="Arial" w:cs="Arial"/>
                <w:bCs/>
                <w:sz w:val="20"/>
                <w:szCs w:val="20"/>
                <w:lang w:eastAsia="en-GB"/>
              </w:rPr>
              <w:t>2019</w:t>
            </w:r>
          </w:p>
        </w:tc>
      </w:tr>
      <w:tr w:rsidR="005C26C8" w:rsidRPr="00034E33" w14:paraId="1DDAEC7D" w14:textId="77777777" w:rsidTr="00454D0E">
        <w:trPr>
          <w:gridAfter w:val="2"/>
          <w:wAfter w:w="1277" w:type="dxa"/>
          <w:trHeight w:val="297"/>
        </w:trPr>
        <w:tc>
          <w:tcPr>
            <w:tcW w:w="3179" w:type="dxa"/>
            <w:gridSpan w:val="2"/>
            <w:tcBorders>
              <w:top w:val="nil"/>
              <w:left w:val="nil"/>
              <w:bottom w:val="single" w:sz="4" w:space="0" w:color="auto"/>
              <w:right w:val="nil"/>
            </w:tcBorders>
            <w:shd w:val="clear" w:color="auto" w:fill="auto"/>
            <w:noWrap/>
            <w:vAlign w:val="center"/>
            <w:hideMark/>
          </w:tcPr>
          <w:p w14:paraId="02ECF095" w14:textId="77777777" w:rsidR="005C26C8" w:rsidRPr="00034E33" w:rsidRDefault="005C26C8" w:rsidP="005C26C8">
            <w:pPr>
              <w:spacing w:after="0" w:line="240" w:lineRule="auto"/>
              <w:rPr>
                <w:rFonts w:ascii="Arial" w:eastAsia="Times New Roman" w:hAnsi="Arial" w:cs="Arial"/>
                <w:sz w:val="20"/>
                <w:szCs w:val="20"/>
                <w:lang w:eastAsia="en-GB"/>
              </w:rPr>
            </w:pPr>
            <w:r w:rsidRPr="00034E33">
              <w:rPr>
                <w:rFonts w:ascii="Arial" w:eastAsia="Times New Roman" w:hAnsi="Arial" w:cs="Arial"/>
                <w:sz w:val="20"/>
                <w:szCs w:val="20"/>
                <w:lang w:eastAsia="en-GB"/>
              </w:rPr>
              <w:t> </w:t>
            </w:r>
          </w:p>
        </w:tc>
        <w:tc>
          <w:tcPr>
            <w:tcW w:w="1152" w:type="dxa"/>
            <w:gridSpan w:val="2"/>
            <w:tcBorders>
              <w:top w:val="nil"/>
              <w:left w:val="nil"/>
              <w:bottom w:val="single" w:sz="4" w:space="0" w:color="auto"/>
              <w:right w:val="nil"/>
            </w:tcBorders>
            <w:shd w:val="clear" w:color="auto" w:fill="auto"/>
            <w:noWrap/>
            <w:vAlign w:val="center"/>
          </w:tcPr>
          <w:p w14:paraId="56D629BE" w14:textId="77777777" w:rsidR="005C26C8" w:rsidRPr="00034E33" w:rsidRDefault="005C26C8" w:rsidP="005C26C8">
            <w:pPr>
              <w:spacing w:after="0" w:line="240" w:lineRule="auto"/>
              <w:rPr>
                <w:rFonts w:ascii="Arial" w:eastAsia="Times New Roman" w:hAnsi="Arial" w:cs="Arial"/>
                <w:sz w:val="20"/>
                <w:szCs w:val="20"/>
                <w:lang w:eastAsia="en-GB"/>
              </w:rPr>
            </w:pPr>
          </w:p>
        </w:tc>
        <w:tc>
          <w:tcPr>
            <w:tcW w:w="2046" w:type="dxa"/>
            <w:gridSpan w:val="8"/>
            <w:tcBorders>
              <w:top w:val="nil"/>
              <w:left w:val="nil"/>
              <w:bottom w:val="single" w:sz="4" w:space="0" w:color="auto"/>
              <w:right w:val="nil"/>
            </w:tcBorders>
            <w:shd w:val="clear" w:color="auto" w:fill="auto"/>
            <w:noWrap/>
            <w:vAlign w:val="center"/>
          </w:tcPr>
          <w:p w14:paraId="710C3EE8" w14:textId="77777777" w:rsidR="005C26C8" w:rsidRPr="00034E33" w:rsidRDefault="005C26C8" w:rsidP="005C26C8">
            <w:pPr>
              <w:spacing w:after="0" w:line="240" w:lineRule="auto"/>
              <w:jc w:val="right"/>
              <w:rPr>
                <w:rFonts w:ascii="Arial" w:eastAsia="Times New Roman" w:hAnsi="Arial" w:cs="Arial"/>
                <w:b/>
                <w:bCs/>
                <w:sz w:val="20"/>
                <w:szCs w:val="20"/>
                <w:lang w:eastAsia="en-GB"/>
              </w:rPr>
            </w:pPr>
            <w:r w:rsidRPr="00034E33">
              <w:rPr>
                <w:rFonts w:ascii="Arial" w:eastAsia="Times New Roman" w:hAnsi="Arial" w:cs="Arial"/>
                <w:b/>
                <w:bCs/>
                <w:sz w:val="20"/>
                <w:szCs w:val="20"/>
                <w:lang w:eastAsia="en-GB"/>
              </w:rPr>
              <w:t>£'000</w:t>
            </w:r>
          </w:p>
        </w:tc>
        <w:tc>
          <w:tcPr>
            <w:tcW w:w="2592" w:type="dxa"/>
            <w:gridSpan w:val="8"/>
            <w:tcBorders>
              <w:top w:val="nil"/>
              <w:left w:val="nil"/>
              <w:bottom w:val="single" w:sz="4" w:space="0" w:color="auto"/>
              <w:right w:val="nil"/>
            </w:tcBorders>
            <w:shd w:val="clear" w:color="auto" w:fill="auto"/>
            <w:noWrap/>
            <w:vAlign w:val="center"/>
            <w:hideMark/>
          </w:tcPr>
          <w:p w14:paraId="7DD635CD" w14:textId="77777777" w:rsidR="005C26C8" w:rsidRPr="0061265C" w:rsidRDefault="005C26C8" w:rsidP="006647C2">
            <w:pPr>
              <w:spacing w:after="0" w:line="240" w:lineRule="auto"/>
              <w:ind w:right="-15"/>
              <w:jc w:val="right"/>
              <w:rPr>
                <w:rFonts w:ascii="Arial" w:eastAsia="Times New Roman" w:hAnsi="Arial" w:cs="Arial"/>
                <w:sz w:val="20"/>
                <w:szCs w:val="20"/>
                <w:lang w:eastAsia="en-GB"/>
              </w:rPr>
            </w:pPr>
            <w:r w:rsidRPr="00226CBF">
              <w:rPr>
                <w:rFonts w:ascii="Arial" w:eastAsia="Times New Roman" w:hAnsi="Arial" w:cs="Arial"/>
                <w:bCs/>
                <w:sz w:val="20"/>
                <w:szCs w:val="20"/>
                <w:lang w:eastAsia="en-GB"/>
              </w:rPr>
              <w:t>£'000</w:t>
            </w:r>
          </w:p>
        </w:tc>
      </w:tr>
      <w:tr w:rsidR="0061265C" w:rsidRPr="00034E33" w14:paraId="0DE5D1C9" w14:textId="77777777" w:rsidTr="00454D0E">
        <w:trPr>
          <w:gridAfter w:val="2"/>
          <w:wAfter w:w="1277" w:type="dxa"/>
          <w:trHeight w:val="232"/>
        </w:trPr>
        <w:tc>
          <w:tcPr>
            <w:tcW w:w="3179" w:type="dxa"/>
            <w:gridSpan w:val="2"/>
            <w:tcBorders>
              <w:top w:val="nil"/>
              <w:left w:val="nil"/>
              <w:bottom w:val="nil"/>
              <w:right w:val="nil"/>
            </w:tcBorders>
            <w:shd w:val="clear" w:color="auto" w:fill="auto"/>
            <w:noWrap/>
            <w:vAlign w:val="center"/>
            <w:hideMark/>
          </w:tcPr>
          <w:p w14:paraId="72AF4A5A" w14:textId="77777777" w:rsidR="0061265C" w:rsidRPr="00034E33" w:rsidRDefault="0061265C" w:rsidP="0061265C">
            <w:pPr>
              <w:spacing w:after="0" w:line="240" w:lineRule="auto"/>
              <w:rPr>
                <w:rFonts w:ascii="Arial" w:eastAsia="Times New Roman" w:hAnsi="Arial" w:cs="Arial"/>
                <w:sz w:val="20"/>
                <w:szCs w:val="20"/>
                <w:lang w:eastAsia="en-GB"/>
              </w:rPr>
            </w:pPr>
            <w:r w:rsidRPr="00034E33">
              <w:rPr>
                <w:rFonts w:ascii="Arial" w:eastAsia="Times New Roman" w:hAnsi="Arial" w:cs="Arial"/>
                <w:sz w:val="20"/>
                <w:szCs w:val="20"/>
                <w:lang w:eastAsia="en-GB"/>
              </w:rPr>
              <w:t>Income from Charity Shops</w:t>
            </w:r>
          </w:p>
        </w:tc>
        <w:tc>
          <w:tcPr>
            <w:tcW w:w="1152" w:type="dxa"/>
            <w:gridSpan w:val="2"/>
            <w:tcBorders>
              <w:top w:val="nil"/>
              <w:left w:val="nil"/>
              <w:bottom w:val="nil"/>
              <w:right w:val="nil"/>
            </w:tcBorders>
            <w:shd w:val="clear" w:color="auto" w:fill="auto"/>
            <w:noWrap/>
            <w:vAlign w:val="center"/>
            <w:hideMark/>
          </w:tcPr>
          <w:p w14:paraId="49C461D2" w14:textId="77777777" w:rsidR="0061265C" w:rsidRPr="00034E33" w:rsidRDefault="0061265C" w:rsidP="0061265C">
            <w:pPr>
              <w:spacing w:after="0" w:line="240" w:lineRule="auto"/>
              <w:rPr>
                <w:rFonts w:ascii="Arial" w:eastAsia="Times New Roman" w:hAnsi="Arial" w:cs="Arial"/>
                <w:sz w:val="20"/>
                <w:szCs w:val="20"/>
                <w:lang w:eastAsia="en-GB"/>
              </w:rPr>
            </w:pPr>
          </w:p>
        </w:tc>
        <w:tc>
          <w:tcPr>
            <w:tcW w:w="2046" w:type="dxa"/>
            <w:gridSpan w:val="8"/>
            <w:tcBorders>
              <w:top w:val="nil"/>
              <w:left w:val="nil"/>
              <w:bottom w:val="nil"/>
              <w:right w:val="nil"/>
            </w:tcBorders>
            <w:shd w:val="clear" w:color="auto" w:fill="auto"/>
            <w:noWrap/>
            <w:vAlign w:val="center"/>
          </w:tcPr>
          <w:p w14:paraId="0DE98A56" w14:textId="77777777" w:rsidR="0061265C" w:rsidRPr="00034E33" w:rsidRDefault="004A763E" w:rsidP="0061265C">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2,929</w:t>
            </w:r>
          </w:p>
        </w:tc>
        <w:tc>
          <w:tcPr>
            <w:tcW w:w="2592" w:type="dxa"/>
            <w:gridSpan w:val="8"/>
            <w:tcBorders>
              <w:top w:val="nil"/>
              <w:left w:val="nil"/>
              <w:bottom w:val="nil"/>
              <w:right w:val="nil"/>
            </w:tcBorders>
            <w:shd w:val="clear" w:color="auto" w:fill="auto"/>
            <w:noWrap/>
            <w:vAlign w:val="center"/>
            <w:hideMark/>
          </w:tcPr>
          <w:p w14:paraId="536CBEF0" w14:textId="77777777" w:rsidR="0061265C" w:rsidRPr="0061265C" w:rsidRDefault="0061265C" w:rsidP="00A21A2D">
            <w:pPr>
              <w:spacing w:after="0" w:line="240" w:lineRule="auto"/>
              <w:ind w:right="-77"/>
              <w:jc w:val="right"/>
              <w:rPr>
                <w:rFonts w:ascii="Arial" w:eastAsia="Times New Roman" w:hAnsi="Arial" w:cs="Arial"/>
                <w:sz w:val="20"/>
                <w:szCs w:val="20"/>
                <w:lang w:eastAsia="en-GB"/>
              </w:rPr>
            </w:pPr>
            <w:r w:rsidRPr="0061265C">
              <w:rPr>
                <w:rFonts w:ascii="Arial" w:eastAsia="Times New Roman" w:hAnsi="Arial" w:cs="Arial"/>
                <w:sz w:val="20"/>
                <w:szCs w:val="20"/>
                <w:lang w:eastAsia="en-GB"/>
              </w:rPr>
              <w:t>4,660</w:t>
            </w:r>
          </w:p>
        </w:tc>
      </w:tr>
      <w:tr w:rsidR="0061265C" w:rsidRPr="00034E33" w14:paraId="26D8DF09" w14:textId="77777777" w:rsidTr="00454D0E">
        <w:trPr>
          <w:gridAfter w:val="2"/>
          <w:wAfter w:w="1277" w:type="dxa"/>
          <w:trHeight w:val="330"/>
        </w:trPr>
        <w:tc>
          <w:tcPr>
            <w:tcW w:w="3179" w:type="dxa"/>
            <w:gridSpan w:val="2"/>
            <w:tcBorders>
              <w:top w:val="single" w:sz="4" w:space="0" w:color="auto"/>
              <w:left w:val="nil"/>
              <w:bottom w:val="single" w:sz="4" w:space="0" w:color="auto"/>
              <w:right w:val="nil"/>
            </w:tcBorders>
            <w:shd w:val="clear" w:color="auto" w:fill="auto"/>
            <w:noWrap/>
            <w:vAlign w:val="center"/>
            <w:hideMark/>
          </w:tcPr>
          <w:p w14:paraId="44ADC245" w14:textId="77777777" w:rsidR="0061265C" w:rsidRPr="00034E33" w:rsidRDefault="0061265C" w:rsidP="0061265C">
            <w:pPr>
              <w:spacing w:after="0" w:line="240" w:lineRule="auto"/>
              <w:rPr>
                <w:rFonts w:ascii="Arial" w:eastAsia="Times New Roman" w:hAnsi="Arial" w:cs="Arial"/>
                <w:b/>
                <w:bCs/>
                <w:sz w:val="28"/>
                <w:szCs w:val="28"/>
                <w:lang w:eastAsia="en-GB"/>
              </w:rPr>
            </w:pPr>
            <w:r w:rsidRPr="00034E33">
              <w:rPr>
                <w:rFonts w:ascii="Arial" w:eastAsia="Times New Roman" w:hAnsi="Arial" w:cs="Arial"/>
                <w:b/>
                <w:bCs/>
                <w:sz w:val="28"/>
                <w:szCs w:val="28"/>
                <w:lang w:eastAsia="en-GB"/>
              </w:rPr>
              <w:t> </w:t>
            </w:r>
          </w:p>
        </w:tc>
        <w:tc>
          <w:tcPr>
            <w:tcW w:w="1152" w:type="dxa"/>
            <w:gridSpan w:val="2"/>
            <w:tcBorders>
              <w:top w:val="single" w:sz="4" w:space="0" w:color="auto"/>
              <w:left w:val="nil"/>
              <w:bottom w:val="single" w:sz="4" w:space="0" w:color="auto"/>
              <w:right w:val="nil"/>
            </w:tcBorders>
            <w:shd w:val="clear" w:color="auto" w:fill="auto"/>
            <w:noWrap/>
            <w:vAlign w:val="center"/>
            <w:hideMark/>
          </w:tcPr>
          <w:p w14:paraId="59029806" w14:textId="77777777" w:rsidR="0061265C" w:rsidRPr="00034E33" w:rsidRDefault="0061265C" w:rsidP="0061265C">
            <w:pPr>
              <w:spacing w:after="0" w:line="240" w:lineRule="auto"/>
              <w:rPr>
                <w:rFonts w:ascii="Arial" w:eastAsia="Times New Roman" w:hAnsi="Arial" w:cs="Arial"/>
                <w:b/>
                <w:bCs/>
                <w:sz w:val="28"/>
                <w:szCs w:val="28"/>
                <w:lang w:eastAsia="en-GB"/>
              </w:rPr>
            </w:pPr>
            <w:r w:rsidRPr="00034E33">
              <w:rPr>
                <w:rFonts w:ascii="Arial" w:eastAsia="Times New Roman" w:hAnsi="Arial" w:cs="Arial"/>
                <w:b/>
                <w:bCs/>
                <w:sz w:val="28"/>
                <w:szCs w:val="28"/>
                <w:lang w:eastAsia="en-GB"/>
              </w:rPr>
              <w:t> </w:t>
            </w:r>
          </w:p>
        </w:tc>
        <w:tc>
          <w:tcPr>
            <w:tcW w:w="2046" w:type="dxa"/>
            <w:gridSpan w:val="8"/>
            <w:tcBorders>
              <w:top w:val="single" w:sz="4" w:space="0" w:color="auto"/>
              <w:left w:val="nil"/>
              <w:bottom w:val="single" w:sz="4" w:space="0" w:color="auto"/>
              <w:right w:val="nil"/>
            </w:tcBorders>
            <w:shd w:val="clear" w:color="auto" w:fill="auto"/>
            <w:noWrap/>
            <w:vAlign w:val="center"/>
          </w:tcPr>
          <w:p w14:paraId="538EF88B" w14:textId="77777777" w:rsidR="0061265C" w:rsidRPr="00034E33" w:rsidRDefault="00450989" w:rsidP="0061265C">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2,929</w:t>
            </w:r>
          </w:p>
        </w:tc>
        <w:tc>
          <w:tcPr>
            <w:tcW w:w="2592" w:type="dxa"/>
            <w:gridSpan w:val="8"/>
            <w:tcBorders>
              <w:top w:val="single" w:sz="4" w:space="0" w:color="auto"/>
              <w:left w:val="nil"/>
              <w:bottom w:val="single" w:sz="4" w:space="0" w:color="auto"/>
              <w:right w:val="nil"/>
            </w:tcBorders>
            <w:shd w:val="clear" w:color="auto" w:fill="auto"/>
            <w:noWrap/>
            <w:vAlign w:val="center"/>
            <w:hideMark/>
          </w:tcPr>
          <w:p w14:paraId="2EE1C896" w14:textId="77777777" w:rsidR="0061265C" w:rsidRPr="0061265C" w:rsidRDefault="0061265C" w:rsidP="00A21A2D">
            <w:pPr>
              <w:spacing w:after="0" w:line="240" w:lineRule="auto"/>
              <w:ind w:right="-77"/>
              <w:jc w:val="right"/>
              <w:rPr>
                <w:rFonts w:ascii="Arial" w:eastAsia="Times New Roman" w:hAnsi="Arial" w:cs="Arial"/>
                <w:sz w:val="20"/>
                <w:szCs w:val="20"/>
                <w:lang w:eastAsia="en-GB"/>
              </w:rPr>
            </w:pPr>
            <w:r w:rsidRPr="0061265C">
              <w:rPr>
                <w:rFonts w:ascii="Arial" w:eastAsia="Times New Roman" w:hAnsi="Arial" w:cs="Arial"/>
                <w:bCs/>
                <w:sz w:val="20"/>
                <w:szCs w:val="20"/>
                <w:lang w:eastAsia="en-GB"/>
              </w:rPr>
              <w:t>4,660</w:t>
            </w:r>
          </w:p>
        </w:tc>
      </w:tr>
    </w:tbl>
    <w:p w14:paraId="68F12D1D" w14:textId="77777777" w:rsidR="00BC4223" w:rsidRDefault="00BC4223" w:rsidP="00190D85">
      <w:pPr>
        <w:rPr>
          <w:rFonts w:ascii="Arial" w:eastAsia="Times New Roman" w:hAnsi="Arial" w:cs="Arial"/>
          <w:b/>
          <w:bCs/>
          <w:sz w:val="24"/>
          <w:szCs w:val="24"/>
          <w:lang w:eastAsia="en-GB"/>
        </w:rPr>
      </w:pPr>
    </w:p>
    <w:p w14:paraId="075CB15E" w14:textId="77777777" w:rsidR="00812616" w:rsidRDefault="00812616" w:rsidP="00ED24FC">
      <w:pPr>
        <w:rPr>
          <w:rFonts w:ascii="Arial" w:eastAsia="Times New Roman" w:hAnsi="Arial" w:cs="Arial"/>
          <w:b/>
          <w:bCs/>
          <w:sz w:val="24"/>
          <w:szCs w:val="24"/>
          <w:lang w:eastAsia="en-GB"/>
        </w:rPr>
      </w:pPr>
      <w:r>
        <w:rPr>
          <w:rFonts w:ascii="Arial" w:eastAsia="Times New Roman" w:hAnsi="Arial" w:cs="Arial"/>
          <w:b/>
          <w:bCs/>
          <w:sz w:val="24"/>
          <w:szCs w:val="24"/>
          <w:lang w:eastAsia="en-GB"/>
        </w:rPr>
        <w:t xml:space="preserve">1b </w:t>
      </w:r>
      <w:r w:rsidR="005C5A69">
        <w:rPr>
          <w:rFonts w:ascii="Arial" w:eastAsia="Times New Roman" w:hAnsi="Arial" w:cs="Arial"/>
          <w:b/>
          <w:bCs/>
          <w:sz w:val="24"/>
          <w:szCs w:val="24"/>
          <w:lang w:eastAsia="en-GB"/>
        </w:rPr>
        <w:t xml:space="preserve">Gain </w:t>
      </w:r>
      <w:r>
        <w:rPr>
          <w:rFonts w:ascii="Arial" w:eastAsia="Times New Roman" w:hAnsi="Arial" w:cs="Arial"/>
          <w:b/>
          <w:bCs/>
          <w:sz w:val="24"/>
          <w:szCs w:val="24"/>
          <w:lang w:eastAsia="en-GB"/>
        </w:rPr>
        <w:t xml:space="preserve">on </w:t>
      </w:r>
      <w:r w:rsidR="005C5A69">
        <w:rPr>
          <w:rFonts w:ascii="Arial" w:eastAsia="Times New Roman" w:hAnsi="Arial" w:cs="Arial"/>
          <w:b/>
          <w:bCs/>
          <w:sz w:val="24"/>
          <w:szCs w:val="24"/>
          <w:lang w:eastAsia="en-GB"/>
        </w:rPr>
        <w:t>sale of subsidiaries</w:t>
      </w:r>
    </w:p>
    <w:tbl>
      <w:tblPr>
        <w:tblW w:w="9000" w:type="dxa"/>
        <w:tblLook w:val="04A0" w:firstRow="1" w:lastRow="0" w:firstColumn="1" w:lastColumn="0" w:noHBand="0" w:noVBand="1"/>
      </w:tblPr>
      <w:tblGrid>
        <w:gridCol w:w="3040"/>
        <w:gridCol w:w="1740"/>
        <w:gridCol w:w="1780"/>
        <w:gridCol w:w="960"/>
        <w:gridCol w:w="1480"/>
      </w:tblGrid>
      <w:tr w:rsidR="00D32F62" w:rsidRPr="00D32F62" w14:paraId="401332EE" w14:textId="77777777" w:rsidTr="00D32F62">
        <w:trPr>
          <w:trHeight w:val="300"/>
        </w:trPr>
        <w:tc>
          <w:tcPr>
            <w:tcW w:w="3040" w:type="dxa"/>
            <w:tcBorders>
              <w:top w:val="nil"/>
              <w:left w:val="nil"/>
              <w:bottom w:val="nil"/>
              <w:right w:val="nil"/>
            </w:tcBorders>
            <w:shd w:val="clear" w:color="auto" w:fill="auto"/>
            <w:noWrap/>
            <w:vAlign w:val="center"/>
            <w:hideMark/>
          </w:tcPr>
          <w:p w14:paraId="0A0D11FB" w14:textId="77777777" w:rsidR="00D32F62" w:rsidRPr="00D32F62" w:rsidRDefault="00D32F62" w:rsidP="00D32F62">
            <w:pPr>
              <w:spacing w:after="0" w:line="240" w:lineRule="auto"/>
              <w:rPr>
                <w:rFonts w:ascii="Arial" w:eastAsia="Times New Roman" w:hAnsi="Arial" w:cs="Arial"/>
                <w:color w:val="000000"/>
                <w:sz w:val="20"/>
                <w:szCs w:val="20"/>
                <w:lang w:eastAsia="en-GB"/>
              </w:rPr>
            </w:pPr>
          </w:p>
        </w:tc>
        <w:tc>
          <w:tcPr>
            <w:tcW w:w="1740" w:type="dxa"/>
            <w:tcBorders>
              <w:top w:val="nil"/>
              <w:left w:val="nil"/>
              <w:bottom w:val="nil"/>
              <w:right w:val="nil"/>
            </w:tcBorders>
            <w:shd w:val="clear" w:color="auto" w:fill="auto"/>
            <w:noWrap/>
            <w:vAlign w:val="center"/>
            <w:hideMark/>
          </w:tcPr>
          <w:p w14:paraId="327791D1" w14:textId="77777777" w:rsidR="00D32F62" w:rsidRPr="00D32F62" w:rsidRDefault="00D32F62" w:rsidP="00D32F62">
            <w:pPr>
              <w:spacing w:after="0" w:line="240" w:lineRule="auto"/>
              <w:rPr>
                <w:rFonts w:ascii="Arial" w:eastAsia="Times New Roman" w:hAnsi="Arial" w:cs="Arial"/>
                <w:color w:val="000000"/>
                <w:sz w:val="20"/>
                <w:szCs w:val="20"/>
                <w:lang w:eastAsia="en-GB"/>
              </w:rPr>
            </w:pPr>
          </w:p>
        </w:tc>
        <w:tc>
          <w:tcPr>
            <w:tcW w:w="1780" w:type="dxa"/>
            <w:tcBorders>
              <w:top w:val="nil"/>
              <w:left w:val="nil"/>
              <w:bottom w:val="nil"/>
              <w:right w:val="nil"/>
            </w:tcBorders>
            <w:shd w:val="clear" w:color="auto" w:fill="auto"/>
            <w:noWrap/>
            <w:vAlign w:val="center"/>
            <w:hideMark/>
          </w:tcPr>
          <w:p w14:paraId="3021CB47" w14:textId="77777777" w:rsidR="00D32F62" w:rsidRPr="00D32F62" w:rsidRDefault="00D32F62" w:rsidP="00D32F62">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1B804028" w14:textId="77777777" w:rsidR="00D32F62" w:rsidRPr="00D32F62" w:rsidRDefault="00D32F62" w:rsidP="00D32F62">
            <w:pPr>
              <w:spacing w:after="0" w:line="240" w:lineRule="auto"/>
              <w:rPr>
                <w:rFonts w:ascii="Times New Roman" w:eastAsia="Times New Roman" w:hAnsi="Times New Roman" w:cs="Times New Roman"/>
                <w:sz w:val="20"/>
                <w:szCs w:val="20"/>
                <w:lang w:eastAsia="en-GB"/>
              </w:rPr>
            </w:pPr>
          </w:p>
        </w:tc>
        <w:tc>
          <w:tcPr>
            <w:tcW w:w="1480" w:type="dxa"/>
            <w:tcBorders>
              <w:top w:val="nil"/>
              <w:left w:val="nil"/>
              <w:bottom w:val="nil"/>
              <w:right w:val="nil"/>
            </w:tcBorders>
            <w:shd w:val="clear" w:color="auto" w:fill="auto"/>
            <w:noWrap/>
            <w:vAlign w:val="center"/>
            <w:hideMark/>
          </w:tcPr>
          <w:p w14:paraId="2229FE72" w14:textId="77777777" w:rsidR="00D32F62" w:rsidRPr="00D32F62" w:rsidRDefault="00D32F62" w:rsidP="00D32F62">
            <w:pPr>
              <w:spacing w:after="0" w:line="240" w:lineRule="auto"/>
              <w:jc w:val="right"/>
              <w:rPr>
                <w:rFonts w:ascii="Arial" w:eastAsia="Times New Roman" w:hAnsi="Arial" w:cs="Arial"/>
                <w:b/>
                <w:bCs/>
                <w:color w:val="000000"/>
                <w:sz w:val="20"/>
                <w:szCs w:val="20"/>
                <w:lang w:eastAsia="en-GB"/>
              </w:rPr>
            </w:pPr>
            <w:r w:rsidRPr="00D32F62">
              <w:rPr>
                <w:rFonts w:ascii="Arial" w:eastAsia="Times New Roman" w:hAnsi="Arial" w:cs="Arial"/>
                <w:b/>
                <w:bCs/>
                <w:color w:val="000000"/>
                <w:sz w:val="20"/>
                <w:szCs w:val="20"/>
                <w:lang w:eastAsia="en-GB"/>
              </w:rPr>
              <w:t>Year ended 31</w:t>
            </w:r>
          </w:p>
        </w:tc>
      </w:tr>
      <w:tr w:rsidR="00D32F62" w:rsidRPr="00D32F62" w14:paraId="068030B3" w14:textId="77777777" w:rsidTr="00D32F62">
        <w:trPr>
          <w:trHeight w:val="300"/>
        </w:trPr>
        <w:tc>
          <w:tcPr>
            <w:tcW w:w="3040" w:type="dxa"/>
            <w:tcBorders>
              <w:top w:val="nil"/>
              <w:left w:val="nil"/>
              <w:bottom w:val="nil"/>
              <w:right w:val="nil"/>
            </w:tcBorders>
            <w:shd w:val="clear" w:color="auto" w:fill="auto"/>
            <w:noWrap/>
            <w:vAlign w:val="bottom"/>
            <w:hideMark/>
          </w:tcPr>
          <w:p w14:paraId="3B95B44B" w14:textId="77777777" w:rsidR="00D32F62" w:rsidRPr="00D32F62" w:rsidRDefault="00D32F62" w:rsidP="00D32F62">
            <w:pPr>
              <w:spacing w:after="0" w:line="240" w:lineRule="auto"/>
              <w:jc w:val="right"/>
              <w:rPr>
                <w:rFonts w:ascii="Arial" w:eastAsia="Times New Roman" w:hAnsi="Arial" w:cs="Arial"/>
                <w:b/>
                <w:bCs/>
                <w:color w:val="000000"/>
                <w:sz w:val="20"/>
                <w:szCs w:val="20"/>
                <w:lang w:eastAsia="en-GB"/>
              </w:rPr>
            </w:pPr>
          </w:p>
        </w:tc>
        <w:tc>
          <w:tcPr>
            <w:tcW w:w="1740" w:type="dxa"/>
            <w:tcBorders>
              <w:top w:val="nil"/>
              <w:left w:val="nil"/>
              <w:bottom w:val="nil"/>
              <w:right w:val="nil"/>
            </w:tcBorders>
            <w:shd w:val="clear" w:color="auto" w:fill="auto"/>
            <w:noWrap/>
            <w:vAlign w:val="bottom"/>
            <w:hideMark/>
          </w:tcPr>
          <w:p w14:paraId="7932874C" w14:textId="77777777" w:rsidR="00D32F62" w:rsidRPr="00D32F62" w:rsidRDefault="00D32F62" w:rsidP="00D32F62">
            <w:pPr>
              <w:spacing w:after="0" w:line="240" w:lineRule="auto"/>
              <w:rPr>
                <w:rFonts w:ascii="Times New Roman" w:eastAsia="Times New Roman" w:hAnsi="Times New Roman" w:cs="Times New Roman"/>
                <w:sz w:val="20"/>
                <w:szCs w:val="20"/>
                <w:lang w:eastAsia="en-GB"/>
              </w:rPr>
            </w:pPr>
          </w:p>
        </w:tc>
        <w:tc>
          <w:tcPr>
            <w:tcW w:w="1780" w:type="dxa"/>
            <w:tcBorders>
              <w:top w:val="nil"/>
              <w:left w:val="nil"/>
              <w:bottom w:val="nil"/>
              <w:right w:val="nil"/>
            </w:tcBorders>
            <w:shd w:val="clear" w:color="auto" w:fill="auto"/>
            <w:noWrap/>
            <w:vAlign w:val="bottom"/>
            <w:hideMark/>
          </w:tcPr>
          <w:p w14:paraId="227D5796" w14:textId="77777777" w:rsidR="00D32F62" w:rsidRPr="00D32F62" w:rsidRDefault="00D32F62" w:rsidP="00D32F62">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3D95DB67" w14:textId="77777777" w:rsidR="00D32F62" w:rsidRPr="00D32F62" w:rsidRDefault="00D32F62" w:rsidP="00D32F62">
            <w:pPr>
              <w:spacing w:after="0" w:line="240" w:lineRule="auto"/>
              <w:rPr>
                <w:rFonts w:ascii="Times New Roman" w:eastAsia="Times New Roman" w:hAnsi="Times New Roman" w:cs="Times New Roman"/>
                <w:sz w:val="20"/>
                <w:szCs w:val="20"/>
                <w:lang w:eastAsia="en-GB"/>
              </w:rPr>
            </w:pPr>
          </w:p>
        </w:tc>
        <w:tc>
          <w:tcPr>
            <w:tcW w:w="1480" w:type="dxa"/>
            <w:tcBorders>
              <w:top w:val="nil"/>
              <w:left w:val="nil"/>
              <w:bottom w:val="nil"/>
              <w:right w:val="nil"/>
            </w:tcBorders>
            <w:shd w:val="clear" w:color="auto" w:fill="auto"/>
            <w:noWrap/>
            <w:vAlign w:val="center"/>
            <w:hideMark/>
          </w:tcPr>
          <w:p w14:paraId="390EC3F4" w14:textId="77777777" w:rsidR="00D32F62" w:rsidRPr="00D32F62" w:rsidRDefault="00D32F62" w:rsidP="00D32F62">
            <w:pPr>
              <w:spacing w:after="0" w:line="240" w:lineRule="auto"/>
              <w:jc w:val="right"/>
              <w:rPr>
                <w:rFonts w:ascii="Arial" w:eastAsia="Times New Roman" w:hAnsi="Arial" w:cs="Arial"/>
                <w:b/>
                <w:bCs/>
                <w:color w:val="000000"/>
                <w:sz w:val="20"/>
                <w:szCs w:val="20"/>
                <w:lang w:eastAsia="en-GB"/>
              </w:rPr>
            </w:pPr>
            <w:r w:rsidRPr="00D32F62">
              <w:rPr>
                <w:rFonts w:ascii="Arial" w:eastAsia="Times New Roman" w:hAnsi="Arial" w:cs="Arial"/>
                <w:b/>
                <w:bCs/>
                <w:color w:val="000000"/>
                <w:sz w:val="20"/>
                <w:szCs w:val="20"/>
                <w:lang w:eastAsia="en-GB"/>
              </w:rPr>
              <w:t xml:space="preserve"> August 2020</w:t>
            </w:r>
          </w:p>
        </w:tc>
      </w:tr>
      <w:tr w:rsidR="00D32F62" w:rsidRPr="00D32F62" w14:paraId="5D988ADC" w14:textId="77777777" w:rsidTr="00D32F62">
        <w:trPr>
          <w:trHeight w:val="300"/>
        </w:trPr>
        <w:tc>
          <w:tcPr>
            <w:tcW w:w="3040" w:type="dxa"/>
            <w:tcBorders>
              <w:top w:val="nil"/>
              <w:left w:val="nil"/>
              <w:bottom w:val="nil"/>
              <w:right w:val="nil"/>
            </w:tcBorders>
            <w:shd w:val="clear" w:color="auto" w:fill="auto"/>
            <w:noWrap/>
            <w:vAlign w:val="bottom"/>
            <w:hideMark/>
          </w:tcPr>
          <w:p w14:paraId="7ED8FA52" w14:textId="77777777" w:rsidR="00D32F62" w:rsidRPr="00D32F62" w:rsidRDefault="00D32F62" w:rsidP="00D32F62">
            <w:pPr>
              <w:spacing w:after="0" w:line="240" w:lineRule="auto"/>
              <w:jc w:val="right"/>
              <w:rPr>
                <w:rFonts w:ascii="Arial" w:eastAsia="Times New Roman" w:hAnsi="Arial" w:cs="Arial"/>
                <w:b/>
                <w:bCs/>
                <w:color w:val="000000"/>
                <w:sz w:val="20"/>
                <w:szCs w:val="20"/>
                <w:lang w:eastAsia="en-GB"/>
              </w:rPr>
            </w:pPr>
          </w:p>
        </w:tc>
        <w:tc>
          <w:tcPr>
            <w:tcW w:w="1740" w:type="dxa"/>
            <w:tcBorders>
              <w:top w:val="nil"/>
              <w:left w:val="nil"/>
              <w:bottom w:val="nil"/>
              <w:right w:val="nil"/>
            </w:tcBorders>
            <w:shd w:val="clear" w:color="auto" w:fill="auto"/>
            <w:noWrap/>
            <w:vAlign w:val="bottom"/>
            <w:hideMark/>
          </w:tcPr>
          <w:p w14:paraId="65081DF0" w14:textId="77777777" w:rsidR="00D32F62" w:rsidRPr="00D32F62" w:rsidRDefault="00D32F62" w:rsidP="00D32F62">
            <w:pPr>
              <w:spacing w:after="0" w:line="240" w:lineRule="auto"/>
              <w:rPr>
                <w:rFonts w:ascii="Times New Roman" w:eastAsia="Times New Roman" w:hAnsi="Times New Roman" w:cs="Times New Roman"/>
                <w:sz w:val="20"/>
                <w:szCs w:val="20"/>
                <w:lang w:eastAsia="en-GB"/>
              </w:rPr>
            </w:pPr>
          </w:p>
        </w:tc>
        <w:tc>
          <w:tcPr>
            <w:tcW w:w="1780" w:type="dxa"/>
            <w:tcBorders>
              <w:top w:val="nil"/>
              <w:left w:val="nil"/>
              <w:bottom w:val="nil"/>
              <w:right w:val="nil"/>
            </w:tcBorders>
            <w:shd w:val="clear" w:color="auto" w:fill="auto"/>
            <w:noWrap/>
            <w:vAlign w:val="bottom"/>
            <w:hideMark/>
          </w:tcPr>
          <w:p w14:paraId="03716DA9" w14:textId="77777777" w:rsidR="00D32F62" w:rsidRPr="00D32F62" w:rsidRDefault="00D32F62" w:rsidP="00D32F62">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3188AE55" w14:textId="77777777" w:rsidR="00D32F62" w:rsidRPr="00D32F62" w:rsidRDefault="00D32F62" w:rsidP="00D32F62">
            <w:pPr>
              <w:spacing w:after="0" w:line="240" w:lineRule="auto"/>
              <w:rPr>
                <w:rFonts w:ascii="Times New Roman" w:eastAsia="Times New Roman" w:hAnsi="Times New Roman" w:cs="Times New Roman"/>
                <w:sz w:val="20"/>
                <w:szCs w:val="20"/>
                <w:lang w:eastAsia="en-GB"/>
              </w:rPr>
            </w:pPr>
          </w:p>
        </w:tc>
        <w:tc>
          <w:tcPr>
            <w:tcW w:w="1480" w:type="dxa"/>
            <w:tcBorders>
              <w:top w:val="nil"/>
              <w:left w:val="nil"/>
              <w:bottom w:val="nil"/>
              <w:right w:val="nil"/>
            </w:tcBorders>
            <w:shd w:val="clear" w:color="auto" w:fill="auto"/>
            <w:noWrap/>
            <w:vAlign w:val="center"/>
            <w:hideMark/>
          </w:tcPr>
          <w:p w14:paraId="6394C6B9" w14:textId="77777777" w:rsidR="00D32F62" w:rsidRPr="00D32F62" w:rsidRDefault="00D32F62" w:rsidP="00D32F62">
            <w:pPr>
              <w:spacing w:after="0" w:line="240" w:lineRule="auto"/>
              <w:jc w:val="right"/>
              <w:rPr>
                <w:rFonts w:ascii="Arial" w:eastAsia="Times New Roman" w:hAnsi="Arial" w:cs="Arial"/>
                <w:b/>
                <w:bCs/>
                <w:color w:val="000000"/>
                <w:sz w:val="20"/>
                <w:szCs w:val="20"/>
                <w:lang w:eastAsia="en-GB"/>
              </w:rPr>
            </w:pPr>
            <w:r w:rsidRPr="00D32F62">
              <w:rPr>
                <w:rFonts w:ascii="Arial" w:eastAsia="Times New Roman" w:hAnsi="Arial" w:cs="Arial"/>
                <w:b/>
                <w:bCs/>
                <w:color w:val="000000"/>
                <w:sz w:val="20"/>
                <w:szCs w:val="20"/>
                <w:lang w:eastAsia="en-GB"/>
              </w:rPr>
              <w:t>£'000</w:t>
            </w:r>
          </w:p>
        </w:tc>
      </w:tr>
      <w:tr w:rsidR="00D32F62" w:rsidRPr="00D32F62" w14:paraId="4F717664" w14:textId="77777777" w:rsidTr="00D32F62">
        <w:trPr>
          <w:trHeight w:val="300"/>
        </w:trPr>
        <w:tc>
          <w:tcPr>
            <w:tcW w:w="3040" w:type="dxa"/>
            <w:tcBorders>
              <w:top w:val="nil"/>
              <w:left w:val="nil"/>
              <w:bottom w:val="nil"/>
              <w:right w:val="nil"/>
            </w:tcBorders>
            <w:shd w:val="clear" w:color="auto" w:fill="auto"/>
            <w:noWrap/>
            <w:vAlign w:val="center"/>
            <w:hideMark/>
          </w:tcPr>
          <w:p w14:paraId="40140A17" w14:textId="77777777" w:rsidR="00D32F62" w:rsidRPr="00D32F62" w:rsidRDefault="00D32F62" w:rsidP="00D32F62">
            <w:pPr>
              <w:spacing w:after="0" w:line="240" w:lineRule="auto"/>
              <w:rPr>
                <w:rFonts w:ascii="Arial" w:eastAsia="Times New Roman" w:hAnsi="Arial" w:cs="Arial"/>
                <w:color w:val="000000"/>
                <w:sz w:val="20"/>
                <w:szCs w:val="20"/>
                <w:lang w:eastAsia="en-GB"/>
              </w:rPr>
            </w:pPr>
            <w:r w:rsidRPr="00D32F62">
              <w:rPr>
                <w:rFonts w:ascii="Arial" w:eastAsia="Times New Roman" w:hAnsi="Arial" w:cs="Arial"/>
                <w:color w:val="000000"/>
                <w:sz w:val="20"/>
                <w:szCs w:val="20"/>
                <w:lang w:eastAsia="en-GB"/>
              </w:rPr>
              <w:t>Proceeds</w:t>
            </w:r>
          </w:p>
        </w:tc>
        <w:tc>
          <w:tcPr>
            <w:tcW w:w="1740" w:type="dxa"/>
            <w:tcBorders>
              <w:top w:val="nil"/>
              <w:left w:val="nil"/>
              <w:bottom w:val="nil"/>
              <w:right w:val="nil"/>
            </w:tcBorders>
            <w:shd w:val="clear" w:color="auto" w:fill="auto"/>
            <w:noWrap/>
            <w:vAlign w:val="center"/>
            <w:hideMark/>
          </w:tcPr>
          <w:p w14:paraId="5BD3EAF9" w14:textId="77777777" w:rsidR="00D32F62" w:rsidRPr="00D32F62" w:rsidRDefault="00D32F62" w:rsidP="00D32F62">
            <w:pPr>
              <w:spacing w:after="0" w:line="240" w:lineRule="auto"/>
              <w:rPr>
                <w:rFonts w:ascii="Arial" w:eastAsia="Times New Roman" w:hAnsi="Arial" w:cs="Arial"/>
                <w:color w:val="000000"/>
                <w:sz w:val="20"/>
                <w:szCs w:val="20"/>
                <w:lang w:eastAsia="en-GB"/>
              </w:rPr>
            </w:pPr>
          </w:p>
        </w:tc>
        <w:tc>
          <w:tcPr>
            <w:tcW w:w="1780" w:type="dxa"/>
            <w:tcBorders>
              <w:top w:val="nil"/>
              <w:left w:val="nil"/>
              <w:bottom w:val="nil"/>
              <w:right w:val="nil"/>
            </w:tcBorders>
            <w:shd w:val="clear" w:color="auto" w:fill="auto"/>
            <w:noWrap/>
            <w:vAlign w:val="center"/>
            <w:hideMark/>
          </w:tcPr>
          <w:p w14:paraId="6BEA2B65" w14:textId="77777777" w:rsidR="00D32F62" w:rsidRPr="00D32F62" w:rsidRDefault="00D32F62" w:rsidP="00D32F62">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118FB2D6" w14:textId="77777777" w:rsidR="00D32F62" w:rsidRPr="00D32F62" w:rsidRDefault="00D32F62" w:rsidP="00D32F62">
            <w:pPr>
              <w:spacing w:after="0" w:line="240" w:lineRule="auto"/>
              <w:rPr>
                <w:rFonts w:ascii="Times New Roman" w:eastAsia="Times New Roman" w:hAnsi="Times New Roman" w:cs="Times New Roman"/>
                <w:sz w:val="20"/>
                <w:szCs w:val="20"/>
                <w:lang w:eastAsia="en-GB"/>
              </w:rPr>
            </w:pPr>
          </w:p>
        </w:tc>
        <w:tc>
          <w:tcPr>
            <w:tcW w:w="1480" w:type="dxa"/>
            <w:tcBorders>
              <w:top w:val="nil"/>
              <w:left w:val="nil"/>
              <w:bottom w:val="nil"/>
              <w:right w:val="nil"/>
            </w:tcBorders>
            <w:shd w:val="clear" w:color="auto" w:fill="auto"/>
            <w:noWrap/>
            <w:vAlign w:val="center"/>
            <w:hideMark/>
          </w:tcPr>
          <w:p w14:paraId="50CC7A02" w14:textId="77777777" w:rsidR="00D32F62" w:rsidRPr="00D32F62" w:rsidRDefault="00D32F62" w:rsidP="00D32F62">
            <w:pPr>
              <w:spacing w:after="0" w:line="240" w:lineRule="auto"/>
              <w:jc w:val="right"/>
              <w:rPr>
                <w:rFonts w:ascii="Arial" w:eastAsia="Times New Roman" w:hAnsi="Arial" w:cs="Arial"/>
                <w:b/>
                <w:bCs/>
                <w:color w:val="000000"/>
                <w:sz w:val="20"/>
                <w:szCs w:val="20"/>
                <w:lang w:eastAsia="en-GB"/>
              </w:rPr>
            </w:pPr>
            <w:r w:rsidRPr="00D32F62">
              <w:rPr>
                <w:rFonts w:ascii="Arial" w:eastAsia="Times New Roman" w:hAnsi="Arial" w:cs="Arial"/>
                <w:b/>
                <w:bCs/>
                <w:color w:val="000000"/>
                <w:sz w:val="20"/>
                <w:szCs w:val="20"/>
                <w:lang w:eastAsia="en-GB"/>
              </w:rPr>
              <w:t>500</w:t>
            </w:r>
          </w:p>
        </w:tc>
      </w:tr>
      <w:tr w:rsidR="00D32F62" w:rsidRPr="00D32F62" w14:paraId="5DD8D9ED" w14:textId="77777777" w:rsidTr="00D32F62">
        <w:trPr>
          <w:trHeight w:val="300"/>
        </w:trPr>
        <w:tc>
          <w:tcPr>
            <w:tcW w:w="3040" w:type="dxa"/>
            <w:tcBorders>
              <w:top w:val="nil"/>
              <w:left w:val="nil"/>
              <w:bottom w:val="nil"/>
              <w:right w:val="nil"/>
            </w:tcBorders>
            <w:shd w:val="clear" w:color="auto" w:fill="auto"/>
            <w:noWrap/>
            <w:vAlign w:val="center"/>
            <w:hideMark/>
          </w:tcPr>
          <w:p w14:paraId="4ED7C819" w14:textId="77777777" w:rsidR="00D32F62" w:rsidRPr="00D32F62" w:rsidRDefault="00D32F62" w:rsidP="00D32F62">
            <w:pPr>
              <w:spacing w:after="0" w:line="240" w:lineRule="auto"/>
              <w:rPr>
                <w:rFonts w:ascii="Arial" w:eastAsia="Times New Roman" w:hAnsi="Arial" w:cs="Arial"/>
                <w:color w:val="000000"/>
                <w:sz w:val="20"/>
                <w:szCs w:val="20"/>
                <w:lang w:eastAsia="en-GB"/>
              </w:rPr>
            </w:pPr>
            <w:r w:rsidRPr="00D32F62">
              <w:rPr>
                <w:rFonts w:ascii="Arial" w:eastAsia="Times New Roman" w:hAnsi="Arial" w:cs="Arial"/>
                <w:color w:val="000000"/>
                <w:sz w:val="20"/>
                <w:szCs w:val="20"/>
                <w:lang w:eastAsia="en-GB"/>
              </w:rPr>
              <w:t>Net Assets divested</w:t>
            </w:r>
          </w:p>
        </w:tc>
        <w:tc>
          <w:tcPr>
            <w:tcW w:w="1740" w:type="dxa"/>
            <w:tcBorders>
              <w:top w:val="nil"/>
              <w:left w:val="nil"/>
              <w:bottom w:val="nil"/>
              <w:right w:val="nil"/>
            </w:tcBorders>
            <w:shd w:val="clear" w:color="auto" w:fill="auto"/>
            <w:noWrap/>
            <w:vAlign w:val="center"/>
            <w:hideMark/>
          </w:tcPr>
          <w:p w14:paraId="472444E4" w14:textId="77777777" w:rsidR="00D32F62" w:rsidRPr="00D32F62" w:rsidRDefault="00D32F62" w:rsidP="00D32F62">
            <w:pPr>
              <w:spacing w:after="0" w:line="240" w:lineRule="auto"/>
              <w:rPr>
                <w:rFonts w:ascii="Arial" w:eastAsia="Times New Roman" w:hAnsi="Arial" w:cs="Arial"/>
                <w:color w:val="000000"/>
                <w:sz w:val="20"/>
                <w:szCs w:val="20"/>
                <w:lang w:eastAsia="en-GB"/>
              </w:rPr>
            </w:pPr>
          </w:p>
        </w:tc>
        <w:tc>
          <w:tcPr>
            <w:tcW w:w="1780" w:type="dxa"/>
            <w:tcBorders>
              <w:top w:val="nil"/>
              <w:left w:val="nil"/>
              <w:bottom w:val="nil"/>
              <w:right w:val="nil"/>
            </w:tcBorders>
            <w:shd w:val="clear" w:color="auto" w:fill="auto"/>
            <w:noWrap/>
            <w:vAlign w:val="center"/>
            <w:hideMark/>
          </w:tcPr>
          <w:p w14:paraId="5573C88D" w14:textId="77777777" w:rsidR="00D32F62" w:rsidRPr="00D32F62" w:rsidRDefault="00D32F62" w:rsidP="00D32F62">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55E1AE60" w14:textId="77777777" w:rsidR="00D32F62" w:rsidRPr="00D32F62" w:rsidRDefault="00D32F62" w:rsidP="00D32F62">
            <w:pPr>
              <w:spacing w:after="0" w:line="240" w:lineRule="auto"/>
              <w:rPr>
                <w:rFonts w:ascii="Times New Roman" w:eastAsia="Times New Roman" w:hAnsi="Times New Roman" w:cs="Times New Roman"/>
                <w:sz w:val="20"/>
                <w:szCs w:val="20"/>
                <w:lang w:eastAsia="en-GB"/>
              </w:rPr>
            </w:pPr>
          </w:p>
        </w:tc>
        <w:tc>
          <w:tcPr>
            <w:tcW w:w="1480" w:type="dxa"/>
            <w:tcBorders>
              <w:top w:val="nil"/>
              <w:left w:val="nil"/>
              <w:bottom w:val="nil"/>
              <w:right w:val="nil"/>
            </w:tcBorders>
            <w:shd w:val="clear" w:color="auto" w:fill="auto"/>
            <w:noWrap/>
            <w:vAlign w:val="center"/>
            <w:hideMark/>
          </w:tcPr>
          <w:p w14:paraId="4DEB7AF5" w14:textId="77777777" w:rsidR="00D32F62" w:rsidRPr="00D32F62" w:rsidRDefault="00D32F62" w:rsidP="00D32F62">
            <w:pPr>
              <w:spacing w:after="0" w:line="240" w:lineRule="auto"/>
              <w:rPr>
                <w:rFonts w:ascii="Times New Roman" w:eastAsia="Times New Roman" w:hAnsi="Times New Roman" w:cs="Times New Roman"/>
                <w:sz w:val="20"/>
                <w:szCs w:val="20"/>
                <w:lang w:eastAsia="en-GB"/>
              </w:rPr>
            </w:pPr>
          </w:p>
        </w:tc>
      </w:tr>
      <w:tr w:rsidR="00D32F62" w:rsidRPr="00D32F62" w14:paraId="51E35D08" w14:textId="77777777" w:rsidTr="00D32F62">
        <w:trPr>
          <w:trHeight w:val="300"/>
        </w:trPr>
        <w:tc>
          <w:tcPr>
            <w:tcW w:w="3040" w:type="dxa"/>
            <w:tcBorders>
              <w:top w:val="nil"/>
              <w:left w:val="nil"/>
              <w:bottom w:val="nil"/>
              <w:right w:val="nil"/>
            </w:tcBorders>
            <w:shd w:val="clear" w:color="auto" w:fill="auto"/>
            <w:noWrap/>
            <w:vAlign w:val="center"/>
            <w:hideMark/>
          </w:tcPr>
          <w:p w14:paraId="632D3987" w14:textId="77777777" w:rsidR="00D32F62" w:rsidRPr="00D32F62" w:rsidRDefault="00D32F62" w:rsidP="00D32F62">
            <w:pPr>
              <w:spacing w:after="0" w:line="240" w:lineRule="auto"/>
              <w:rPr>
                <w:rFonts w:ascii="Arial" w:eastAsia="Times New Roman" w:hAnsi="Arial" w:cs="Arial"/>
                <w:color w:val="000000"/>
                <w:sz w:val="20"/>
                <w:szCs w:val="20"/>
                <w:lang w:eastAsia="en-GB"/>
              </w:rPr>
            </w:pPr>
            <w:r w:rsidRPr="00D32F62">
              <w:rPr>
                <w:rFonts w:ascii="Arial" w:eastAsia="Times New Roman" w:hAnsi="Arial" w:cs="Arial"/>
                <w:color w:val="000000"/>
                <w:sz w:val="20"/>
                <w:szCs w:val="20"/>
                <w:lang w:eastAsia="en-GB"/>
              </w:rPr>
              <w:t>Fixed Assets (see note 8)</w:t>
            </w:r>
          </w:p>
        </w:tc>
        <w:tc>
          <w:tcPr>
            <w:tcW w:w="1740" w:type="dxa"/>
            <w:tcBorders>
              <w:top w:val="nil"/>
              <w:left w:val="nil"/>
              <w:bottom w:val="nil"/>
              <w:right w:val="nil"/>
            </w:tcBorders>
            <w:shd w:val="clear" w:color="auto" w:fill="auto"/>
            <w:noWrap/>
            <w:vAlign w:val="center"/>
            <w:hideMark/>
          </w:tcPr>
          <w:p w14:paraId="5904E77A" w14:textId="77777777" w:rsidR="00D32F62" w:rsidRPr="00D32F62" w:rsidRDefault="00D32F62" w:rsidP="00D32F62">
            <w:pPr>
              <w:spacing w:after="0" w:line="240" w:lineRule="auto"/>
              <w:rPr>
                <w:rFonts w:ascii="Arial" w:eastAsia="Times New Roman" w:hAnsi="Arial" w:cs="Arial"/>
                <w:color w:val="000000"/>
                <w:sz w:val="20"/>
                <w:szCs w:val="20"/>
                <w:lang w:eastAsia="en-GB"/>
              </w:rPr>
            </w:pPr>
          </w:p>
        </w:tc>
        <w:tc>
          <w:tcPr>
            <w:tcW w:w="1780" w:type="dxa"/>
            <w:tcBorders>
              <w:top w:val="nil"/>
              <w:left w:val="nil"/>
              <w:bottom w:val="nil"/>
              <w:right w:val="nil"/>
            </w:tcBorders>
            <w:shd w:val="clear" w:color="auto" w:fill="auto"/>
            <w:noWrap/>
            <w:vAlign w:val="center"/>
            <w:hideMark/>
          </w:tcPr>
          <w:p w14:paraId="2C3121B1" w14:textId="77777777" w:rsidR="00D32F62" w:rsidRPr="00D32F62" w:rsidRDefault="00D32F62" w:rsidP="00D32F62">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73E64C21" w14:textId="77777777" w:rsidR="00D32F62" w:rsidRPr="00D32F62" w:rsidRDefault="00D32F62" w:rsidP="00D32F62">
            <w:pPr>
              <w:spacing w:after="0" w:line="240" w:lineRule="auto"/>
              <w:jc w:val="right"/>
              <w:rPr>
                <w:rFonts w:ascii="Calibri" w:eastAsia="Times New Roman" w:hAnsi="Calibri" w:cs="Calibri"/>
                <w:color w:val="000000"/>
                <w:lang w:eastAsia="en-GB"/>
              </w:rPr>
            </w:pPr>
            <w:r w:rsidRPr="00D32F62">
              <w:rPr>
                <w:rFonts w:ascii="Calibri" w:eastAsia="Times New Roman" w:hAnsi="Calibri" w:cs="Calibri"/>
                <w:color w:val="000000"/>
                <w:lang w:eastAsia="en-GB"/>
              </w:rPr>
              <w:t>86</w:t>
            </w:r>
          </w:p>
        </w:tc>
        <w:tc>
          <w:tcPr>
            <w:tcW w:w="1480" w:type="dxa"/>
            <w:tcBorders>
              <w:top w:val="nil"/>
              <w:left w:val="nil"/>
              <w:bottom w:val="nil"/>
              <w:right w:val="nil"/>
            </w:tcBorders>
            <w:shd w:val="clear" w:color="auto" w:fill="auto"/>
            <w:noWrap/>
            <w:vAlign w:val="center"/>
            <w:hideMark/>
          </w:tcPr>
          <w:p w14:paraId="65037D1B" w14:textId="77777777" w:rsidR="00D32F62" w:rsidRPr="00D32F62" w:rsidRDefault="00D32F62" w:rsidP="00D32F62">
            <w:pPr>
              <w:spacing w:after="0" w:line="240" w:lineRule="auto"/>
              <w:jc w:val="right"/>
              <w:rPr>
                <w:rFonts w:ascii="Calibri" w:eastAsia="Times New Roman" w:hAnsi="Calibri" w:cs="Calibri"/>
                <w:color w:val="000000"/>
                <w:lang w:eastAsia="en-GB"/>
              </w:rPr>
            </w:pPr>
          </w:p>
        </w:tc>
      </w:tr>
      <w:tr w:rsidR="00D32F62" w:rsidRPr="00D32F62" w14:paraId="4EBAB41D" w14:textId="77777777" w:rsidTr="00D32F62">
        <w:trPr>
          <w:trHeight w:val="315"/>
        </w:trPr>
        <w:tc>
          <w:tcPr>
            <w:tcW w:w="3040" w:type="dxa"/>
            <w:tcBorders>
              <w:top w:val="nil"/>
              <w:left w:val="nil"/>
              <w:bottom w:val="nil"/>
              <w:right w:val="nil"/>
            </w:tcBorders>
            <w:shd w:val="clear" w:color="auto" w:fill="auto"/>
            <w:noWrap/>
            <w:vAlign w:val="center"/>
            <w:hideMark/>
          </w:tcPr>
          <w:p w14:paraId="1A74EF26" w14:textId="77777777" w:rsidR="00D32F62" w:rsidRPr="00D32F62" w:rsidRDefault="00D32F62" w:rsidP="00D32F62">
            <w:pPr>
              <w:spacing w:after="0" w:line="240" w:lineRule="auto"/>
              <w:rPr>
                <w:rFonts w:ascii="Arial" w:eastAsia="Times New Roman" w:hAnsi="Arial" w:cs="Arial"/>
                <w:color w:val="000000"/>
                <w:sz w:val="20"/>
                <w:szCs w:val="20"/>
                <w:lang w:eastAsia="en-GB"/>
              </w:rPr>
            </w:pPr>
            <w:r w:rsidRPr="00D32F62">
              <w:rPr>
                <w:rFonts w:ascii="Arial" w:eastAsia="Times New Roman" w:hAnsi="Arial" w:cs="Arial"/>
                <w:color w:val="000000"/>
                <w:sz w:val="20"/>
                <w:szCs w:val="20"/>
                <w:lang w:eastAsia="en-GB"/>
              </w:rPr>
              <w:t>Net current liabilities</w:t>
            </w:r>
          </w:p>
        </w:tc>
        <w:tc>
          <w:tcPr>
            <w:tcW w:w="1740" w:type="dxa"/>
            <w:tcBorders>
              <w:top w:val="nil"/>
              <w:left w:val="nil"/>
              <w:bottom w:val="nil"/>
              <w:right w:val="nil"/>
            </w:tcBorders>
            <w:shd w:val="clear" w:color="auto" w:fill="auto"/>
            <w:noWrap/>
            <w:vAlign w:val="center"/>
            <w:hideMark/>
          </w:tcPr>
          <w:p w14:paraId="13074638" w14:textId="77777777" w:rsidR="00D32F62" w:rsidRPr="00D32F62" w:rsidRDefault="00D32F62" w:rsidP="00D32F62">
            <w:pPr>
              <w:spacing w:after="0" w:line="240" w:lineRule="auto"/>
              <w:rPr>
                <w:rFonts w:ascii="Arial" w:eastAsia="Times New Roman" w:hAnsi="Arial" w:cs="Arial"/>
                <w:color w:val="000000"/>
                <w:sz w:val="20"/>
                <w:szCs w:val="20"/>
                <w:lang w:eastAsia="en-GB"/>
              </w:rPr>
            </w:pPr>
          </w:p>
        </w:tc>
        <w:tc>
          <w:tcPr>
            <w:tcW w:w="1780" w:type="dxa"/>
            <w:tcBorders>
              <w:top w:val="nil"/>
              <w:left w:val="nil"/>
              <w:bottom w:val="nil"/>
              <w:right w:val="nil"/>
            </w:tcBorders>
            <w:shd w:val="clear" w:color="auto" w:fill="auto"/>
            <w:noWrap/>
            <w:vAlign w:val="center"/>
            <w:hideMark/>
          </w:tcPr>
          <w:p w14:paraId="191D9BC7" w14:textId="77777777" w:rsidR="00D32F62" w:rsidRPr="00D32F62" w:rsidRDefault="00D32F62" w:rsidP="00D32F62">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single" w:sz="4" w:space="0" w:color="auto"/>
              <w:right w:val="nil"/>
            </w:tcBorders>
            <w:shd w:val="clear" w:color="auto" w:fill="auto"/>
            <w:noWrap/>
            <w:vAlign w:val="bottom"/>
            <w:hideMark/>
          </w:tcPr>
          <w:p w14:paraId="1FEDD512" w14:textId="77777777" w:rsidR="00D32F62" w:rsidRPr="00D32F62" w:rsidRDefault="00520478" w:rsidP="00D32F62">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420</w:t>
            </w:r>
          </w:p>
        </w:tc>
        <w:tc>
          <w:tcPr>
            <w:tcW w:w="1480" w:type="dxa"/>
            <w:tcBorders>
              <w:top w:val="nil"/>
              <w:left w:val="nil"/>
              <w:bottom w:val="nil"/>
              <w:right w:val="nil"/>
            </w:tcBorders>
            <w:shd w:val="clear" w:color="auto" w:fill="auto"/>
            <w:noWrap/>
            <w:vAlign w:val="bottom"/>
            <w:hideMark/>
          </w:tcPr>
          <w:p w14:paraId="0213DABA" w14:textId="77777777" w:rsidR="00D32F62" w:rsidRPr="00D32F62" w:rsidRDefault="00D32F62" w:rsidP="00D32F62">
            <w:pPr>
              <w:spacing w:after="0" w:line="240" w:lineRule="auto"/>
              <w:jc w:val="right"/>
              <w:rPr>
                <w:rFonts w:ascii="Calibri" w:eastAsia="Times New Roman" w:hAnsi="Calibri" w:cs="Calibri"/>
                <w:color w:val="000000"/>
                <w:lang w:eastAsia="en-GB"/>
              </w:rPr>
            </w:pPr>
          </w:p>
        </w:tc>
      </w:tr>
      <w:tr w:rsidR="00D32F62" w:rsidRPr="00D32F62" w14:paraId="4AD5B416" w14:textId="77777777" w:rsidTr="00D32F62">
        <w:trPr>
          <w:trHeight w:val="300"/>
        </w:trPr>
        <w:tc>
          <w:tcPr>
            <w:tcW w:w="3040" w:type="dxa"/>
            <w:tcBorders>
              <w:top w:val="nil"/>
              <w:left w:val="nil"/>
              <w:bottom w:val="nil"/>
              <w:right w:val="nil"/>
            </w:tcBorders>
            <w:shd w:val="clear" w:color="auto" w:fill="auto"/>
            <w:noWrap/>
            <w:vAlign w:val="center"/>
            <w:hideMark/>
          </w:tcPr>
          <w:p w14:paraId="6B9C8C42" w14:textId="77777777" w:rsidR="00D32F62" w:rsidRPr="00D32F62" w:rsidRDefault="00D32F62" w:rsidP="00D32F62">
            <w:pPr>
              <w:spacing w:after="0" w:line="240" w:lineRule="auto"/>
              <w:rPr>
                <w:rFonts w:ascii="Times New Roman" w:eastAsia="Times New Roman" w:hAnsi="Times New Roman" w:cs="Times New Roman"/>
                <w:sz w:val="20"/>
                <w:szCs w:val="20"/>
                <w:lang w:eastAsia="en-GB"/>
              </w:rPr>
            </w:pPr>
          </w:p>
        </w:tc>
        <w:tc>
          <w:tcPr>
            <w:tcW w:w="1740" w:type="dxa"/>
            <w:tcBorders>
              <w:top w:val="nil"/>
              <w:left w:val="nil"/>
              <w:bottom w:val="nil"/>
              <w:right w:val="nil"/>
            </w:tcBorders>
            <w:shd w:val="clear" w:color="auto" w:fill="auto"/>
            <w:noWrap/>
            <w:vAlign w:val="center"/>
            <w:hideMark/>
          </w:tcPr>
          <w:p w14:paraId="6FBDBB02" w14:textId="77777777" w:rsidR="00D32F62" w:rsidRPr="00D32F62" w:rsidRDefault="00D32F62" w:rsidP="00D32F62">
            <w:pPr>
              <w:spacing w:after="0" w:line="240" w:lineRule="auto"/>
              <w:rPr>
                <w:rFonts w:ascii="Times New Roman" w:eastAsia="Times New Roman" w:hAnsi="Times New Roman" w:cs="Times New Roman"/>
                <w:sz w:val="20"/>
                <w:szCs w:val="20"/>
                <w:lang w:eastAsia="en-GB"/>
              </w:rPr>
            </w:pPr>
          </w:p>
        </w:tc>
        <w:tc>
          <w:tcPr>
            <w:tcW w:w="1780" w:type="dxa"/>
            <w:tcBorders>
              <w:top w:val="nil"/>
              <w:left w:val="nil"/>
              <w:bottom w:val="nil"/>
              <w:right w:val="nil"/>
            </w:tcBorders>
            <w:shd w:val="clear" w:color="auto" w:fill="auto"/>
            <w:noWrap/>
            <w:vAlign w:val="center"/>
            <w:hideMark/>
          </w:tcPr>
          <w:p w14:paraId="5CBC1F74" w14:textId="77777777" w:rsidR="00D32F62" w:rsidRPr="00D32F62" w:rsidRDefault="00D32F62" w:rsidP="00D32F62">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380F9C5A" w14:textId="77777777" w:rsidR="00D32F62" w:rsidRPr="00D32F62" w:rsidRDefault="00D32F62" w:rsidP="00D32F62">
            <w:pPr>
              <w:spacing w:after="0" w:line="240" w:lineRule="auto"/>
              <w:rPr>
                <w:rFonts w:ascii="Times New Roman" w:eastAsia="Times New Roman" w:hAnsi="Times New Roman" w:cs="Times New Roman"/>
                <w:sz w:val="20"/>
                <w:szCs w:val="20"/>
                <w:lang w:eastAsia="en-GB"/>
              </w:rPr>
            </w:pPr>
          </w:p>
        </w:tc>
        <w:tc>
          <w:tcPr>
            <w:tcW w:w="1480" w:type="dxa"/>
            <w:tcBorders>
              <w:top w:val="nil"/>
              <w:left w:val="nil"/>
              <w:bottom w:val="nil"/>
              <w:right w:val="nil"/>
            </w:tcBorders>
            <w:shd w:val="clear" w:color="auto" w:fill="auto"/>
            <w:noWrap/>
            <w:vAlign w:val="center"/>
            <w:hideMark/>
          </w:tcPr>
          <w:p w14:paraId="49EE0229" w14:textId="77777777" w:rsidR="00D32F62" w:rsidRPr="00D32F62" w:rsidRDefault="00520478" w:rsidP="00D32F62">
            <w:pPr>
              <w:spacing w:after="0" w:line="240" w:lineRule="auto"/>
              <w:jc w:val="right"/>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506</w:t>
            </w:r>
          </w:p>
        </w:tc>
      </w:tr>
      <w:tr w:rsidR="00D32F62" w:rsidRPr="00D32F62" w14:paraId="1B704908" w14:textId="77777777" w:rsidTr="00D32F62">
        <w:trPr>
          <w:trHeight w:val="300"/>
        </w:trPr>
        <w:tc>
          <w:tcPr>
            <w:tcW w:w="3040" w:type="dxa"/>
            <w:tcBorders>
              <w:top w:val="nil"/>
              <w:left w:val="nil"/>
              <w:bottom w:val="nil"/>
              <w:right w:val="nil"/>
            </w:tcBorders>
            <w:shd w:val="clear" w:color="auto" w:fill="auto"/>
            <w:noWrap/>
            <w:vAlign w:val="bottom"/>
            <w:hideMark/>
          </w:tcPr>
          <w:p w14:paraId="036A9DFE" w14:textId="77777777" w:rsidR="00D32F62" w:rsidRPr="00D32F62" w:rsidRDefault="00D32F62" w:rsidP="00D32F62">
            <w:pPr>
              <w:spacing w:after="0" w:line="240" w:lineRule="auto"/>
              <w:jc w:val="right"/>
              <w:rPr>
                <w:rFonts w:ascii="Arial" w:eastAsia="Times New Roman" w:hAnsi="Arial" w:cs="Arial"/>
                <w:b/>
                <w:bCs/>
                <w:color w:val="000000"/>
                <w:sz w:val="20"/>
                <w:szCs w:val="20"/>
                <w:lang w:eastAsia="en-GB"/>
              </w:rPr>
            </w:pPr>
          </w:p>
        </w:tc>
        <w:tc>
          <w:tcPr>
            <w:tcW w:w="1740" w:type="dxa"/>
            <w:tcBorders>
              <w:top w:val="nil"/>
              <w:left w:val="nil"/>
              <w:bottom w:val="nil"/>
              <w:right w:val="nil"/>
            </w:tcBorders>
            <w:shd w:val="clear" w:color="auto" w:fill="auto"/>
            <w:noWrap/>
            <w:vAlign w:val="bottom"/>
            <w:hideMark/>
          </w:tcPr>
          <w:p w14:paraId="2C3BBF43" w14:textId="77777777" w:rsidR="00D32F62" w:rsidRPr="00D32F62" w:rsidRDefault="00D32F62" w:rsidP="00D32F62">
            <w:pPr>
              <w:spacing w:after="0" w:line="240" w:lineRule="auto"/>
              <w:rPr>
                <w:rFonts w:ascii="Times New Roman" w:eastAsia="Times New Roman" w:hAnsi="Times New Roman" w:cs="Times New Roman"/>
                <w:sz w:val="20"/>
                <w:szCs w:val="20"/>
                <w:lang w:eastAsia="en-GB"/>
              </w:rPr>
            </w:pPr>
          </w:p>
        </w:tc>
        <w:tc>
          <w:tcPr>
            <w:tcW w:w="1780" w:type="dxa"/>
            <w:tcBorders>
              <w:top w:val="nil"/>
              <w:left w:val="nil"/>
              <w:bottom w:val="nil"/>
              <w:right w:val="nil"/>
            </w:tcBorders>
            <w:shd w:val="clear" w:color="auto" w:fill="auto"/>
            <w:noWrap/>
            <w:vAlign w:val="bottom"/>
            <w:hideMark/>
          </w:tcPr>
          <w:p w14:paraId="0B254AB4" w14:textId="77777777" w:rsidR="00D32F62" w:rsidRPr="00D32F62" w:rsidRDefault="00D32F62" w:rsidP="00D32F62">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30AF9B4E" w14:textId="77777777" w:rsidR="00D32F62" w:rsidRPr="00D32F62" w:rsidRDefault="00D32F62" w:rsidP="00D32F62">
            <w:pPr>
              <w:spacing w:after="0" w:line="240" w:lineRule="auto"/>
              <w:rPr>
                <w:rFonts w:ascii="Times New Roman" w:eastAsia="Times New Roman" w:hAnsi="Times New Roman" w:cs="Times New Roman"/>
                <w:sz w:val="20"/>
                <w:szCs w:val="20"/>
                <w:lang w:eastAsia="en-GB"/>
              </w:rPr>
            </w:pPr>
          </w:p>
        </w:tc>
        <w:tc>
          <w:tcPr>
            <w:tcW w:w="1480" w:type="dxa"/>
            <w:tcBorders>
              <w:top w:val="nil"/>
              <w:left w:val="nil"/>
              <w:bottom w:val="nil"/>
              <w:right w:val="nil"/>
            </w:tcBorders>
            <w:shd w:val="clear" w:color="auto" w:fill="auto"/>
            <w:noWrap/>
            <w:vAlign w:val="bottom"/>
            <w:hideMark/>
          </w:tcPr>
          <w:p w14:paraId="5BE5D6DA" w14:textId="77777777" w:rsidR="00D32F62" w:rsidRPr="00D32F62" w:rsidRDefault="00D32F62" w:rsidP="00D32F62">
            <w:pPr>
              <w:spacing w:after="0" w:line="240" w:lineRule="auto"/>
              <w:rPr>
                <w:rFonts w:ascii="Times New Roman" w:eastAsia="Times New Roman" w:hAnsi="Times New Roman" w:cs="Times New Roman"/>
                <w:sz w:val="20"/>
                <w:szCs w:val="20"/>
                <w:lang w:eastAsia="en-GB"/>
              </w:rPr>
            </w:pPr>
          </w:p>
        </w:tc>
      </w:tr>
      <w:tr w:rsidR="00D32F62" w:rsidRPr="00D32F62" w14:paraId="0669F07D" w14:textId="77777777" w:rsidTr="00D32F62">
        <w:trPr>
          <w:trHeight w:val="300"/>
        </w:trPr>
        <w:tc>
          <w:tcPr>
            <w:tcW w:w="3040" w:type="dxa"/>
            <w:tcBorders>
              <w:top w:val="nil"/>
              <w:left w:val="nil"/>
              <w:bottom w:val="nil"/>
              <w:right w:val="nil"/>
            </w:tcBorders>
            <w:shd w:val="clear" w:color="auto" w:fill="auto"/>
            <w:noWrap/>
            <w:vAlign w:val="center"/>
            <w:hideMark/>
          </w:tcPr>
          <w:p w14:paraId="3DAE7799" w14:textId="77777777" w:rsidR="00D32F62" w:rsidRPr="00D32F62" w:rsidRDefault="00D32F62" w:rsidP="00D32F62">
            <w:pPr>
              <w:spacing w:after="0" w:line="240" w:lineRule="auto"/>
              <w:rPr>
                <w:rFonts w:ascii="Arial" w:eastAsia="Times New Roman" w:hAnsi="Arial" w:cs="Arial"/>
                <w:color w:val="000000"/>
                <w:sz w:val="20"/>
                <w:szCs w:val="20"/>
                <w:lang w:eastAsia="en-GB"/>
              </w:rPr>
            </w:pPr>
            <w:r w:rsidRPr="00D32F62">
              <w:rPr>
                <w:rFonts w:ascii="Arial" w:eastAsia="Times New Roman" w:hAnsi="Arial" w:cs="Arial"/>
                <w:color w:val="000000"/>
                <w:sz w:val="20"/>
                <w:szCs w:val="20"/>
                <w:lang w:eastAsia="en-GB"/>
              </w:rPr>
              <w:t>Costs incurred to enable the sale</w:t>
            </w:r>
          </w:p>
        </w:tc>
        <w:tc>
          <w:tcPr>
            <w:tcW w:w="1740" w:type="dxa"/>
            <w:tcBorders>
              <w:top w:val="nil"/>
              <w:left w:val="nil"/>
              <w:bottom w:val="nil"/>
              <w:right w:val="nil"/>
            </w:tcBorders>
            <w:shd w:val="clear" w:color="auto" w:fill="auto"/>
            <w:noWrap/>
            <w:vAlign w:val="center"/>
            <w:hideMark/>
          </w:tcPr>
          <w:p w14:paraId="692EEB31" w14:textId="77777777" w:rsidR="00D32F62" w:rsidRPr="00D32F62" w:rsidRDefault="00D32F62" w:rsidP="00D32F62">
            <w:pPr>
              <w:spacing w:after="0" w:line="240" w:lineRule="auto"/>
              <w:rPr>
                <w:rFonts w:ascii="Arial" w:eastAsia="Times New Roman" w:hAnsi="Arial" w:cs="Arial"/>
                <w:color w:val="000000"/>
                <w:sz w:val="20"/>
                <w:szCs w:val="20"/>
                <w:lang w:eastAsia="en-GB"/>
              </w:rPr>
            </w:pPr>
          </w:p>
        </w:tc>
        <w:tc>
          <w:tcPr>
            <w:tcW w:w="1780" w:type="dxa"/>
            <w:tcBorders>
              <w:top w:val="nil"/>
              <w:left w:val="nil"/>
              <w:bottom w:val="nil"/>
              <w:right w:val="nil"/>
            </w:tcBorders>
            <w:shd w:val="clear" w:color="auto" w:fill="auto"/>
            <w:noWrap/>
            <w:vAlign w:val="center"/>
            <w:hideMark/>
          </w:tcPr>
          <w:p w14:paraId="4801A2FF" w14:textId="77777777" w:rsidR="00D32F62" w:rsidRPr="00D32F62" w:rsidRDefault="00D32F62" w:rsidP="00D32F62">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01D6F592" w14:textId="77777777" w:rsidR="00D32F62" w:rsidRPr="00D32F62" w:rsidRDefault="00D32F62" w:rsidP="00D32F62">
            <w:pPr>
              <w:spacing w:after="0" w:line="240" w:lineRule="auto"/>
              <w:rPr>
                <w:rFonts w:ascii="Times New Roman" w:eastAsia="Times New Roman" w:hAnsi="Times New Roman" w:cs="Times New Roman"/>
                <w:sz w:val="20"/>
                <w:szCs w:val="20"/>
                <w:lang w:eastAsia="en-GB"/>
              </w:rPr>
            </w:pPr>
          </w:p>
        </w:tc>
        <w:tc>
          <w:tcPr>
            <w:tcW w:w="1480" w:type="dxa"/>
            <w:tcBorders>
              <w:top w:val="nil"/>
              <w:left w:val="nil"/>
              <w:bottom w:val="nil"/>
              <w:right w:val="nil"/>
            </w:tcBorders>
            <w:shd w:val="clear" w:color="auto" w:fill="auto"/>
            <w:noWrap/>
            <w:vAlign w:val="center"/>
            <w:hideMark/>
          </w:tcPr>
          <w:p w14:paraId="2E9788DA" w14:textId="77777777" w:rsidR="00D32F62" w:rsidRPr="00D32F62" w:rsidRDefault="00D32F62" w:rsidP="00D32F62">
            <w:pPr>
              <w:spacing w:after="0" w:line="240" w:lineRule="auto"/>
              <w:jc w:val="right"/>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w:t>
            </w:r>
            <w:r w:rsidRPr="00D32F62">
              <w:rPr>
                <w:rFonts w:ascii="Arial" w:eastAsia="Times New Roman" w:hAnsi="Arial" w:cs="Arial"/>
                <w:b/>
                <w:bCs/>
                <w:color w:val="000000"/>
                <w:sz w:val="20"/>
                <w:szCs w:val="20"/>
                <w:lang w:eastAsia="en-GB"/>
              </w:rPr>
              <w:t>79</w:t>
            </w:r>
            <w:r>
              <w:rPr>
                <w:rFonts w:ascii="Arial" w:eastAsia="Times New Roman" w:hAnsi="Arial" w:cs="Arial"/>
                <w:b/>
                <w:bCs/>
                <w:color w:val="000000"/>
                <w:sz w:val="20"/>
                <w:szCs w:val="20"/>
                <w:lang w:eastAsia="en-GB"/>
              </w:rPr>
              <w:t>)</w:t>
            </w:r>
          </w:p>
        </w:tc>
      </w:tr>
      <w:tr w:rsidR="00D32F62" w:rsidRPr="00D32F62" w14:paraId="0D12AB67" w14:textId="77777777" w:rsidTr="00D32F62">
        <w:trPr>
          <w:trHeight w:val="300"/>
        </w:trPr>
        <w:tc>
          <w:tcPr>
            <w:tcW w:w="3040" w:type="dxa"/>
            <w:tcBorders>
              <w:top w:val="nil"/>
              <w:left w:val="nil"/>
              <w:bottom w:val="nil"/>
              <w:right w:val="nil"/>
            </w:tcBorders>
            <w:shd w:val="clear" w:color="auto" w:fill="auto"/>
            <w:noWrap/>
            <w:vAlign w:val="center"/>
            <w:hideMark/>
          </w:tcPr>
          <w:p w14:paraId="293B94FF" w14:textId="77777777" w:rsidR="00D32F62" w:rsidRPr="00D32F62" w:rsidRDefault="00D32F62" w:rsidP="00D32F62">
            <w:pPr>
              <w:spacing w:after="0" w:line="240" w:lineRule="auto"/>
              <w:jc w:val="right"/>
              <w:rPr>
                <w:rFonts w:ascii="Arial" w:eastAsia="Times New Roman" w:hAnsi="Arial" w:cs="Arial"/>
                <w:b/>
                <w:bCs/>
                <w:color w:val="000000"/>
                <w:sz w:val="20"/>
                <w:szCs w:val="20"/>
                <w:lang w:eastAsia="en-GB"/>
              </w:rPr>
            </w:pPr>
          </w:p>
        </w:tc>
        <w:tc>
          <w:tcPr>
            <w:tcW w:w="1740" w:type="dxa"/>
            <w:tcBorders>
              <w:top w:val="nil"/>
              <w:left w:val="nil"/>
              <w:bottom w:val="nil"/>
              <w:right w:val="nil"/>
            </w:tcBorders>
            <w:shd w:val="clear" w:color="auto" w:fill="auto"/>
            <w:noWrap/>
            <w:vAlign w:val="center"/>
            <w:hideMark/>
          </w:tcPr>
          <w:p w14:paraId="6DCFCD35" w14:textId="77777777" w:rsidR="00D32F62" w:rsidRPr="00D32F62" w:rsidRDefault="00D32F62" w:rsidP="00D32F62">
            <w:pPr>
              <w:spacing w:after="0" w:line="240" w:lineRule="auto"/>
              <w:rPr>
                <w:rFonts w:ascii="Times New Roman" w:eastAsia="Times New Roman" w:hAnsi="Times New Roman" w:cs="Times New Roman"/>
                <w:sz w:val="20"/>
                <w:szCs w:val="20"/>
                <w:lang w:eastAsia="en-GB"/>
              </w:rPr>
            </w:pPr>
          </w:p>
        </w:tc>
        <w:tc>
          <w:tcPr>
            <w:tcW w:w="1780" w:type="dxa"/>
            <w:tcBorders>
              <w:top w:val="nil"/>
              <w:left w:val="nil"/>
              <w:bottom w:val="nil"/>
              <w:right w:val="nil"/>
            </w:tcBorders>
            <w:shd w:val="clear" w:color="auto" w:fill="auto"/>
            <w:noWrap/>
            <w:vAlign w:val="center"/>
            <w:hideMark/>
          </w:tcPr>
          <w:p w14:paraId="58004A89" w14:textId="77777777" w:rsidR="00D32F62" w:rsidRPr="00D32F62" w:rsidRDefault="00D32F62" w:rsidP="00D32F62">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1E385359" w14:textId="77777777" w:rsidR="00D32F62" w:rsidRPr="00D32F62" w:rsidRDefault="00D32F62" w:rsidP="00D32F62">
            <w:pPr>
              <w:spacing w:after="0" w:line="240" w:lineRule="auto"/>
              <w:rPr>
                <w:rFonts w:ascii="Times New Roman" w:eastAsia="Times New Roman" w:hAnsi="Times New Roman" w:cs="Times New Roman"/>
                <w:sz w:val="20"/>
                <w:szCs w:val="20"/>
                <w:lang w:eastAsia="en-GB"/>
              </w:rPr>
            </w:pPr>
          </w:p>
        </w:tc>
        <w:tc>
          <w:tcPr>
            <w:tcW w:w="1480" w:type="dxa"/>
            <w:tcBorders>
              <w:top w:val="nil"/>
              <w:left w:val="nil"/>
              <w:bottom w:val="nil"/>
              <w:right w:val="nil"/>
            </w:tcBorders>
            <w:shd w:val="clear" w:color="auto" w:fill="auto"/>
            <w:noWrap/>
            <w:vAlign w:val="center"/>
            <w:hideMark/>
          </w:tcPr>
          <w:p w14:paraId="71E22E2F" w14:textId="77777777" w:rsidR="00D32F62" w:rsidRPr="00D32F62" w:rsidRDefault="00D32F62" w:rsidP="00D32F62">
            <w:pPr>
              <w:spacing w:after="0" w:line="240" w:lineRule="auto"/>
              <w:rPr>
                <w:rFonts w:ascii="Times New Roman" w:eastAsia="Times New Roman" w:hAnsi="Times New Roman" w:cs="Times New Roman"/>
                <w:sz w:val="20"/>
                <w:szCs w:val="20"/>
                <w:lang w:eastAsia="en-GB"/>
              </w:rPr>
            </w:pPr>
          </w:p>
        </w:tc>
      </w:tr>
      <w:tr w:rsidR="00D32F62" w:rsidRPr="00D32F62" w14:paraId="124FADFD" w14:textId="77777777" w:rsidTr="00D32F62">
        <w:trPr>
          <w:trHeight w:val="315"/>
        </w:trPr>
        <w:tc>
          <w:tcPr>
            <w:tcW w:w="3040" w:type="dxa"/>
            <w:tcBorders>
              <w:top w:val="nil"/>
              <w:left w:val="nil"/>
              <w:bottom w:val="nil"/>
              <w:right w:val="nil"/>
            </w:tcBorders>
            <w:shd w:val="clear" w:color="auto" w:fill="auto"/>
            <w:noWrap/>
            <w:vAlign w:val="center"/>
            <w:hideMark/>
          </w:tcPr>
          <w:p w14:paraId="2046384E" w14:textId="77777777" w:rsidR="00D32F62" w:rsidRPr="00D32F62" w:rsidRDefault="00D32F62" w:rsidP="00AD183F">
            <w:pPr>
              <w:spacing w:after="0" w:line="240" w:lineRule="auto"/>
              <w:rPr>
                <w:rFonts w:ascii="Arial" w:eastAsia="Times New Roman" w:hAnsi="Arial" w:cs="Arial"/>
                <w:color w:val="000000"/>
                <w:sz w:val="20"/>
                <w:szCs w:val="20"/>
                <w:lang w:eastAsia="en-GB"/>
              </w:rPr>
            </w:pPr>
            <w:r w:rsidRPr="00D32F62">
              <w:rPr>
                <w:rFonts w:ascii="Arial" w:eastAsia="Times New Roman" w:hAnsi="Arial" w:cs="Arial"/>
                <w:color w:val="000000"/>
                <w:sz w:val="20"/>
                <w:szCs w:val="20"/>
                <w:lang w:eastAsia="en-GB"/>
              </w:rPr>
              <w:t xml:space="preserve">Gain on sale of </w:t>
            </w:r>
            <w:r w:rsidR="00AD183F">
              <w:rPr>
                <w:rFonts w:ascii="Arial" w:eastAsia="Times New Roman" w:hAnsi="Arial" w:cs="Arial"/>
                <w:color w:val="000000"/>
                <w:sz w:val="20"/>
                <w:szCs w:val="20"/>
                <w:lang w:eastAsia="en-GB"/>
              </w:rPr>
              <w:t>subsidiaries</w:t>
            </w:r>
          </w:p>
        </w:tc>
        <w:tc>
          <w:tcPr>
            <w:tcW w:w="1740" w:type="dxa"/>
            <w:tcBorders>
              <w:top w:val="nil"/>
              <w:left w:val="nil"/>
              <w:bottom w:val="nil"/>
              <w:right w:val="nil"/>
            </w:tcBorders>
            <w:shd w:val="clear" w:color="auto" w:fill="auto"/>
            <w:noWrap/>
            <w:vAlign w:val="center"/>
            <w:hideMark/>
          </w:tcPr>
          <w:p w14:paraId="40EAD06B" w14:textId="77777777" w:rsidR="00D32F62" w:rsidRPr="00D32F62" w:rsidRDefault="00D32F62" w:rsidP="00D32F62">
            <w:pPr>
              <w:spacing w:after="0" w:line="240" w:lineRule="auto"/>
              <w:rPr>
                <w:rFonts w:ascii="Arial" w:eastAsia="Times New Roman" w:hAnsi="Arial" w:cs="Arial"/>
                <w:color w:val="000000"/>
                <w:sz w:val="20"/>
                <w:szCs w:val="20"/>
                <w:lang w:eastAsia="en-GB"/>
              </w:rPr>
            </w:pPr>
          </w:p>
        </w:tc>
        <w:tc>
          <w:tcPr>
            <w:tcW w:w="1780" w:type="dxa"/>
            <w:tcBorders>
              <w:top w:val="nil"/>
              <w:left w:val="nil"/>
              <w:bottom w:val="nil"/>
              <w:right w:val="nil"/>
            </w:tcBorders>
            <w:shd w:val="clear" w:color="auto" w:fill="auto"/>
            <w:noWrap/>
            <w:vAlign w:val="center"/>
            <w:hideMark/>
          </w:tcPr>
          <w:p w14:paraId="0B4A68AC" w14:textId="77777777" w:rsidR="00D32F62" w:rsidRPr="00D32F62" w:rsidRDefault="00D32F62" w:rsidP="00D32F62">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409E531E" w14:textId="77777777" w:rsidR="00D32F62" w:rsidRPr="00D32F62" w:rsidRDefault="00D32F62" w:rsidP="00D32F62">
            <w:pPr>
              <w:spacing w:after="0" w:line="240" w:lineRule="auto"/>
              <w:rPr>
                <w:rFonts w:ascii="Times New Roman" w:eastAsia="Times New Roman" w:hAnsi="Times New Roman" w:cs="Times New Roman"/>
                <w:sz w:val="20"/>
                <w:szCs w:val="20"/>
                <w:lang w:eastAsia="en-GB"/>
              </w:rPr>
            </w:pPr>
          </w:p>
        </w:tc>
        <w:tc>
          <w:tcPr>
            <w:tcW w:w="1480" w:type="dxa"/>
            <w:tcBorders>
              <w:top w:val="single" w:sz="4" w:space="0" w:color="auto"/>
              <w:left w:val="nil"/>
              <w:bottom w:val="double" w:sz="6" w:space="0" w:color="auto"/>
              <w:right w:val="nil"/>
            </w:tcBorders>
            <w:shd w:val="clear" w:color="auto" w:fill="auto"/>
            <w:noWrap/>
            <w:vAlign w:val="center"/>
            <w:hideMark/>
          </w:tcPr>
          <w:p w14:paraId="14E78E6D" w14:textId="77777777" w:rsidR="00D32F62" w:rsidRPr="00D32F62" w:rsidRDefault="00520478" w:rsidP="00D32F62">
            <w:pPr>
              <w:spacing w:after="0" w:line="240" w:lineRule="auto"/>
              <w:jc w:val="right"/>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927</w:t>
            </w:r>
          </w:p>
        </w:tc>
      </w:tr>
    </w:tbl>
    <w:p w14:paraId="15D273D7" w14:textId="77777777" w:rsidR="00812616" w:rsidRDefault="00812616" w:rsidP="00ED24FC">
      <w:pPr>
        <w:rPr>
          <w:rFonts w:ascii="Arial" w:eastAsia="Times New Roman" w:hAnsi="Arial" w:cs="Arial"/>
          <w:b/>
          <w:bCs/>
          <w:sz w:val="24"/>
          <w:szCs w:val="24"/>
          <w:lang w:eastAsia="en-GB"/>
        </w:rPr>
      </w:pPr>
    </w:p>
    <w:p w14:paraId="45B2CA09" w14:textId="77777777" w:rsidR="00812616" w:rsidRPr="006D78AE" w:rsidRDefault="00314A3A" w:rsidP="00ED24FC">
      <w:pPr>
        <w:rPr>
          <w:rFonts w:ascii="Arial" w:eastAsia="Times New Roman" w:hAnsi="Arial" w:cs="Arial"/>
          <w:bCs/>
          <w:sz w:val="20"/>
          <w:szCs w:val="20"/>
          <w:lang w:eastAsia="en-GB"/>
        </w:rPr>
      </w:pPr>
      <w:r>
        <w:rPr>
          <w:rFonts w:ascii="Arial" w:eastAsia="Times New Roman" w:hAnsi="Arial" w:cs="Arial"/>
          <w:bCs/>
          <w:sz w:val="20"/>
          <w:szCs w:val="20"/>
          <w:lang w:eastAsia="en-GB"/>
        </w:rPr>
        <w:t>The group</w:t>
      </w:r>
      <w:r w:rsidR="006D78AE" w:rsidRPr="006D78AE">
        <w:rPr>
          <w:rFonts w:ascii="Arial" w:eastAsia="Times New Roman" w:hAnsi="Arial" w:cs="Arial"/>
          <w:bCs/>
          <w:sz w:val="20"/>
          <w:szCs w:val="20"/>
          <w:lang w:eastAsia="en-GB"/>
        </w:rPr>
        <w:t xml:space="preserve"> disposed of two subsidiaries, </w:t>
      </w:r>
      <w:proofErr w:type="spellStart"/>
      <w:r w:rsidR="006D78AE" w:rsidRPr="006D78AE">
        <w:rPr>
          <w:rFonts w:ascii="Arial" w:eastAsia="Times New Roman" w:hAnsi="Arial" w:cs="Arial"/>
          <w:bCs/>
          <w:sz w:val="20"/>
          <w:szCs w:val="20"/>
          <w:lang w:eastAsia="en-GB"/>
        </w:rPr>
        <w:t>Gabbitas</w:t>
      </w:r>
      <w:proofErr w:type="spellEnd"/>
      <w:r w:rsidR="006D78AE" w:rsidRPr="006D78AE">
        <w:rPr>
          <w:rFonts w:ascii="Arial" w:eastAsia="Times New Roman" w:hAnsi="Arial" w:cs="Arial"/>
          <w:bCs/>
          <w:sz w:val="20"/>
          <w:szCs w:val="20"/>
          <w:lang w:eastAsia="en-GB"/>
        </w:rPr>
        <w:t xml:space="preserve"> Limited and 3BM Limited with a gain of £1,166K for </w:t>
      </w:r>
      <w:proofErr w:type="spellStart"/>
      <w:r w:rsidR="006D78AE" w:rsidRPr="006D78AE">
        <w:rPr>
          <w:rFonts w:ascii="Arial" w:eastAsia="Times New Roman" w:hAnsi="Arial" w:cs="Arial"/>
          <w:bCs/>
          <w:sz w:val="20"/>
          <w:szCs w:val="20"/>
          <w:lang w:eastAsia="en-GB"/>
        </w:rPr>
        <w:t>Gabbitas</w:t>
      </w:r>
      <w:proofErr w:type="spellEnd"/>
      <w:r w:rsidR="006D78AE" w:rsidRPr="006D78AE">
        <w:rPr>
          <w:rFonts w:ascii="Arial" w:eastAsia="Times New Roman" w:hAnsi="Arial" w:cs="Arial"/>
          <w:bCs/>
          <w:sz w:val="20"/>
          <w:szCs w:val="20"/>
          <w:lang w:eastAsia="en-GB"/>
        </w:rPr>
        <w:t xml:space="preserve"> and a deficit of £239K for 3BM</w:t>
      </w:r>
      <w:r w:rsidR="006D78AE">
        <w:rPr>
          <w:rFonts w:ascii="Arial" w:eastAsia="Times New Roman" w:hAnsi="Arial" w:cs="Arial"/>
          <w:bCs/>
          <w:sz w:val="20"/>
          <w:szCs w:val="20"/>
          <w:lang w:eastAsia="en-GB"/>
        </w:rPr>
        <w:t>.</w:t>
      </w:r>
    </w:p>
    <w:p w14:paraId="76FD8752" w14:textId="77777777" w:rsidR="003E4FA9" w:rsidRDefault="003E4FA9" w:rsidP="00ED24FC">
      <w:pPr>
        <w:rPr>
          <w:rFonts w:ascii="Arial" w:eastAsia="Times New Roman" w:hAnsi="Arial" w:cs="Arial"/>
          <w:b/>
          <w:bCs/>
          <w:sz w:val="24"/>
          <w:szCs w:val="24"/>
          <w:lang w:eastAsia="en-GB"/>
        </w:rPr>
      </w:pPr>
    </w:p>
    <w:p w14:paraId="773D3CA3" w14:textId="0AF53434" w:rsidR="003E4FA9" w:rsidRDefault="003E4FA9" w:rsidP="00ED24FC">
      <w:pPr>
        <w:rPr>
          <w:rFonts w:ascii="Arial" w:eastAsia="Times New Roman" w:hAnsi="Arial" w:cs="Arial"/>
          <w:b/>
          <w:bCs/>
          <w:sz w:val="24"/>
          <w:szCs w:val="24"/>
          <w:lang w:eastAsia="en-GB"/>
        </w:rPr>
      </w:pPr>
    </w:p>
    <w:p w14:paraId="7BE06D14" w14:textId="77777777" w:rsidR="00000B84" w:rsidRDefault="00000B84" w:rsidP="00ED24FC">
      <w:pPr>
        <w:rPr>
          <w:rFonts w:ascii="Arial" w:eastAsia="Times New Roman" w:hAnsi="Arial" w:cs="Arial"/>
          <w:b/>
          <w:bCs/>
          <w:sz w:val="24"/>
          <w:szCs w:val="24"/>
          <w:lang w:eastAsia="en-GB"/>
        </w:rPr>
      </w:pPr>
    </w:p>
    <w:p w14:paraId="1CDF1FA8" w14:textId="77777777" w:rsidR="003E4FA9" w:rsidRDefault="003E4FA9" w:rsidP="00ED24FC">
      <w:pPr>
        <w:rPr>
          <w:rFonts w:ascii="Arial" w:eastAsia="Times New Roman" w:hAnsi="Arial" w:cs="Arial"/>
          <w:b/>
          <w:bCs/>
          <w:sz w:val="24"/>
          <w:szCs w:val="24"/>
          <w:lang w:eastAsia="en-GB"/>
        </w:rPr>
      </w:pPr>
      <w:r w:rsidRPr="0088736E">
        <w:rPr>
          <w:rFonts w:ascii="Arial" w:hAnsi="Arial" w:cs="Arial"/>
          <w:b/>
          <w:i/>
          <w:sz w:val="24"/>
          <w:szCs w:val="24"/>
        </w:rPr>
        <w:lastRenderedPageBreak/>
        <w:t xml:space="preserve">Notes to the financial </w:t>
      </w:r>
      <w:r w:rsidR="008679F3">
        <w:rPr>
          <w:rFonts w:ascii="Arial" w:hAnsi="Arial" w:cs="Arial"/>
          <w:b/>
          <w:i/>
          <w:sz w:val="24"/>
          <w:szCs w:val="24"/>
        </w:rPr>
        <w:t>statements</w:t>
      </w:r>
      <w:r w:rsidR="005E2010">
        <w:rPr>
          <w:rFonts w:ascii="Arial" w:hAnsi="Arial" w:cs="Arial"/>
          <w:b/>
          <w:i/>
          <w:sz w:val="24"/>
          <w:szCs w:val="24"/>
        </w:rPr>
        <w:t xml:space="preserve"> </w:t>
      </w:r>
      <w:r w:rsidRPr="0088736E">
        <w:rPr>
          <w:rFonts w:ascii="Arial" w:hAnsi="Arial" w:cs="Arial"/>
          <w:b/>
          <w:i/>
          <w:sz w:val="24"/>
          <w:szCs w:val="24"/>
        </w:rPr>
        <w:t>(continued)</w:t>
      </w:r>
    </w:p>
    <w:p w14:paraId="36CE3651" w14:textId="77777777" w:rsidR="00665BC7" w:rsidRPr="0088736E" w:rsidRDefault="00BC4223" w:rsidP="00ED24FC">
      <w:pPr>
        <w:rPr>
          <w:rFonts w:ascii="Arial" w:hAnsi="Arial" w:cs="Arial"/>
          <w:b/>
          <w:i/>
          <w:sz w:val="24"/>
          <w:szCs w:val="24"/>
        </w:rPr>
      </w:pPr>
      <w:r w:rsidRPr="00E51CA0">
        <w:rPr>
          <w:rFonts w:ascii="Arial" w:eastAsia="Times New Roman" w:hAnsi="Arial" w:cs="Arial"/>
          <w:b/>
          <w:bCs/>
          <w:sz w:val="24"/>
          <w:szCs w:val="24"/>
          <w:lang w:eastAsia="en-GB"/>
        </w:rPr>
        <w:t>2. Analysis of total resources expended</w:t>
      </w:r>
    </w:p>
    <w:tbl>
      <w:tblPr>
        <w:tblW w:w="14643" w:type="dxa"/>
        <w:tblLook w:val="04A0" w:firstRow="1" w:lastRow="0" w:firstColumn="1" w:lastColumn="0" w:noHBand="0" w:noVBand="1"/>
      </w:tblPr>
      <w:tblGrid>
        <w:gridCol w:w="4106"/>
        <w:gridCol w:w="1759"/>
        <w:gridCol w:w="266"/>
        <w:gridCol w:w="1393"/>
        <w:gridCol w:w="1340"/>
        <w:gridCol w:w="360"/>
        <w:gridCol w:w="5419"/>
      </w:tblGrid>
      <w:tr w:rsidR="005C26C8" w:rsidRPr="00E51CA0" w14:paraId="0FC82C28" w14:textId="77777777" w:rsidTr="003E4FA9">
        <w:trPr>
          <w:gridAfter w:val="2"/>
          <w:wAfter w:w="5779" w:type="dxa"/>
          <w:trHeight w:val="293"/>
        </w:trPr>
        <w:tc>
          <w:tcPr>
            <w:tcW w:w="4106" w:type="dxa"/>
            <w:tcBorders>
              <w:top w:val="nil"/>
              <w:left w:val="nil"/>
              <w:bottom w:val="nil"/>
              <w:right w:val="nil"/>
            </w:tcBorders>
            <w:shd w:val="clear" w:color="auto" w:fill="auto"/>
            <w:noWrap/>
            <w:vAlign w:val="bottom"/>
            <w:hideMark/>
          </w:tcPr>
          <w:p w14:paraId="20069A71" w14:textId="77777777" w:rsidR="005C26C8" w:rsidRPr="00E51CA0" w:rsidRDefault="005C26C8" w:rsidP="00E51CA0">
            <w:pPr>
              <w:spacing w:after="0" w:line="240" w:lineRule="auto"/>
              <w:rPr>
                <w:rFonts w:ascii="Times New Roman" w:eastAsia="Times New Roman" w:hAnsi="Times New Roman" w:cs="Times New Roman"/>
                <w:sz w:val="20"/>
                <w:szCs w:val="20"/>
                <w:lang w:eastAsia="en-GB"/>
              </w:rPr>
            </w:pPr>
          </w:p>
        </w:tc>
        <w:tc>
          <w:tcPr>
            <w:tcW w:w="2025" w:type="dxa"/>
            <w:gridSpan w:val="2"/>
            <w:tcBorders>
              <w:top w:val="nil"/>
              <w:left w:val="nil"/>
              <w:bottom w:val="nil"/>
              <w:right w:val="nil"/>
            </w:tcBorders>
            <w:shd w:val="clear" w:color="auto" w:fill="auto"/>
            <w:noWrap/>
            <w:vAlign w:val="bottom"/>
            <w:hideMark/>
          </w:tcPr>
          <w:p w14:paraId="385FB2CC" w14:textId="77777777" w:rsidR="005C26C8" w:rsidRPr="00E51CA0" w:rsidRDefault="005C26C8" w:rsidP="00E51CA0">
            <w:pPr>
              <w:spacing w:after="0" w:line="240" w:lineRule="auto"/>
              <w:rPr>
                <w:rFonts w:ascii="Times New Roman" w:eastAsia="Times New Roman" w:hAnsi="Times New Roman" w:cs="Times New Roman"/>
                <w:sz w:val="20"/>
                <w:szCs w:val="20"/>
                <w:lang w:eastAsia="en-GB"/>
              </w:rPr>
            </w:pPr>
          </w:p>
        </w:tc>
        <w:tc>
          <w:tcPr>
            <w:tcW w:w="1393" w:type="dxa"/>
            <w:tcBorders>
              <w:top w:val="nil"/>
              <w:left w:val="nil"/>
              <w:bottom w:val="nil"/>
              <w:right w:val="nil"/>
            </w:tcBorders>
            <w:shd w:val="clear" w:color="auto" w:fill="auto"/>
            <w:noWrap/>
            <w:vAlign w:val="bottom"/>
            <w:hideMark/>
          </w:tcPr>
          <w:p w14:paraId="4A5B1C78" w14:textId="77777777" w:rsidR="005C26C8" w:rsidRPr="00E51CA0" w:rsidRDefault="005C26C8" w:rsidP="00E51CA0">
            <w:pPr>
              <w:spacing w:after="0" w:line="240" w:lineRule="auto"/>
              <w:rPr>
                <w:rFonts w:ascii="Times New Roman" w:eastAsia="Times New Roman" w:hAnsi="Times New Roman" w:cs="Times New Roman"/>
                <w:sz w:val="20"/>
                <w:szCs w:val="20"/>
                <w:lang w:eastAsia="en-GB"/>
              </w:rPr>
            </w:pPr>
          </w:p>
        </w:tc>
        <w:tc>
          <w:tcPr>
            <w:tcW w:w="1340" w:type="dxa"/>
            <w:tcBorders>
              <w:top w:val="nil"/>
              <w:left w:val="nil"/>
              <w:bottom w:val="nil"/>
              <w:right w:val="nil"/>
            </w:tcBorders>
            <w:shd w:val="clear" w:color="auto" w:fill="auto"/>
            <w:noWrap/>
            <w:vAlign w:val="bottom"/>
            <w:hideMark/>
          </w:tcPr>
          <w:p w14:paraId="245FF1B3" w14:textId="77777777" w:rsidR="005C26C8" w:rsidRPr="00E51CA0" w:rsidRDefault="005C26C8" w:rsidP="00E51CA0">
            <w:pPr>
              <w:spacing w:after="0" w:line="240" w:lineRule="auto"/>
              <w:rPr>
                <w:rFonts w:ascii="Times New Roman" w:eastAsia="Times New Roman" w:hAnsi="Times New Roman" w:cs="Times New Roman"/>
                <w:sz w:val="20"/>
                <w:szCs w:val="20"/>
                <w:lang w:eastAsia="en-GB"/>
              </w:rPr>
            </w:pPr>
          </w:p>
        </w:tc>
      </w:tr>
      <w:tr w:rsidR="005C26C8" w:rsidRPr="00E51CA0" w14:paraId="7602BBA5" w14:textId="77777777" w:rsidTr="003E4FA9">
        <w:trPr>
          <w:gridAfter w:val="1"/>
          <w:wAfter w:w="5419" w:type="dxa"/>
          <w:trHeight w:val="293"/>
        </w:trPr>
        <w:tc>
          <w:tcPr>
            <w:tcW w:w="4106" w:type="dxa"/>
            <w:tcBorders>
              <w:top w:val="nil"/>
              <w:left w:val="nil"/>
              <w:bottom w:val="nil"/>
              <w:right w:val="nil"/>
            </w:tcBorders>
            <w:shd w:val="clear" w:color="auto" w:fill="auto"/>
            <w:noWrap/>
            <w:vAlign w:val="bottom"/>
            <w:hideMark/>
          </w:tcPr>
          <w:p w14:paraId="0D52C2FE" w14:textId="77777777" w:rsidR="005C26C8" w:rsidRPr="00E51CA0" w:rsidRDefault="005C26C8" w:rsidP="005C26C8">
            <w:pPr>
              <w:spacing w:after="0" w:line="240" w:lineRule="auto"/>
              <w:rPr>
                <w:rFonts w:ascii="Arial" w:eastAsia="Times New Roman" w:hAnsi="Arial" w:cs="Arial"/>
                <w:sz w:val="20"/>
                <w:szCs w:val="20"/>
                <w:lang w:eastAsia="en-GB"/>
              </w:rPr>
            </w:pPr>
          </w:p>
        </w:tc>
        <w:tc>
          <w:tcPr>
            <w:tcW w:w="1759" w:type="dxa"/>
            <w:tcBorders>
              <w:top w:val="nil"/>
              <w:left w:val="nil"/>
              <w:bottom w:val="nil"/>
              <w:right w:val="nil"/>
            </w:tcBorders>
            <w:shd w:val="clear" w:color="auto" w:fill="auto"/>
            <w:noWrap/>
            <w:vAlign w:val="bottom"/>
            <w:hideMark/>
          </w:tcPr>
          <w:p w14:paraId="3B0F3030" w14:textId="77777777" w:rsidR="005C26C8" w:rsidRPr="00E51CA0" w:rsidRDefault="005C26C8" w:rsidP="005C26C8">
            <w:pPr>
              <w:spacing w:after="0" w:line="240" w:lineRule="auto"/>
              <w:rPr>
                <w:rFonts w:ascii="Arial" w:eastAsia="Times New Roman" w:hAnsi="Arial" w:cs="Arial"/>
                <w:sz w:val="20"/>
                <w:szCs w:val="20"/>
                <w:lang w:eastAsia="en-GB"/>
              </w:rPr>
            </w:pPr>
          </w:p>
        </w:tc>
        <w:tc>
          <w:tcPr>
            <w:tcW w:w="1659" w:type="dxa"/>
            <w:gridSpan w:val="2"/>
            <w:tcBorders>
              <w:top w:val="nil"/>
              <w:left w:val="nil"/>
              <w:bottom w:val="nil"/>
              <w:right w:val="nil"/>
            </w:tcBorders>
            <w:shd w:val="clear" w:color="auto" w:fill="auto"/>
            <w:vAlign w:val="center"/>
            <w:hideMark/>
          </w:tcPr>
          <w:p w14:paraId="50B877D4" w14:textId="77777777" w:rsidR="005C26C8" w:rsidRPr="00E51CA0" w:rsidRDefault="005C26C8" w:rsidP="005C26C8">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Year ended 31 August 2020</w:t>
            </w:r>
          </w:p>
        </w:tc>
        <w:tc>
          <w:tcPr>
            <w:tcW w:w="1700" w:type="dxa"/>
            <w:gridSpan w:val="2"/>
            <w:tcBorders>
              <w:top w:val="nil"/>
              <w:left w:val="nil"/>
              <w:bottom w:val="nil"/>
              <w:right w:val="nil"/>
            </w:tcBorders>
            <w:shd w:val="clear" w:color="auto" w:fill="auto"/>
            <w:vAlign w:val="center"/>
            <w:hideMark/>
          </w:tcPr>
          <w:p w14:paraId="4FD9EA6A" w14:textId="77777777" w:rsidR="005C26C8" w:rsidRPr="005C26C8" w:rsidRDefault="00047E5C" w:rsidP="00047E5C">
            <w:pPr>
              <w:spacing w:after="0" w:line="240" w:lineRule="auto"/>
              <w:jc w:val="right"/>
              <w:rPr>
                <w:rFonts w:ascii="Arial" w:eastAsia="Times New Roman" w:hAnsi="Arial" w:cs="Arial"/>
                <w:sz w:val="20"/>
                <w:szCs w:val="20"/>
                <w:lang w:eastAsia="en-GB"/>
              </w:rPr>
            </w:pPr>
            <w:r>
              <w:rPr>
                <w:rFonts w:ascii="Arial" w:eastAsia="Times New Roman" w:hAnsi="Arial" w:cs="Arial"/>
                <w:bCs/>
                <w:sz w:val="20"/>
                <w:szCs w:val="20"/>
                <w:lang w:eastAsia="en-GB"/>
              </w:rPr>
              <w:t>Year ended 31 August 2019</w:t>
            </w:r>
            <w:r w:rsidR="00FD73EA">
              <w:rPr>
                <w:rFonts w:ascii="Arial" w:eastAsia="Times New Roman" w:hAnsi="Arial" w:cs="Arial"/>
                <w:bCs/>
                <w:sz w:val="20"/>
                <w:szCs w:val="20"/>
                <w:lang w:eastAsia="en-GB"/>
              </w:rPr>
              <w:t xml:space="preserve"> (Restated)</w:t>
            </w:r>
          </w:p>
        </w:tc>
      </w:tr>
      <w:tr w:rsidR="005C26C8" w:rsidRPr="00543D10" w14:paraId="7364C12C" w14:textId="77777777" w:rsidTr="003E4FA9">
        <w:trPr>
          <w:gridAfter w:val="1"/>
          <w:wAfter w:w="5419" w:type="dxa"/>
          <w:trHeight w:val="293"/>
        </w:trPr>
        <w:tc>
          <w:tcPr>
            <w:tcW w:w="4106" w:type="dxa"/>
            <w:tcBorders>
              <w:top w:val="nil"/>
              <w:left w:val="nil"/>
              <w:bottom w:val="nil"/>
              <w:right w:val="nil"/>
            </w:tcBorders>
            <w:shd w:val="clear" w:color="auto" w:fill="auto"/>
            <w:noWrap/>
            <w:vAlign w:val="bottom"/>
            <w:hideMark/>
          </w:tcPr>
          <w:p w14:paraId="61E5B2A8" w14:textId="77777777" w:rsidR="005C26C8" w:rsidRPr="00543D10" w:rsidRDefault="005C26C8" w:rsidP="005C26C8">
            <w:pPr>
              <w:spacing w:after="0" w:line="240" w:lineRule="auto"/>
              <w:jc w:val="right"/>
              <w:rPr>
                <w:rFonts w:ascii="Arial" w:eastAsia="Times New Roman" w:hAnsi="Arial" w:cs="Arial"/>
                <w:sz w:val="20"/>
                <w:szCs w:val="20"/>
                <w:lang w:eastAsia="en-GB"/>
              </w:rPr>
            </w:pPr>
          </w:p>
        </w:tc>
        <w:tc>
          <w:tcPr>
            <w:tcW w:w="1759" w:type="dxa"/>
            <w:tcBorders>
              <w:top w:val="nil"/>
              <w:left w:val="nil"/>
              <w:bottom w:val="nil"/>
              <w:right w:val="nil"/>
            </w:tcBorders>
            <w:shd w:val="clear" w:color="auto" w:fill="auto"/>
            <w:noWrap/>
            <w:vAlign w:val="bottom"/>
            <w:hideMark/>
          </w:tcPr>
          <w:p w14:paraId="4403D1D7" w14:textId="77777777" w:rsidR="005C26C8" w:rsidRPr="00543D10" w:rsidRDefault="005C26C8" w:rsidP="005C26C8">
            <w:pPr>
              <w:spacing w:after="0" w:line="240" w:lineRule="auto"/>
              <w:rPr>
                <w:rFonts w:ascii="Times New Roman" w:eastAsia="Times New Roman" w:hAnsi="Times New Roman" w:cs="Times New Roman"/>
                <w:sz w:val="20"/>
                <w:szCs w:val="20"/>
                <w:lang w:eastAsia="en-GB"/>
              </w:rPr>
            </w:pPr>
          </w:p>
        </w:tc>
        <w:tc>
          <w:tcPr>
            <w:tcW w:w="1659" w:type="dxa"/>
            <w:gridSpan w:val="2"/>
            <w:tcBorders>
              <w:top w:val="nil"/>
              <w:left w:val="nil"/>
              <w:bottom w:val="single" w:sz="4" w:space="0" w:color="auto"/>
              <w:right w:val="nil"/>
            </w:tcBorders>
            <w:shd w:val="clear" w:color="auto" w:fill="auto"/>
            <w:noWrap/>
            <w:vAlign w:val="center"/>
            <w:hideMark/>
          </w:tcPr>
          <w:p w14:paraId="6195F3C7" w14:textId="77777777" w:rsidR="005C26C8" w:rsidRPr="00543D10" w:rsidRDefault="005C26C8" w:rsidP="005C26C8">
            <w:pPr>
              <w:spacing w:after="0" w:line="240" w:lineRule="auto"/>
              <w:jc w:val="right"/>
              <w:rPr>
                <w:rFonts w:ascii="Arial" w:eastAsia="Times New Roman" w:hAnsi="Arial" w:cs="Arial"/>
                <w:b/>
                <w:bCs/>
                <w:sz w:val="20"/>
                <w:szCs w:val="20"/>
                <w:lang w:eastAsia="en-GB"/>
              </w:rPr>
            </w:pPr>
            <w:r w:rsidRPr="00034E33">
              <w:rPr>
                <w:rFonts w:ascii="Arial" w:eastAsia="Times New Roman" w:hAnsi="Arial" w:cs="Arial"/>
                <w:b/>
                <w:bCs/>
                <w:sz w:val="20"/>
                <w:szCs w:val="20"/>
                <w:lang w:eastAsia="en-GB"/>
              </w:rPr>
              <w:t>£'000</w:t>
            </w:r>
          </w:p>
        </w:tc>
        <w:tc>
          <w:tcPr>
            <w:tcW w:w="1700" w:type="dxa"/>
            <w:gridSpan w:val="2"/>
            <w:tcBorders>
              <w:top w:val="nil"/>
              <w:left w:val="nil"/>
              <w:bottom w:val="single" w:sz="4" w:space="0" w:color="auto"/>
              <w:right w:val="nil"/>
            </w:tcBorders>
            <w:shd w:val="clear" w:color="auto" w:fill="auto"/>
            <w:noWrap/>
            <w:vAlign w:val="center"/>
            <w:hideMark/>
          </w:tcPr>
          <w:p w14:paraId="50B60EDB" w14:textId="77777777" w:rsidR="005C26C8" w:rsidRPr="005C26C8" w:rsidRDefault="005C26C8" w:rsidP="005C26C8">
            <w:pPr>
              <w:spacing w:after="0" w:line="240" w:lineRule="auto"/>
              <w:jc w:val="right"/>
              <w:rPr>
                <w:rFonts w:ascii="Arial" w:eastAsia="Times New Roman" w:hAnsi="Arial" w:cs="Arial"/>
                <w:sz w:val="20"/>
                <w:szCs w:val="20"/>
                <w:lang w:eastAsia="en-GB"/>
              </w:rPr>
            </w:pPr>
            <w:r w:rsidRPr="005C26C8">
              <w:rPr>
                <w:rFonts w:ascii="Arial" w:eastAsia="Times New Roman" w:hAnsi="Arial" w:cs="Arial"/>
                <w:bCs/>
                <w:sz w:val="20"/>
                <w:szCs w:val="20"/>
                <w:lang w:eastAsia="en-GB"/>
              </w:rPr>
              <w:t>£'000</w:t>
            </w:r>
          </w:p>
        </w:tc>
      </w:tr>
      <w:tr w:rsidR="005C26C8" w:rsidRPr="00543D10" w14:paraId="298D00A1" w14:textId="77777777" w:rsidTr="003E4FA9">
        <w:trPr>
          <w:gridAfter w:val="1"/>
          <w:wAfter w:w="5419" w:type="dxa"/>
          <w:trHeight w:val="293"/>
        </w:trPr>
        <w:tc>
          <w:tcPr>
            <w:tcW w:w="6131" w:type="dxa"/>
            <w:gridSpan w:val="3"/>
            <w:tcBorders>
              <w:top w:val="nil"/>
              <w:left w:val="nil"/>
              <w:bottom w:val="nil"/>
              <w:right w:val="nil"/>
            </w:tcBorders>
            <w:shd w:val="clear" w:color="auto" w:fill="auto"/>
            <w:noWrap/>
            <w:vAlign w:val="bottom"/>
            <w:hideMark/>
          </w:tcPr>
          <w:p w14:paraId="7B53981C" w14:textId="77777777" w:rsidR="005C26C8" w:rsidRPr="00543D10" w:rsidRDefault="005C26C8" w:rsidP="0061265C">
            <w:pPr>
              <w:spacing w:after="0" w:line="240" w:lineRule="auto"/>
              <w:rPr>
                <w:rFonts w:ascii="Arial" w:eastAsia="Times New Roman" w:hAnsi="Arial" w:cs="Arial"/>
                <w:sz w:val="20"/>
                <w:szCs w:val="20"/>
                <w:lang w:eastAsia="en-GB"/>
              </w:rPr>
            </w:pPr>
            <w:r w:rsidRPr="00543D10">
              <w:rPr>
                <w:rFonts w:ascii="Arial" w:eastAsia="Times New Roman" w:hAnsi="Arial" w:cs="Arial"/>
                <w:sz w:val="20"/>
                <w:szCs w:val="20"/>
                <w:lang w:eastAsia="en-GB"/>
              </w:rPr>
              <w:t>Raw Materials and Consumables</w:t>
            </w:r>
          </w:p>
        </w:tc>
        <w:tc>
          <w:tcPr>
            <w:tcW w:w="1393" w:type="dxa"/>
            <w:tcBorders>
              <w:top w:val="nil"/>
              <w:left w:val="nil"/>
              <w:bottom w:val="nil"/>
              <w:right w:val="nil"/>
            </w:tcBorders>
            <w:shd w:val="clear" w:color="auto" w:fill="auto"/>
            <w:noWrap/>
            <w:vAlign w:val="bottom"/>
          </w:tcPr>
          <w:p w14:paraId="50FF765D" w14:textId="77777777" w:rsidR="005C26C8" w:rsidRPr="009B32DE" w:rsidRDefault="003B6060" w:rsidP="0061265C">
            <w:pPr>
              <w:spacing w:after="0" w:line="240" w:lineRule="auto"/>
              <w:jc w:val="right"/>
              <w:rPr>
                <w:rFonts w:ascii="Arial" w:eastAsia="Times New Roman" w:hAnsi="Arial" w:cs="Arial"/>
                <w:b/>
                <w:bCs/>
                <w:sz w:val="20"/>
                <w:szCs w:val="20"/>
                <w:lang w:eastAsia="en-GB"/>
              </w:rPr>
            </w:pPr>
            <w:r w:rsidRPr="009B32DE">
              <w:rPr>
                <w:rFonts w:ascii="Arial" w:eastAsia="Times New Roman" w:hAnsi="Arial" w:cs="Arial"/>
                <w:b/>
                <w:bCs/>
                <w:sz w:val="20"/>
                <w:szCs w:val="20"/>
                <w:lang w:eastAsia="en-GB"/>
              </w:rPr>
              <w:t>12,</w:t>
            </w:r>
            <w:r w:rsidR="00450989" w:rsidRPr="009B32DE">
              <w:rPr>
                <w:rFonts w:ascii="Arial" w:eastAsia="Times New Roman" w:hAnsi="Arial" w:cs="Arial"/>
                <w:b/>
                <w:bCs/>
                <w:sz w:val="20"/>
                <w:szCs w:val="20"/>
                <w:lang w:eastAsia="en-GB"/>
              </w:rPr>
              <w:t>463</w:t>
            </w:r>
          </w:p>
        </w:tc>
        <w:tc>
          <w:tcPr>
            <w:tcW w:w="1700" w:type="dxa"/>
            <w:gridSpan w:val="2"/>
            <w:tcBorders>
              <w:top w:val="nil"/>
              <w:left w:val="nil"/>
              <w:bottom w:val="nil"/>
              <w:right w:val="nil"/>
            </w:tcBorders>
            <w:shd w:val="clear" w:color="auto" w:fill="auto"/>
            <w:noWrap/>
            <w:vAlign w:val="bottom"/>
            <w:hideMark/>
          </w:tcPr>
          <w:p w14:paraId="736CA1ED" w14:textId="77777777" w:rsidR="005C26C8" w:rsidRPr="00E94AEA" w:rsidRDefault="00CA30FA" w:rsidP="002604BF">
            <w:pPr>
              <w:spacing w:after="0" w:line="240" w:lineRule="auto"/>
              <w:jc w:val="right"/>
              <w:rPr>
                <w:rFonts w:ascii="Arial" w:eastAsia="Times New Roman" w:hAnsi="Arial" w:cs="Arial"/>
                <w:sz w:val="20"/>
                <w:szCs w:val="20"/>
                <w:lang w:eastAsia="en-GB"/>
              </w:rPr>
            </w:pPr>
            <w:r w:rsidRPr="00E94AEA">
              <w:rPr>
                <w:rFonts w:ascii="Arial" w:eastAsia="Times New Roman" w:hAnsi="Arial" w:cs="Arial"/>
                <w:bCs/>
                <w:sz w:val="20"/>
                <w:szCs w:val="20"/>
                <w:lang w:eastAsia="en-GB"/>
              </w:rPr>
              <w:t>15,268</w:t>
            </w:r>
          </w:p>
        </w:tc>
      </w:tr>
      <w:tr w:rsidR="005C26C8" w:rsidRPr="00543D10" w14:paraId="52DA09DE" w14:textId="77777777" w:rsidTr="003E4FA9">
        <w:trPr>
          <w:gridAfter w:val="1"/>
          <w:wAfter w:w="5419" w:type="dxa"/>
          <w:trHeight w:val="293"/>
        </w:trPr>
        <w:tc>
          <w:tcPr>
            <w:tcW w:w="4106" w:type="dxa"/>
            <w:tcBorders>
              <w:top w:val="nil"/>
              <w:left w:val="nil"/>
              <w:bottom w:val="nil"/>
              <w:right w:val="nil"/>
            </w:tcBorders>
            <w:shd w:val="clear" w:color="auto" w:fill="auto"/>
            <w:noWrap/>
            <w:vAlign w:val="bottom"/>
            <w:hideMark/>
          </w:tcPr>
          <w:p w14:paraId="215DD9F6" w14:textId="77777777" w:rsidR="005C26C8" w:rsidRPr="0013034F" w:rsidRDefault="005C26C8" w:rsidP="0061265C">
            <w:pPr>
              <w:spacing w:after="0" w:line="240" w:lineRule="auto"/>
              <w:rPr>
                <w:rFonts w:ascii="Arial" w:eastAsia="Times New Roman" w:hAnsi="Arial" w:cs="Arial"/>
                <w:sz w:val="20"/>
                <w:szCs w:val="20"/>
                <w:lang w:eastAsia="en-GB"/>
              </w:rPr>
            </w:pPr>
            <w:r w:rsidRPr="0013034F">
              <w:rPr>
                <w:rFonts w:ascii="Arial" w:eastAsia="Times New Roman" w:hAnsi="Arial" w:cs="Arial"/>
                <w:sz w:val="20"/>
                <w:szCs w:val="20"/>
                <w:lang w:eastAsia="en-GB"/>
              </w:rPr>
              <w:t>Staff Costs</w:t>
            </w:r>
            <w:r w:rsidR="0013034F" w:rsidRPr="0013034F">
              <w:rPr>
                <w:rFonts w:ascii="Arial" w:eastAsia="Times New Roman" w:hAnsi="Arial" w:cs="Arial"/>
                <w:sz w:val="20"/>
                <w:szCs w:val="20"/>
                <w:lang w:eastAsia="en-GB"/>
              </w:rPr>
              <w:t xml:space="preserve"> – salaries, NI and pensions </w:t>
            </w:r>
          </w:p>
        </w:tc>
        <w:tc>
          <w:tcPr>
            <w:tcW w:w="2025" w:type="dxa"/>
            <w:gridSpan w:val="2"/>
            <w:tcBorders>
              <w:top w:val="nil"/>
              <w:left w:val="nil"/>
              <w:bottom w:val="nil"/>
              <w:right w:val="nil"/>
            </w:tcBorders>
            <w:shd w:val="clear" w:color="auto" w:fill="auto"/>
            <w:noWrap/>
            <w:vAlign w:val="bottom"/>
            <w:hideMark/>
          </w:tcPr>
          <w:p w14:paraId="287F720F" w14:textId="77777777" w:rsidR="005C26C8" w:rsidRPr="0013034F" w:rsidRDefault="005C26C8" w:rsidP="0061265C">
            <w:pPr>
              <w:spacing w:after="0" w:line="240" w:lineRule="auto"/>
              <w:rPr>
                <w:rFonts w:ascii="Arial" w:eastAsia="Times New Roman" w:hAnsi="Arial" w:cs="Arial"/>
                <w:sz w:val="20"/>
                <w:szCs w:val="20"/>
                <w:lang w:eastAsia="en-GB"/>
              </w:rPr>
            </w:pPr>
          </w:p>
        </w:tc>
        <w:tc>
          <w:tcPr>
            <w:tcW w:w="1393" w:type="dxa"/>
            <w:tcBorders>
              <w:top w:val="nil"/>
              <w:left w:val="nil"/>
              <w:bottom w:val="nil"/>
              <w:right w:val="nil"/>
            </w:tcBorders>
            <w:shd w:val="clear" w:color="auto" w:fill="auto"/>
            <w:noWrap/>
            <w:vAlign w:val="bottom"/>
          </w:tcPr>
          <w:p w14:paraId="3C476C10" w14:textId="77777777" w:rsidR="005C26C8" w:rsidRPr="0013034F" w:rsidRDefault="009B32DE" w:rsidP="0061265C">
            <w:pPr>
              <w:spacing w:after="0" w:line="240" w:lineRule="auto"/>
              <w:jc w:val="right"/>
              <w:rPr>
                <w:rFonts w:ascii="Arial" w:eastAsia="Times New Roman" w:hAnsi="Arial" w:cs="Arial"/>
                <w:b/>
                <w:bCs/>
                <w:sz w:val="20"/>
                <w:szCs w:val="20"/>
                <w:lang w:eastAsia="en-GB"/>
              </w:rPr>
            </w:pPr>
            <w:r w:rsidRPr="0013034F">
              <w:rPr>
                <w:rFonts w:ascii="Arial" w:eastAsia="Times New Roman" w:hAnsi="Arial" w:cs="Arial"/>
                <w:b/>
                <w:bCs/>
                <w:sz w:val="20"/>
                <w:szCs w:val="20"/>
                <w:lang w:eastAsia="en-GB"/>
              </w:rPr>
              <w:t>12</w:t>
            </w:r>
            <w:r w:rsidR="0013034F" w:rsidRPr="0013034F">
              <w:rPr>
                <w:rFonts w:ascii="Arial" w:eastAsia="Times New Roman" w:hAnsi="Arial" w:cs="Arial"/>
                <w:b/>
                <w:bCs/>
                <w:sz w:val="20"/>
                <w:szCs w:val="20"/>
                <w:lang w:eastAsia="en-GB"/>
              </w:rPr>
              <w:t>3,775</w:t>
            </w:r>
          </w:p>
        </w:tc>
        <w:tc>
          <w:tcPr>
            <w:tcW w:w="1700" w:type="dxa"/>
            <w:gridSpan w:val="2"/>
            <w:tcBorders>
              <w:top w:val="nil"/>
              <w:left w:val="nil"/>
              <w:bottom w:val="nil"/>
              <w:right w:val="nil"/>
            </w:tcBorders>
            <w:shd w:val="clear" w:color="auto" w:fill="auto"/>
            <w:noWrap/>
            <w:vAlign w:val="bottom"/>
            <w:hideMark/>
          </w:tcPr>
          <w:p w14:paraId="1B0967A6" w14:textId="77777777" w:rsidR="005C26C8" w:rsidRPr="00E94AEA" w:rsidRDefault="0013034F" w:rsidP="0061265C">
            <w:pPr>
              <w:spacing w:after="0" w:line="240" w:lineRule="auto"/>
              <w:jc w:val="right"/>
              <w:rPr>
                <w:rFonts w:ascii="Arial" w:eastAsia="Times New Roman" w:hAnsi="Arial" w:cs="Arial"/>
                <w:sz w:val="20"/>
                <w:szCs w:val="20"/>
                <w:lang w:eastAsia="en-GB"/>
              </w:rPr>
            </w:pPr>
            <w:r w:rsidRPr="00E94AEA">
              <w:rPr>
                <w:rFonts w:ascii="Arial" w:eastAsia="Times New Roman" w:hAnsi="Arial" w:cs="Arial"/>
                <w:bCs/>
                <w:sz w:val="20"/>
                <w:szCs w:val="20"/>
                <w:lang w:eastAsia="en-GB"/>
              </w:rPr>
              <w:t>121,358</w:t>
            </w:r>
          </w:p>
        </w:tc>
      </w:tr>
      <w:tr w:rsidR="0013034F" w:rsidRPr="00543D10" w14:paraId="77566250" w14:textId="77777777" w:rsidTr="003E4FA9">
        <w:trPr>
          <w:gridAfter w:val="1"/>
          <w:wAfter w:w="5419" w:type="dxa"/>
          <w:trHeight w:val="293"/>
        </w:trPr>
        <w:tc>
          <w:tcPr>
            <w:tcW w:w="4106" w:type="dxa"/>
            <w:tcBorders>
              <w:top w:val="nil"/>
              <w:left w:val="nil"/>
              <w:bottom w:val="nil"/>
              <w:right w:val="nil"/>
            </w:tcBorders>
            <w:shd w:val="clear" w:color="auto" w:fill="auto"/>
            <w:noWrap/>
            <w:vAlign w:val="bottom"/>
          </w:tcPr>
          <w:p w14:paraId="11B97D31" w14:textId="77777777" w:rsidR="0013034F" w:rsidRPr="0013034F" w:rsidRDefault="0013034F" w:rsidP="0061265C">
            <w:pPr>
              <w:spacing w:after="0" w:line="240" w:lineRule="auto"/>
              <w:rPr>
                <w:rFonts w:ascii="Arial" w:eastAsia="Times New Roman" w:hAnsi="Arial" w:cs="Arial"/>
                <w:sz w:val="20"/>
                <w:szCs w:val="20"/>
                <w:lang w:eastAsia="en-GB"/>
              </w:rPr>
            </w:pPr>
            <w:r w:rsidRPr="0013034F">
              <w:rPr>
                <w:rFonts w:ascii="Arial" w:eastAsia="Times New Roman" w:hAnsi="Arial" w:cs="Arial"/>
                <w:sz w:val="20"/>
                <w:szCs w:val="20"/>
                <w:lang w:eastAsia="en-GB"/>
              </w:rPr>
              <w:t>Staff Costs – travel and pension charges</w:t>
            </w:r>
          </w:p>
        </w:tc>
        <w:tc>
          <w:tcPr>
            <w:tcW w:w="2025" w:type="dxa"/>
            <w:gridSpan w:val="2"/>
            <w:tcBorders>
              <w:top w:val="nil"/>
              <w:left w:val="nil"/>
              <w:bottom w:val="nil"/>
              <w:right w:val="nil"/>
            </w:tcBorders>
            <w:shd w:val="clear" w:color="auto" w:fill="auto"/>
            <w:noWrap/>
            <w:vAlign w:val="bottom"/>
          </w:tcPr>
          <w:p w14:paraId="140477BA" w14:textId="77777777" w:rsidR="0013034F" w:rsidRPr="0013034F" w:rsidRDefault="0013034F" w:rsidP="0061265C">
            <w:pPr>
              <w:spacing w:after="0" w:line="240" w:lineRule="auto"/>
              <w:rPr>
                <w:rFonts w:ascii="Arial" w:eastAsia="Times New Roman" w:hAnsi="Arial" w:cs="Arial"/>
                <w:sz w:val="20"/>
                <w:szCs w:val="20"/>
                <w:lang w:eastAsia="en-GB"/>
              </w:rPr>
            </w:pPr>
          </w:p>
        </w:tc>
        <w:tc>
          <w:tcPr>
            <w:tcW w:w="1393" w:type="dxa"/>
            <w:tcBorders>
              <w:top w:val="nil"/>
              <w:left w:val="nil"/>
              <w:bottom w:val="nil"/>
              <w:right w:val="nil"/>
            </w:tcBorders>
            <w:shd w:val="clear" w:color="auto" w:fill="auto"/>
            <w:noWrap/>
            <w:vAlign w:val="bottom"/>
          </w:tcPr>
          <w:p w14:paraId="0A71D385" w14:textId="77777777" w:rsidR="0013034F" w:rsidRPr="0013034F" w:rsidRDefault="0013034F" w:rsidP="0061265C">
            <w:pPr>
              <w:spacing w:after="0" w:line="240" w:lineRule="auto"/>
              <w:jc w:val="right"/>
              <w:rPr>
                <w:rFonts w:ascii="Arial" w:eastAsia="Times New Roman" w:hAnsi="Arial" w:cs="Arial"/>
                <w:b/>
                <w:bCs/>
                <w:sz w:val="20"/>
                <w:szCs w:val="20"/>
                <w:lang w:eastAsia="en-GB"/>
              </w:rPr>
            </w:pPr>
            <w:r w:rsidRPr="0013034F">
              <w:rPr>
                <w:rFonts w:ascii="Arial" w:eastAsia="Times New Roman" w:hAnsi="Arial" w:cs="Arial"/>
                <w:b/>
                <w:bCs/>
                <w:sz w:val="20"/>
                <w:szCs w:val="20"/>
                <w:lang w:eastAsia="en-GB"/>
              </w:rPr>
              <w:t>6,153</w:t>
            </w:r>
          </w:p>
        </w:tc>
        <w:tc>
          <w:tcPr>
            <w:tcW w:w="1700" w:type="dxa"/>
            <w:gridSpan w:val="2"/>
            <w:tcBorders>
              <w:top w:val="nil"/>
              <w:left w:val="nil"/>
              <w:bottom w:val="nil"/>
              <w:right w:val="nil"/>
            </w:tcBorders>
            <w:shd w:val="clear" w:color="auto" w:fill="auto"/>
            <w:noWrap/>
            <w:vAlign w:val="bottom"/>
          </w:tcPr>
          <w:p w14:paraId="4BCC4A97" w14:textId="77777777" w:rsidR="0013034F" w:rsidRPr="00E94AEA" w:rsidRDefault="0013034F" w:rsidP="002604BF">
            <w:pPr>
              <w:spacing w:after="0" w:line="240" w:lineRule="auto"/>
              <w:jc w:val="right"/>
              <w:rPr>
                <w:rFonts w:ascii="Arial" w:eastAsia="Times New Roman" w:hAnsi="Arial" w:cs="Arial"/>
                <w:bCs/>
                <w:sz w:val="20"/>
                <w:szCs w:val="20"/>
                <w:lang w:eastAsia="en-GB"/>
              </w:rPr>
            </w:pPr>
            <w:r w:rsidRPr="00E94AEA">
              <w:rPr>
                <w:rFonts w:ascii="Arial" w:eastAsia="Times New Roman" w:hAnsi="Arial" w:cs="Arial"/>
                <w:bCs/>
                <w:sz w:val="20"/>
                <w:szCs w:val="20"/>
                <w:lang w:eastAsia="en-GB"/>
              </w:rPr>
              <w:t>(155)</w:t>
            </w:r>
          </w:p>
        </w:tc>
      </w:tr>
      <w:tr w:rsidR="005C26C8" w:rsidRPr="00543D10" w14:paraId="30A067FB" w14:textId="77777777" w:rsidTr="003E4FA9">
        <w:trPr>
          <w:gridAfter w:val="1"/>
          <w:wAfter w:w="5419" w:type="dxa"/>
          <w:trHeight w:val="293"/>
        </w:trPr>
        <w:tc>
          <w:tcPr>
            <w:tcW w:w="4106" w:type="dxa"/>
            <w:tcBorders>
              <w:top w:val="nil"/>
              <w:left w:val="nil"/>
              <w:bottom w:val="nil"/>
              <w:right w:val="nil"/>
            </w:tcBorders>
            <w:shd w:val="clear" w:color="auto" w:fill="auto"/>
            <w:noWrap/>
            <w:vAlign w:val="bottom"/>
            <w:hideMark/>
          </w:tcPr>
          <w:p w14:paraId="480680A3" w14:textId="77777777" w:rsidR="005C26C8" w:rsidRPr="0013034F" w:rsidRDefault="005C26C8" w:rsidP="0061265C">
            <w:pPr>
              <w:spacing w:after="0" w:line="240" w:lineRule="auto"/>
              <w:rPr>
                <w:rFonts w:ascii="Arial" w:eastAsia="Times New Roman" w:hAnsi="Arial" w:cs="Arial"/>
                <w:sz w:val="20"/>
                <w:szCs w:val="20"/>
                <w:lang w:eastAsia="en-GB"/>
              </w:rPr>
            </w:pPr>
            <w:r w:rsidRPr="0013034F">
              <w:rPr>
                <w:rFonts w:ascii="Arial" w:eastAsia="Times New Roman" w:hAnsi="Arial" w:cs="Arial"/>
                <w:sz w:val="20"/>
                <w:szCs w:val="20"/>
                <w:lang w:eastAsia="en-GB"/>
              </w:rPr>
              <w:t>Other Operating Costs</w:t>
            </w:r>
          </w:p>
        </w:tc>
        <w:tc>
          <w:tcPr>
            <w:tcW w:w="2025" w:type="dxa"/>
            <w:gridSpan w:val="2"/>
            <w:tcBorders>
              <w:top w:val="nil"/>
              <w:left w:val="nil"/>
              <w:bottom w:val="nil"/>
              <w:right w:val="nil"/>
            </w:tcBorders>
            <w:shd w:val="clear" w:color="auto" w:fill="auto"/>
            <w:noWrap/>
            <w:vAlign w:val="bottom"/>
            <w:hideMark/>
          </w:tcPr>
          <w:p w14:paraId="3C81C482" w14:textId="77777777" w:rsidR="005C26C8" w:rsidRPr="0013034F" w:rsidRDefault="005C26C8" w:rsidP="0061265C">
            <w:pPr>
              <w:spacing w:after="0" w:line="240" w:lineRule="auto"/>
              <w:rPr>
                <w:rFonts w:ascii="Arial" w:eastAsia="Times New Roman" w:hAnsi="Arial" w:cs="Arial"/>
                <w:sz w:val="20"/>
                <w:szCs w:val="20"/>
                <w:lang w:eastAsia="en-GB"/>
              </w:rPr>
            </w:pPr>
          </w:p>
        </w:tc>
        <w:tc>
          <w:tcPr>
            <w:tcW w:w="1393" w:type="dxa"/>
            <w:tcBorders>
              <w:top w:val="nil"/>
              <w:left w:val="nil"/>
              <w:bottom w:val="nil"/>
              <w:right w:val="nil"/>
            </w:tcBorders>
            <w:shd w:val="clear" w:color="auto" w:fill="auto"/>
            <w:noWrap/>
            <w:vAlign w:val="bottom"/>
          </w:tcPr>
          <w:p w14:paraId="595C7A27" w14:textId="77777777" w:rsidR="005C26C8" w:rsidRPr="0013034F" w:rsidRDefault="0013034F" w:rsidP="0061265C">
            <w:pPr>
              <w:spacing w:after="0" w:line="240" w:lineRule="auto"/>
              <w:jc w:val="right"/>
              <w:rPr>
                <w:rFonts w:ascii="Arial" w:eastAsia="Times New Roman" w:hAnsi="Arial" w:cs="Arial"/>
                <w:b/>
                <w:bCs/>
                <w:sz w:val="20"/>
                <w:szCs w:val="20"/>
                <w:lang w:eastAsia="en-GB"/>
              </w:rPr>
            </w:pPr>
            <w:r w:rsidRPr="0013034F">
              <w:rPr>
                <w:rFonts w:ascii="Arial" w:eastAsia="Times New Roman" w:hAnsi="Arial" w:cs="Arial"/>
                <w:b/>
                <w:bCs/>
                <w:sz w:val="20"/>
                <w:szCs w:val="20"/>
                <w:lang w:eastAsia="en-GB"/>
              </w:rPr>
              <w:t>61,592</w:t>
            </w:r>
          </w:p>
        </w:tc>
        <w:tc>
          <w:tcPr>
            <w:tcW w:w="1700" w:type="dxa"/>
            <w:gridSpan w:val="2"/>
            <w:tcBorders>
              <w:top w:val="nil"/>
              <w:left w:val="nil"/>
              <w:bottom w:val="nil"/>
              <w:right w:val="nil"/>
            </w:tcBorders>
            <w:shd w:val="clear" w:color="auto" w:fill="auto"/>
            <w:noWrap/>
            <w:vAlign w:val="bottom"/>
            <w:hideMark/>
          </w:tcPr>
          <w:p w14:paraId="4BC71C95" w14:textId="77777777" w:rsidR="005C26C8" w:rsidRPr="00E94AEA" w:rsidRDefault="00500752" w:rsidP="002604BF">
            <w:pPr>
              <w:spacing w:after="0" w:line="240" w:lineRule="auto"/>
              <w:jc w:val="right"/>
              <w:rPr>
                <w:rFonts w:ascii="Arial" w:eastAsia="Times New Roman" w:hAnsi="Arial" w:cs="Arial"/>
                <w:sz w:val="20"/>
                <w:szCs w:val="20"/>
                <w:lang w:eastAsia="en-GB"/>
              </w:rPr>
            </w:pPr>
            <w:r w:rsidRPr="00E94AEA">
              <w:rPr>
                <w:rFonts w:ascii="Arial" w:eastAsia="Times New Roman" w:hAnsi="Arial" w:cs="Arial"/>
                <w:bCs/>
                <w:sz w:val="20"/>
                <w:szCs w:val="20"/>
                <w:lang w:eastAsia="en-GB"/>
              </w:rPr>
              <w:t>5</w:t>
            </w:r>
            <w:r w:rsidR="00930CCD" w:rsidRPr="00161381">
              <w:rPr>
                <w:rFonts w:ascii="Arial" w:eastAsia="Times New Roman" w:hAnsi="Arial" w:cs="Arial"/>
                <w:bCs/>
                <w:sz w:val="20"/>
                <w:szCs w:val="20"/>
                <w:lang w:eastAsia="en-GB"/>
              </w:rPr>
              <w:t>6</w:t>
            </w:r>
            <w:r w:rsidR="00CA30FA" w:rsidRPr="00E94AEA">
              <w:rPr>
                <w:rFonts w:ascii="Arial" w:eastAsia="Times New Roman" w:hAnsi="Arial" w:cs="Arial"/>
                <w:bCs/>
                <w:sz w:val="20"/>
                <w:szCs w:val="20"/>
                <w:lang w:eastAsia="en-GB"/>
              </w:rPr>
              <w:t>,868</w:t>
            </w:r>
          </w:p>
        </w:tc>
      </w:tr>
      <w:tr w:rsidR="005C26C8" w:rsidRPr="00543D10" w14:paraId="25271EFA" w14:textId="77777777" w:rsidTr="003E4FA9">
        <w:trPr>
          <w:gridAfter w:val="1"/>
          <w:wAfter w:w="5419" w:type="dxa"/>
          <w:trHeight w:val="293"/>
        </w:trPr>
        <w:tc>
          <w:tcPr>
            <w:tcW w:w="4106" w:type="dxa"/>
            <w:tcBorders>
              <w:top w:val="nil"/>
              <w:left w:val="nil"/>
              <w:bottom w:val="nil"/>
              <w:right w:val="nil"/>
            </w:tcBorders>
            <w:shd w:val="clear" w:color="auto" w:fill="auto"/>
            <w:noWrap/>
            <w:vAlign w:val="bottom"/>
            <w:hideMark/>
          </w:tcPr>
          <w:p w14:paraId="14C1D896" w14:textId="77777777" w:rsidR="005C26C8" w:rsidRPr="0013034F" w:rsidRDefault="005C26C8" w:rsidP="0061265C">
            <w:pPr>
              <w:spacing w:after="0" w:line="240" w:lineRule="auto"/>
              <w:rPr>
                <w:rFonts w:ascii="Arial" w:eastAsia="Times New Roman" w:hAnsi="Arial" w:cs="Arial"/>
                <w:sz w:val="20"/>
                <w:szCs w:val="20"/>
                <w:lang w:eastAsia="en-GB"/>
              </w:rPr>
            </w:pPr>
            <w:r w:rsidRPr="0013034F">
              <w:rPr>
                <w:rFonts w:ascii="Arial" w:eastAsia="Times New Roman" w:hAnsi="Arial" w:cs="Arial"/>
                <w:sz w:val="20"/>
                <w:szCs w:val="20"/>
                <w:lang w:eastAsia="en-GB"/>
              </w:rPr>
              <w:t>Depreciation</w:t>
            </w:r>
          </w:p>
        </w:tc>
        <w:tc>
          <w:tcPr>
            <w:tcW w:w="2025" w:type="dxa"/>
            <w:gridSpan w:val="2"/>
            <w:tcBorders>
              <w:top w:val="nil"/>
              <w:left w:val="nil"/>
              <w:bottom w:val="nil"/>
              <w:right w:val="nil"/>
            </w:tcBorders>
            <w:shd w:val="clear" w:color="auto" w:fill="auto"/>
            <w:noWrap/>
            <w:vAlign w:val="bottom"/>
            <w:hideMark/>
          </w:tcPr>
          <w:p w14:paraId="6B9EA225" w14:textId="77777777" w:rsidR="005C26C8" w:rsidRPr="0013034F" w:rsidRDefault="005C26C8" w:rsidP="0061265C">
            <w:pPr>
              <w:spacing w:after="0" w:line="240" w:lineRule="auto"/>
              <w:rPr>
                <w:rFonts w:ascii="Arial" w:eastAsia="Times New Roman" w:hAnsi="Arial" w:cs="Arial"/>
                <w:sz w:val="20"/>
                <w:szCs w:val="20"/>
                <w:lang w:eastAsia="en-GB"/>
              </w:rPr>
            </w:pPr>
          </w:p>
        </w:tc>
        <w:tc>
          <w:tcPr>
            <w:tcW w:w="1393" w:type="dxa"/>
            <w:tcBorders>
              <w:top w:val="nil"/>
              <w:left w:val="nil"/>
              <w:bottom w:val="nil"/>
              <w:right w:val="nil"/>
            </w:tcBorders>
            <w:shd w:val="clear" w:color="auto" w:fill="auto"/>
            <w:noWrap/>
            <w:vAlign w:val="bottom"/>
          </w:tcPr>
          <w:p w14:paraId="3FBF535D" w14:textId="77777777" w:rsidR="005C26C8" w:rsidRPr="0013034F" w:rsidRDefault="0013034F" w:rsidP="0061265C">
            <w:pPr>
              <w:spacing w:after="0" w:line="240" w:lineRule="auto"/>
              <w:jc w:val="right"/>
              <w:rPr>
                <w:rFonts w:ascii="Arial" w:eastAsia="Times New Roman" w:hAnsi="Arial" w:cs="Arial"/>
                <w:b/>
                <w:bCs/>
                <w:sz w:val="20"/>
                <w:szCs w:val="20"/>
                <w:lang w:eastAsia="en-GB"/>
              </w:rPr>
            </w:pPr>
            <w:r w:rsidRPr="0013034F">
              <w:rPr>
                <w:rFonts w:ascii="Arial" w:eastAsia="Times New Roman" w:hAnsi="Arial" w:cs="Arial"/>
                <w:b/>
                <w:bCs/>
                <w:sz w:val="20"/>
                <w:szCs w:val="20"/>
                <w:lang w:eastAsia="en-GB"/>
              </w:rPr>
              <w:t>5,768</w:t>
            </w:r>
          </w:p>
        </w:tc>
        <w:tc>
          <w:tcPr>
            <w:tcW w:w="1700" w:type="dxa"/>
            <w:gridSpan w:val="2"/>
            <w:tcBorders>
              <w:top w:val="nil"/>
              <w:left w:val="nil"/>
              <w:bottom w:val="nil"/>
              <w:right w:val="nil"/>
            </w:tcBorders>
            <w:shd w:val="clear" w:color="auto" w:fill="auto"/>
            <w:noWrap/>
            <w:vAlign w:val="bottom"/>
            <w:hideMark/>
          </w:tcPr>
          <w:p w14:paraId="29EDDC3F" w14:textId="77777777" w:rsidR="005C26C8" w:rsidRPr="00E94AEA" w:rsidRDefault="005C26C8" w:rsidP="0061265C">
            <w:pPr>
              <w:spacing w:after="0" w:line="240" w:lineRule="auto"/>
              <w:jc w:val="right"/>
              <w:rPr>
                <w:rFonts w:ascii="Arial" w:eastAsia="Times New Roman" w:hAnsi="Arial" w:cs="Arial"/>
                <w:sz w:val="20"/>
                <w:szCs w:val="20"/>
                <w:lang w:eastAsia="en-GB"/>
              </w:rPr>
            </w:pPr>
            <w:r w:rsidRPr="00E94AEA">
              <w:rPr>
                <w:rFonts w:ascii="Arial" w:eastAsia="Times New Roman" w:hAnsi="Arial" w:cs="Arial"/>
                <w:bCs/>
                <w:sz w:val="20"/>
                <w:szCs w:val="20"/>
                <w:lang w:eastAsia="en-GB"/>
              </w:rPr>
              <w:t>6,246</w:t>
            </w:r>
          </w:p>
        </w:tc>
      </w:tr>
      <w:tr w:rsidR="005C26C8" w:rsidRPr="00543D10" w14:paraId="2B722294" w14:textId="77777777" w:rsidTr="003E4FA9">
        <w:trPr>
          <w:gridAfter w:val="1"/>
          <w:wAfter w:w="5419" w:type="dxa"/>
          <w:trHeight w:val="293"/>
        </w:trPr>
        <w:tc>
          <w:tcPr>
            <w:tcW w:w="6131" w:type="dxa"/>
            <w:gridSpan w:val="3"/>
            <w:tcBorders>
              <w:top w:val="nil"/>
              <w:left w:val="nil"/>
              <w:bottom w:val="nil"/>
              <w:right w:val="nil"/>
            </w:tcBorders>
            <w:shd w:val="clear" w:color="auto" w:fill="auto"/>
            <w:noWrap/>
            <w:vAlign w:val="bottom"/>
            <w:hideMark/>
          </w:tcPr>
          <w:p w14:paraId="68DC183C" w14:textId="77777777" w:rsidR="005C26C8" w:rsidRPr="00543D10" w:rsidRDefault="005C26C8" w:rsidP="0061265C">
            <w:pPr>
              <w:spacing w:after="0" w:line="240" w:lineRule="auto"/>
              <w:rPr>
                <w:rFonts w:ascii="Arial" w:eastAsia="Times New Roman" w:hAnsi="Arial" w:cs="Arial"/>
                <w:sz w:val="20"/>
                <w:szCs w:val="20"/>
                <w:lang w:eastAsia="en-GB"/>
              </w:rPr>
            </w:pPr>
            <w:r w:rsidRPr="00543D10">
              <w:rPr>
                <w:rFonts w:ascii="Arial" w:eastAsia="Times New Roman" w:hAnsi="Arial" w:cs="Arial"/>
                <w:sz w:val="20"/>
                <w:szCs w:val="20"/>
                <w:lang w:eastAsia="en-GB"/>
              </w:rPr>
              <w:t>Amortisation and Impairment of Goodwill</w:t>
            </w:r>
          </w:p>
        </w:tc>
        <w:tc>
          <w:tcPr>
            <w:tcW w:w="1393" w:type="dxa"/>
            <w:tcBorders>
              <w:top w:val="nil"/>
              <w:left w:val="nil"/>
              <w:bottom w:val="nil"/>
              <w:right w:val="nil"/>
            </w:tcBorders>
            <w:shd w:val="clear" w:color="auto" w:fill="auto"/>
            <w:noWrap/>
            <w:vAlign w:val="bottom"/>
          </w:tcPr>
          <w:p w14:paraId="5E9AB792" w14:textId="77777777" w:rsidR="005C26C8" w:rsidRPr="009B32DE" w:rsidRDefault="00450989" w:rsidP="0061265C">
            <w:pPr>
              <w:spacing w:after="0" w:line="240" w:lineRule="auto"/>
              <w:jc w:val="right"/>
              <w:rPr>
                <w:rFonts w:ascii="Arial" w:eastAsia="Times New Roman" w:hAnsi="Arial" w:cs="Arial"/>
                <w:b/>
                <w:bCs/>
                <w:sz w:val="20"/>
                <w:szCs w:val="20"/>
                <w:lang w:eastAsia="en-GB"/>
              </w:rPr>
            </w:pPr>
            <w:r w:rsidRPr="009B32DE">
              <w:rPr>
                <w:rFonts w:ascii="Arial" w:eastAsia="Times New Roman" w:hAnsi="Arial" w:cs="Arial"/>
                <w:b/>
                <w:bCs/>
                <w:sz w:val="20"/>
                <w:szCs w:val="20"/>
                <w:lang w:eastAsia="en-GB"/>
              </w:rPr>
              <w:t>8,</w:t>
            </w:r>
            <w:r w:rsidR="00365C18">
              <w:rPr>
                <w:rFonts w:ascii="Arial" w:eastAsia="Times New Roman" w:hAnsi="Arial" w:cs="Arial"/>
                <w:b/>
                <w:bCs/>
                <w:sz w:val="20"/>
                <w:szCs w:val="20"/>
                <w:lang w:eastAsia="en-GB"/>
              </w:rPr>
              <w:t>204</w:t>
            </w:r>
          </w:p>
        </w:tc>
        <w:tc>
          <w:tcPr>
            <w:tcW w:w="1700" w:type="dxa"/>
            <w:gridSpan w:val="2"/>
            <w:tcBorders>
              <w:top w:val="nil"/>
              <w:left w:val="nil"/>
              <w:bottom w:val="nil"/>
              <w:right w:val="nil"/>
            </w:tcBorders>
            <w:shd w:val="clear" w:color="auto" w:fill="auto"/>
            <w:noWrap/>
            <w:vAlign w:val="bottom"/>
            <w:hideMark/>
          </w:tcPr>
          <w:p w14:paraId="70814CF4" w14:textId="77777777" w:rsidR="005C26C8" w:rsidRPr="00E94AEA" w:rsidRDefault="005C26C8" w:rsidP="0061265C">
            <w:pPr>
              <w:spacing w:after="0" w:line="240" w:lineRule="auto"/>
              <w:jc w:val="right"/>
              <w:rPr>
                <w:rFonts w:ascii="Arial" w:eastAsia="Times New Roman" w:hAnsi="Arial" w:cs="Arial"/>
                <w:sz w:val="20"/>
                <w:szCs w:val="20"/>
                <w:lang w:eastAsia="en-GB"/>
              </w:rPr>
            </w:pPr>
            <w:r w:rsidRPr="00E94AEA">
              <w:rPr>
                <w:rFonts w:ascii="Arial" w:eastAsia="Times New Roman" w:hAnsi="Arial" w:cs="Arial"/>
                <w:bCs/>
                <w:sz w:val="20"/>
                <w:szCs w:val="20"/>
                <w:lang w:eastAsia="en-GB"/>
              </w:rPr>
              <w:t>27,037</w:t>
            </w:r>
          </w:p>
        </w:tc>
      </w:tr>
      <w:tr w:rsidR="005C26C8" w:rsidRPr="00543D10" w14:paraId="1055F988" w14:textId="77777777" w:rsidTr="003E4FA9">
        <w:trPr>
          <w:gridAfter w:val="1"/>
          <w:wAfter w:w="5419" w:type="dxa"/>
          <w:trHeight w:val="293"/>
        </w:trPr>
        <w:tc>
          <w:tcPr>
            <w:tcW w:w="4106" w:type="dxa"/>
            <w:tcBorders>
              <w:top w:val="nil"/>
              <w:left w:val="nil"/>
              <w:bottom w:val="nil"/>
              <w:right w:val="nil"/>
            </w:tcBorders>
            <w:shd w:val="clear" w:color="auto" w:fill="auto"/>
            <w:noWrap/>
            <w:vAlign w:val="bottom"/>
            <w:hideMark/>
          </w:tcPr>
          <w:p w14:paraId="54A55E02" w14:textId="77777777" w:rsidR="005C26C8" w:rsidRPr="00543D10" w:rsidRDefault="005C26C8" w:rsidP="0061265C">
            <w:pPr>
              <w:spacing w:after="0" w:line="240" w:lineRule="auto"/>
              <w:rPr>
                <w:rFonts w:ascii="Arial" w:eastAsia="Times New Roman" w:hAnsi="Arial" w:cs="Arial"/>
                <w:sz w:val="20"/>
                <w:szCs w:val="20"/>
                <w:lang w:eastAsia="en-GB"/>
              </w:rPr>
            </w:pPr>
            <w:r w:rsidRPr="00543D10">
              <w:rPr>
                <w:rFonts w:ascii="Arial" w:eastAsia="Times New Roman" w:hAnsi="Arial" w:cs="Arial"/>
                <w:sz w:val="20"/>
                <w:szCs w:val="20"/>
                <w:lang w:eastAsia="en-GB"/>
              </w:rPr>
              <w:t>Finance Charges</w:t>
            </w:r>
          </w:p>
        </w:tc>
        <w:tc>
          <w:tcPr>
            <w:tcW w:w="2025" w:type="dxa"/>
            <w:gridSpan w:val="2"/>
            <w:tcBorders>
              <w:top w:val="nil"/>
              <w:left w:val="nil"/>
              <w:bottom w:val="nil"/>
              <w:right w:val="nil"/>
            </w:tcBorders>
            <w:shd w:val="clear" w:color="auto" w:fill="auto"/>
            <w:noWrap/>
            <w:vAlign w:val="bottom"/>
            <w:hideMark/>
          </w:tcPr>
          <w:p w14:paraId="67144F30" w14:textId="77777777" w:rsidR="005C26C8" w:rsidRPr="00543D10" w:rsidRDefault="005C26C8" w:rsidP="0061265C">
            <w:pPr>
              <w:spacing w:after="0" w:line="240" w:lineRule="auto"/>
              <w:rPr>
                <w:rFonts w:ascii="Arial" w:eastAsia="Times New Roman" w:hAnsi="Arial" w:cs="Arial"/>
                <w:sz w:val="20"/>
                <w:szCs w:val="20"/>
                <w:lang w:eastAsia="en-GB"/>
              </w:rPr>
            </w:pPr>
          </w:p>
        </w:tc>
        <w:tc>
          <w:tcPr>
            <w:tcW w:w="1393" w:type="dxa"/>
            <w:tcBorders>
              <w:top w:val="nil"/>
              <w:left w:val="nil"/>
              <w:bottom w:val="nil"/>
              <w:right w:val="nil"/>
            </w:tcBorders>
            <w:shd w:val="clear" w:color="auto" w:fill="auto"/>
            <w:noWrap/>
            <w:vAlign w:val="bottom"/>
          </w:tcPr>
          <w:p w14:paraId="112EC3D3" w14:textId="77777777" w:rsidR="005C26C8" w:rsidRPr="009B32DE" w:rsidRDefault="004E6DCD" w:rsidP="0061265C">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1,1</w:t>
            </w:r>
            <w:r w:rsidR="00BA11DA">
              <w:rPr>
                <w:rFonts w:ascii="Arial" w:eastAsia="Times New Roman" w:hAnsi="Arial" w:cs="Arial"/>
                <w:b/>
                <w:bCs/>
                <w:sz w:val="20"/>
                <w:szCs w:val="20"/>
                <w:lang w:eastAsia="en-GB"/>
              </w:rPr>
              <w:t>22</w:t>
            </w:r>
          </w:p>
        </w:tc>
        <w:tc>
          <w:tcPr>
            <w:tcW w:w="1700" w:type="dxa"/>
            <w:gridSpan w:val="2"/>
            <w:tcBorders>
              <w:top w:val="nil"/>
              <w:left w:val="nil"/>
              <w:bottom w:val="nil"/>
              <w:right w:val="nil"/>
            </w:tcBorders>
            <w:shd w:val="clear" w:color="auto" w:fill="auto"/>
            <w:noWrap/>
            <w:vAlign w:val="bottom"/>
            <w:hideMark/>
          </w:tcPr>
          <w:p w14:paraId="4A1B31E5" w14:textId="77777777" w:rsidR="005C26C8" w:rsidRPr="00E94AEA" w:rsidRDefault="005C26C8" w:rsidP="0061265C">
            <w:pPr>
              <w:spacing w:after="0" w:line="240" w:lineRule="auto"/>
              <w:jc w:val="right"/>
              <w:rPr>
                <w:rFonts w:ascii="Arial" w:eastAsia="Times New Roman" w:hAnsi="Arial" w:cs="Arial"/>
                <w:sz w:val="20"/>
                <w:szCs w:val="20"/>
                <w:lang w:eastAsia="en-GB"/>
              </w:rPr>
            </w:pPr>
            <w:r w:rsidRPr="00E94AEA">
              <w:rPr>
                <w:rFonts w:ascii="Arial" w:eastAsia="Times New Roman" w:hAnsi="Arial" w:cs="Arial"/>
                <w:bCs/>
                <w:sz w:val="20"/>
                <w:szCs w:val="20"/>
                <w:lang w:eastAsia="en-GB"/>
              </w:rPr>
              <w:t>1,48</w:t>
            </w:r>
            <w:r w:rsidR="00BA11DA">
              <w:rPr>
                <w:rFonts w:ascii="Arial" w:eastAsia="Times New Roman" w:hAnsi="Arial" w:cs="Arial"/>
                <w:bCs/>
                <w:sz w:val="20"/>
                <w:szCs w:val="20"/>
                <w:lang w:eastAsia="en-GB"/>
              </w:rPr>
              <w:t>4</w:t>
            </w:r>
          </w:p>
        </w:tc>
      </w:tr>
      <w:tr w:rsidR="005C26C8" w:rsidRPr="00543D10" w14:paraId="6485AE8A" w14:textId="77777777" w:rsidTr="003E4FA9">
        <w:trPr>
          <w:gridAfter w:val="1"/>
          <w:wAfter w:w="5419" w:type="dxa"/>
          <w:trHeight w:val="293"/>
        </w:trPr>
        <w:tc>
          <w:tcPr>
            <w:tcW w:w="4106" w:type="dxa"/>
            <w:tcBorders>
              <w:top w:val="nil"/>
              <w:left w:val="nil"/>
              <w:bottom w:val="nil"/>
              <w:right w:val="nil"/>
            </w:tcBorders>
            <w:shd w:val="clear" w:color="auto" w:fill="auto"/>
            <w:noWrap/>
            <w:vAlign w:val="bottom"/>
            <w:hideMark/>
          </w:tcPr>
          <w:p w14:paraId="4D5299FE" w14:textId="77777777" w:rsidR="005C26C8" w:rsidRPr="00543D10" w:rsidRDefault="005C26C8" w:rsidP="0061265C">
            <w:pPr>
              <w:spacing w:after="0" w:line="240" w:lineRule="auto"/>
              <w:jc w:val="right"/>
              <w:rPr>
                <w:rFonts w:ascii="Arial" w:eastAsia="Times New Roman" w:hAnsi="Arial" w:cs="Arial"/>
                <w:sz w:val="20"/>
                <w:szCs w:val="20"/>
                <w:lang w:eastAsia="en-GB"/>
              </w:rPr>
            </w:pPr>
          </w:p>
        </w:tc>
        <w:tc>
          <w:tcPr>
            <w:tcW w:w="2025" w:type="dxa"/>
            <w:gridSpan w:val="2"/>
            <w:tcBorders>
              <w:top w:val="nil"/>
              <w:left w:val="nil"/>
              <w:bottom w:val="nil"/>
              <w:right w:val="nil"/>
            </w:tcBorders>
            <w:shd w:val="clear" w:color="auto" w:fill="auto"/>
            <w:noWrap/>
            <w:vAlign w:val="bottom"/>
            <w:hideMark/>
          </w:tcPr>
          <w:p w14:paraId="74EA78F7" w14:textId="77777777" w:rsidR="005C26C8" w:rsidRPr="00543D10" w:rsidRDefault="005C26C8" w:rsidP="0061265C">
            <w:pPr>
              <w:spacing w:after="0" w:line="240" w:lineRule="auto"/>
              <w:rPr>
                <w:rFonts w:ascii="Times New Roman" w:eastAsia="Times New Roman" w:hAnsi="Times New Roman" w:cs="Times New Roman"/>
                <w:sz w:val="20"/>
                <w:szCs w:val="20"/>
                <w:lang w:eastAsia="en-GB"/>
              </w:rPr>
            </w:pPr>
          </w:p>
        </w:tc>
        <w:tc>
          <w:tcPr>
            <w:tcW w:w="1393" w:type="dxa"/>
            <w:tcBorders>
              <w:top w:val="nil"/>
              <w:left w:val="nil"/>
              <w:bottom w:val="single" w:sz="4" w:space="0" w:color="auto"/>
              <w:right w:val="nil"/>
            </w:tcBorders>
            <w:shd w:val="clear" w:color="auto" w:fill="auto"/>
            <w:noWrap/>
            <w:vAlign w:val="bottom"/>
          </w:tcPr>
          <w:p w14:paraId="622F97CF" w14:textId="77777777" w:rsidR="005C26C8" w:rsidRPr="009B32DE" w:rsidRDefault="005C26C8" w:rsidP="0061265C">
            <w:pPr>
              <w:spacing w:after="0" w:line="240" w:lineRule="auto"/>
              <w:rPr>
                <w:rFonts w:ascii="Arial" w:eastAsia="Times New Roman" w:hAnsi="Arial" w:cs="Arial"/>
                <w:b/>
                <w:bCs/>
                <w:sz w:val="20"/>
                <w:szCs w:val="20"/>
                <w:lang w:eastAsia="en-GB"/>
              </w:rPr>
            </w:pPr>
          </w:p>
        </w:tc>
        <w:tc>
          <w:tcPr>
            <w:tcW w:w="1700" w:type="dxa"/>
            <w:gridSpan w:val="2"/>
            <w:tcBorders>
              <w:top w:val="nil"/>
              <w:left w:val="nil"/>
              <w:bottom w:val="single" w:sz="4" w:space="0" w:color="auto"/>
              <w:right w:val="nil"/>
            </w:tcBorders>
            <w:shd w:val="clear" w:color="auto" w:fill="auto"/>
            <w:noWrap/>
            <w:vAlign w:val="bottom"/>
            <w:hideMark/>
          </w:tcPr>
          <w:p w14:paraId="56DFD89C" w14:textId="77777777" w:rsidR="005C26C8" w:rsidRPr="00E94AEA" w:rsidRDefault="005C26C8" w:rsidP="0061265C">
            <w:pPr>
              <w:spacing w:after="0" w:line="240" w:lineRule="auto"/>
              <w:rPr>
                <w:rFonts w:ascii="Arial" w:eastAsia="Times New Roman" w:hAnsi="Arial" w:cs="Arial"/>
                <w:sz w:val="20"/>
                <w:szCs w:val="20"/>
                <w:lang w:eastAsia="en-GB"/>
              </w:rPr>
            </w:pPr>
            <w:r w:rsidRPr="00E94AEA">
              <w:rPr>
                <w:rFonts w:ascii="Arial" w:eastAsia="Times New Roman" w:hAnsi="Arial" w:cs="Arial"/>
                <w:bCs/>
                <w:sz w:val="20"/>
                <w:szCs w:val="20"/>
                <w:lang w:eastAsia="en-GB"/>
              </w:rPr>
              <w:t> </w:t>
            </w:r>
          </w:p>
        </w:tc>
      </w:tr>
      <w:tr w:rsidR="005C26C8" w:rsidRPr="00543D10" w14:paraId="3718923E" w14:textId="77777777" w:rsidTr="003E4FA9">
        <w:trPr>
          <w:gridAfter w:val="1"/>
          <w:wAfter w:w="5419" w:type="dxa"/>
          <w:trHeight w:val="293"/>
        </w:trPr>
        <w:tc>
          <w:tcPr>
            <w:tcW w:w="4106" w:type="dxa"/>
            <w:tcBorders>
              <w:top w:val="nil"/>
              <w:left w:val="nil"/>
              <w:bottom w:val="nil"/>
              <w:right w:val="nil"/>
            </w:tcBorders>
            <w:shd w:val="clear" w:color="auto" w:fill="auto"/>
            <w:noWrap/>
            <w:vAlign w:val="bottom"/>
            <w:hideMark/>
          </w:tcPr>
          <w:p w14:paraId="7785C41D" w14:textId="77777777" w:rsidR="005C26C8" w:rsidRPr="00543D10" w:rsidRDefault="005C26C8" w:rsidP="0061265C">
            <w:pPr>
              <w:spacing w:after="0" w:line="240" w:lineRule="auto"/>
              <w:rPr>
                <w:rFonts w:ascii="Arial" w:eastAsia="Times New Roman" w:hAnsi="Arial" w:cs="Arial"/>
                <w:sz w:val="20"/>
                <w:szCs w:val="20"/>
                <w:lang w:eastAsia="en-GB"/>
              </w:rPr>
            </w:pPr>
            <w:r w:rsidRPr="00543D10">
              <w:rPr>
                <w:rFonts w:ascii="Arial" w:eastAsia="Times New Roman" w:hAnsi="Arial" w:cs="Arial"/>
                <w:sz w:val="20"/>
                <w:szCs w:val="20"/>
                <w:lang w:eastAsia="en-GB"/>
              </w:rPr>
              <w:t>Sub total</w:t>
            </w:r>
          </w:p>
        </w:tc>
        <w:tc>
          <w:tcPr>
            <w:tcW w:w="2025" w:type="dxa"/>
            <w:gridSpan w:val="2"/>
            <w:tcBorders>
              <w:top w:val="nil"/>
              <w:left w:val="nil"/>
              <w:bottom w:val="nil"/>
              <w:right w:val="nil"/>
            </w:tcBorders>
            <w:shd w:val="clear" w:color="auto" w:fill="auto"/>
            <w:noWrap/>
            <w:vAlign w:val="bottom"/>
            <w:hideMark/>
          </w:tcPr>
          <w:p w14:paraId="61C18086" w14:textId="77777777" w:rsidR="005C26C8" w:rsidRPr="00543D10" w:rsidRDefault="005C26C8" w:rsidP="0061265C">
            <w:pPr>
              <w:spacing w:after="0" w:line="240" w:lineRule="auto"/>
              <w:rPr>
                <w:rFonts w:ascii="Arial" w:eastAsia="Times New Roman" w:hAnsi="Arial" w:cs="Arial"/>
                <w:sz w:val="20"/>
                <w:szCs w:val="20"/>
                <w:lang w:eastAsia="en-GB"/>
              </w:rPr>
            </w:pPr>
          </w:p>
        </w:tc>
        <w:tc>
          <w:tcPr>
            <w:tcW w:w="1393" w:type="dxa"/>
            <w:tcBorders>
              <w:top w:val="nil"/>
              <w:left w:val="nil"/>
              <w:bottom w:val="nil"/>
              <w:right w:val="nil"/>
            </w:tcBorders>
            <w:shd w:val="clear" w:color="auto" w:fill="auto"/>
            <w:noWrap/>
            <w:vAlign w:val="bottom"/>
          </w:tcPr>
          <w:p w14:paraId="576C7569" w14:textId="77777777" w:rsidR="005C26C8" w:rsidRPr="009B32DE" w:rsidRDefault="003B6060" w:rsidP="0061265C">
            <w:pPr>
              <w:spacing w:after="0" w:line="240" w:lineRule="auto"/>
              <w:jc w:val="right"/>
              <w:rPr>
                <w:rFonts w:ascii="Arial" w:eastAsia="Times New Roman" w:hAnsi="Arial" w:cs="Arial"/>
                <w:b/>
                <w:bCs/>
                <w:sz w:val="20"/>
                <w:szCs w:val="20"/>
                <w:lang w:eastAsia="en-GB"/>
              </w:rPr>
            </w:pPr>
            <w:r w:rsidRPr="009B32DE">
              <w:rPr>
                <w:rFonts w:ascii="Arial" w:eastAsia="Times New Roman" w:hAnsi="Arial" w:cs="Arial"/>
                <w:b/>
                <w:bCs/>
                <w:sz w:val="20"/>
                <w:szCs w:val="20"/>
                <w:lang w:eastAsia="en-GB"/>
              </w:rPr>
              <w:t>21</w:t>
            </w:r>
            <w:r w:rsidR="009B32DE">
              <w:rPr>
                <w:rFonts w:ascii="Arial" w:eastAsia="Times New Roman" w:hAnsi="Arial" w:cs="Arial"/>
                <w:b/>
                <w:bCs/>
                <w:sz w:val="20"/>
                <w:szCs w:val="20"/>
                <w:lang w:eastAsia="en-GB"/>
              </w:rPr>
              <w:t>9,07</w:t>
            </w:r>
            <w:r w:rsidR="00BA11DA">
              <w:rPr>
                <w:rFonts w:ascii="Arial" w:eastAsia="Times New Roman" w:hAnsi="Arial" w:cs="Arial"/>
                <w:b/>
                <w:bCs/>
                <w:sz w:val="20"/>
                <w:szCs w:val="20"/>
                <w:lang w:eastAsia="en-GB"/>
              </w:rPr>
              <w:t>8</w:t>
            </w:r>
          </w:p>
        </w:tc>
        <w:tc>
          <w:tcPr>
            <w:tcW w:w="1700" w:type="dxa"/>
            <w:gridSpan w:val="2"/>
            <w:tcBorders>
              <w:top w:val="nil"/>
              <w:left w:val="nil"/>
              <w:bottom w:val="nil"/>
              <w:right w:val="nil"/>
            </w:tcBorders>
            <w:shd w:val="clear" w:color="auto" w:fill="auto"/>
            <w:noWrap/>
            <w:vAlign w:val="bottom"/>
            <w:hideMark/>
          </w:tcPr>
          <w:p w14:paraId="76E12A16" w14:textId="77777777" w:rsidR="005C26C8" w:rsidRPr="00E94AEA" w:rsidRDefault="005C26C8" w:rsidP="0061265C">
            <w:pPr>
              <w:spacing w:after="0" w:line="240" w:lineRule="auto"/>
              <w:jc w:val="right"/>
              <w:rPr>
                <w:rFonts w:ascii="Arial" w:eastAsia="Times New Roman" w:hAnsi="Arial" w:cs="Arial"/>
                <w:sz w:val="20"/>
                <w:szCs w:val="20"/>
                <w:lang w:eastAsia="en-GB"/>
              </w:rPr>
            </w:pPr>
            <w:r w:rsidRPr="00E94AEA">
              <w:rPr>
                <w:rFonts w:ascii="Arial" w:eastAsia="Times New Roman" w:hAnsi="Arial" w:cs="Arial"/>
                <w:bCs/>
                <w:sz w:val="20"/>
                <w:szCs w:val="20"/>
                <w:lang w:eastAsia="en-GB"/>
              </w:rPr>
              <w:t>228,103</w:t>
            </w:r>
          </w:p>
        </w:tc>
      </w:tr>
      <w:tr w:rsidR="005C26C8" w:rsidRPr="00543D10" w14:paraId="0BB3459D" w14:textId="77777777" w:rsidTr="003E4FA9">
        <w:trPr>
          <w:gridAfter w:val="1"/>
          <w:wAfter w:w="5419" w:type="dxa"/>
          <w:trHeight w:val="293"/>
        </w:trPr>
        <w:tc>
          <w:tcPr>
            <w:tcW w:w="4106" w:type="dxa"/>
            <w:tcBorders>
              <w:top w:val="nil"/>
              <w:left w:val="nil"/>
              <w:bottom w:val="nil"/>
              <w:right w:val="nil"/>
            </w:tcBorders>
            <w:shd w:val="clear" w:color="auto" w:fill="auto"/>
            <w:noWrap/>
            <w:vAlign w:val="bottom"/>
            <w:hideMark/>
          </w:tcPr>
          <w:p w14:paraId="44AF1EED" w14:textId="77777777" w:rsidR="005C26C8" w:rsidRPr="00543D10" w:rsidRDefault="005C26C8" w:rsidP="0061265C">
            <w:pPr>
              <w:spacing w:after="0" w:line="240" w:lineRule="auto"/>
              <w:rPr>
                <w:rFonts w:ascii="Arial" w:eastAsia="Times New Roman" w:hAnsi="Arial" w:cs="Arial"/>
                <w:sz w:val="20"/>
                <w:szCs w:val="20"/>
                <w:lang w:eastAsia="en-GB"/>
              </w:rPr>
            </w:pPr>
            <w:r w:rsidRPr="00543D10">
              <w:rPr>
                <w:rFonts w:ascii="Arial" w:eastAsia="Times New Roman" w:hAnsi="Arial" w:cs="Arial"/>
                <w:sz w:val="20"/>
                <w:szCs w:val="20"/>
                <w:lang w:eastAsia="en-GB"/>
              </w:rPr>
              <w:t>Tax</w:t>
            </w:r>
            <w:r w:rsidR="006B2C4F">
              <w:rPr>
                <w:rFonts w:ascii="Arial" w:eastAsia="Times New Roman" w:hAnsi="Arial" w:cs="Arial"/>
                <w:sz w:val="20"/>
                <w:szCs w:val="20"/>
                <w:lang w:eastAsia="en-GB"/>
              </w:rPr>
              <w:t xml:space="preserve"> (Note 21</w:t>
            </w:r>
            <w:r w:rsidR="00D45EAB">
              <w:rPr>
                <w:rFonts w:ascii="Arial" w:eastAsia="Times New Roman" w:hAnsi="Arial" w:cs="Arial"/>
                <w:sz w:val="20"/>
                <w:szCs w:val="20"/>
                <w:lang w:eastAsia="en-GB"/>
              </w:rPr>
              <w:t>)</w:t>
            </w:r>
          </w:p>
        </w:tc>
        <w:tc>
          <w:tcPr>
            <w:tcW w:w="2025" w:type="dxa"/>
            <w:gridSpan w:val="2"/>
            <w:tcBorders>
              <w:top w:val="nil"/>
              <w:left w:val="nil"/>
              <w:bottom w:val="nil"/>
              <w:right w:val="nil"/>
            </w:tcBorders>
            <w:shd w:val="clear" w:color="auto" w:fill="auto"/>
            <w:noWrap/>
            <w:vAlign w:val="bottom"/>
            <w:hideMark/>
          </w:tcPr>
          <w:p w14:paraId="0D42521A" w14:textId="77777777" w:rsidR="005C26C8" w:rsidRPr="00543D10" w:rsidRDefault="005C26C8" w:rsidP="0061265C">
            <w:pPr>
              <w:spacing w:after="0" w:line="240" w:lineRule="auto"/>
              <w:rPr>
                <w:rFonts w:ascii="Arial" w:eastAsia="Times New Roman" w:hAnsi="Arial" w:cs="Arial"/>
                <w:sz w:val="20"/>
                <w:szCs w:val="20"/>
                <w:lang w:eastAsia="en-GB"/>
              </w:rPr>
            </w:pPr>
          </w:p>
        </w:tc>
        <w:tc>
          <w:tcPr>
            <w:tcW w:w="1393" w:type="dxa"/>
            <w:tcBorders>
              <w:top w:val="nil"/>
              <w:left w:val="nil"/>
              <w:bottom w:val="nil"/>
              <w:right w:val="nil"/>
            </w:tcBorders>
            <w:shd w:val="clear" w:color="auto" w:fill="auto"/>
            <w:noWrap/>
            <w:vAlign w:val="bottom"/>
          </w:tcPr>
          <w:p w14:paraId="4454676B" w14:textId="77777777" w:rsidR="005C26C8" w:rsidRPr="00543D10" w:rsidRDefault="004E6DCD" w:rsidP="0061265C">
            <w:pPr>
              <w:spacing w:after="0" w:line="240" w:lineRule="auto"/>
              <w:jc w:val="right"/>
              <w:rPr>
                <w:rFonts w:ascii="Arial" w:eastAsia="Times New Roman" w:hAnsi="Arial" w:cs="Arial"/>
                <w:b/>
                <w:bCs/>
                <w:sz w:val="20"/>
                <w:szCs w:val="20"/>
                <w:highlight w:val="yellow"/>
                <w:lang w:eastAsia="en-GB"/>
              </w:rPr>
            </w:pPr>
            <w:r w:rsidRPr="00A558F1">
              <w:rPr>
                <w:rFonts w:ascii="Arial" w:eastAsia="Times New Roman" w:hAnsi="Arial" w:cs="Arial"/>
                <w:b/>
                <w:bCs/>
                <w:sz w:val="20"/>
                <w:szCs w:val="20"/>
                <w:lang w:eastAsia="en-GB"/>
              </w:rPr>
              <w:t>(1,545)</w:t>
            </w:r>
          </w:p>
        </w:tc>
        <w:tc>
          <w:tcPr>
            <w:tcW w:w="1700" w:type="dxa"/>
            <w:gridSpan w:val="2"/>
            <w:tcBorders>
              <w:top w:val="nil"/>
              <w:left w:val="nil"/>
              <w:bottom w:val="nil"/>
              <w:right w:val="nil"/>
            </w:tcBorders>
            <w:shd w:val="clear" w:color="auto" w:fill="auto"/>
            <w:noWrap/>
            <w:vAlign w:val="bottom"/>
            <w:hideMark/>
          </w:tcPr>
          <w:p w14:paraId="751041A5" w14:textId="77777777" w:rsidR="005C26C8" w:rsidRPr="00E94AEA" w:rsidRDefault="005C26C8" w:rsidP="0061265C">
            <w:pPr>
              <w:spacing w:after="0" w:line="240" w:lineRule="auto"/>
              <w:jc w:val="right"/>
              <w:rPr>
                <w:rFonts w:ascii="Arial" w:eastAsia="Times New Roman" w:hAnsi="Arial" w:cs="Arial"/>
                <w:sz w:val="20"/>
                <w:szCs w:val="20"/>
                <w:lang w:eastAsia="en-GB"/>
              </w:rPr>
            </w:pPr>
            <w:r w:rsidRPr="00E94AEA">
              <w:rPr>
                <w:rFonts w:ascii="Arial" w:eastAsia="Times New Roman" w:hAnsi="Arial" w:cs="Arial"/>
                <w:bCs/>
                <w:sz w:val="20"/>
                <w:szCs w:val="20"/>
                <w:lang w:eastAsia="en-GB"/>
              </w:rPr>
              <w:t>(3,304)</w:t>
            </w:r>
          </w:p>
        </w:tc>
      </w:tr>
      <w:tr w:rsidR="005C26C8" w:rsidRPr="00543D10" w14:paraId="5FB07D85" w14:textId="77777777" w:rsidTr="003E4FA9">
        <w:trPr>
          <w:gridAfter w:val="1"/>
          <w:wAfter w:w="5419" w:type="dxa"/>
          <w:trHeight w:val="309"/>
        </w:trPr>
        <w:tc>
          <w:tcPr>
            <w:tcW w:w="4106" w:type="dxa"/>
            <w:tcBorders>
              <w:top w:val="nil"/>
              <w:left w:val="nil"/>
              <w:bottom w:val="nil"/>
              <w:right w:val="nil"/>
            </w:tcBorders>
            <w:shd w:val="clear" w:color="auto" w:fill="auto"/>
            <w:noWrap/>
            <w:vAlign w:val="bottom"/>
            <w:hideMark/>
          </w:tcPr>
          <w:p w14:paraId="77825673" w14:textId="77777777" w:rsidR="005C26C8" w:rsidRPr="00543D10" w:rsidRDefault="005C26C8" w:rsidP="0061265C">
            <w:pPr>
              <w:spacing w:after="0" w:line="240" w:lineRule="auto"/>
              <w:rPr>
                <w:rFonts w:ascii="Arial" w:eastAsia="Times New Roman" w:hAnsi="Arial" w:cs="Arial"/>
                <w:b/>
                <w:sz w:val="20"/>
                <w:szCs w:val="20"/>
                <w:lang w:eastAsia="en-GB"/>
              </w:rPr>
            </w:pPr>
            <w:r w:rsidRPr="00543D10">
              <w:rPr>
                <w:rFonts w:ascii="Arial" w:eastAsia="Times New Roman" w:hAnsi="Arial" w:cs="Arial"/>
                <w:b/>
                <w:sz w:val="20"/>
                <w:szCs w:val="20"/>
                <w:lang w:eastAsia="en-GB"/>
              </w:rPr>
              <w:t>Total</w:t>
            </w:r>
          </w:p>
        </w:tc>
        <w:tc>
          <w:tcPr>
            <w:tcW w:w="2025" w:type="dxa"/>
            <w:gridSpan w:val="2"/>
            <w:tcBorders>
              <w:top w:val="nil"/>
              <w:left w:val="nil"/>
              <w:bottom w:val="nil"/>
              <w:right w:val="nil"/>
            </w:tcBorders>
            <w:shd w:val="clear" w:color="auto" w:fill="auto"/>
            <w:noWrap/>
            <w:vAlign w:val="bottom"/>
            <w:hideMark/>
          </w:tcPr>
          <w:p w14:paraId="5E3B5F61" w14:textId="77777777" w:rsidR="005C26C8" w:rsidRPr="00543D10" w:rsidRDefault="005C26C8" w:rsidP="0061265C">
            <w:pPr>
              <w:spacing w:after="0" w:line="240" w:lineRule="auto"/>
              <w:rPr>
                <w:rFonts w:ascii="Arial" w:eastAsia="Times New Roman" w:hAnsi="Arial" w:cs="Arial"/>
                <w:sz w:val="20"/>
                <w:szCs w:val="20"/>
                <w:lang w:eastAsia="en-GB"/>
              </w:rPr>
            </w:pPr>
          </w:p>
        </w:tc>
        <w:tc>
          <w:tcPr>
            <w:tcW w:w="1393" w:type="dxa"/>
            <w:tcBorders>
              <w:top w:val="single" w:sz="4" w:space="0" w:color="auto"/>
              <w:left w:val="nil"/>
              <w:bottom w:val="double" w:sz="6" w:space="0" w:color="auto"/>
              <w:right w:val="nil"/>
            </w:tcBorders>
            <w:shd w:val="clear" w:color="auto" w:fill="auto"/>
            <w:noWrap/>
            <w:vAlign w:val="bottom"/>
          </w:tcPr>
          <w:p w14:paraId="26C6F1C5" w14:textId="77777777" w:rsidR="005C26C8" w:rsidRPr="00543D10" w:rsidRDefault="004E6DCD" w:rsidP="0061265C">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217,5</w:t>
            </w:r>
            <w:r w:rsidR="00BA11DA">
              <w:rPr>
                <w:rFonts w:ascii="Arial" w:eastAsia="Times New Roman" w:hAnsi="Arial" w:cs="Arial"/>
                <w:b/>
                <w:bCs/>
                <w:sz w:val="20"/>
                <w:szCs w:val="20"/>
                <w:lang w:eastAsia="en-GB"/>
              </w:rPr>
              <w:t>33</w:t>
            </w:r>
          </w:p>
        </w:tc>
        <w:tc>
          <w:tcPr>
            <w:tcW w:w="1700" w:type="dxa"/>
            <w:gridSpan w:val="2"/>
            <w:tcBorders>
              <w:top w:val="single" w:sz="4" w:space="0" w:color="auto"/>
              <w:left w:val="nil"/>
              <w:bottom w:val="double" w:sz="6" w:space="0" w:color="auto"/>
              <w:right w:val="nil"/>
            </w:tcBorders>
            <w:shd w:val="clear" w:color="auto" w:fill="auto"/>
            <w:noWrap/>
            <w:vAlign w:val="bottom"/>
            <w:hideMark/>
          </w:tcPr>
          <w:p w14:paraId="3935CAC3" w14:textId="77777777" w:rsidR="005C26C8" w:rsidRPr="00E94AEA" w:rsidRDefault="005C26C8" w:rsidP="0061265C">
            <w:pPr>
              <w:spacing w:after="0" w:line="240" w:lineRule="auto"/>
              <w:jc w:val="right"/>
              <w:rPr>
                <w:rFonts w:ascii="Arial" w:eastAsia="Times New Roman" w:hAnsi="Arial" w:cs="Arial"/>
                <w:sz w:val="20"/>
                <w:szCs w:val="20"/>
                <w:lang w:eastAsia="en-GB"/>
              </w:rPr>
            </w:pPr>
            <w:r w:rsidRPr="00E94AEA">
              <w:rPr>
                <w:rFonts w:ascii="Arial" w:eastAsia="Times New Roman" w:hAnsi="Arial" w:cs="Arial"/>
                <w:bCs/>
                <w:sz w:val="20"/>
                <w:szCs w:val="20"/>
                <w:lang w:eastAsia="en-GB"/>
              </w:rPr>
              <w:t>224,799</w:t>
            </w:r>
          </w:p>
        </w:tc>
      </w:tr>
      <w:tr w:rsidR="001C27FA" w:rsidRPr="00543D10" w14:paraId="685E6AEC" w14:textId="77777777" w:rsidTr="001A34A2">
        <w:trPr>
          <w:gridAfter w:val="1"/>
          <w:wAfter w:w="5419" w:type="dxa"/>
          <w:trHeight w:val="309"/>
        </w:trPr>
        <w:tc>
          <w:tcPr>
            <w:tcW w:w="9224" w:type="dxa"/>
            <w:gridSpan w:val="6"/>
            <w:tcBorders>
              <w:top w:val="nil"/>
              <w:left w:val="nil"/>
              <w:bottom w:val="nil"/>
            </w:tcBorders>
            <w:shd w:val="clear" w:color="auto" w:fill="auto"/>
            <w:noWrap/>
            <w:vAlign w:val="bottom"/>
            <w:hideMark/>
          </w:tcPr>
          <w:p w14:paraId="10CC39A0" w14:textId="77777777" w:rsidR="001C27FA" w:rsidRDefault="001C27FA" w:rsidP="00E51CA0">
            <w:pPr>
              <w:spacing w:after="0" w:line="240" w:lineRule="auto"/>
              <w:rPr>
                <w:rFonts w:ascii="Times New Roman" w:eastAsia="Times New Roman" w:hAnsi="Times New Roman" w:cs="Times New Roman"/>
                <w:sz w:val="20"/>
                <w:szCs w:val="20"/>
                <w:lang w:eastAsia="en-GB"/>
              </w:rPr>
            </w:pPr>
          </w:p>
          <w:p w14:paraId="05CB6E98" w14:textId="77777777" w:rsidR="001C27FA" w:rsidRPr="00161381" w:rsidRDefault="001C27FA" w:rsidP="006C1142">
            <w:pPr>
              <w:spacing w:after="0" w:line="240" w:lineRule="auto"/>
              <w:rPr>
                <w:rFonts w:ascii="Arial" w:eastAsia="Times New Roman" w:hAnsi="Arial" w:cs="Arial"/>
                <w:sz w:val="20"/>
                <w:szCs w:val="20"/>
                <w:lang w:eastAsia="en-GB"/>
              </w:rPr>
            </w:pPr>
            <w:r w:rsidRPr="00161381">
              <w:rPr>
                <w:rFonts w:ascii="Arial" w:eastAsia="Times New Roman" w:hAnsi="Arial" w:cs="Arial"/>
                <w:sz w:val="20"/>
                <w:szCs w:val="20"/>
                <w:lang w:eastAsia="en-GB"/>
              </w:rPr>
              <w:t xml:space="preserve">Costs in the year ended </w:t>
            </w:r>
            <w:r>
              <w:rPr>
                <w:rFonts w:ascii="Arial" w:eastAsia="Times New Roman" w:hAnsi="Arial" w:cs="Arial"/>
                <w:sz w:val="20"/>
                <w:szCs w:val="20"/>
                <w:lang w:eastAsia="en-GB"/>
              </w:rPr>
              <w:t xml:space="preserve">31 August 2019 were </w:t>
            </w:r>
            <w:r w:rsidR="003A24E5">
              <w:rPr>
                <w:rFonts w:ascii="Arial" w:eastAsia="Times New Roman" w:hAnsi="Arial" w:cs="Arial"/>
                <w:sz w:val="20"/>
                <w:szCs w:val="20"/>
                <w:lang w:eastAsia="en-GB"/>
              </w:rPr>
              <w:t xml:space="preserve">restated to better reflect the </w:t>
            </w:r>
            <w:r w:rsidR="00444B94">
              <w:rPr>
                <w:rFonts w:ascii="Arial" w:eastAsia="Times New Roman" w:hAnsi="Arial" w:cs="Arial"/>
                <w:sz w:val="20"/>
                <w:szCs w:val="20"/>
                <w:lang w:eastAsia="en-GB"/>
              </w:rPr>
              <w:t>split between Raw Materials and Consumables &amp; Other Operating Costs</w:t>
            </w:r>
            <w:r w:rsidR="006C1142">
              <w:rPr>
                <w:rFonts w:ascii="Arial" w:eastAsia="Times New Roman" w:hAnsi="Arial" w:cs="Arial"/>
                <w:sz w:val="20"/>
                <w:szCs w:val="20"/>
                <w:lang w:eastAsia="en-GB"/>
              </w:rPr>
              <w:t xml:space="preserve">. The restatement increases </w:t>
            </w:r>
            <w:r w:rsidR="00AF15E5" w:rsidRPr="006C1142">
              <w:rPr>
                <w:rFonts w:ascii="Arial" w:eastAsia="Times New Roman" w:hAnsi="Arial" w:cs="Arial"/>
                <w:sz w:val="20"/>
                <w:szCs w:val="20"/>
                <w:lang w:eastAsia="en-GB"/>
              </w:rPr>
              <w:t>Raw Materials and Consumables</w:t>
            </w:r>
            <w:r w:rsidR="006C1142" w:rsidRPr="006C1142">
              <w:rPr>
                <w:rFonts w:ascii="Arial" w:eastAsia="Times New Roman" w:hAnsi="Arial" w:cs="Arial"/>
                <w:sz w:val="20"/>
                <w:szCs w:val="20"/>
                <w:lang w:eastAsia="en-GB"/>
              </w:rPr>
              <w:t xml:space="preserve"> by</w:t>
            </w:r>
            <w:r w:rsidR="00AF15E5" w:rsidRPr="006C1142">
              <w:rPr>
                <w:rFonts w:ascii="Arial" w:eastAsia="Times New Roman" w:hAnsi="Arial" w:cs="Arial"/>
                <w:sz w:val="20"/>
                <w:szCs w:val="20"/>
                <w:lang w:eastAsia="en-GB"/>
              </w:rPr>
              <w:t xml:space="preserve"> £</w:t>
            </w:r>
            <w:r w:rsidR="00156C19" w:rsidRPr="006C1142">
              <w:rPr>
                <w:rFonts w:ascii="Arial" w:eastAsia="Times New Roman" w:hAnsi="Arial" w:cs="Arial"/>
                <w:sz w:val="20"/>
                <w:szCs w:val="20"/>
                <w:lang w:eastAsia="en-GB"/>
              </w:rPr>
              <w:t>7,142</w:t>
            </w:r>
            <w:r w:rsidR="00AF15E5" w:rsidRPr="006C1142">
              <w:rPr>
                <w:rFonts w:ascii="Arial" w:eastAsia="Times New Roman" w:hAnsi="Arial" w:cs="Arial"/>
                <w:sz w:val="20"/>
                <w:szCs w:val="20"/>
                <w:lang w:eastAsia="en-GB"/>
              </w:rPr>
              <w:t>K.</w:t>
            </w:r>
            <w:r w:rsidR="00156C19" w:rsidRPr="006C1142">
              <w:rPr>
                <w:rFonts w:ascii="Arial" w:eastAsia="Times New Roman" w:hAnsi="Arial" w:cs="Arial"/>
                <w:sz w:val="20"/>
                <w:szCs w:val="20"/>
                <w:lang w:eastAsia="en-GB"/>
              </w:rPr>
              <w:t xml:space="preserve"> </w:t>
            </w:r>
            <w:proofErr w:type="gramStart"/>
            <w:r w:rsidR="006C1142" w:rsidRPr="006C1142">
              <w:rPr>
                <w:rFonts w:ascii="Arial" w:eastAsia="Times New Roman" w:hAnsi="Arial" w:cs="Arial"/>
                <w:sz w:val="20"/>
                <w:szCs w:val="20"/>
                <w:lang w:eastAsia="en-GB"/>
              </w:rPr>
              <w:t>and</w:t>
            </w:r>
            <w:proofErr w:type="gramEnd"/>
            <w:r w:rsidR="006C1142" w:rsidRPr="006C1142">
              <w:rPr>
                <w:rFonts w:ascii="Arial" w:eastAsia="Times New Roman" w:hAnsi="Arial" w:cs="Arial"/>
                <w:sz w:val="20"/>
                <w:szCs w:val="20"/>
                <w:lang w:eastAsia="en-GB"/>
              </w:rPr>
              <w:t xml:space="preserve"> reduces </w:t>
            </w:r>
            <w:r w:rsidR="00156C19" w:rsidRPr="006C1142">
              <w:rPr>
                <w:rFonts w:ascii="Arial" w:eastAsia="Times New Roman" w:hAnsi="Arial" w:cs="Arial"/>
                <w:sz w:val="20"/>
                <w:szCs w:val="20"/>
                <w:lang w:eastAsia="en-GB"/>
              </w:rPr>
              <w:t>Other Operating Costs</w:t>
            </w:r>
            <w:r w:rsidR="006C1142" w:rsidRPr="006C1142">
              <w:rPr>
                <w:rFonts w:ascii="Arial" w:eastAsia="Times New Roman" w:hAnsi="Arial" w:cs="Arial"/>
                <w:sz w:val="20"/>
                <w:szCs w:val="20"/>
                <w:lang w:eastAsia="en-GB"/>
              </w:rPr>
              <w:t xml:space="preserve"> by a correspondin</w:t>
            </w:r>
            <w:r w:rsidR="006C1142">
              <w:rPr>
                <w:rFonts w:ascii="Arial" w:eastAsia="Times New Roman" w:hAnsi="Arial" w:cs="Arial"/>
                <w:sz w:val="20"/>
                <w:szCs w:val="20"/>
                <w:lang w:eastAsia="en-GB"/>
              </w:rPr>
              <w:t>g amount.</w:t>
            </w:r>
          </w:p>
        </w:tc>
      </w:tr>
      <w:tr w:rsidR="00833243" w:rsidRPr="00543D10" w14:paraId="77D8DDCF" w14:textId="77777777" w:rsidTr="003E4FA9">
        <w:trPr>
          <w:gridAfter w:val="1"/>
          <w:wAfter w:w="5419" w:type="dxa"/>
          <w:trHeight w:val="309"/>
        </w:trPr>
        <w:tc>
          <w:tcPr>
            <w:tcW w:w="4106" w:type="dxa"/>
            <w:tcBorders>
              <w:top w:val="nil"/>
              <w:left w:val="nil"/>
              <w:bottom w:val="nil"/>
              <w:right w:val="nil"/>
            </w:tcBorders>
            <w:shd w:val="clear" w:color="auto" w:fill="auto"/>
            <w:noWrap/>
            <w:vAlign w:val="bottom"/>
          </w:tcPr>
          <w:p w14:paraId="0938D84C" w14:textId="77777777" w:rsidR="00833243" w:rsidRDefault="00833243" w:rsidP="00E51CA0">
            <w:pPr>
              <w:spacing w:after="0" w:line="240" w:lineRule="auto"/>
              <w:jc w:val="right"/>
              <w:rPr>
                <w:rFonts w:ascii="Arial" w:eastAsia="Times New Roman" w:hAnsi="Arial" w:cs="Arial"/>
                <w:sz w:val="20"/>
                <w:szCs w:val="20"/>
                <w:lang w:eastAsia="en-GB"/>
              </w:rPr>
            </w:pPr>
          </w:p>
          <w:p w14:paraId="64CE990C" w14:textId="77777777" w:rsidR="00833243" w:rsidRPr="00543D10" w:rsidRDefault="00833243" w:rsidP="00E51CA0">
            <w:pPr>
              <w:spacing w:after="0" w:line="240" w:lineRule="auto"/>
              <w:jc w:val="right"/>
              <w:rPr>
                <w:rFonts w:ascii="Arial" w:eastAsia="Times New Roman" w:hAnsi="Arial" w:cs="Arial"/>
                <w:sz w:val="20"/>
                <w:szCs w:val="20"/>
                <w:lang w:eastAsia="en-GB"/>
              </w:rPr>
            </w:pPr>
          </w:p>
        </w:tc>
        <w:tc>
          <w:tcPr>
            <w:tcW w:w="2025" w:type="dxa"/>
            <w:gridSpan w:val="2"/>
            <w:tcBorders>
              <w:top w:val="nil"/>
              <w:left w:val="nil"/>
              <w:bottom w:val="nil"/>
              <w:right w:val="nil"/>
            </w:tcBorders>
            <w:shd w:val="clear" w:color="auto" w:fill="auto"/>
            <w:noWrap/>
            <w:vAlign w:val="bottom"/>
          </w:tcPr>
          <w:p w14:paraId="64D25F76" w14:textId="77777777" w:rsidR="00833243" w:rsidRPr="00543D10" w:rsidRDefault="00833243" w:rsidP="00E51CA0">
            <w:pPr>
              <w:spacing w:after="0" w:line="240" w:lineRule="auto"/>
              <w:rPr>
                <w:rFonts w:ascii="Times New Roman" w:eastAsia="Times New Roman" w:hAnsi="Times New Roman" w:cs="Times New Roman"/>
                <w:sz w:val="20"/>
                <w:szCs w:val="20"/>
                <w:lang w:eastAsia="en-GB"/>
              </w:rPr>
            </w:pPr>
          </w:p>
        </w:tc>
        <w:tc>
          <w:tcPr>
            <w:tcW w:w="1393" w:type="dxa"/>
            <w:tcBorders>
              <w:top w:val="nil"/>
              <w:left w:val="nil"/>
              <w:bottom w:val="nil"/>
              <w:right w:val="nil"/>
            </w:tcBorders>
            <w:shd w:val="clear" w:color="auto" w:fill="auto"/>
            <w:noWrap/>
            <w:vAlign w:val="bottom"/>
          </w:tcPr>
          <w:p w14:paraId="75A5269A" w14:textId="77777777" w:rsidR="00833243" w:rsidRPr="00543D10" w:rsidRDefault="00833243" w:rsidP="00E51CA0">
            <w:pPr>
              <w:spacing w:after="0" w:line="240" w:lineRule="auto"/>
              <w:rPr>
                <w:rFonts w:ascii="Times New Roman" w:eastAsia="Times New Roman" w:hAnsi="Times New Roman" w:cs="Times New Roman"/>
                <w:sz w:val="20"/>
                <w:szCs w:val="20"/>
                <w:lang w:eastAsia="en-GB"/>
              </w:rPr>
            </w:pPr>
          </w:p>
        </w:tc>
        <w:tc>
          <w:tcPr>
            <w:tcW w:w="1700" w:type="dxa"/>
            <w:gridSpan w:val="2"/>
            <w:tcBorders>
              <w:top w:val="nil"/>
              <w:left w:val="nil"/>
              <w:bottom w:val="nil"/>
              <w:right w:val="nil"/>
            </w:tcBorders>
            <w:shd w:val="clear" w:color="auto" w:fill="auto"/>
            <w:noWrap/>
            <w:vAlign w:val="bottom"/>
          </w:tcPr>
          <w:p w14:paraId="5BC6E1FF" w14:textId="77777777" w:rsidR="00833243" w:rsidRPr="00543D10" w:rsidRDefault="00833243" w:rsidP="00E51CA0">
            <w:pPr>
              <w:spacing w:after="0" w:line="240" w:lineRule="auto"/>
              <w:rPr>
                <w:rFonts w:ascii="Times New Roman" w:eastAsia="Times New Roman" w:hAnsi="Times New Roman" w:cs="Times New Roman"/>
                <w:sz w:val="20"/>
                <w:szCs w:val="20"/>
                <w:lang w:eastAsia="en-GB"/>
              </w:rPr>
            </w:pPr>
          </w:p>
        </w:tc>
      </w:tr>
      <w:tr w:rsidR="003D5AF3" w:rsidRPr="003D5AF3" w14:paraId="0218C950" w14:textId="77777777" w:rsidTr="003E4FA9">
        <w:trPr>
          <w:trHeight w:val="323"/>
        </w:trPr>
        <w:tc>
          <w:tcPr>
            <w:tcW w:w="14643" w:type="dxa"/>
            <w:gridSpan w:val="7"/>
            <w:tcBorders>
              <w:top w:val="nil"/>
              <w:left w:val="nil"/>
              <w:bottom w:val="nil"/>
              <w:right w:val="nil"/>
            </w:tcBorders>
            <w:shd w:val="clear" w:color="auto" w:fill="auto"/>
            <w:noWrap/>
            <w:vAlign w:val="center"/>
            <w:hideMark/>
          </w:tcPr>
          <w:tbl>
            <w:tblPr>
              <w:tblW w:w="0" w:type="auto"/>
              <w:tblLook w:val="04A0" w:firstRow="1" w:lastRow="0" w:firstColumn="1" w:lastColumn="0" w:noHBand="0" w:noVBand="1"/>
            </w:tblPr>
            <w:tblGrid>
              <w:gridCol w:w="2380"/>
              <w:gridCol w:w="1217"/>
              <w:gridCol w:w="1060"/>
              <w:gridCol w:w="1060"/>
              <w:gridCol w:w="1295"/>
              <w:gridCol w:w="1117"/>
              <w:gridCol w:w="1060"/>
            </w:tblGrid>
            <w:tr w:rsidR="004A51B4" w:rsidRPr="004A51B4" w14:paraId="3294EE48" w14:textId="77777777" w:rsidTr="00161381">
              <w:trPr>
                <w:trHeight w:val="1020"/>
              </w:trPr>
              <w:tc>
                <w:tcPr>
                  <w:tcW w:w="2380" w:type="dxa"/>
                  <w:tcBorders>
                    <w:top w:val="nil"/>
                    <w:left w:val="nil"/>
                    <w:bottom w:val="nil"/>
                    <w:right w:val="nil"/>
                  </w:tcBorders>
                  <w:shd w:val="clear" w:color="auto" w:fill="auto"/>
                  <w:noWrap/>
                  <w:hideMark/>
                </w:tcPr>
                <w:p w14:paraId="55C236CC" w14:textId="77777777" w:rsidR="004A51B4" w:rsidRPr="004A51B4" w:rsidRDefault="004A51B4" w:rsidP="004A51B4">
                  <w:pPr>
                    <w:rPr>
                      <w:rFonts w:ascii="Times New Roman" w:eastAsia="Times New Roman" w:hAnsi="Times New Roman" w:cs="Times New Roman"/>
                      <w:sz w:val="24"/>
                      <w:szCs w:val="24"/>
                      <w:lang w:eastAsia="en-GB"/>
                    </w:rPr>
                  </w:pPr>
                </w:p>
              </w:tc>
              <w:tc>
                <w:tcPr>
                  <w:tcW w:w="1060" w:type="dxa"/>
                  <w:tcBorders>
                    <w:top w:val="nil"/>
                    <w:left w:val="nil"/>
                    <w:bottom w:val="nil"/>
                    <w:right w:val="nil"/>
                  </w:tcBorders>
                  <w:shd w:val="clear" w:color="auto" w:fill="auto"/>
                  <w:hideMark/>
                </w:tcPr>
                <w:p w14:paraId="16BD1FD5" w14:textId="77777777" w:rsidR="004A51B4" w:rsidRPr="004A51B4" w:rsidRDefault="004A51B4" w:rsidP="004A51B4">
                  <w:pPr>
                    <w:spacing w:after="0" w:line="240" w:lineRule="auto"/>
                    <w:jc w:val="right"/>
                    <w:rPr>
                      <w:rFonts w:ascii="Arial" w:eastAsia="Times New Roman" w:hAnsi="Arial" w:cs="Arial"/>
                      <w:color w:val="000000"/>
                      <w:sz w:val="20"/>
                      <w:szCs w:val="20"/>
                      <w:lang w:eastAsia="en-GB"/>
                    </w:rPr>
                  </w:pPr>
                  <w:r w:rsidRPr="004A51B4">
                    <w:rPr>
                      <w:rFonts w:ascii="Arial" w:eastAsia="Times New Roman" w:hAnsi="Arial" w:cs="Arial"/>
                      <w:color w:val="000000"/>
                      <w:sz w:val="20"/>
                      <w:szCs w:val="20"/>
                      <w:lang w:eastAsia="en-GB"/>
                    </w:rPr>
                    <w:t>Activities undertaken directly</w:t>
                  </w:r>
                </w:p>
              </w:tc>
              <w:tc>
                <w:tcPr>
                  <w:tcW w:w="1060" w:type="dxa"/>
                  <w:tcBorders>
                    <w:top w:val="nil"/>
                    <w:left w:val="nil"/>
                    <w:bottom w:val="nil"/>
                    <w:right w:val="nil"/>
                  </w:tcBorders>
                  <w:shd w:val="clear" w:color="auto" w:fill="auto"/>
                  <w:hideMark/>
                </w:tcPr>
                <w:p w14:paraId="707ADB2F" w14:textId="77777777" w:rsidR="004A51B4" w:rsidRPr="004A51B4" w:rsidRDefault="004A51B4" w:rsidP="004A51B4">
                  <w:pPr>
                    <w:spacing w:after="0" w:line="240" w:lineRule="auto"/>
                    <w:jc w:val="right"/>
                    <w:rPr>
                      <w:rFonts w:ascii="Arial" w:eastAsia="Times New Roman" w:hAnsi="Arial" w:cs="Arial"/>
                      <w:color w:val="000000"/>
                      <w:sz w:val="20"/>
                      <w:szCs w:val="20"/>
                      <w:lang w:eastAsia="en-GB"/>
                    </w:rPr>
                  </w:pPr>
                  <w:r w:rsidRPr="004A51B4">
                    <w:rPr>
                      <w:rFonts w:ascii="Arial" w:eastAsia="Times New Roman" w:hAnsi="Arial" w:cs="Arial"/>
                      <w:color w:val="000000"/>
                      <w:sz w:val="20"/>
                      <w:szCs w:val="20"/>
                      <w:lang w:eastAsia="en-GB"/>
                    </w:rPr>
                    <w:t>Support costs not directly allocated</w:t>
                  </w:r>
                </w:p>
              </w:tc>
              <w:tc>
                <w:tcPr>
                  <w:tcW w:w="1060" w:type="dxa"/>
                  <w:tcBorders>
                    <w:top w:val="nil"/>
                    <w:left w:val="nil"/>
                    <w:bottom w:val="nil"/>
                    <w:right w:val="nil"/>
                  </w:tcBorders>
                  <w:shd w:val="clear" w:color="auto" w:fill="auto"/>
                  <w:hideMark/>
                </w:tcPr>
                <w:p w14:paraId="34378BBE" w14:textId="77777777" w:rsidR="004A51B4" w:rsidRPr="004A51B4" w:rsidRDefault="004A51B4" w:rsidP="004A51B4">
                  <w:pPr>
                    <w:spacing w:after="0" w:line="240" w:lineRule="auto"/>
                    <w:jc w:val="right"/>
                    <w:rPr>
                      <w:rFonts w:ascii="Arial" w:eastAsia="Times New Roman" w:hAnsi="Arial" w:cs="Arial"/>
                      <w:b/>
                      <w:bCs/>
                      <w:color w:val="000000"/>
                      <w:sz w:val="20"/>
                      <w:szCs w:val="20"/>
                      <w:lang w:eastAsia="en-GB"/>
                    </w:rPr>
                  </w:pPr>
                  <w:r w:rsidRPr="004A51B4">
                    <w:rPr>
                      <w:rFonts w:ascii="Arial" w:eastAsia="Times New Roman" w:hAnsi="Arial" w:cs="Arial"/>
                      <w:b/>
                      <w:bCs/>
                      <w:color w:val="000000"/>
                      <w:sz w:val="20"/>
                      <w:szCs w:val="20"/>
                      <w:lang w:eastAsia="en-GB"/>
                    </w:rPr>
                    <w:t>2020 Total</w:t>
                  </w:r>
                </w:p>
              </w:tc>
              <w:tc>
                <w:tcPr>
                  <w:tcW w:w="1060" w:type="dxa"/>
                  <w:tcBorders>
                    <w:top w:val="nil"/>
                    <w:left w:val="nil"/>
                    <w:bottom w:val="nil"/>
                    <w:right w:val="nil"/>
                  </w:tcBorders>
                  <w:shd w:val="clear" w:color="auto" w:fill="auto"/>
                  <w:hideMark/>
                </w:tcPr>
                <w:p w14:paraId="51F8C0A1" w14:textId="77777777" w:rsidR="004A51B4" w:rsidRPr="004A51B4" w:rsidRDefault="004A51B4" w:rsidP="004A51B4">
                  <w:pPr>
                    <w:spacing w:after="0" w:line="240" w:lineRule="auto"/>
                    <w:jc w:val="right"/>
                    <w:rPr>
                      <w:rFonts w:ascii="Arial" w:eastAsia="Times New Roman" w:hAnsi="Arial" w:cs="Arial"/>
                      <w:color w:val="000000"/>
                      <w:sz w:val="20"/>
                      <w:szCs w:val="20"/>
                      <w:lang w:eastAsia="en-GB"/>
                    </w:rPr>
                  </w:pPr>
                  <w:r w:rsidRPr="004A51B4">
                    <w:rPr>
                      <w:rFonts w:ascii="Arial" w:eastAsia="Times New Roman" w:hAnsi="Arial" w:cs="Arial"/>
                      <w:color w:val="000000"/>
                      <w:sz w:val="20"/>
                      <w:szCs w:val="20"/>
                      <w:lang w:eastAsia="en-GB"/>
                    </w:rPr>
                    <w:t>2019 Unrestricted funds</w:t>
                  </w:r>
                </w:p>
              </w:tc>
              <w:tc>
                <w:tcPr>
                  <w:tcW w:w="1060" w:type="dxa"/>
                  <w:tcBorders>
                    <w:top w:val="nil"/>
                    <w:left w:val="nil"/>
                    <w:bottom w:val="nil"/>
                    <w:right w:val="nil"/>
                  </w:tcBorders>
                  <w:shd w:val="clear" w:color="auto" w:fill="auto"/>
                  <w:hideMark/>
                </w:tcPr>
                <w:p w14:paraId="4F02BAB4" w14:textId="77777777" w:rsidR="004A51B4" w:rsidRPr="004A51B4" w:rsidRDefault="004A51B4" w:rsidP="004A51B4">
                  <w:pPr>
                    <w:spacing w:after="0" w:line="240" w:lineRule="auto"/>
                    <w:jc w:val="right"/>
                    <w:rPr>
                      <w:rFonts w:ascii="Arial" w:eastAsia="Times New Roman" w:hAnsi="Arial" w:cs="Arial"/>
                      <w:color w:val="000000"/>
                      <w:sz w:val="20"/>
                      <w:szCs w:val="20"/>
                      <w:lang w:eastAsia="en-GB"/>
                    </w:rPr>
                  </w:pPr>
                  <w:r w:rsidRPr="004A51B4">
                    <w:rPr>
                      <w:rFonts w:ascii="Arial" w:eastAsia="Times New Roman" w:hAnsi="Arial" w:cs="Arial"/>
                      <w:color w:val="000000"/>
                      <w:sz w:val="20"/>
                      <w:szCs w:val="20"/>
                      <w:lang w:eastAsia="en-GB"/>
                    </w:rPr>
                    <w:t>2019 Restricted funds</w:t>
                  </w:r>
                </w:p>
              </w:tc>
              <w:tc>
                <w:tcPr>
                  <w:tcW w:w="1060" w:type="dxa"/>
                  <w:tcBorders>
                    <w:top w:val="nil"/>
                    <w:left w:val="nil"/>
                    <w:bottom w:val="nil"/>
                    <w:right w:val="nil"/>
                  </w:tcBorders>
                  <w:shd w:val="clear" w:color="auto" w:fill="auto"/>
                  <w:hideMark/>
                </w:tcPr>
                <w:p w14:paraId="36C1598B" w14:textId="77777777" w:rsidR="004A51B4" w:rsidRPr="004A51B4" w:rsidRDefault="004A51B4" w:rsidP="004A51B4">
                  <w:pPr>
                    <w:spacing w:after="0" w:line="240" w:lineRule="auto"/>
                    <w:jc w:val="right"/>
                    <w:rPr>
                      <w:rFonts w:ascii="Arial" w:eastAsia="Times New Roman" w:hAnsi="Arial" w:cs="Arial"/>
                      <w:color w:val="000000"/>
                      <w:sz w:val="20"/>
                      <w:szCs w:val="20"/>
                      <w:lang w:eastAsia="en-GB"/>
                    </w:rPr>
                  </w:pPr>
                  <w:r w:rsidRPr="004A51B4">
                    <w:rPr>
                      <w:rFonts w:ascii="Arial" w:eastAsia="Times New Roman" w:hAnsi="Arial" w:cs="Arial"/>
                      <w:color w:val="000000"/>
                      <w:sz w:val="20"/>
                      <w:szCs w:val="20"/>
                      <w:lang w:eastAsia="en-GB"/>
                    </w:rPr>
                    <w:t>2019 Total</w:t>
                  </w:r>
                </w:p>
              </w:tc>
            </w:tr>
            <w:tr w:rsidR="004A51B4" w:rsidRPr="004A51B4" w14:paraId="4D803052" w14:textId="77777777" w:rsidTr="00161381">
              <w:trPr>
                <w:trHeight w:val="315"/>
              </w:trPr>
              <w:tc>
                <w:tcPr>
                  <w:tcW w:w="2380" w:type="dxa"/>
                  <w:tcBorders>
                    <w:top w:val="nil"/>
                    <w:left w:val="nil"/>
                    <w:bottom w:val="single" w:sz="8" w:space="0" w:color="auto"/>
                    <w:right w:val="nil"/>
                  </w:tcBorders>
                  <w:shd w:val="clear" w:color="auto" w:fill="auto"/>
                  <w:noWrap/>
                  <w:hideMark/>
                </w:tcPr>
                <w:p w14:paraId="16861042" w14:textId="77777777" w:rsidR="004A51B4" w:rsidRPr="004A51B4" w:rsidRDefault="004A51B4" w:rsidP="004A51B4">
                  <w:pPr>
                    <w:spacing w:after="0" w:line="240" w:lineRule="auto"/>
                    <w:rPr>
                      <w:rFonts w:ascii="Arial" w:eastAsia="Times New Roman" w:hAnsi="Arial" w:cs="Arial"/>
                      <w:color w:val="000000"/>
                      <w:sz w:val="24"/>
                      <w:szCs w:val="24"/>
                      <w:lang w:eastAsia="en-GB"/>
                    </w:rPr>
                  </w:pPr>
                  <w:r w:rsidRPr="004A51B4">
                    <w:rPr>
                      <w:rFonts w:ascii="Arial" w:eastAsia="Times New Roman" w:hAnsi="Arial" w:cs="Arial"/>
                      <w:color w:val="000000"/>
                      <w:sz w:val="24"/>
                      <w:szCs w:val="24"/>
                      <w:lang w:eastAsia="en-GB"/>
                    </w:rPr>
                    <w:t> </w:t>
                  </w:r>
                </w:p>
              </w:tc>
              <w:tc>
                <w:tcPr>
                  <w:tcW w:w="1060" w:type="dxa"/>
                  <w:tcBorders>
                    <w:top w:val="nil"/>
                    <w:left w:val="nil"/>
                    <w:bottom w:val="single" w:sz="8" w:space="0" w:color="auto"/>
                    <w:right w:val="nil"/>
                  </w:tcBorders>
                  <w:shd w:val="clear" w:color="auto" w:fill="auto"/>
                  <w:noWrap/>
                  <w:vAlign w:val="center"/>
                  <w:hideMark/>
                </w:tcPr>
                <w:p w14:paraId="302A6E1F" w14:textId="77777777" w:rsidR="004A51B4" w:rsidRPr="004A51B4" w:rsidRDefault="004A51B4" w:rsidP="004A51B4">
                  <w:pPr>
                    <w:spacing w:after="0" w:line="240" w:lineRule="auto"/>
                    <w:jc w:val="right"/>
                    <w:rPr>
                      <w:rFonts w:ascii="Arial" w:eastAsia="Times New Roman" w:hAnsi="Arial" w:cs="Arial"/>
                      <w:color w:val="000000"/>
                      <w:sz w:val="20"/>
                      <w:szCs w:val="20"/>
                      <w:lang w:eastAsia="en-GB"/>
                    </w:rPr>
                  </w:pPr>
                  <w:r w:rsidRPr="004A51B4">
                    <w:rPr>
                      <w:rFonts w:ascii="Arial" w:eastAsia="Times New Roman" w:hAnsi="Arial" w:cs="Arial"/>
                      <w:color w:val="000000"/>
                      <w:sz w:val="20"/>
                      <w:szCs w:val="20"/>
                      <w:lang w:eastAsia="en-GB"/>
                    </w:rPr>
                    <w:t>£'000</w:t>
                  </w:r>
                </w:p>
              </w:tc>
              <w:tc>
                <w:tcPr>
                  <w:tcW w:w="1060" w:type="dxa"/>
                  <w:tcBorders>
                    <w:top w:val="nil"/>
                    <w:left w:val="nil"/>
                    <w:bottom w:val="single" w:sz="8" w:space="0" w:color="auto"/>
                    <w:right w:val="nil"/>
                  </w:tcBorders>
                  <w:shd w:val="clear" w:color="auto" w:fill="auto"/>
                  <w:noWrap/>
                  <w:vAlign w:val="center"/>
                  <w:hideMark/>
                </w:tcPr>
                <w:p w14:paraId="66CF734D" w14:textId="77777777" w:rsidR="004A51B4" w:rsidRPr="004A51B4" w:rsidRDefault="004A51B4" w:rsidP="004A51B4">
                  <w:pPr>
                    <w:spacing w:after="0" w:line="240" w:lineRule="auto"/>
                    <w:jc w:val="right"/>
                    <w:rPr>
                      <w:rFonts w:ascii="Arial" w:eastAsia="Times New Roman" w:hAnsi="Arial" w:cs="Arial"/>
                      <w:color w:val="000000"/>
                      <w:sz w:val="20"/>
                      <w:szCs w:val="20"/>
                      <w:lang w:eastAsia="en-GB"/>
                    </w:rPr>
                  </w:pPr>
                  <w:r w:rsidRPr="004A51B4">
                    <w:rPr>
                      <w:rFonts w:ascii="Arial" w:eastAsia="Times New Roman" w:hAnsi="Arial" w:cs="Arial"/>
                      <w:color w:val="000000"/>
                      <w:sz w:val="20"/>
                      <w:szCs w:val="20"/>
                      <w:lang w:eastAsia="en-GB"/>
                    </w:rPr>
                    <w:t>£'000</w:t>
                  </w:r>
                </w:p>
              </w:tc>
              <w:tc>
                <w:tcPr>
                  <w:tcW w:w="1060" w:type="dxa"/>
                  <w:tcBorders>
                    <w:top w:val="nil"/>
                    <w:left w:val="nil"/>
                    <w:bottom w:val="single" w:sz="8" w:space="0" w:color="auto"/>
                    <w:right w:val="nil"/>
                  </w:tcBorders>
                  <w:shd w:val="clear" w:color="auto" w:fill="auto"/>
                  <w:noWrap/>
                  <w:vAlign w:val="center"/>
                  <w:hideMark/>
                </w:tcPr>
                <w:p w14:paraId="3F873B39" w14:textId="77777777" w:rsidR="004A51B4" w:rsidRPr="004A51B4" w:rsidRDefault="004A51B4" w:rsidP="004A51B4">
                  <w:pPr>
                    <w:spacing w:after="0" w:line="240" w:lineRule="auto"/>
                    <w:jc w:val="right"/>
                    <w:rPr>
                      <w:rFonts w:ascii="Arial" w:eastAsia="Times New Roman" w:hAnsi="Arial" w:cs="Arial"/>
                      <w:b/>
                      <w:bCs/>
                      <w:color w:val="000000"/>
                      <w:sz w:val="20"/>
                      <w:szCs w:val="20"/>
                      <w:lang w:eastAsia="en-GB"/>
                    </w:rPr>
                  </w:pPr>
                  <w:r w:rsidRPr="004A51B4">
                    <w:rPr>
                      <w:rFonts w:ascii="Arial" w:eastAsia="Times New Roman" w:hAnsi="Arial" w:cs="Arial"/>
                      <w:b/>
                      <w:bCs/>
                      <w:color w:val="000000"/>
                      <w:sz w:val="20"/>
                      <w:szCs w:val="20"/>
                      <w:lang w:eastAsia="en-GB"/>
                    </w:rPr>
                    <w:t>£'000</w:t>
                  </w:r>
                </w:p>
              </w:tc>
              <w:tc>
                <w:tcPr>
                  <w:tcW w:w="1060" w:type="dxa"/>
                  <w:tcBorders>
                    <w:top w:val="nil"/>
                    <w:left w:val="nil"/>
                    <w:bottom w:val="single" w:sz="8" w:space="0" w:color="auto"/>
                    <w:right w:val="nil"/>
                  </w:tcBorders>
                  <w:shd w:val="clear" w:color="auto" w:fill="auto"/>
                  <w:noWrap/>
                  <w:vAlign w:val="center"/>
                  <w:hideMark/>
                </w:tcPr>
                <w:p w14:paraId="41F7C2EA" w14:textId="77777777" w:rsidR="004A51B4" w:rsidRPr="004A51B4" w:rsidRDefault="004A51B4" w:rsidP="004A51B4">
                  <w:pPr>
                    <w:spacing w:after="0" w:line="240" w:lineRule="auto"/>
                    <w:jc w:val="right"/>
                    <w:rPr>
                      <w:rFonts w:ascii="Arial" w:eastAsia="Times New Roman" w:hAnsi="Arial" w:cs="Arial"/>
                      <w:color w:val="000000"/>
                      <w:sz w:val="20"/>
                      <w:szCs w:val="20"/>
                      <w:lang w:eastAsia="en-GB"/>
                    </w:rPr>
                  </w:pPr>
                  <w:r w:rsidRPr="004A51B4">
                    <w:rPr>
                      <w:rFonts w:ascii="Arial" w:eastAsia="Times New Roman" w:hAnsi="Arial" w:cs="Arial"/>
                      <w:color w:val="000000"/>
                      <w:sz w:val="20"/>
                      <w:szCs w:val="20"/>
                      <w:lang w:eastAsia="en-GB"/>
                    </w:rPr>
                    <w:t>£'000</w:t>
                  </w:r>
                </w:p>
              </w:tc>
              <w:tc>
                <w:tcPr>
                  <w:tcW w:w="1060" w:type="dxa"/>
                  <w:tcBorders>
                    <w:top w:val="nil"/>
                    <w:left w:val="nil"/>
                    <w:bottom w:val="single" w:sz="8" w:space="0" w:color="auto"/>
                    <w:right w:val="nil"/>
                  </w:tcBorders>
                  <w:shd w:val="clear" w:color="auto" w:fill="auto"/>
                  <w:noWrap/>
                  <w:vAlign w:val="center"/>
                  <w:hideMark/>
                </w:tcPr>
                <w:p w14:paraId="58FD503E" w14:textId="77777777" w:rsidR="004A51B4" w:rsidRPr="004A51B4" w:rsidRDefault="004A51B4" w:rsidP="004A51B4">
                  <w:pPr>
                    <w:spacing w:after="0" w:line="240" w:lineRule="auto"/>
                    <w:jc w:val="right"/>
                    <w:rPr>
                      <w:rFonts w:ascii="Arial" w:eastAsia="Times New Roman" w:hAnsi="Arial" w:cs="Arial"/>
                      <w:color w:val="000000"/>
                      <w:sz w:val="20"/>
                      <w:szCs w:val="20"/>
                      <w:lang w:eastAsia="en-GB"/>
                    </w:rPr>
                  </w:pPr>
                  <w:r w:rsidRPr="004A51B4">
                    <w:rPr>
                      <w:rFonts w:ascii="Arial" w:eastAsia="Times New Roman" w:hAnsi="Arial" w:cs="Arial"/>
                      <w:color w:val="000000"/>
                      <w:sz w:val="20"/>
                      <w:szCs w:val="20"/>
                      <w:lang w:eastAsia="en-GB"/>
                    </w:rPr>
                    <w:t>£'000</w:t>
                  </w:r>
                </w:p>
              </w:tc>
              <w:tc>
                <w:tcPr>
                  <w:tcW w:w="1060" w:type="dxa"/>
                  <w:tcBorders>
                    <w:top w:val="nil"/>
                    <w:left w:val="nil"/>
                    <w:bottom w:val="single" w:sz="8" w:space="0" w:color="auto"/>
                    <w:right w:val="nil"/>
                  </w:tcBorders>
                  <w:shd w:val="clear" w:color="auto" w:fill="auto"/>
                  <w:noWrap/>
                  <w:vAlign w:val="center"/>
                  <w:hideMark/>
                </w:tcPr>
                <w:p w14:paraId="08FC2E12" w14:textId="77777777" w:rsidR="004A51B4" w:rsidRPr="004A51B4" w:rsidRDefault="004A51B4" w:rsidP="004A51B4">
                  <w:pPr>
                    <w:spacing w:after="0" w:line="240" w:lineRule="auto"/>
                    <w:jc w:val="right"/>
                    <w:rPr>
                      <w:rFonts w:ascii="Arial" w:eastAsia="Times New Roman" w:hAnsi="Arial" w:cs="Arial"/>
                      <w:color w:val="000000"/>
                      <w:sz w:val="20"/>
                      <w:szCs w:val="20"/>
                      <w:lang w:eastAsia="en-GB"/>
                    </w:rPr>
                  </w:pPr>
                  <w:r w:rsidRPr="004A51B4">
                    <w:rPr>
                      <w:rFonts w:ascii="Arial" w:eastAsia="Times New Roman" w:hAnsi="Arial" w:cs="Arial"/>
                      <w:color w:val="000000"/>
                      <w:sz w:val="20"/>
                      <w:szCs w:val="20"/>
                      <w:lang w:eastAsia="en-GB"/>
                    </w:rPr>
                    <w:t>£'000</w:t>
                  </w:r>
                </w:p>
              </w:tc>
            </w:tr>
            <w:tr w:rsidR="004A51B4" w:rsidRPr="004A51B4" w14:paraId="4D9BDD85" w14:textId="77777777" w:rsidTr="00161381">
              <w:trPr>
                <w:trHeight w:val="300"/>
              </w:trPr>
              <w:tc>
                <w:tcPr>
                  <w:tcW w:w="2380" w:type="dxa"/>
                  <w:tcBorders>
                    <w:top w:val="nil"/>
                    <w:left w:val="nil"/>
                    <w:bottom w:val="nil"/>
                    <w:right w:val="nil"/>
                  </w:tcBorders>
                  <w:shd w:val="clear" w:color="auto" w:fill="auto"/>
                  <w:hideMark/>
                </w:tcPr>
                <w:p w14:paraId="49CA9414" w14:textId="77777777" w:rsidR="004A51B4" w:rsidRPr="004A51B4" w:rsidRDefault="004A51B4" w:rsidP="004A51B4">
                  <w:pPr>
                    <w:spacing w:after="0" w:line="240" w:lineRule="auto"/>
                    <w:rPr>
                      <w:rFonts w:ascii="Arial" w:eastAsia="Times New Roman" w:hAnsi="Arial" w:cs="Arial"/>
                      <w:b/>
                      <w:bCs/>
                      <w:color w:val="000000"/>
                      <w:sz w:val="20"/>
                      <w:szCs w:val="20"/>
                      <w:lang w:eastAsia="en-GB"/>
                    </w:rPr>
                  </w:pPr>
                  <w:r w:rsidRPr="004A51B4">
                    <w:rPr>
                      <w:rFonts w:ascii="Arial" w:eastAsia="Times New Roman" w:hAnsi="Arial" w:cs="Arial"/>
                      <w:b/>
                      <w:bCs/>
                      <w:color w:val="000000"/>
                      <w:sz w:val="20"/>
                      <w:szCs w:val="20"/>
                      <w:lang w:eastAsia="en-GB"/>
                    </w:rPr>
                    <w:t>Raising Funds</w:t>
                  </w:r>
                </w:p>
              </w:tc>
              <w:tc>
                <w:tcPr>
                  <w:tcW w:w="1060" w:type="dxa"/>
                  <w:tcBorders>
                    <w:top w:val="nil"/>
                    <w:left w:val="nil"/>
                    <w:bottom w:val="nil"/>
                    <w:right w:val="nil"/>
                  </w:tcBorders>
                  <w:shd w:val="clear" w:color="auto" w:fill="auto"/>
                  <w:noWrap/>
                  <w:vAlign w:val="center"/>
                  <w:hideMark/>
                </w:tcPr>
                <w:p w14:paraId="7B9F9861" w14:textId="77777777" w:rsidR="004A51B4" w:rsidRPr="004A51B4" w:rsidRDefault="004A51B4" w:rsidP="004A51B4">
                  <w:pPr>
                    <w:spacing w:after="0" w:line="240" w:lineRule="auto"/>
                    <w:rPr>
                      <w:rFonts w:ascii="Arial" w:eastAsia="Times New Roman" w:hAnsi="Arial" w:cs="Arial"/>
                      <w:b/>
                      <w:bCs/>
                      <w:color w:val="000000"/>
                      <w:sz w:val="20"/>
                      <w:szCs w:val="20"/>
                      <w:lang w:eastAsia="en-GB"/>
                    </w:rPr>
                  </w:pPr>
                </w:p>
              </w:tc>
              <w:tc>
                <w:tcPr>
                  <w:tcW w:w="1060" w:type="dxa"/>
                  <w:tcBorders>
                    <w:top w:val="nil"/>
                    <w:left w:val="nil"/>
                    <w:bottom w:val="nil"/>
                    <w:right w:val="nil"/>
                  </w:tcBorders>
                  <w:shd w:val="clear" w:color="auto" w:fill="auto"/>
                  <w:noWrap/>
                  <w:vAlign w:val="center"/>
                  <w:hideMark/>
                </w:tcPr>
                <w:p w14:paraId="34A5CEA1" w14:textId="77777777" w:rsidR="004A51B4" w:rsidRPr="004A51B4" w:rsidRDefault="004A51B4" w:rsidP="004A51B4">
                  <w:pPr>
                    <w:spacing w:after="0" w:line="240" w:lineRule="auto"/>
                    <w:rPr>
                      <w:rFonts w:ascii="Calibri" w:eastAsia="Times New Roman" w:hAnsi="Calibri" w:cs="Calibri"/>
                      <w:color w:val="000000"/>
                      <w:lang w:eastAsia="en-GB"/>
                    </w:rPr>
                  </w:pPr>
                  <w:r w:rsidRPr="004A51B4">
                    <w:rPr>
                      <w:rFonts w:ascii="Calibri" w:eastAsia="Times New Roman" w:hAnsi="Calibri" w:cs="Calibri"/>
                      <w:color w:val="000000"/>
                      <w:lang w:eastAsia="en-GB"/>
                    </w:rPr>
                    <w:t> </w:t>
                  </w:r>
                </w:p>
              </w:tc>
              <w:tc>
                <w:tcPr>
                  <w:tcW w:w="1060" w:type="dxa"/>
                  <w:tcBorders>
                    <w:top w:val="nil"/>
                    <w:left w:val="nil"/>
                    <w:bottom w:val="nil"/>
                    <w:right w:val="nil"/>
                  </w:tcBorders>
                  <w:shd w:val="clear" w:color="auto" w:fill="auto"/>
                  <w:noWrap/>
                  <w:vAlign w:val="center"/>
                  <w:hideMark/>
                </w:tcPr>
                <w:p w14:paraId="57F4C709" w14:textId="77777777" w:rsidR="004A51B4" w:rsidRPr="004A51B4" w:rsidRDefault="004A51B4" w:rsidP="004A51B4">
                  <w:pPr>
                    <w:spacing w:after="0" w:line="240" w:lineRule="auto"/>
                    <w:rPr>
                      <w:rFonts w:ascii="Calibri" w:eastAsia="Times New Roman" w:hAnsi="Calibri" w:cs="Calibri"/>
                      <w:b/>
                      <w:bCs/>
                      <w:color w:val="000000"/>
                      <w:lang w:eastAsia="en-GB"/>
                    </w:rPr>
                  </w:pPr>
                  <w:r w:rsidRPr="004A51B4">
                    <w:rPr>
                      <w:rFonts w:ascii="Calibri" w:eastAsia="Times New Roman" w:hAnsi="Calibri" w:cs="Calibri"/>
                      <w:b/>
                      <w:bCs/>
                      <w:color w:val="000000"/>
                      <w:lang w:eastAsia="en-GB"/>
                    </w:rPr>
                    <w:t> </w:t>
                  </w:r>
                </w:p>
              </w:tc>
              <w:tc>
                <w:tcPr>
                  <w:tcW w:w="1060" w:type="dxa"/>
                  <w:tcBorders>
                    <w:top w:val="nil"/>
                    <w:left w:val="nil"/>
                    <w:bottom w:val="nil"/>
                    <w:right w:val="nil"/>
                  </w:tcBorders>
                  <w:shd w:val="clear" w:color="auto" w:fill="auto"/>
                  <w:noWrap/>
                  <w:vAlign w:val="center"/>
                  <w:hideMark/>
                </w:tcPr>
                <w:p w14:paraId="64848839" w14:textId="77777777" w:rsidR="004A51B4" w:rsidRPr="004A51B4" w:rsidRDefault="004A51B4" w:rsidP="004A51B4">
                  <w:pPr>
                    <w:spacing w:after="0" w:line="240" w:lineRule="auto"/>
                    <w:rPr>
                      <w:rFonts w:ascii="Calibri" w:eastAsia="Times New Roman" w:hAnsi="Calibri" w:cs="Calibri"/>
                      <w:color w:val="000000"/>
                      <w:lang w:eastAsia="en-GB"/>
                    </w:rPr>
                  </w:pPr>
                  <w:r w:rsidRPr="004A51B4">
                    <w:rPr>
                      <w:rFonts w:ascii="Calibri" w:eastAsia="Times New Roman" w:hAnsi="Calibri" w:cs="Calibri"/>
                      <w:color w:val="000000"/>
                      <w:lang w:eastAsia="en-GB"/>
                    </w:rPr>
                    <w:t> </w:t>
                  </w:r>
                </w:p>
              </w:tc>
              <w:tc>
                <w:tcPr>
                  <w:tcW w:w="1060" w:type="dxa"/>
                  <w:tcBorders>
                    <w:top w:val="nil"/>
                    <w:left w:val="nil"/>
                    <w:bottom w:val="nil"/>
                    <w:right w:val="nil"/>
                  </w:tcBorders>
                  <w:shd w:val="clear" w:color="auto" w:fill="auto"/>
                  <w:noWrap/>
                  <w:vAlign w:val="center"/>
                  <w:hideMark/>
                </w:tcPr>
                <w:p w14:paraId="4B6AD862" w14:textId="77777777" w:rsidR="004A51B4" w:rsidRPr="004A51B4" w:rsidRDefault="004A51B4" w:rsidP="004A51B4">
                  <w:pPr>
                    <w:spacing w:after="0" w:line="240" w:lineRule="auto"/>
                    <w:rPr>
                      <w:rFonts w:ascii="Calibri" w:eastAsia="Times New Roman" w:hAnsi="Calibri" w:cs="Calibri"/>
                      <w:color w:val="000000"/>
                      <w:lang w:eastAsia="en-GB"/>
                    </w:rPr>
                  </w:pPr>
                  <w:r w:rsidRPr="004A51B4">
                    <w:rPr>
                      <w:rFonts w:ascii="Calibri" w:eastAsia="Times New Roman" w:hAnsi="Calibri" w:cs="Calibri"/>
                      <w:color w:val="000000"/>
                      <w:lang w:eastAsia="en-GB"/>
                    </w:rPr>
                    <w:t> </w:t>
                  </w:r>
                </w:p>
              </w:tc>
              <w:tc>
                <w:tcPr>
                  <w:tcW w:w="1060" w:type="dxa"/>
                  <w:tcBorders>
                    <w:top w:val="nil"/>
                    <w:left w:val="nil"/>
                    <w:bottom w:val="nil"/>
                    <w:right w:val="nil"/>
                  </w:tcBorders>
                  <w:shd w:val="clear" w:color="auto" w:fill="auto"/>
                  <w:noWrap/>
                  <w:vAlign w:val="center"/>
                  <w:hideMark/>
                </w:tcPr>
                <w:p w14:paraId="5CFC1419" w14:textId="77777777" w:rsidR="004A51B4" w:rsidRPr="004A51B4" w:rsidRDefault="004A51B4" w:rsidP="004A51B4">
                  <w:pPr>
                    <w:spacing w:after="0" w:line="240" w:lineRule="auto"/>
                    <w:rPr>
                      <w:rFonts w:ascii="Calibri" w:eastAsia="Times New Roman" w:hAnsi="Calibri" w:cs="Calibri"/>
                      <w:color w:val="000000"/>
                      <w:lang w:eastAsia="en-GB"/>
                    </w:rPr>
                  </w:pPr>
                  <w:r w:rsidRPr="004A51B4">
                    <w:rPr>
                      <w:rFonts w:ascii="Calibri" w:eastAsia="Times New Roman" w:hAnsi="Calibri" w:cs="Calibri"/>
                      <w:color w:val="000000"/>
                      <w:lang w:eastAsia="en-GB"/>
                    </w:rPr>
                    <w:t> </w:t>
                  </w:r>
                </w:p>
              </w:tc>
            </w:tr>
            <w:tr w:rsidR="004A51B4" w:rsidRPr="004A51B4" w14:paraId="2CD705E1" w14:textId="77777777" w:rsidTr="00161381">
              <w:trPr>
                <w:trHeight w:val="300"/>
              </w:trPr>
              <w:tc>
                <w:tcPr>
                  <w:tcW w:w="2380" w:type="dxa"/>
                  <w:tcBorders>
                    <w:top w:val="nil"/>
                    <w:left w:val="nil"/>
                    <w:bottom w:val="nil"/>
                    <w:right w:val="nil"/>
                  </w:tcBorders>
                  <w:shd w:val="clear" w:color="auto" w:fill="auto"/>
                  <w:hideMark/>
                </w:tcPr>
                <w:p w14:paraId="6F8E1A5E" w14:textId="77777777" w:rsidR="004A51B4" w:rsidRPr="004A51B4" w:rsidRDefault="004A51B4" w:rsidP="004A51B4">
                  <w:pPr>
                    <w:spacing w:after="0" w:line="240" w:lineRule="auto"/>
                    <w:rPr>
                      <w:rFonts w:ascii="Arial" w:eastAsia="Times New Roman" w:hAnsi="Arial" w:cs="Arial"/>
                      <w:color w:val="000000"/>
                      <w:sz w:val="20"/>
                      <w:szCs w:val="20"/>
                      <w:lang w:eastAsia="en-GB"/>
                    </w:rPr>
                  </w:pPr>
                  <w:r w:rsidRPr="004A51B4">
                    <w:rPr>
                      <w:rFonts w:ascii="Arial" w:eastAsia="Times New Roman" w:hAnsi="Arial" w:cs="Arial"/>
                      <w:color w:val="000000"/>
                      <w:sz w:val="20"/>
                      <w:szCs w:val="20"/>
                      <w:lang w:eastAsia="en-GB"/>
                    </w:rPr>
                    <w:t>Fundraising</w:t>
                  </w:r>
                </w:p>
              </w:tc>
              <w:tc>
                <w:tcPr>
                  <w:tcW w:w="1060" w:type="dxa"/>
                  <w:tcBorders>
                    <w:top w:val="nil"/>
                    <w:left w:val="nil"/>
                    <w:bottom w:val="nil"/>
                    <w:right w:val="nil"/>
                  </w:tcBorders>
                  <w:shd w:val="clear" w:color="auto" w:fill="auto"/>
                  <w:noWrap/>
                  <w:vAlign w:val="center"/>
                  <w:hideMark/>
                </w:tcPr>
                <w:p w14:paraId="39968D4C" w14:textId="77777777" w:rsidR="004A51B4" w:rsidRPr="004A51B4" w:rsidRDefault="004A51B4" w:rsidP="004A51B4">
                  <w:pPr>
                    <w:spacing w:after="0" w:line="240" w:lineRule="auto"/>
                    <w:jc w:val="right"/>
                    <w:rPr>
                      <w:rFonts w:ascii="Arial" w:eastAsia="Times New Roman" w:hAnsi="Arial" w:cs="Arial"/>
                      <w:color w:val="000000"/>
                      <w:sz w:val="20"/>
                      <w:szCs w:val="20"/>
                      <w:lang w:eastAsia="en-GB"/>
                    </w:rPr>
                  </w:pPr>
                  <w:r w:rsidRPr="004A51B4">
                    <w:rPr>
                      <w:rFonts w:ascii="Arial" w:eastAsia="Times New Roman" w:hAnsi="Arial" w:cs="Arial"/>
                      <w:color w:val="000000"/>
                      <w:sz w:val="20"/>
                      <w:szCs w:val="20"/>
                      <w:lang w:eastAsia="en-GB"/>
                    </w:rPr>
                    <w:t>34</w:t>
                  </w:r>
                </w:p>
              </w:tc>
              <w:tc>
                <w:tcPr>
                  <w:tcW w:w="1060" w:type="dxa"/>
                  <w:tcBorders>
                    <w:top w:val="nil"/>
                    <w:left w:val="nil"/>
                    <w:bottom w:val="nil"/>
                    <w:right w:val="nil"/>
                  </w:tcBorders>
                  <w:shd w:val="clear" w:color="auto" w:fill="auto"/>
                  <w:noWrap/>
                  <w:vAlign w:val="center"/>
                  <w:hideMark/>
                </w:tcPr>
                <w:p w14:paraId="5FB76DE8" w14:textId="77777777" w:rsidR="004A51B4" w:rsidRPr="004A51B4" w:rsidRDefault="004A51B4" w:rsidP="004A51B4">
                  <w:pPr>
                    <w:spacing w:after="0" w:line="240" w:lineRule="auto"/>
                    <w:jc w:val="right"/>
                    <w:rPr>
                      <w:rFonts w:ascii="Arial" w:eastAsia="Times New Roman" w:hAnsi="Arial" w:cs="Arial"/>
                      <w:color w:val="000000"/>
                      <w:sz w:val="20"/>
                      <w:szCs w:val="20"/>
                      <w:lang w:eastAsia="en-GB"/>
                    </w:rPr>
                  </w:pPr>
                  <w:r w:rsidRPr="004A51B4">
                    <w:rPr>
                      <w:rFonts w:ascii="Arial" w:eastAsia="Times New Roman" w:hAnsi="Arial" w:cs="Arial"/>
                      <w:color w:val="000000"/>
                      <w:sz w:val="20"/>
                      <w:szCs w:val="20"/>
                      <w:lang w:eastAsia="en-GB"/>
                    </w:rPr>
                    <w:t>-</w:t>
                  </w:r>
                </w:p>
              </w:tc>
              <w:tc>
                <w:tcPr>
                  <w:tcW w:w="1060" w:type="dxa"/>
                  <w:tcBorders>
                    <w:top w:val="nil"/>
                    <w:left w:val="nil"/>
                    <w:bottom w:val="nil"/>
                    <w:right w:val="nil"/>
                  </w:tcBorders>
                  <w:shd w:val="clear" w:color="auto" w:fill="auto"/>
                  <w:noWrap/>
                  <w:vAlign w:val="center"/>
                  <w:hideMark/>
                </w:tcPr>
                <w:p w14:paraId="1B003A32" w14:textId="77777777" w:rsidR="004A51B4" w:rsidRPr="004A51B4" w:rsidRDefault="004A51B4" w:rsidP="004A51B4">
                  <w:pPr>
                    <w:spacing w:after="0" w:line="240" w:lineRule="auto"/>
                    <w:jc w:val="right"/>
                    <w:rPr>
                      <w:rFonts w:ascii="Arial" w:eastAsia="Times New Roman" w:hAnsi="Arial" w:cs="Arial"/>
                      <w:b/>
                      <w:bCs/>
                      <w:color w:val="000000"/>
                      <w:sz w:val="20"/>
                      <w:szCs w:val="20"/>
                      <w:lang w:eastAsia="en-GB"/>
                    </w:rPr>
                  </w:pPr>
                  <w:r w:rsidRPr="004A51B4">
                    <w:rPr>
                      <w:rFonts w:ascii="Arial" w:eastAsia="Times New Roman" w:hAnsi="Arial" w:cs="Arial"/>
                      <w:b/>
                      <w:bCs/>
                      <w:color w:val="000000"/>
                      <w:sz w:val="20"/>
                      <w:szCs w:val="20"/>
                      <w:lang w:eastAsia="en-GB"/>
                    </w:rPr>
                    <w:t>34</w:t>
                  </w:r>
                </w:p>
              </w:tc>
              <w:tc>
                <w:tcPr>
                  <w:tcW w:w="1060" w:type="dxa"/>
                  <w:tcBorders>
                    <w:top w:val="nil"/>
                    <w:left w:val="nil"/>
                    <w:bottom w:val="nil"/>
                    <w:right w:val="nil"/>
                  </w:tcBorders>
                  <w:shd w:val="clear" w:color="auto" w:fill="auto"/>
                  <w:noWrap/>
                  <w:vAlign w:val="center"/>
                  <w:hideMark/>
                </w:tcPr>
                <w:p w14:paraId="72C54CA1" w14:textId="77777777" w:rsidR="004A51B4" w:rsidRPr="004A51B4" w:rsidRDefault="004A51B4" w:rsidP="004A51B4">
                  <w:pPr>
                    <w:spacing w:after="0" w:line="240" w:lineRule="auto"/>
                    <w:jc w:val="right"/>
                    <w:rPr>
                      <w:rFonts w:ascii="Arial" w:eastAsia="Times New Roman" w:hAnsi="Arial" w:cs="Arial"/>
                      <w:color w:val="000000"/>
                      <w:sz w:val="20"/>
                      <w:szCs w:val="20"/>
                      <w:lang w:eastAsia="en-GB"/>
                    </w:rPr>
                  </w:pPr>
                  <w:r w:rsidRPr="004A51B4">
                    <w:rPr>
                      <w:rFonts w:ascii="Arial" w:eastAsia="Times New Roman" w:hAnsi="Arial" w:cs="Arial"/>
                      <w:color w:val="000000"/>
                      <w:sz w:val="20"/>
                      <w:szCs w:val="20"/>
                      <w:lang w:eastAsia="en-GB"/>
                    </w:rPr>
                    <w:t>62</w:t>
                  </w:r>
                </w:p>
              </w:tc>
              <w:tc>
                <w:tcPr>
                  <w:tcW w:w="1060" w:type="dxa"/>
                  <w:tcBorders>
                    <w:top w:val="nil"/>
                    <w:left w:val="nil"/>
                    <w:bottom w:val="nil"/>
                    <w:right w:val="nil"/>
                  </w:tcBorders>
                  <w:shd w:val="clear" w:color="auto" w:fill="auto"/>
                  <w:noWrap/>
                  <w:vAlign w:val="center"/>
                  <w:hideMark/>
                </w:tcPr>
                <w:p w14:paraId="1619ACBC" w14:textId="77777777" w:rsidR="004A51B4" w:rsidRPr="004A51B4" w:rsidRDefault="004A51B4" w:rsidP="004A51B4">
                  <w:pPr>
                    <w:spacing w:after="0" w:line="240" w:lineRule="auto"/>
                    <w:jc w:val="right"/>
                    <w:rPr>
                      <w:rFonts w:ascii="Arial" w:eastAsia="Times New Roman" w:hAnsi="Arial" w:cs="Arial"/>
                      <w:color w:val="000000"/>
                      <w:sz w:val="20"/>
                      <w:szCs w:val="20"/>
                      <w:lang w:eastAsia="en-GB"/>
                    </w:rPr>
                  </w:pPr>
                  <w:r w:rsidRPr="004A51B4">
                    <w:rPr>
                      <w:rFonts w:ascii="Arial" w:eastAsia="Times New Roman" w:hAnsi="Arial" w:cs="Arial"/>
                      <w:color w:val="000000"/>
                      <w:sz w:val="20"/>
                      <w:szCs w:val="20"/>
                      <w:lang w:eastAsia="en-GB"/>
                    </w:rPr>
                    <w:t>-</w:t>
                  </w:r>
                </w:p>
              </w:tc>
              <w:tc>
                <w:tcPr>
                  <w:tcW w:w="1060" w:type="dxa"/>
                  <w:tcBorders>
                    <w:top w:val="nil"/>
                    <w:left w:val="nil"/>
                    <w:bottom w:val="nil"/>
                    <w:right w:val="nil"/>
                  </w:tcBorders>
                  <w:shd w:val="clear" w:color="auto" w:fill="auto"/>
                  <w:noWrap/>
                  <w:vAlign w:val="center"/>
                  <w:hideMark/>
                </w:tcPr>
                <w:p w14:paraId="72045FAB" w14:textId="77777777" w:rsidR="004A51B4" w:rsidRPr="006647C2" w:rsidRDefault="004A51B4" w:rsidP="004A51B4">
                  <w:pPr>
                    <w:spacing w:after="0" w:line="240" w:lineRule="auto"/>
                    <w:jc w:val="right"/>
                    <w:rPr>
                      <w:rFonts w:ascii="Arial" w:eastAsia="Times New Roman" w:hAnsi="Arial" w:cs="Arial"/>
                      <w:bCs/>
                      <w:color w:val="000000"/>
                      <w:sz w:val="20"/>
                      <w:szCs w:val="20"/>
                      <w:lang w:eastAsia="en-GB"/>
                    </w:rPr>
                  </w:pPr>
                  <w:r w:rsidRPr="006647C2">
                    <w:rPr>
                      <w:rFonts w:ascii="Arial" w:eastAsia="Times New Roman" w:hAnsi="Arial" w:cs="Arial"/>
                      <w:bCs/>
                      <w:color w:val="000000"/>
                      <w:sz w:val="20"/>
                      <w:szCs w:val="20"/>
                      <w:lang w:eastAsia="en-GB"/>
                    </w:rPr>
                    <w:t>62</w:t>
                  </w:r>
                </w:p>
              </w:tc>
            </w:tr>
            <w:tr w:rsidR="004A51B4" w:rsidRPr="004A51B4" w14:paraId="2D3B634A" w14:textId="77777777" w:rsidTr="00161381">
              <w:trPr>
                <w:trHeight w:val="300"/>
              </w:trPr>
              <w:tc>
                <w:tcPr>
                  <w:tcW w:w="2380" w:type="dxa"/>
                  <w:tcBorders>
                    <w:top w:val="nil"/>
                    <w:left w:val="nil"/>
                    <w:bottom w:val="nil"/>
                    <w:right w:val="nil"/>
                  </w:tcBorders>
                  <w:shd w:val="clear" w:color="auto" w:fill="auto"/>
                  <w:hideMark/>
                </w:tcPr>
                <w:p w14:paraId="50094BCC" w14:textId="77777777" w:rsidR="004A51B4" w:rsidRPr="004A51B4" w:rsidRDefault="004A51B4" w:rsidP="004A51B4">
                  <w:pPr>
                    <w:spacing w:after="0" w:line="240" w:lineRule="auto"/>
                    <w:rPr>
                      <w:rFonts w:ascii="Arial" w:eastAsia="Times New Roman" w:hAnsi="Arial" w:cs="Arial"/>
                      <w:color w:val="000000"/>
                      <w:sz w:val="20"/>
                      <w:szCs w:val="20"/>
                      <w:lang w:eastAsia="en-GB"/>
                    </w:rPr>
                  </w:pPr>
                  <w:r w:rsidRPr="004A51B4">
                    <w:rPr>
                      <w:rFonts w:ascii="Arial" w:eastAsia="Times New Roman" w:hAnsi="Arial" w:cs="Arial"/>
                      <w:color w:val="000000"/>
                      <w:sz w:val="20"/>
                      <w:szCs w:val="20"/>
                      <w:lang w:eastAsia="en-GB"/>
                    </w:rPr>
                    <w:t>Charity shops</w:t>
                  </w:r>
                </w:p>
              </w:tc>
              <w:tc>
                <w:tcPr>
                  <w:tcW w:w="1060" w:type="dxa"/>
                  <w:tcBorders>
                    <w:top w:val="nil"/>
                    <w:left w:val="nil"/>
                    <w:bottom w:val="nil"/>
                    <w:right w:val="nil"/>
                  </w:tcBorders>
                  <w:shd w:val="clear" w:color="auto" w:fill="auto"/>
                  <w:noWrap/>
                  <w:vAlign w:val="center"/>
                  <w:hideMark/>
                </w:tcPr>
                <w:p w14:paraId="0FADC0C1" w14:textId="77777777" w:rsidR="004A51B4" w:rsidRPr="00AF39AA" w:rsidRDefault="0013034F" w:rsidP="004A51B4">
                  <w:pPr>
                    <w:spacing w:after="0" w:line="240" w:lineRule="auto"/>
                    <w:jc w:val="right"/>
                    <w:rPr>
                      <w:rFonts w:ascii="Arial" w:eastAsia="Times New Roman" w:hAnsi="Arial" w:cs="Arial"/>
                      <w:sz w:val="20"/>
                      <w:szCs w:val="20"/>
                      <w:lang w:eastAsia="en-GB"/>
                    </w:rPr>
                  </w:pPr>
                  <w:r w:rsidRPr="00AF39AA">
                    <w:rPr>
                      <w:rFonts w:ascii="Arial" w:eastAsia="Times New Roman" w:hAnsi="Arial" w:cs="Arial"/>
                      <w:sz w:val="20"/>
                      <w:szCs w:val="20"/>
                      <w:lang w:eastAsia="en-GB"/>
                    </w:rPr>
                    <w:t>3,781</w:t>
                  </w:r>
                </w:p>
              </w:tc>
              <w:tc>
                <w:tcPr>
                  <w:tcW w:w="1060" w:type="dxa"/>
                  <w:tcBorders>
                    <w:top w:val="nil"/>
                    <w:left w:val="nil"/>
                    <w:bottom w:val="nil"/>
                    <w:right w:val="nil"/>
                  </w:tcBorders>
                  <w:shd w:val="clear" w:color="auto" w:fill="auto"/>
                  <w:noWrap/>
                  <w:vAlign w:val="center"/>
                  <w:hideMark/>
                </w:tcPr>
                <w:p w14:paraId="17C87851" w14:textId="77777777" w:rsidR="004A51B4" w:rsidRPr="00AF39AA" w:rsidRDefault="004A51B4" w:rsidP="004A51B4">
                  <w:pPr>
                    <w:spacing w:after="0" w:line="240" w:lineRule="auto"/>
                    <w:jc w:val="right"/>
                    <w:rPr>
                      <w:rFonts w:ascii="Arial" w:eastAsia="Times New Roman" w:hAnsi="Arial" w:cs="Arial"/>
                      <w:sz w:val="20"/>
                      <w:szCs w:val="20"/>
                      <w:lang w:eastAsia="en-GB"/>
                    </w:rPr>
                  </w:pPr>
                  <w:r w:rsidRPr="00AF39AA">
                    <w:rPr>
                      <w:rFonts w:ascii="Arial" w:eastAsia="Times New Roman" w:hAnsi="Arial" w:cs="Arial"/>
                      <w:sz w:val="20"/>
                      <w:szCs w:val="20"/>
                      <w:lang w:eastAsia="en-GB"/>
                    </w:rPr>
                    <w:t>-</w:t>
                  </w:r>
                </w:p>
              </w:tc>
              <w:tc>
                <w:tcPr>
                  <w:tcW w:w="1060" w:type="dxa"/>
                  <w:tcBorders>
                    <w:top w:val="nil"/>
                    <w:left w:val="nil"/>
                    <w:bottom w:val="nil"/>
                    <w:right w:val="nil"/>
                  </w:tcBorders>
                  <w:shd w:val="clear" w:color="auto" w:fill="auto"/>
                  <w:noWrap/>
                  <w:vAlign w:val="center"/>
                  <w:hideMark/>
                </w:tcPr>
                <w:p w14:paraId="00BC8ADB" w14:textId="77777777" w:rsidR="004A51B4" w:rsidRPr="00AF39AA" w:rsidRDefault="0013034F" w:rsidP="004A51B4">
                  <w:pPr>
                    <w:spacing w:after="0" w:line="240" w:lineRule="auto"/>
                    <w:jc w:val="right"/>
                    <w:rPr>
                      <w:rFonts w:ascii="Arial" w:eastAsia="Times New Roman" w:hAnsi="Arial" w:cs="Arial"/>
                      <w:b/>
                      <w:bCs/>
                      <w:sz w:val="20"/>
                      <w:szCs w:val="20"/>
                      <w:lang w:eastAsia="en-GB"/>
                    </w:rPr>
                  </w:pPr>
                  <w:r w:rsidRPr="00AF39AA">
                    <w:rPr>
                      <w:rFonts w:ascii="Arial" w:eastAsia="Times New Roman" w:hAnsi="Arial" w:cs="Arial"/>
                      <w:b/>
                      <w:bCs/>
                      <w:sz w:val="20"/>
                      <w:szCs w:val="20"/>
                      <w:lang w:eastAsia="en-GB"/>
                    </w:rPr>
                    <w:t>3,781</w:t>
                  </w:r>
                </w:p>
              </w:tc>
              <w:tc>
                <w:tcPr>
                  <w:tcW w:w="1060" w:type="dxa"/>
                  <w:tcBorders>
                    <w:top w:val="nil"/>
                    <w:left w:val="nil"/>
                    <w:bottom w:val="nil"/>
                    <w:right w:val="nil"/>
                  </w:tcBorders>
                  <w:shd w:val="clear" w:color="auto" w:fill="auto"/>
                  <w:noWrap/>
                  <w:vAlign w:val="center"/>
                  <w:hideMark/>
                </w:tcPr>
                <w:p w14:paraId="5C27955A" w14:textId="77777777" w:rsidR="004A51B4" w:rsidRPr="004A51B4" w:rsidRDefault="004A51B4" w:rsidP="004A51B4">
                  <w:pPr>
                    <w:spacing w:after="0" w:line="240" w:lineRule="auto"/>
                    <w:jc w:val="right"/>
                    <w:rPr>
                      <w:rFonts w:ascii="Arial" w:eastAsia="Times New Roman" w:hAnsi="Arial" w:cs="Arial"/>
                      <w:color w:val="000000"/>
                      <w:sz w:val="20"/>
                      <w:szCs w:val="20"/>
                      <w:lang w:eastAsia="en-GB"/>
                    </w:rPr>
                  </w:pPr>
                  <w:r w:rsidRPr="004A51B4">
                    <w:rPr>
                      <w:rFonts w:ascii="Arial" w:eastAsia="Times New Roman" w:hAnsi="Arial" w:cs="Arial"/>
                      <w:color w:val="000000"/>
                      <w:sz w:val="20"/>
                      <w:szCs w:val="20"/>
                      <w:lang w:eastAsia="en-GB"/>
                    </w:rPr>
                    <w:t>5,226</w:t>
                  </w:r>
                </w:p>
              </w:tc>
              <w:tc>
                <w:tcPr>
                  <w:tcW w:w="1060" w:type="dxa"/>
                  <w:tcBorders>
                    <w:top w:val="nil"/>
                    <w:left w:val="nil"/>
                    <w:bottom w:val="nil"/>
                    <w:right w:val="nil"/>
                  </w:tcBorders>
                  <w:shd w:val="clear" w:color="auto" w:fill="auto"/>
                  <w:noWrap/>
                  <w:vAlign w:val="center"/>
                  <w:hideMark/>
                </w:tcPr>
                <w:p w14:paraId="75997476" w14:textId="77777777" w:rsidR="004A51B4" w:rsidRPr="004A51B4" w:rsidRDefault="004A51B4" w:rsidP="004A51B4">
                  <w:pPr>
                    <w:spacing w:after="0" w:line="240" w:lineRule="auto"/>
                    <w:jc w:val="right"/>
                    <w:rPr>
                      <w:rFonts w:ascii="Arial" w:eastAsia="Times New Roman" w:hAnsi="Arial" w:cs="Arial"/>
                      <w:color w:val="000000"/>
                      <w:sz w:val="20"/>
                      <w:szCs w:val="20"/>
                      <w:lang w:eastAsia="en-GB"/>
                    </w:rPr>
                  </w:pPr>
                  <w:r w:rsidRPr="004A51B4">
                    <w:rPr>
                      <w:rFonts w:ascii="Arial" w:eastAsia="Times New Roman" w:hAnsi="Arial" w:cs="Arial"/>
                      <w:color w:val="000000"/>
                      <w:sz w:val="20"/>
                      <w:szCs w:val="20"/>
                      <w:lang w:eastAsia="en-GB"/>
                    </w:rPr>
                    <w:t>-</w:t>
                  </w:r>
                </w:p>
              </w:tc>
              <w:tc>
                <w:tcPr>
                  <w:tcW w:w="1060" w:type="dxa"/>
                  <w:tcBorders>
                    <w:top w:val="nil"/>
                    <w:left w:val="nil"/>
                    <w:bottom w:val="nil"/>
                    <w:right w:val="nil"/>
                  </w:tcBorders>
                  <w:shd w:val="clear" w:color="auto" w:fill="auto"/>
                  <w:noWrap/>
                  <w:vAlign w:val="center"/>
                  <w:hideMark/>
                </w:tcPr>
                <w:p w14:paraId="1B15C536" w14:textId="77777777" w:rsidR="004A51B4" w:rsidRPr="006647C2" w:rsidRDefault="004A51B4" w:rsidP="004A51B4">
                  <w:pPr>
                    <w:spacing w:after="0" w:line="240" w:lineRule="auto"/>
                    <w:jc w:val="right"/>
                    <w:rPr>
                      <w:rFonts w:ascii="Arial" w:eastAsia="Times New Roman" w:hAnsi="Arial" w:cs="Arial"/>
                      <w:bCs/>
                      <w:color w:val="000000"/>
                      <w:sz w:val="20"/>
                      <w:szCs w:val="20"/>
                      <w:lang w:eastAsia="en-GB"/>
                    </w:rPr>
                  </w:pPr>
                  <w:r w:rsidRPr="006647C2">
                    <w:rPr>
                      <w:rFonts w:ascii="Arial" w:eastAsia="Times New Roman" w:hAnsi="Arial" w:cs="Arial"/>
                      <w:bCs/>
                      <w:color w:val="000000"/>
                      <w:sz w:val="20"/>
                      <w:szCs w:val="20"/>
                      <w:lang w:eastAsia="en-GB"/>
                    </w:rPr>
                    <w:t>5,226</w:t>
                  </w:r>
                </w:p>
              </w:tc>
            </w:tr>
            <w:tr w:rsidR="004A51B4" w:rsidRPr="00AE4D5B" w14:paraId="05421C1D" w14:textId="77777777" w:rsidTr="00161381">
              <w:trPr>
                <w:trHeight w:val="525"/>
              </w:trPr>
              <w:tc>
                <w:tcPr>
                  <w:tcW w:w="2380" w:type="dxa"/>
                  <w:tcBorders>
                    <w:top w:val="nil"/>
                    <w:left w:val="nil"/>
                    <w:bottom w:val="single" w:sz="8" w:space="0" w:color="auto"/>
                    <w:right w:val="nil"/>
                  </w:tcBorders>
                  <w:shd w:val="clear" w:color="auto" w:fill="auto"/>
                  <w:hideMark/>
                </w:tcPr>
                <w:p w14:paraId="5A5CC9F9" w14:textId="77777777" w:rsidR="004A51B4" w:rsidRPr="006E38D6" w:rsidRDefault="004A51B4" w:rsidP="004A51B4">
                  <w:pPr>
                    <w:spacing w:after="0" w:line="240" w:lineRule="auto"/>
                    <w:rPr>
                      <w:rFonts w:ascii="Arial" w:eastAsia="Times New Roman" w:hAnsi="Arial" w:cs="Arial"/>
                      <w:color w:val="000000"/>
                      <w:sz w:val="20"/>
                      <w:szCs w:val="20"/>
                      <w:lang w:eastAsia="en-GB"/>
                    </w:rPr>
                  </w:pPr>
                  <w:r w:rsidRPr="006E38D6">
                    <w:rPr>
                      <w:rFonts w:ascii="Arial" w:eastAsia="Times New Roman" w:hAnsi="Arial" w:cs="Arial"/>
                      <w:color w:val="000000"/>
                      <w:sz w:val="20"/>
                      <w:szCs w:val="20"/>
                      <w:lang w:eastAsia="en-GB"/>
                    </w:rPr>
                    <w:t>Investment management fees</w:t>
                  </w:r>
                </w:p>
              </w:tc>
              <w:tc>
                <w:tcPr>
                  <w:tcW w:w="1060" w:type="dxa"/>
                  <w:tcBorders>
                    <w:top w:val="nil"/>
                    <w:left w:val="nil"/>
                    <w:bottom w:val="nil"/>
                    <w:right w:val="nil"/>
                  </w:tcBorders>
                  <w:shd w:val="clear" w:color="auto" w:fill="auto"/>
                  <w:noWrap/>
                  <w:vAlign w:val="center"/>
                  <w:hideMark/>
                </w:tcPr>
                <w:p w14:paraId="34BD4939" w14:textId="77777777" w:rsidR="004A51B4" w:rsidRPr="006E38D6" w:rsidRDefault="004A51B4" w:rsidP="004A51B4">
                  <w:pPr>
                    <w:spacing w:after="0" w:line="240" w:lineRule="auto"/>
                    <w:jc w:val="right"/>
                    <w:rPr>
                      <w:rFonts w:ascii="Arial" w:eastAsia="Times New Roman" w:hAnsi="Arial" w:cs="Arial"/>
                      <w:color w:val="000000"/>
                      <w:sz w:val="20"/>
                      <w:szCs w:val="20"/>
                      <w:lang w:eastAsia="en-GB"/>
                    </w:rPr>
                  </w:pPr>
                  <w:r w:rsidRPr="006E38D6">
                    <w:rPr>
                      <w:rFonts w:ascii="Arial" w:eastAsia="Times New Roman" w:hAnsi="Arial" w:cs="Arial"/>
                      <w:color w:val="000000"/>
                      <w:sz w:val="20"/>
                      <w:szCs w:val="20"/>
                      <w:lang w:eastAsia="en-GB"/>
                    </w:rPr>
                    <w:t>(11)</w:t>
                  </w:r>
                </w:p>
              </w:tc>
              <w:tc>
                <w:tcPr>
                  <w:tcW w:w="1060" w:type="dxa"/>
                  <w:tcBorders>
                    <w:top w:val="nil"/>
                    <w:left w:val="nil"/>
                    <w:bottom w:val="single" w:sz="8" w:space="0" w:color="auto"/>
                    <w:right w:val="nil"/>
                  </w:tcBorders>
                  <w:shd w:val="clear" w:color="auto" w:fill="auto"/>
                  <w:noWrap/>
                  <w:vAlign w:val="center"/>
                  <w:hideMark/>
                </w:tcPr>
                <w:p w14:paraId="5CAEDB88" w14:textId="77777777" w:rsidR="004A51B4" w:rsidRPr="006E38D6" w:rsidRDefault="004A51B4" w:rsidP="004A51B4">
                  <w:pPr>
                    <w:spacing w:after="0" w:line="240" w:lineRule="auto"/>
                    <w:jc w:val="right"/>
                    <w:rPr>
                      <w:rFonts w:ascii="Arial" w:eastAsia="Times New Roman" w:hAnsi="Arial" w:cs="Arial"/>
                      <w:color w:val="000000"/>
                      <w:sz w:val="20"/>
                      <w:szCs w:val="20"/>
                      <w:lang w:eastAsia="en-GB"/>
                    </w:rPr>
                  </w:pPr>
                  <w:r w:rsidRPr="006E38D6">
                    <w:rPr>
                      <w:rFonts w:ascii="Arial" w:eastAsia="Times New Roman" w:hAnsi="Arial" w:cs="Arial"/>
                      <w:color w:val="000000"/>
                      <w:sz w:val="20"/>
                      <w:szCs w:val="20"/>
                      <w:lang w:eastAsia="en-GB"/>
                    </w:rPr>
                    <w:t>-</w:t>
                  </w:r>
                </w:p>
              </w:tc>
              <w:tc>
                <w:tcPr>
                  <w:tcW w:w="1060" w:type="dxa"/>
                  <w:tcBorders>
                    <w:top w:val="nil"/>
                    <w:left w:val="nil"/>
                    <w:bottom w:val="single" w:sz="8" w:space="0" w:color="auto"/>
                    <w:right w:val="nil"/>
                  </w:tcBorders>
                  <w:shd w:val="clear" w:color="auto" w:fill="auto"/>
                  <w:noWrap/>
                  <w:vAlign w:val="center"/>
                  <w:hideMark/>
                </w:tcPr>
                <w:p w14:paraId="3B28E9B7" w14:textId="77777777" w:rsidR="004A51B4" w:rsidRPr="006E38D6" w:rsidRDefault="004A51B4" w:rsidP="004A51B4">
                  <w:pPr>
                    <w:spacing w:after="0" w:line="240" w:lineRule="auto"/>
                    <w:jc w:val="right"/>
                    <w:rPr>
                      <w:rFonts w:ascii="Arial" w:eastAsia="Times New Roman" w:hAnsi="Arial" w:cs="Arial"/>
                      <w:b/>
                      <w:bCs/>
                      <w:color w:val="000000"/>
                      <w:sz w:val="20"/>
                      <w:szCs w:val="20"/>
                      <w:lang w:eastAsia="en-GB"/>
                    </w:rPr>
                  </w:pPr>
                  <w:r w:rsidRPr="006E38D6">
                    <w:rPr>
                      <w:rFonts w:ascii="Arial" w:eastAsia="Times New Roman" w:hAnsi="Arial" w:cs="Arial"/>
                      <w:b/>
                      <w:bCs/>
                      <w:color w:val="000000"/>
                      <w:sz w:val="20"/>
                      <w:szCs w:val="20"/>
                      <w:lang w:eastAsia="en-GB"/>
                    </w:rPr>
                    <w:t>(11)</w:t>
                  </w:r>
                </w:p>
              </w:tc>
              <w:tc>
                <w:tcPr>
                  <w:tcW w:w="1060" w:type="dxa"/>
                  <w:tcBorders>
                    <w:top w:val="nil"/>
                    <w:left w:val="nil"/>
                    <w:bottom w:val="single" w:sz="8" w:space="0" w:color="auto"/>
                    <w:right w:val="nil"/>
                  </w:tcBorders>
                  <w:shd w:val="clear" w:color="auto" w:fill="auto"/>
                  <w:noWrap/>
                  <w:vAlign w:val="center"/>
                  <w:hideMark/>
                </w:tcPr>
                <w:p w14:paraId="2B9AEE3E" w14:textId="77777777" w:rsidR="004A51B4" w:rsidRPr="006E38D6" w:rsidRDefault="004A51B4" w:rsidP="004A51B4">
                  <w:pPr>
                    <w:spacing w:after="0" w:line="240" w:lineRule="auto"/>
                    <w:jc w:val="right"/>
                    <w:rPr>
                      <w:rFonts w:ascii="Arial" w:eastAsia="Times New Roman" w:hAnsi="Arial" w:cs="Arial"/>
                      <w:color w:val="000000"/>
                      <w:sz w:val="20"/>
                      <w:szCs w:val="20"/>
                      <w:lang w:eastAsia="en-GB"/>
                    </w:rPr>
                  </w:pPr>
                  <w:r w:rsidRPr="006E38D6">
                    <w:rPr>
                      <w:rFonts w:ascii="Arial" w:eastAsia="Times New Roman" w:hAnsi="Arial" w:cs="Arial"/>
                      <w:color w:val="000000"/>
                      <w:sz w:val="20"/>
                      <w:szCs w:val="20"/>
                      <w:lang w:eastAsia="en-GB"/>
                    </w:rPr>
                    <w:t>2</w:t>
                  </w:r>
                </w:p>
              </w:tc>
              <w:tc>
                <w:tcPr>
                  <w:tcW w:w="1060" w:type="dxa"/>
                  <w:tcBorders>
                    <w:top w:val="nil"/>
                    <w:left w:val="nil"/>
                    <w:bottom w:val="single" w:sz="8" w:space="0" w:color="auto"/>
                    <w:right w:val="nil"/>
                  </w:tcBorders>
                  <w:shd w:val="clear" w:color="auto" w:fill="auto"/>
                  <w:noWrap/>
                  <w:vAlign w:val="center"/>
                  <w:hideMark/>
                </w:tcPr>
                <w:p w14:paraId="71B2956A" w14:textId="77777777" w:rsidR="004A51B4" w:rsidRPr="006E38D6" w:rsidRDefault="004A51B4" w:rsidP="004A51B4">
                  <w:pPr>
                    <w:spacing w:after="0" w:line="240" w:lineRule="auto"/>
                    <w:jc w:val="right"/>
                    <w:rPr>
                      <w:rFonts w:ascii="Arial" w:eastAsia="Times New Roman" w:hAnsi="Arial" w:cs="Arial"/>
                      <w:color w:val="000000"/>
                      <w:sz w:val="20"/>
                      <w:szCs w:val="20"/>
                      <w:lang w:eastAsia="en-GB"/>
                    </w:rPr>
                  </w:pPr>
                  <w:r w:rsidRPr="006E38D6">
                    <w:rPr>
                      <w:rFonts w:ascii="Arial" w:eastAsia="Times New Roman" w:hAnsi="Arial" w:cs="Arial"/>
                      <w:color w:val="000000"/>
                      <w:sz w:val="20"/>
                      <w:szCs w:val="20"/>
                      <w:lang w:eastAsia="en-GB"/>
                    </w:rPr>
                    <w:t>-</w:t>
                  </w:r>
                </w:p>
              </w:tc>
              <w:tc>
                <w:tcPr>
                  <w:tcW w:w="1060" w:type="dxa"/>
                  <w:tcBorders>
                    <w:top w:val="nil"/>
                    <w:left w:val="nil"/>
                    <w:bottom w:val="single" w:sz="8" w:space="0" w:color="auto"/>
                    <w:right w:val="nil"/>
                  </w:tcBorders>
                  <w:shd w:val="clear" w:color="auto" w:fill="auto"/>
                  <w:noWrap/>
                  <w:vAlign w:val="center"/>
                  <w:hideMark/>
                </w:tcPr>
                <w:p w14:paraId="6B1AFBFD" w14:textId="77777777" w:rsidR="004A51B4" w:rsidRPr="006E38D6" w:rsidRDefault="004A51B4" w:rsidP="004A51B4">
                  <w:pPr>
                    <w:spacing w:after="0" w:line="240" w:lineRule="auto"/>
                    <w:jc w:val="right"/>
                    <w:rPr>
                      <w:rFonts w:ascii="Arial" w:eastAsia="Times New Roman" w:hAnsi="Arial" w:cs="Arial"/>
                      <w:bCs/>
                      <w:color w:val="000000"/>
                      <w:sz w:val="20"/>
                      <w:szCs w:val="20"/>
                      <w:lang w:eastAsia="en-GB"/>
                    </w:rPr>
                  </w:pPr>
                  <w:r w:rsidRPr="006E38D6">
                    <w:rPr>
                      <w:rFonts w:ascii="Arial" w:eastAsia="Times New Roman" w:hAnsi="Arial" w:cs="Arial"/>
                      <w:bCs/>
                      <w:color w:val="000000"/>
                      <w:sz w:val="20"/>
                      <w:szCs w:val="20"/>
                      <w:lang w:eastAsia="en-GB"/>
                    </w:rPr>
                    <w:t>2</w:t>
                  </w:r>
                </w:p>
              </w:tc>
            </w:tr>
            <w:tr w:rsidR="004A51B4" w:rsidRPr="004A51B4" w14:paraId="47BC0664" w14:textId="77777777" w:rsidTr="00161381">
              <w:trPr>
                <w:trHeight w:val="510"/>
              </w:trPr>
              <w:tc>
                <w:tcPr>
                  <w:tcW w:w="2380" w:type="dxa"/>
                  <w:tcBorders>
                    <w:top w:val="nil"/>
                    <w:left w:val="nil"/>
                    <w:bottom w:val="single" w:sz="8" w:space="0" w:color="auto"/>
                    <w:right w:val="nil"/>
                  </w:tcBorders>
                  <w:shd w:val="clear" w:color="auto" w:fill="auto"/>
                  <w:hideMark/>
                </w:tcPr>
                <w:p w14:paraId="543D3A1C" w14:textId="77777777" w:rsidR="004A51B4" w:rsidRPr="004A51B4" w:rsidRDefault="004A51B4" w:rsidP="004A51B4">
                  <w:pPr>
                    <w:spacing w:after="0" w:line="240" w:lineRule="auto"/>
                    <w:rPr>
                      <w:rFonts w:ascii="Arial" w:eastAsia="Times New Roman" w:hAnsi="Arial" w:cs="Arial"/>
                      <w:b/>
                      <w:bCs/>
                      <w:color w:val="000000"/>
                      <w:sz w:val="20"/>
                      <w:szCs w:val="20"/>
                      <w:lang w:eastAsia="en-GB"/>
                    </w:rPr>
                  </w:pPr>
                  <w:r w:rsidRPr="004A51B4">
                    <w:rPr>
                      <w:rFonts w:ascii="Arial" w:eastAsia="Times New Roman" w:hAnsi="Arial" w:cs="Arial"/>
                      <w:b/>
                      <w:bCs/>
                      <w:color w:val="000000"/>
                      <w:sz w:val="20"/>
                      <w:szCs w:val="20"/>
                      <w:lang w:eastAsia="en-GB"/>
                    </w:rPr>
                    <w:t>Total cost of Raising Funds</w:t>
                  </w:r>
                </w:p>
              </w:tc>
              <w:tc>
                <w:tcPr>
                  <w:tcW w:w="1060" w:type="dxa"/>
                  <w:tcBorders>
                    <w:top w:val="single" w:sz="8" w:space="0" w:color="auto"/>
                    <w:left w:val="nil"/>
                    <w:bottom w:val="single" w:sz="8" w:space="0" w:color="auto"/>
                    <w:right w:val="nil"/>
                  </w:tcBorders>
                  <w:shd w:val="clear" w:color="auto" w:fill="auto"/>
                  <w:noWrap/>
                  <w:vAlign w:val="center"/>
                  <w:hideMark/>
                </w:tcPr>
                <w:p w14:paraId="4BEB1924" w14:textId="77777777" w:rsidR="004A51B4" w:rsidRPr="004A51B4" w:rsidRDefault="0013034F" w:rsidP="004A51B4">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3,804</w:t>
                  </w:r>
                </w:p>
              </w:tc>
              <w:tc>
                <w:tcPr>
                  <w:tcW w:w="1060" w:type="dxa"/>
                  <w:tcBorders>
                    <w:top w:val="nil"/>
                    <w:left w:val="nil"/>
                    <w:bottom w:val="single" w:sz="8" w:space="0" w:color="auto"/>
                    <w:right w:val="nil"/>
                  </w:tcBorders>
                  <w:shd w:val="clear" w:color="auto" w:fill="auto"/>
                  <w:noWrap/>
                  <w:vAlign w:val="center"/>
                  <w:hideMark/>
                </w:tcPr>
                <w:p w14:paraId="1530532C" w14:textId="77777777" w:rsidR="004A51B4" w:rsidRPr="004A51B4" w:rsidRDefault="004A51B4" w:rsidP="004A51B4">
                  <w:pPr>
                    <w:spacing w:after="0" w:line="240" w:lineRule="auto"/>
                    <w:jc w:val="right"/>
                    <w:rPr>
                      <w:rFonts w:ascii="Arial" w:eastAsia="Times New Roman" w:hAnsi="Arial" w:cs="Arial"/>
                      <w:color w:val="000000"/>
                      <w:sz w:val="20"/>
                      <w:szCs w:val="20"/>
                      <w:lang w:eastAsia="en-GB"/>
                    </w:rPr>
                  </w:pPr>
                  <w:r w:rsidRPr="004A51B4">
                    <w:rPr>
                      <w:rFonts w:ascii="Arial" w:eastAsia="Times New Roman" w:hAnsi="Arial" w:cs="Arial"/>
                      <w:color w:val="000000"/>
                      <w:sz w:val="20"/>
                      <w:szCs w:val="20"/>
                      <w:lang w:eastAsia="en-GB"/>
                    </w:rPr>
                    <w:t>-</w:t>
                  </w:r>
                </w:p>
              </w:tc>
              <w:tc>
                <w:tcPr>
                  <w:tcW w:w="1060" w:type="dxa"/>
                  <w:tcBorders>
                    <w:top w:val="nil"/>
                    <w:left w:val="nil"/>
                    <w:bottom w:val="single" w:sz="8" w:space="0" w:color="auto"/>
                    <w:right w:val="nil"/>
                  </w:tcBorders>
                  <w:shd w:val="clear" w:color="auto" w:fill="auto"/>
                  <w:noWrap/>
                  <w:vAlign w:val="center"/>
                  <w:hideMark/>
                </w:tcPr>
                <w:p w14:paraId="79F37155" w14:textId="77777777" w:rsidR="004A51B4" w:rsidRPr="004A51B4" w:rsidRDefault="0013034F" w:rsidP="004A51B4">
                  <w:pPr>
                    <w:spacing w:after="0" w:line="240" w:lineRule="auto"/>
                    <w:jc w:val="right"/>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3,804</w:t>
                  </w:r>
                </w:p>
              </w:tc>
              <w:tc>
                <w:tcPr>
                  <w:tcW w:w="1060" w:type="dxa"/>
                  <w:tcBorders>
                    <w:top w:val="nil"/>
                    <w:left w:val="nil"/>
                    <w:bottom w:val="single" w:sz="8" w:space="0" w:color="auto"/>
                    <w:right w:val="nil"/>
                  </w:tcBorders>
                  <w:shd w:val="clear" w:color="auto" w:fill="auto"/>
                  <w:noWrap/>
                  <w:vAlign w:val="center"/>
                  <w:hideMark/>
                </w:tcPr>
                <w:p w14:paraId="0B4FCC7C" w14:textId="77777777" w:rsidR="004A51B4" w:rsidRPr="004A51B4" w:rsidRDefault="004A51B4" w:rsidP="004A51B4">
                  <w:pPr>
                    <w:spacing w:after="0" w:line="240" w:lineRule="auto"/>
                    <w:jc w:val="right"/>
                    <w:rPr>
                      <w:rFonts w:ascii="Arial" w:eastAsia="Times New Roman" w:hAnsi="Arial" w:cs="Arial"/>
                      <w:color w:val="000000"/>
                      <w:sz w:val="20"/>
                      <w:szCs w:val="20"/>
                      <w:lang w:eastAsia="en-GB"/>
                    </w:rPr>
                  </w:pPr>
                  <w:r w:rsidRPr="004A51B4">
                    <w:rPr>
                      <w:rFonts w:ascii="Arial" w:eastAsia="Times New Roman" w:hAnsi="Arial" w:cs="Arial"/>
                      <w:color w:val="000000"/>
                      <w:sz w:val="20"/>
                      <w:szCs w:val="20"/>
                      <w:lang w:eastAsia="en-GB"/>
                    </w:rPr>
                    <w:t>5,290</w:t>
                  </w:r>
                </w:p>
              </w:tc>
              <w:tc>
                <w:tcPr>
                  <w:tcW w:w="1060" w:type="dxa"/>
                  <w:tcBorders>
                    <w:top w:val="nil"/>
                    <w:left w:val="nil"/>
                    <w:bottom w:val="single" w:sz="8" w:space="0" w:color="auto"/>
                    <w:right w:val="nil"/>
                  </w:tcBorders>
                  <w:shd w:val="clear" w:color="auto" w:fill="auto"/>
                  <w:noWrap/>
                  <w:vAlign w:val="center"/>
                  <w:hideMark/>
                </w:tcPr>
                <w:p w14:paraId="0F64553E" w14:textId="77777777" w:rsidR="004A51B4" w:rsidRPr="004A51B4" w:rsidRDefault="004A51B4" w:rsidP="004A51B4">
                  <w:pPr>
                    <w:spacing w:after="0" w:line="240" w:lineRule="auto"/>
                    <w:jc w:val="right"/>
                    <w:rPr>
                      <w:rFonts w:ascii="Arial" w:eastAsia="Times New Roman" w:hAnsi="Arial" w:cs="Arial"/>
                      <w:color w:val="000000"/>
                      <w:sz w:val="20"/>
                      <w:szCs w:val="20"/>
                      <w:lang w:eastAsia="en-GB"/>
                    </w:rPr>
                  </w:pPr>
                  <w:r w:rsidRPr="004A51B4">
                    <w:rPr>
                      <w:rFonts w:ascii="Arial" w:eastAsia="Times New Roman" w:hAnsi="Arial" w:cs="Arial"/>
                      <w:color w:val="000000"/>
                      <w:sz w:val="20"/>
                      <w:szCs w:val="20"/>
                      <w:lang w:eastAsia="en-GB"/>
                    </w:rPr>
                    <w:t>-</w:t>
                  </w:r>
                </w:p>
              </w:tc>
              <w:tc>
                <w:tcPr>
                  <w:tcW w:w="1060" w:type="dxa"/>
                  <w:tcBorders>
                    <w:top w:val="nil"/>
                    <w:left w:val="nil"/>
                    <w:bottom w:val="single" w:sz="8" w:space="0" w:color="auto"/>
                    <w:right w:val="nil"/>
                  </w:tcBorders>
                  <w:shd w:val="clear" w:color="auto" w:fill="auto"/>
                  <w:noWrap/>
                  <w:vAlign w:val="center"/>
                  <w:hideMark/>
                </w:tcPr>
                <w:p w14:paraId="1726D4BD" w14:textId="77777777" w:rsidR="004A51B4" w:rsidRPr="006647C2" w:rsidRDefault="004A51B4" w:rsidP="004A51B4">
                  <w:pPr>
                    <w:spacing w:after="0" w:line="240" w:lineRule="auto"/>
                    <w:jc w:val="right"/>
                    <w:rPr>
                      <w:rFonts w:ascii="Arial" w:eastAsia="Times New Roman" w:hAnsi="Arial" w:cs="Arial"/>
                      <w:bCs/>
                      <w:color w:val="000000"/>
                      <w:sz w:val="20"/>
                      <w:szCs w:val="20"/>
                      <w:lang w:eastAsia="en-GB"/>
                    </w:rPr>
                  </w:pPr>
                  <w:r w:rsidRPr="006647C2">
                    <w:rPr>
                      <w:rFonts w:ascii="Arial" w:eastAsia="Times New Roman" w:hAnsi="Arial" w:cs="Arial"/>
                      <w:bCs/>
                      <w:color w:val="000000"/>
                      <w:sz w:val="20"/>
                      <w:szCs w:val="20"/>
                      <w:lang w:eastAsia="en-GB"/>
                    </w:rPr>
                    <w:t>5,290</w:t>
                  </w:r>
                </w:p>
              </w:tc>
            </w:tr>
            <w:tr w:rsidR="004A51B4" w:rsidRPr="004A51B4" w14:paraId="382D2640" w14:textId="77777777" w:rsidTr="00161381">
              <w:trPr>
                <w:trHeight w:val="510"/>
              </w:trPr>
              <w:tc>
                <w:tcPr>
                  <w:tcW w:w="2380" w:type="dxa"/>
                  <w:tcBorders>
                    <w:top w:val="nil"/>
                    <w:left w:val="nil"/>
                    <w:bottom w:val="nil"/>
                    <w:right w:val="nil"/>
                  </w:tcBorders>
                  <w:shd w:val="clear" w:color="auto" w:fill="auto"/>
                  <w:hideMark/>
                </w:tcPr>
                <w:p w14:paraId="134DF8DB" w14:textId="77777777" w:rsidR="004A51B4" w:rsidRPr="004A51B4" w:rsidRDefault="004A51B4" w:rsidP="004A51B4">
                  <w:pPr>
                    <w:spacing w:after="0" w:line="240" w:lineRule="auto"/>
                    <w:rPr>
                      <w:rFonts w:ascii="Arial" w:eastAsia="Times New Roman" w:hAnsi="Arial" w:cs="Arial"/>
                      <w:b/>
                      <w:bCs/>
                      <w:color w:val="000000"/>
                      <w:sz w:val="20"/>
                      <w:szCs w:val="20"/>
                      <w:lang w:eastAsia="en-GB"/>
                    </w:rPr>
                  </w:pPr>
                  <w:r w:rsidRPr="004A51B4">
                    <w:rPr>
                      <w:rFonts w:ascii="Arial" w:eastAsia="Times New Roman" w:hAnsi="Arial" w:cs="Arial"/>
                      <w:b/>
                      <w:bCs/>
                      <w:color w:val="000000"/>
                      <w:sz w:val="20"/>
                      <w:szCs w:val="20"/>
                      <w:lang w:eastAsia="en-GB"/>
                    </w:rPr>
                    <w:t>Charitable Activities</w:t>
                  </w:r>
                </w:p>
              </w:tc>
              <w:tc>
                <w:tcPr>
                  <w:tcW w:w="1060" w:type="dxa"/>
                  <w:tcBorders>
                    <w:top w:val="nil"/>
                    <w:left w:val="nil"/>
                    <w:bottom w:val="nil"/>
                    <w:right w:val="nil"/>
                  </w:tcBorders>
                  <w:shd w:val="clear" w:color="auto" w:fill="auto"/>
                  <w:noWrap/>
                  <w:vAlign w:val="center"/>
                  <w:hideMark/>
                </w:tcPr>
                <w:p w14:paraId="3150AAD3" w14:textId="77777777" w:rsidR="004A51B4" w:rsidRPr="004A51B4" w:rsidRDefault="004A51B4" w:rsidP="004A51B4">
                  <w:pPr>
                    <w:spacing w:after="0" w:line="240" w:lineRule="auto"/>
                    <w:rPr>
                      <w:rFonts w:ascii="Arial" w:eastAsia="Times New Roman" w:hAnsi="Arial" w:cs="Arial"/>
                      <w:b/>
                      <w:bCs/>
                      <w:color w:val="000000"/>
                      <w:sz w:val="20"/>
                      <w:szCs w:val="20"/>
                      <w:lang w:eastAsia="en-GB"/>
                    </w:rPr>
                  </w:pPr>
                </w:p>
              </w:tc>
              <w:tc>
                <w:tcPr>
                  <w:tcW w:w="1060" w:type="dxa"/>
                  <w:tcBorders>
                    <w:top w:val="nil"/>
                    <w:left w:val="nil"/>
                    <w:bottom w:val="nil"/>
                    <w:right w:val="nil"/>
                  </w:tcBorders>
                  <w:shd w:val="clear" w:color="auto" w:fill="auto"/>
                  <w:noWrap/>
                  <w:vAlign w:val="center"/>
                  <w:hideMark/>
                </w:tcPr>
                <w:p w14:paraId="7EB61C24" w14:textId="77777777" w:rsidR="004A51B4" w:rsidRPr="004A51B4" w:rsidRDefault="004A51B4" w:rsidP="004A51B4">
                  <w:pPr>
                    <w:spacing w:after="0" w:line="240" w:lineRule="auto"/>
                    <w:rPr>
                      <w:rFonts w:ascii="Calibri" w:eastAsia="Times New Roman" w:hAnsi="Calibri" w:cs="Calibri"/>
                      <w:color w:val="000000"/>
                      <w:lang w:eastAsia="en-GB"/>
                    </w:rPr>
                  </w:pPr>
                  <w:r w:rsidRPr="004A51B4">
                    <w:rPr>
                      <w:rFonts w:ascii="Calibri" w:eastAsia="Times New Roman" w:hAnsi="Calibri" w:cs="Calibri"/>
                      <w:color w:val="000000"/>
                      <w:lang w:eastAsia="en-GB"/>
                    </w:rPr>
                    <w:t> </w:t>
                  </w:r>
                </w:p>
              </w:tc>
              <w:tc>
                <w:tcPr>
                  <w:tcW w:w="1060" w:type="dxa"/>
                  <w:tcBorders>
                    <w:top w:val="nil"/>
                    <w:left w:val="nil"/>
                    <w:bottom w:val="nil"/>
                    <w:right w:val="nil"/>
                  </w:tcBorders>
                  <w:shd w:val="clear" w:color="auto" w:fill="auto"/>
                  <w:noWrap/>
                  <w:vAlign w:val="center"/>
                  <w:hideMark/>
                </w:tcPr>
                <w:p w14:paraId="2B6299D3" w14:textId="77777777" w:rsidR="004A51B4" w:rsidRPr="004A51B4" w:rsidRDefault="004A51B4" w:rsidP="004A51B4">
                  <w:pPr>
                    <w:spacing w:after="0" w:line="240" w:lineRule="auto"/>
                    <w:rPr>
                      <w:rFonts w:ascii="Calibri" w:eastAsia="Times New Roman" w:hAnsi="Calibri" w:cs="Calibri"/>
                      <w:b/>
                      <w:bCs/>
                      <w:color w:val="000000"/>
                      <w:lang w:eastAsia="en-GB"/>
                    </w:rPr>
                  </w:pPr>
                  <w:r w:rsidRPr="004A51B4">
                    <w:rPr>
                      <w:rFonts w:ascii="Calibri" w:eastAsia="Times New Roman" w:hAnsi="Calibri" w:cs="Calibri"/>
                      <w:b/>
                      <w:bCs/>
                      <w:color w:val="000000"/>
                      <w:lang w:eastAsia="en-GB"/>
                    </w:rPr>
                    <w:t> </w:t>
                  </w:r>
                </w:p>
              </w:tc>
              <w:tc>
                <w:tcPr>
                  <w:tcW w:w="1060" w:type="dxa"/>
                  <w:tcBorders>
                    <w:top w:val="nil"/>
                    <w:left w:val="nil"/>
                    <w:bottom w:val="nil"/>
                    <w:right w:val="nil"/>
                  </w:tcBorders>
                  <w:shd w:val="clear" w:color="auto" w:fill="auto"/>
                  <w:noWrap/>
                  <w:vAlign w:val="center"/>
                  <w:hideMark/>
                </w:tcPr>
                <w:p w14:paraId="00B3FA2A" w14:textId="77777777" w:rsidR="004A51B4" w:rsidRPr="004A51B4" w:rsidRDefault="004A51B4" w:rsidP="004A51B4">
                  <w:pPr>
                    <w:spacing w:after="0" w:line="240" w:lineRule="auto"/>
                    <w:rPr>
                      <w:rFonts w:ascii="Calibri" w:eastAsia="Times New Roman" w:hAnsi="Calibri" w:cs="Calibri"/>
                      <w:color w:val="000000"/>
                      <w:lang w:eastAsia="en-GB"/>
                    </w:rPr>
                  </w:pPr>
                  <w:r w:rsidRPr="004A51B4">
                    <w:rPr>
                      <w:rFonts w:ascii="Calibri" w:eastAsia="Times New Roman" w:hAnsi="Calibri" w:cs="Calibri"/>
                      <w:color w:val="000000"/>
                      <w:lang w:eastAsia="en-GB"/>
                    </w:rPr>
                    <w:t> </w:t>
                  </w:r>
                </w:p>
              </w:tc>
              <w:tc>
                <w:tcPr>
                  <w:tcW w:w="1060" w:type="dxa"/>
                  <w:tcBorders>
                    <w:top w:val="nil"/>
                    <w:left w:val="nil"/>
                    <w:bottom w:val="nil"/>
                    <w:right w:val="nil"/>
                  </w:tcBorders>
                  <w:shd w:val="clear" w:color="auto" w:fill="auto"/>
                  <w:noWrap/>
                  <w:vAlign w:val="center"/>
                  <w:hideMark/>
                </w:tcPr>
                <w:p w14:paraId="1390CDD0" w14:textId="77777777" w:rsidR="004A51B4" w:rsidRPr="004A51B4" w:rsidRDefault="004A51B4" w:rsidP="004A51B4">
                  <w:pPr>
                    <w:spacing w:after="0" w:line="240" w:lineRule="auto"/>
                    <w:rPr>
                      <w:rFonts w:ascii="Calibri" w:eastAsia="Times New Roman" w:hAnsi="Calibri" w:cs="Calibri"/>
                      <w:color w:val="000000"/>
                      <w:lang w:eastAsia="en-GB"/>
                    </w:rPr>
                  </w:pPr>
                  <w:r w:rsidRPr="004A51B4">
                    <w:rPr>
                      <w:rFonts w:ascii="Calibri" w:eastAsia="Times New Roman" w:hAnsi="Calibri" w:cs="Calibri"/>
                      <w:color w:val="000000"/>
                      <w:lang w:eastAsia="en-GB"/>
                    </w:rPr>
                    <w:t> </w:t>
                  </w:r>
                </w:p>
              </w:tc>
              <w:tc>
                <w:tcPr>
                  <w:tcW w:w="1060" w:type="dxa"/>
                  <w:tcBorders>
                    <w:top w:val="nil"/>
                    <w:left w:val="nil"/>
                    <w:bottom w:val="nil"/>
                    <w:right w:val="nil"/>
                  </w:tcBorders>
                  <w:shd w:val="clear" w:color="auto" w:fill="auto"/>
                  <w:noWrap/>
                  <w:vAlign w:val="center"/>
                  <w:hideMark/>
                </w:tcPr>
                <w:p w14:paraId="35347304" w14:textId="77777777" w:rsidR="004A51B4" w:rsidRPr="004A51B4" w:rsidRDefault="004A51B4" w:rsidP="004A51B4">
                  <w:pPr>
                    <w:spacing w:after="0" w:line="240" w:lineRule="auto"/>
                    <w:rPr>
                      <w:rFonts w:ascii="Calibri" w:eastAsia="Times New Roman" w:hAnsi="Calibri" w:cs="Calibri"/>
                      <w:color w:val="000000"/>
                      <w:lang w:eastAsia="en-GB"/>
                    </w:rPr>
                  </w:pPr>
                  <w:r w:rsidRPr="004A51B4">
                    <w:rPr>
                      <w:rFonts w:ascii="Calibri" w:eastAsia="Times New Roman" w:hAnsi="Calibri" w:cs="Calibri"/>
                      <w:color w:val="000000"/>
                      <w:lang w:eastAsia="en-GB"/>
                    </w:rPr>
                    <w:t> </w:t>
                  </w:r>
                </w:p>
              </w:tc>
            </w:tr>
            <w:tr w:rsidR="004A51B4" w:rsidRPr="004A51B4" w14:paraId="7B7D60A3" w14:textId="77777777" w:rsidTr="00161381">
              <w:trPr>
                <w:trHeight w:val="300"/>
              </w:trPr>
              <w:tc>
                <w:tcPr>
                  <w:tcW w:w="2380" w:type="dxa"/>
                  <w:tcBorders>
                    <w:top w:val="nil"/>
                    <w:left w:val="nil"/>
                    <w:bottom w:val="nil"/>
                    <w:right w:val="nil"/>
                  </w:tcBorders>
                  <w:shd w:val="clear" w:color="auto" w:fill="auto"/>
                  <w:hideMark/>
                </w:tcPr>
                <w:p w14:paraId="37213383" w14:textId="77777777" w:rsidR="004A51B4" w:rsidRPr="004A51B4" w:rsidRDefault="004A51B4" w:rsidP="004A51B4">
                  <w:pPr>
                    <w:spacing w:after="0" w:line="240" w:lineRule="auto"/>
                    <w:rPr>
                      <w:rFonts w:ascii="Arial" w:eastAsia="Times New Roman" w:hAnsi="Arial" w:cs="Arial"/>
                      <w:color w:val="000000"/>
                      <w:sz w:val="20"/>
                      <w:szCs w:val="20"/>
                      <w:lang w:eastAsia="en-GB"/>
                    </w:rPr>
                  </w:pPr>
                  <w:r w:rsidRPr="004A51B4">
                    <w:rPr>
                      <w:rFonts w:ascii="Arial" w:eastAsia="Times New Roman" w:hAnsi="Arial" w:cs="Arial"/>
                      <w:color w:val="000000"/>
                      <w:sz w:val="20"/>
                      <w:szCs w:val="20"/>
                      <w:lang w:eastAsia="en-GB"/>
                    </w:rPr>
                    <w:t>Impairment of goodwill</w:t>
                  </w:r>
                </w:p>
              </w:tc>
              <w:tc>
                <w:tcPr>
                  <w:tcW w:w="1060" w:type="dxa"/>
                  <w:tcBorders>
                    <w:top w:val="nil"/>
                    <w:left w:val="nil"/>
                    <w:bottom w:val="nil"/>
                    <w:right w:val="nil"/>
                  </w:tcBorders>
                  <w:shd w:val="clear" w:color="auto" w:fill="auto"/>
                  <w:noWrap/>
                  <w:vAlign w:val="center"/>
                  <w:hideMark/>
                </w:tcPr>
                <w:p w14:paraId="0FC20B0D" w14:textId="77777777" w:rsidR="004A51B4" w:rsidRPr="004A51B4" w:rsidRDefault="004A51B4" w:rsidP="004A51B4">
                  <w:pPr>
                    <w:spacing w:after="0" w:line="240" w:lineRule="auto"/>
                    <w:jc w:val="right"/>
                    <w:rPr>
                      <w:rFonts w:ascii="Arial" w:eastAsia="Times New Roman" w:hAnsi="Arial" w:cs="Arial"/>
                      <w:color w:val="000000"/>
                      <w:sz w:val="20"/>
                      <w:szCs w:val="20"/>
                      <w:lang w:eastAsia="en-GB"/>
                    </w:rPr>
                  </w:pPr>
                  <w:r w:rsidRPr="004A51B4">
                    <w:rPr>
                      <w:rFonts w:ascii="Arial" w:eastAsia="Times New Roman" w:hAnsi="Arial" w:cs="Arial"/>
                      <w:color w:val="000000"/>
                      <w:sz w:val="20"/>
                      <w:szCs w:val="20"/>
                      <w:lang w:eastAsia="en-GB"/>
                    </w:rPr>
                    <w:t>-</w:t>
                  </w:r>
                </w:p>
              </w:tc>
              <w:tc>
                <w:tcPr>
                  <w:tcW w:w="1060" w:type="dxa"/>
                  <w:tcBorders>
                    <w:top w:val="nil"/>
                    <w:left w:val="nil"/>
                    <w:bottom w:val="nil"/>
                    <w:right w:val="nil"/>
                  </w:tcBorders>
                  <w:shd w:val="clear" w:color="auto" w:fill="auto"/>
                  <w:noWrap/>
                  <w:vAlign w:val="center"/>
                  <w:hideMark/>
                </w:tcPr>
                <w:p w14:paraId="222E98C3" w14:textId="77777777" w:rsidR="004A51B4" w:rsidRPr="004A51B4" w:rsidRDefault="004A51B4" w:rsidP="004A51B4">
                  <w:pPr>
                    <w:spacing w:after="0" w:line="240" w:lineRule="auto"/>
                    <w:jc w:val="right"/>
                    <w:rPr>
                      <w:rFonts w:ascii="Times New Roman" w:eastAsia="Times New Roman" w:hAnsi="Times New Roman" w:cs="Times New Roman"/>
                      <w:color w:val="000000"/>
                      <w:sz w:val="20"/>
                      <w:szCs w:val="20"/>
                      <w:lang w:eastAsia="en-GB"/>
                    </w:rPr>
                  </w:pPr>
                  <w:r w:rsidRPr="004A51B4">
                    <w:rPr>
                      <w:rFonts w:ascii="Times New Roman" w:eastAsia="Times New Roman" w:hAnsi="Times New Roman" w:cs="Times New Roman"/>
                      <w:color w:val="000000"/>
                      <w:sz w:val="20"/>
                      <w:szCs w:val="20"/>
                      <w:lang w:eastAsia="en-GB"/>
                    </w:rPr>
                    <w:t>-</w:t>
                  </w:r>
                </w:p>
              </w:tc>
              <w:tc>
                <w:tcPr>
                  <w:tcW w:w="1060" w:type="dxa"/>
                  <w:tcBorders>
                    <w:top w:val="nil"/>
                    <w:left w:val="nil"/>
                    <w:bottom w:val="nil"/>
                    <w:right w:val="nil"/>
                  </w:tcBorders>
                  <w:shd w:val="clear" w:color="auto" w:fill="auto"/>
                  <w:noWrap/>
                  <w:vAlign w:val="center"/>
                  <w:hideMark/>
                </w:tcPr>
                <w:p w14:paraId="70A73CAA" w14:textId="77777777" w:rsidR="004A51B4" w:rsidRPr="004A51B4" w:rsidRDefault="004A51B4" w:rsidP="004A51B4">
                  <w:pPr>
                    <w:spacing w:after="0" w:line="240" w:lineRule="auto"/>
                    <w:jc w:val="right"/>
                    <w:rPr>
                      <w:rFonts w:ascii="Arial" w:eastAsia="Times New Roman" w:hAnsi="Arial" w:cs="Arial"/>
                      <w:b/>
                      <w:bCs/>
                      <w:color w:val="000000"/>
                      <w:sz w:val="20"/>
                      <w:szCs w:val="20"/>
                      <w:lang w:eastAsia="en-GB"/>
                    </w:rPr>
                  </w:pPr>
                  <w:r w:rsidRPr="004A51B4">
                    <w:rPr>
                      <w:rFonts w:ascii="Arial" w:eastAsia="Times New Roman" w:hAnsi="Arial" w:cs="Arial"/>
                      <w:b/>
                      <w:bCs/>
                      <w:color w:val="000000"/>
                      <w:sz w:val="20"/>
                      <w:szCs w:val="20"/>
                      <w:lang w:eastAsia="en-GB"/>
                    </w:rPr>
                    <w:t>-</w:t>
                  </w:r>
                </w:p>
              </w:tc>
              <w:tc>
                <w:tcPr>
                  <w:tcW w:w="1060" w:type="dxa"/>
                  <w:tcBorders>
                    <w:top w:val="nil"/>
                    <w:left w:val="nil"/>
                    <w:bottom w:val="nil"/>
                    <w:right w:val="nil"/>
                  </w:tcBorders>
                  <w:shd w:val="clear" w:color="auto" w:fill="auto"/>
                  <w:noWrap/>
                  <w:vAlign w:val="center"/>
                  <w:hideMark/>
                </w:tcPr>
                <w:p w14:paraId="5ACF3F11" w14:textId="77777777" w:rsidR="004A51B4" w:rsidRPr="004A51B4" w:rsidRDefault="004A51B4" w:rsidP="004A51B4">
                  <w:pPr>
                    <w:spacing w:after="0" w:line="240" w:lineRule="auto"/>
                    <w:jc w:val="right"/>
                    <w:rPr>
                      <w:rFonts w:ascii="Arial" w:eastAsia="Times New Roman" w:hAnsi="Arial" w:cs="Arial"/>
                      <w:color w:val="000000"/>
                      <w:sz w:val="20"/>
                      <w:szCs w:val="20"/>
                      <w:lang w:eastAsia="en-GB"/>
                    </w:rPr>
                  </w:pPr>
                  <w:r w:rsidRPr="004A51B4">
                    <w:rPr>
                      <w:rFonts w:ascii="Arial" w:eastAsia="Times New Roman" w:hAnsi="Arial" w:cs="Arial"/>
                      <w:color w:val="000000"/>
                      <w:sz w:val="20"/>
                      <w:szCs w:val="20"/>
                      <w:lang w:eastAsia="en-GB"/>
                    </w:rPr>
                    <w:t>15,859</w:t>
                  </w:r>
                </w:p>
              </w:tc>
              <w:tc>
                <w:tcPr>
                  <w:tcW w:w="1060" w:type="dxa"/>
                  <w:tcBorders>
                    <w:top w:val="nil"/>
                    <w:left w:val="nil"/>
                    <w:bottom w:val="nil"/>
                    <w:right w:val="nil"/>
                  </w:tcBorders>
                  <w:shd w:val="clear" w:color="auto" w:fill="auto"/>
                  <w:noWrap/>
                  <w:vAlign w:val="center"/>
                  <w:hideMark/>
                </w:tcPr>
                <w:p w14:paraId="5BB34C03" w14:textId="77777777" w:rsidR="004A51B4" w:rsidRPr="004A51B4" w:rsidRDefault="004A51B4" w:rsidP="004A51B4">
                  <w:pPr>
                    <w:spacing w:after="0" w:line="240" w:lineRule="auto"/>
                    <w:jc w:val="right"/>
                    <w:rPr>
                      <w:rFonts w:ascii="Times New Roman" w:eastAsia="Times New Roman" w:hAnsi="Times New Roman" w:cs="Times New Roman"/>
                      <w:color w:val="000000"/>
                      <w:sz w:val="20"/>
                      <w:szCs w:val="20"/>
                      <w:lang w:eastAsia="en-GB"/>
                    </w:rPr>
                  </w:pPr>
                  <w:r w:rsidRPr="004A51B4">
                    <w:rPr>
                      <w:rFonts w:ascii="Times New Roman" w:eastAsia="Times New Roman" w:hAnsi="Times New Roman" w:cs="Times New Roman"/>
                      <w:color w:val="000000"/>
                      <w:sz w:val="20"/>
                      <w:szCs w:val="20"/>
                      <w:lang w:eastAsia="en-GB"/>
                    </w:rPr>
                    <w:t>-</w:t>
                  </w:r>
                </w:p>
              </w:tc>
              <w:tc>
                <w:tcPr>
                  <w:tcW w:w="1060" w:type="dxa"/>
                  <w:tcBorders>
                    <w:top w:val="nil"/>
                    <w:left w:val="nil"/>
                    <w:bottom w:val="nil"/>
                    <w:right w:val="nil"/>
                  </w:tcBorders>
                  <w:shd w:val="clear" w:color="auto" w:fill="auto"/>
                  <w:noWrap/>
                  <w:vAlign w:val="center"/>
                  <w:hideMark/>
                </w:tcPr>
                <w:p w14:paraId="0877EAF5" w14:textId="77777777" w:rsidR="004A51B4" w:rsidRPr="006647C2" w:rsidRDefault="004A51B4" w:rsidP="004A51B4">
                  <w:pPr>
                    <w:spacing w:after="0" w:line="240" w:lineRule="auto"/>
                    <w:jc w:val="right"/>
                    <w:rPr>
                      <w:rFonts w:ascii="Arial" w:eastAsia="Times New Roman" w:hAnsi="Arial" w:cs="Arial"/>
                      <w:bCs/>
                      <w:color w:val="000000"/>
                      <w:sz w:val="20"/>
                      <w:szCs w:val="20"/>
                      <w:lang w:eastAsia="en-GB"/>
                    </w:rPr>
                  </w:pPr>
                  <w:r w:rsidRPr="006647C2">
                    <w:rPr>
                      <w:rFonts w:ascii="Arial" w:eastAsia="Times New Roman" w:hAnsi="Arial" w:cs="Arial"/>
                      <w:bCs/>
                      <w:color w:val="000000"/>
                      <w:sz w:val="20"/>
                      <w:szCs w:val="20"/>
                      <w:lang w:eastAsia="en-GB"/>
                    </w:rPr>
                    <w:t>15,859</w:t>
                  </w:r>
                </w:p>
              </w:tc>
            </w:tr>
            <w:tr w:rsidR="004A51B4" w:rsidRPr="004A51B4" w14:paraId="7DE0F1B8" w14:textId="77777777" w:rsidTr="00161381">
              <w:trPr>
                <w:trHeight w:val="765"/>
              </w:trPr>
              <w:tc>
                <w:tcPr>
                  <w:tcW w:w="2380" w:type="dxa"/>
                  <w:tcBorders>
                    <w:top w:val="nil"/>
                    <w:left w:val="nil"/>
                    <w:bottom w:val="nil"/>
                    <w:right w:val="nil"/>
                  </w:tcBorders>
                  <w:shd w:val="clear" w:color="auto" w:fill="auto"/>
                  <w:hideMark/>
                </w:tcPr>
                <w:p w14:paraId="13F150CB" w14:textId="77777777" w:rsidR="004A51B4" w:rsidRPr="004A51B4" w:rsidRDefault="004A51B4" w:rsidP="004A51B4">
                  <w:pPr>
                    <w:spacing w:after="0" w:line="240" w:lineRule="auto"/>
                    <w:rPr>
                      <w:rFonts w:ascii="Arial" w:eastAsia="Times New Roman" w:hAnsi="Arial" w:cs="Arial"/>
                      <w:color w:val="000000"/>
                      <w:sz w:val="20"/>
                      <w:szCs w:val="20"/>
                      <w:lang w:eastAsia="en-GB"/>
                    </w:rPr>
                  </w:pPr>
                  <w:r w:rsidRPr="004A51B4">
                    <w:rPr>
                      <w:rFonts w:ascii="Arial" w:eastAsia="Times New Roman" w:hAnsi="Arial" w:cs="Arial"/>
                      <w:color w:val="000000"/>
                      <w:sz w:val="20"/>
                      <w:szCs w:val="20"/>
                      <w:lang w:eastAsia="en-GB"/>
                    </w:rPr>
                    <w:t>Contract delivery, social enterprises &amp; other charitable activities</w:t>
                  </w:r>
                </w:p>
              </w:tc>
              <w:tc>
                <w:tcPr>
                  <w:tcW w:w="1060" w:type="dxa"/>
                  <w:tcBorders>
                    <w:top w:val="nil"/>
                    <w:left w:val="nil"/>
                    <w:bottom w:val="nil"/>
                    <w:right w:val="nil"/>
                  </w:tcBorders>
                  <w:shd w:val="clear" w:color="auto" w:fill="auto"/>
                  <w:noWrap/>
                  <w:vAlign w:val="center"/>
                  <w:hideMark/>
                </w:tcPr>
                <w:p w14:paraId="2BB52DBA" w14:textId="77777777" w:rsidR="004A51B4" w:rsidRPr="004A51B4" w:rsidRDefault="00AF39AA" w:rsidP="004A51B4">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w:t>
                  </w:r>
                  <w:r w:rsidR="00292AA6">
                    <w:rPr>
                      <w:rFonts w:ascii="Arial" w:eastAsia="Times New Roman" w:hAnsi="Arial" w:cs="Arial"/>
                      <w:color w:val="000000"/>
                      <w:sz w:val="20"/>
                      <w:szCs w:val="20"/>
                      <w:lang w:eastAsia="en-GB"/>
                    </w:rPr>
                    <w:t>11,82</w:t>
                  </w:r>
                  <w:r w:rsidR="00BA11DA">
                    <w:rPr>
                      <w:rFonts w:ascii="Arial" w:eastAsia="Times New Roman" w:hAnsi="Arial" w:cs="Arial"/>
                      <w:color w:val="000000"/>
                      <w:sz w:val="20"/>
                      <w:szCs w:val="20"/>
                      <w:lang w:eastAsia="en-GB"/>
                    </w:rPr>
                    <w:t>8</w:t>
                  </w:r>
                </w:p>
              </w:tc>
              <w:tc>
                <w:tcPr>
                  <w:tcW w:w="1060" w:type="dxa"/>
                  <w:tcBorders>
                    <w:top w:val="nil"/>
                    <w:left w:val="nil"/>
                    <w:bottom w:val="nil"/>
                    <w:right w:val="nil"/>
                  </w:tcBorders>
                  <w:shd w:val="clear" w:color="auto" w:fill="auto"/>
                  <w:noWrap/>
                  <w:vAlign w:val="center"/>
                  <w:hideMark/>
                </w:tcPr>
                <w:p w14:paraId="60A7F1F7" w14:textId="77777777" w:rsidR="004A51B4" w:rsidRPr="004A51B4" w:rsidRDefault="00292AA6" w:rsidP="004A51B4">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1,877</w:t>
                  </w:r>
                </w:p>
              </w:tc>
              <w:tc>
                <w:tcPr>
                  <w:tcW w:w="1060" w:type="dxa"/>
                  <w:tcBorders>
                    <w:top w:val="nil"/>
                    <w:left w:val="nil"/>
                    <w:bottom w:val="nil"/>
                    <w:right w:val="nil"/>
                  </w:tcBorders>
                  <w:shd w:val="clear" w:color="auto" w:fill="auto"/>
                  <w:noWrap/>
                  <w:vAlign w:val="center"/>
                  <w:hideMark/>
                </w:tcPr>
                <w:p w14:paraId="25FA6FD1" w14:textId="77777777" w:rsidR="004A51B4" w:rsidRPr="004A51B4" w:rsidRDefault="00450989">
                  <w:pPr>
                    <w:spacing w:after="0" w:line="240" w:lineRule="auto"/>
                    <w:jc w:val="right"/>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2</w:t>
                  </w:r>
                  <w:r w:rsidR="00AF39AA">
                    <w:rPr>
                      <w:rFonts w:ascii="Arial" w:eastAsia="Times New Roman" w:hAnsi="Arial" w:cs="Arial"/>
                      <w:b/>
                      <w:bCs/>
                      <w:color w:val="000000"/>
                      <w:sz w:val="20"/>
                      <w:szCs w:val="20"/>
                      <w:lang w:eastAsia="en-GB"/>
                    </w:rPr>
                    <w:t>13,70</w:t>
                  </w:r>
                  <w:r w:rsidR="00BA11DA">
                    <w:rPr>
                      <w:rFonts w:ascii="Arial" w:eastAsia="Times New Roman" w:hAnsi="Arial" w:cs="Arial"/>
                      <w:b/>
                      <w:bCs/>
                      <w:color w:val="000000"/>
                      <w:sz w:val="20"/>
                      <w:szCs w:val="20"/>
                      <w:lang w:eastAsia="en-GB"/>
                    </w:rPr>
                    <w:t>5</w:t>
                  </w:r>
                </w:p>
              </w:tc>
              <w:tc>
                <w:tcPr>
                  <w:tcW w:w="1060" w:type="dxa"/>
                  <w:tcBorders>
                    <w:top w:val="nil"/>
                    <w:left w:val="nil"/>
                    <w:bottom w:val="nil"/>
                    <w:right w:val="nil"/>
                  </w:tcBorders>
                  <w:shd w:val="clear" w:color="auto" w:fill="auto"/>
                  <w:noWrap/>
                  <w:vAlign w:val="center"/>
                  <w:hideMark/>
                </w:tcPr>
                <w:p w14:paraId="13A06BA9" w14:textId="77777777" w:rsidR="004A51B4" w:rsidRPr="004A51B4" w:rsidRDefault="004A51B4" w:rsidP="004A51B4">
                  <w:pPr>
                    <w:spacing w:after="0" w:line="240" w:lineRule="auto"/>
                    <w:jc w:val="right"/>
                    <w:rPr>
                      <w:rFonts w:ascii="Arial" w:eastAsia="Times New Roman" w:hAnsi="Arial" w:cs="Arial"/>
                      <w:color w:val="000000"/>
                      <w:sz w:val="20"/>
                      <w:szCs w:val="20"/>
                      <w:lang w:eastAsia="en-GB"/>
                    </w:rPr>
                  </w:pPr>
                  <w:r w:rsidRPr="004A51B4">
                    <w:rPr>
                      <w:rFonts w:ascii="Arial" w:eastAsia="Times New Roman" w:hAnsi="Arial" w:cs="Arial"/>
                      <w:color w:val="000000"/>
                      <w:sz w:val="20"/>
                      <w:szCs w:val="20"/>
                      <w:lang w:eastAsia="en-GB"/>
                    </w:rPr>
                    <w:t>201,665</w:t>
                  </w:r>
                </w:p>
              </w:tc>
              <w:tc>
                <w:tcPr>
                  <w:tcW w:w="1060" w:type="dxa"/>
                  <w:tcBorders>
                    <w:top w:val="nil"/>
                    <w:left w:val="nil"/>
                    <w:bottom w:val="nil"/>
                    <w:right w:val="nil"/>
                  </w:tcBorders>
                  <w:shd w:val="clear" w:color="auto" w:fill="auto"/>
                  <w:noWrap/>
                  <w:vAlign w:val="center"/>
                  <w:hideMark/>
                </w:tcPr>
                <w:p w14:paraId="0C4EF7DB" w14:textId="77777777" w:rsidR="004A51B4" w:rsidRPr="004A51B4" w:rsidRDefault="004A51B4" w:rsidP="004A51B4">
                  <w:pPr>
                    <w:spacing w:after="0" w:line="240" w:lineRule="auto"/>
                    <w:jc w:val="right"/>
                    <w:rPr>
                      <w:rFonts w:ascii="Arial" w:eastAsia="Times New Roman" w:hAnsi="Arial" w:cs="Arial"/>
                      <w:color w:val="000000"/>
                      <w:sz w:val="20"/>
                      <w:szCs w:val="20"/>
                      <w:lang w:eastAsia="en-GB"/>
                    </w:rPr>
                  </w:pPr>
                  <w:r w:rsidRPr="004A51B4">
                    <w:rPr>
                      <w:rFonts w:ascii="Arial" w:eastAsia="Times New Roman" w:hAnsi="Arial" w:cs="Arial"/>
                      <w:color w:val="000000"/>
                      <w:sz w:val="20"/>
                      <w:szCs w:val="20"/>
                      <w:lang w:eastAsia="en-GB"/>
                    </w:rPr>
                    <w:t>1,665</w:t>
                  </w:r>
                </w:p>
              </w:tc>
              <w:tc>
                <w:tcPr>
                  <w:tcW w:w="1060" w:type="dxa"/>
                  <w:tcBorders>
                    <w:top w:val="nil"/>
                    <w:left w:val="nil"/>
                    <w:bottom w:val="nil"/>
                    <w:right w:val="nil"/>
                  </w:tcBorders>
                  <w:shd w:val="clear" w:color="auto" w:fill="auto"/>
                  <w:noWrap/>
                  <w:vAlign w:val="center"/>
                  <w:hideMark/>
                </w:tcPr>
                <w:p w14:paraId="4C874EA5" w14:textId="77777777" w:rsidR="004A51B4" w:rsidRPr="006647C2" w:rsidRDefault="004A51B4" w:rsidP="004A51B4">
                  <w:pPr>
                    <w:spacing w:after="0" w:line="240" w:lineRule="auto"/>
                    <w:jc w:val="right"/>
                    <w:rPr>
                      <w:rFonts w:ascii="Arial" w:eastAsia="Times New Roman" w:hAnsi="Arial" w:cs="Arial"/>
                      <w:bCs/>
                      <w:color w:val="000000"/>
                      <w:sz w:val="20"/>
                      <w:szCs w:val="20"/>
                      <w:lang w:eastAsia="en-GB"/>
                    </w:rPr>
                  </w:pPr>
                  <w:r w:rsidRPr="006647C2">
                    <w:rPr>
                      <w:rFonts w:ascii="Arial" w:eastAsia="Times New Roman" w:hAnsi="Arial" w:cs="Arial"/>
                      <w:bCs/>
                      <w:color w:val="000000"/>
                      <w:sz w:val="20"/>
                      <w:szCs w:val="20"/>
                      <w:lang w:eastAsia="en-GB"/>
                    </w:rPr>
                    <w:t>203,33</w:t>
                  </w:r>
                  <w:r w:rsidR="00BA11DA">
                    <w:rPr>
                      <w:rFonts w:ascii="Arial" w:eastAsia="Times New Roman" w:hAnsi="Arial" w:cs="Arial"/>
                      <w:bCs/>
                      <w:color w:val="000000"/>
                      <w:sz w:val="20"/>
                      <w:szCs w:val="20"/>
                      <w:lang w:eastAsia="en-GB"/>
                    </w:rPr>
                    <w:t>2</w:t>
                  </w:r>
                </w:p>
              </w:tc>
            </w:tr>
            <w:tr w:rsidR="004A51B4" w:rsidRPr="004A51B4" w14:paraId="64506BDE" w14:textId="77777777" w:rsidTr="00161381">
              <w:trPr>
                <w:trHeight w:val="510"/>
              </w:trPr>
              <w:tc>
                <w:tcPr>
                  <w:tcW w:w="2380" w:type="dxa"/>
                  <w:tcBorders>
                    <w:top w:val="nil"/>
                    <w:left w:val="nil"/>
                    <w:bottom w:val="single" w:sz="8" w:space="0" w:color="auto"/>
                    <w:right w:val="nil"/>
                  </w:tcBorders>
                  <w:shd w:val="clear" w:color="auto" w:fill="auto"/>
                  <w:hideMark/>
                </w:tcPr>
                <w:p w14:paraId="39A6219F" w14:textId="77777777" w:rsidR="004A51B4" w:rsidRPr="004A51B4" w:rsidRDefault="004A51B4" w:rsidP="004A51B4">
                  <w:pPr>
                    <w:spacing w:after="0" w:line="240" w:lineRule="auto"/>
                    <w:rPr>
                      <w:rFonts w:ascii="Arial" w:eastAsia="Times New Roman" w:hAnsi="Arial" w:cs="Arial"/>
                      <w:color w:val="000000"/>
                      <w:sz w:val="20"/>
                      <w:szCs w:val="20"/>
                      <w:lang w:eastAsia="en-GB"/>
                    </w:rPr>
                  </w:pPr>
                  <w:r w:rsidRPr="004A51B4">
                    <w:rPr>
                      <w:rFonts w:ascii="Arial" w:eastAsia="Times New Roman" w:hAnsi="Arial" w:cs="Arial"/>
                      <w:color w:val="000000"/>
                      <w:sz w:val="20"/>
                      <w:szCs w:val="20"/>
                      <w:lang w:eastAsia="en-GB"/>
                    </w:rPr>
                    <w:t>Usage of fundraising funds</w:t>
                  </w:r>
                </w:p>
              </w:tc>
              <w:tc>
                <w:tcPr>
                  <w:tcW w:w="1060" w:type="dxa"/>
                  <w:tcBorders>
                    <w:top w:val="nil"/>
                    <w:left w:val="nil"/>
                    <w:bottom w:val="nil"/>
                    <w:right w:val="nil"/>
                  </w:tcBorders>
                  <w:shd w:val="clear" w:color="auto" w:fill="auto"/>
                  <w:noWrap/>
                  <w:vAlign w:val="center"/>
                  <w:hideMark/>
                </w:tcPr>
                <w:p w14:paraId="35649B51" w14:textId="77777777" w:rsidR="004A51B4" w:rsidRPr="00B921F3" w:rsidRDefault="004A51B4" w:rsidP="004A51B4">
                  <w:pPr>
                    <w:spacing w:after="0" w:line="240" w:lineRule="auto"/>
                    <w:jc w:val="right"/>
                    <w:rPr>
                      <w:rFonts w:ascii="Arial" w:eastAsia="Times New Roman" w:hAnsi="Arial" w:cs="Arial"/>
                      <w:color w:val="000000"/>
                      <w:sz w:val="20"/>
                      <w:szCs w:val="20"/>
                      <w:lang w:eastAsia="en-GB"/>
                    </w:rPr>
                  </w:pPr>
                  <w:r w:rsidRPr="00B921F3">
                    <w:rPr>
                      <w:rFonts w:ascii="Arial" w:eastAsia="Times New Roman" w:hAnsi="Arial" w:cs="Arial"/>
                      <w:color w:val="000000"/>
                      <w:sz w:val="20"/>
                      <w:szCs w:val="20"/>
                      <w:lang w:eastAsia="en-GB"/>
                    </w:rPr>
                    <w:t>24</w:t>
                  </w:r>
                </w:p>
              </w:tc>
              <w:tc>
                <w:tcPr>
                  <w:tcW w:w="1060" w:type="dxa"/>
                  <w:tcBorders>
                    <w:top w:val="nil"/>
                    <w:left w:val="nil"/>
                    <w:bottom w:val="single" w:sz="8" w:space="0" w:color="auto"/>
                    <w:right w:val="nil"/>
                  </w:tcBorders>
                  <w:shd w:val="clear" w:color="auto" w:fill="auto"/>
                  <w:noWrap/>
                  <w:vAlign w:val="center"/>
                  <w:hideMark/>
                </w:tcPr>
                <w:p w14:paraId="6FA741FF" w14:textId="77777777" w:rsidR="004A51B4" w:rsidRPr="00B921F3" w:rsidRDefault="004A51B4" w:rsidP="004A51B4">
                  <w:pPr>
                    <w:spacing w:after="0" w:line="240" w:lineRule="auto"/>
                    <w:jc w:val="right"/>
                    <w:rPr>
                      <w:rFonts w:ascii="Arial" w:eastAsia="Times New Roman" w:hAnsi="Arial" w:cs="Arial"/>
                      <w:color w:val="000000"/>
                      <w:sz w:val="20"/>
                      <w:szCs w:val="20"/>
                      <w:lang w:eastAsia="en-GB"/>
                    </w:rPr>
                  </w:pPr>
                  <w:r w:rsidRPr="00B921F3">
                    <w:rPr>
                      <w:rFonts w:ascii="Arial" w:eastAsia="Times New Roman" w:hAnsi="Arial" w:cs="Arial"/>
                      <w:color w:val="000000"/>
                      <w:sz w:val="20"/>
                      <w:szCs w:val="20"/>
                      <w:lang w:eastAsia="en-GB"/>
                    </w:rPr>
                    <w:t>-</w:t>
                  </w:r>
                </w:p>
              </w:tc>
              <w:tc>
                <w:tcPr>
                  <w:tcW w:w="1060" w:type="dxa"/>
                  <w:tcBorders>
                    <w:top w:val="nil"/>
                    <w:left w:val="nil"/>
                    <w:bottom w:val="single" w:sz="8" w:space="0" w:color="auto"/>
                    <w:right w:val="nil"/>
                  </w:tcBorders>
                  <w:shd w:val="clear" w:color="auto" w:fill="auto"/>
                  <w:noWrap/>
                  <w:vAlign w:val="center"/>
                  <w:hideMark/>
                </w:tcPr>
                <w:p w14:paraId="7E9BD017" w14:textId="77777777" w:rsidR="004A51B4" w:rsidRPr="00B921F3" w:rsidRDefault="004A51B4" w:rsidP="004A51B4">
                  <w:pPr>
                    <w:spacing w:after="0" w:line="240" w:lineRule="auto"/>
                    <w:jc w:val="right"/>
                    <w:rPr>
                      <w:rFonts w:ascii="Arial" w:eastAsia="Times New Roman" w:hAnsi="Arial" w:cs="Arial"/>
                      <w:b/>
                      <w:bCs/>
                      <w:color w:val="000000"/>
                      <w:sz w:val="20"/>
                      <w:szCs w:val="20"/>
                      <w:lang w:eastAsia="en-GB"/>
                    </w:rPr>
                  </w:pPr>
                  <w:r w:rsidRPr="00B921F3">
                    <w:rPr>
                      <w:rFonts w:ascii="Arial" w:eastAsia="Times New Roman" w:hAnsi="Arial" w:cs="Arial"/>
                      <w:b/>
                      <w:bCs/>
                      <w:color w:val="000000"/>
                      <w:sz w:val="20"/>
                      <w:szCs w:val="20"/>
                      <w:lang w:eastAsia="en-GB"/>
                    </w:rPr>
                    <w:t>24</w:t>
                  </w:r>
                </w:p>
              </w:tc>
              <w:tc>
                <w:tcPr>
                  <w:tcW w:w="1060" w:type="dxa"/>
                  <w:tcBorders>
                    <w:top w:val="nil"/>
                    <w:left w:val="nil"/>
                    <w:bottom w:val="single" w:sz="8" w:space="0" w:color="auto"/>
                    <w:right w:val="nil"/>
                  </w:tcBorders>
                  <w:shd w:val="clear" w:color="auto" w:fill="auto"/>
                  <w:noWrap/>
                  <w:vAlign w:val="center"/>
                  <w:hideMark/>
                </w:tcPr>
                <w:p w14:paraId="3A8AF752" w14:textId="77777777" w:rsidR="004A51B4" w:rsidRPr="004A51B4" w:rsidRDefault="004A51B4" w:rsidP="004A51B4">
                  <w:pPr>
                    <w:spacing w:after="0" w:line="240" w:lineRule="auto"/>
                    <w:jc w:val="right"/>
                    <w:rPr>
                      <w:rFonts w:ascii="Arial" w:eastAsia="Times New Roman" w:hAnsi="Arial" w:cs="Arial"/>
                      <w:color w:val="000000"/>
                      <w:sz w:val="20"/>
                      <w:szCs w:val="20"/>
                      <w:lang w:eastAsia="en-GB"/>
                    </w:rPr>
                  </w:pPr>
                  <w:r w:rsidRPr="004A51B4">
                    <w:rPr>
                      <w:rFonts w:ascii="Arial" w:eastAsia="Times New Roman" w:hAnsi="Arial" w:cs="Arial"/>
                      <w:color w:val="000000"/>
                      <w:sz w:val="20"/>
                      <w:szCs w:val="20"/>
                      <w:lang w:eastAsia="en-GB"/>
                    </w:rPr>
                    <w:t>320</w:t>
                  </w:r>
                </w:p>
              </w:tc>
              <w:tc>
                <w:tcPr>
                  <w:tcW w:w="1060" w:type="dxa"/>
                  <w:tcBorders>
                    <w:top w:val="nil"/>
                    <w:left w:val="nil"/>
                    <w:bottom w:val="single" w:sz="8" w:space="0" w:color="auto"/>
                    <w:right w:val="nil"/>
                  </w:tcBorders>
                  <w:shd w:val="clear" w:color="auto" w:fill="auto"/>
                  <w:noWrap/>
                  <w:vAlign w:val="center"/>
                  <w:hideMark/>
                </w:tcPr>
                <w:p w14:paraId="003ECD19" w14:textId="77777777" w:rsidR="004A51B4" w:rsidRPr="004A51B4" w:rsidRDefault="004A51B4" w:rsidP="004A51B4">
                  <w:pPr>
                    <w:spacing w:after="0" w:line="240" w:lineRule="auto"/>
                    <w:jc w:val="right"/>
                    <w:rPr>
                      <w:rFonts w:ascii="Arial" w:eastAsia="Times New Roman" w:hAnsi="Arial" w:cs="Arial"/>
                      <w:color w:val="000000"/>
                      <w:sz w:val="20"/>
                      <w:szCs w:val="20"/>
                      <w:lang w:eastAsia="en-GB"/>
                    </w:rPr>
                  </w:pPr>
                  <w:r w:rsidRPr="004A51B4">
                    <w:rPr>
                      <w:rFonts w:ascii="Arial" w:eastAsia="Times New Roman" w:hAnsi="Arial" w:cs="Arial"/>
                      <w:color w:val="000000"/>
                      <w:sz w:val="20"/>
                      <w:szCs w:val="20"/>
                      <w:lang w:eastAsia="en-GB"/>
                    </w:rPr>
                    <w:t>-</w:t>
                  </w:r>
                </w:p>
              </w:tc>
              <w:tc>
                <w:tcPr>
                  <w:tcW w:w="1060" w:type="dxa"/>
                  <w:tcBorders>
                    <w:top w:val="nil"/>
                    <w:left w:val="nil"/>
                    <w:bottom w:val="single" w:sz="8" w:space="0" w:color="auto"/>
                    <w:right w:val="nil"/>
                  </w:tcBorders>
                  <w:shd w:val="clear" w:color="auto" w:fill="auto"/>
                  <w:noWrap/>
                  <w:vAlign w:val="center"/>
                  <w:hideMark/>
                </w:tcPr>
                <w:p w14:paraId="044EF66D" w14:textId="77777777" w:rsidR="004A51B4" w:rsidRPr="006647C2" w:rsidRDefault="004A51B4" w:rsidP="004A51B4">
                  <w:pPr>
                    <w:spacing w:after="0" w:line="240" w:lineRule="auto"/>
                    <w:jc w:val="right"/>
                    <w:rPr>
                      <w:rFonts w:ascii="Arial" w:eastAsia="Times New Roman" w:hAnsi="Arial" w:cs="Arial"/>
                      <w:bCs/>
                      <w:color w:val="000000"/>
                      <w:sz w:val="20"/>
                      <w:szCs w:val="20"/>
                      <w:lang w:eastAsia="en-GB"/>
                    </w:rPr>
                  </w:pPr>
                  <w:r w:rsidRPr="006647C2">
                    <w:rPr>
                      <w:rFonts w:ascii="Arial" w:eastAsia="Times New Roman" w:hAnsi="Arial" w:cs="Arial"/>
                      <w:bCs/>
                      <w:color w:val="000000"/>
                      <w:sz w:val="20"/>
                      <w:szCs w:val="20"/>
                      <w:lang w:eastAsia="en-GB"/>
                    </w:rPr>
                    <w:t>320</w:t>
                  </w:r>
                </w:p>
              </w:tc>
            </w:tr>
            <w:tr w:rsidR="004A51B4" w:rsidRPr="004A51B4" w14:paraId="40EFE751" w14:textId="77777777" w:rsidTr="00161381">
              <w:trPr>
                <w:trHeight w:val="765"/>
              </w:trPr>
              <w:tc>
                <w:tcPr>
                  <w:tcW w:w="2380" w:type="dxa"/>
                  <w:tcBorders>
                    <w:top w:val="nil"/>
                    <w:left w:val="nil"/>
                    <w:bottom w:val="single" w:sz="8" w:space="0" w:color="auto"/>
                    <w:right w:val="nil"/>
                  </w:tcBorders>
                  <w:shd w:val="clear" w:color="auto" w:fill="auto"/>
                  <w:hideMark/>
                </w:tcPr>
                <w:p w14:paraId="7C471BAB" w14:textId="77777777" w:rsidR="004A51B4" w:rsidRPr="004A51B4" w:rsidRDefault="004A51B4" w:rsidP="004A51B4">
                  <w:pPr>
                    <w:spacing w:after="0" w:line="240" w:lineRule="auto"/>
                    <w:rPr>
                      <w:rFonts w:ascii="Arial" w:eastAsia="Times New Roman" w:hAnsi="Arial" w:cs="Arial"/>
                      <w:b/>
                      <w:bCs/>
                      <w:color w:val="000000"/>
                      <w:sz w:val="20"/>
                      <w:szCs w:val="20"/>
                      <w:lang w:eastAsia="en-GB"/>
                    </w:rPr>
                  </w:pPr>
                  <w:r w:rsidRPr="004A51B4">
                    <w:rPr>
                      <w:rFonts w:ascii="Arial" w:eastAsia="Times New Roman" w:hAnsi="Arial" w:cs="Arial"/>
                      <w:b/>
                      <w:bCs/>
                      <w:color w:val="000000"/>
                      <w:sz w:val="20"/>
                      <w:szCs w:val="20"/>
                      <w:lang w:eastAsia="en-GB"/>
                    </w:rPr>
                    <w:t>Total Cost of Charitable Activities</w:t>
                  </w:r>
                </w:p>
              </w:tc>
              <w:tc>
                <w:tcPr>
                  <w:tcW w:w="1060" w:type="dxa"/>
                  <w:tcBorders>
                    <w:top w:val="single" w:sz="8" w:space="0" w:color="auto"/>
                    <w:left w:val="nil"/>
                    <w:bottom w:val="single" w:sz="8" w:space="0" w:color="auto"/>
                    <w:right w:val="nil"/>
                  </w:tcBorders>
                  <w:shd w:val="clear" w:color="auto" w:fill="auto"/>
                  <w:noWrap/>
                  <w:vAlign w:val="center"/>
                  <w:hideMark/>
                </w:tcPr>
                <w:p w14:paraId="4EFD5805" w14:textId="77777777" w:rsidR="004A51B4" w:rsidRPr="00B921F3" w:rsidRDefault="00450989" w:rsidP="004A51B4">
                  <w:pPr>
                    <w:spacing w:after="0" w:line="240" w:lineRule="auto"/>
                    <w:jc w:val="right"/>
                    <w:rPr>
                      <w:rFonts w:ascii="Arial" w:eastAsia="Times New Roman" w:hAnsi="Arial" w:cs="Arial"/>
                      <w:color w:val="000000"/>
                      <w:sz w:val="20"/>
                      <w:szCs w:val="20"/>
                      <w:lang w:eastAsia="en-GB"/>
                    </w:rPr>
                  </w:pPr>
                  <w:r w:rsidRPr="00B921F3">
                    <w:rPr>
                      <w:rFonts w:ascii="Arial" w:eastAsia="Times New Roman" w:hAnsi="Arial" w:cs="Arial"/>
                      <w:color w:val="000000"/>
                      <w:sz w:val="20"/>
                      <w:szCs w:val="20"/>
                      <w:lang w:eastAsia="en-GB"/>
                    </w:rPr>
                    <w:t>2</w:t>
                  </w:r>
                  <w:r w:rsidR="00292AA6">
                    <w:rPr>
                      <w:rFonts w:ascii="Arial" w:eastAsia="Times New Roman" w:hAnsi="Arial" w:cs="Arial"/>
                      <w:color w:val="000000"/>
                      <w:sz w:val="20"/>
                      <w:szCs w:val="20"/>
                      <w:lang w:eastAsia="en-GB"/>
                    </w:rPr>
                    <w:t>11,8</w:t>
                  </w:r>
                  <w:r w:rsidR="00BA11DA">
                    <w:rPr>
                      <w:rFonts w:ascii="Arial" w:eastAsia="Times New Roman" w:hAnsi="Arial" w:cs="Arial"/>
                      <w:color w:val="000000"/>
                      <w:sz w:val="20"/>
                      <w:szCs w:val="20"/>
                      <w:lang w:eastAsia="en-GB"/>
                    </w:rPr>
                    <w:t>52</w:t>
                  </w:r>
                </w:p>
              </w:tc>
              <w:tc>
                <w:tcPr>
                  <w:tcW w:w="1060" w:type="dxa"/>
                  <w:tcBorders>
                    <w:top w:val="nil"/>
                    <w:left w:val="nil"/>
                    <w:bottom w:val="single" w:sz="8" w:space="0" w:color="auto"/>
                    <w:right w:val="nil"/>
                  </w:tcBorders>
                  <w:shd w:val="clear" w:color="auto" w:fill="auto"/>
                  <w:noWrap/>
                  <w:vAlign w:val="center"/>
                  <w:hideMark/>
                </w:tcPr>
                <w:p w14:paraId="68269D0B" w14:textId="77777777" w:rsidR="004A51B4" w:rsidRPr="00B921F3" w:rsidRDefault="00D67695" w:rsidP="004A51B4">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1,877</w:t>
                  </w:r>
                </w:p>
              </w:tc>
              <w:tc>
                <w:tcPr>
                  <w:tcW w:w="1060" w:type="dxa"/>
                  <w:tcBorders>
                    <w:top w:val="nil"/>
                    <w:left w:val="nil"/>
                    <w:bottom w:val="single" w:sz="8" w:space="0" w:color="auto"/>
                    <w:right w:val="nil"/>
                  </w:tcBorders>
                  <w:shd w:val="clear" w:color="auto" w:fill="auto"/>
                  <w:noWrap/>
                  <w:vAlign w:val="center"/>
                  <w:hideMark/>
                </w:tcPr>
                <w:p w14:paraId="2C63980C" w14:textId="77777777" w:rsidR="004A51B4" w:rsidRPr="00B921F3" w:rsidRDefault="00450989" w:rsidP="004A51B4">
                  <w:pPr>
                    <w:spacing w:after="0" w:line="240" w:lineRule="auto"/>
                    <w:jc w:val="right"/>
                    <w:rPr>
                      <w:rFonts w:ascii="Arial" w:eastAsia="Times New Roman" w:hAnsi="Arial" w:cs="Arial"/>
                      <w:b/>
                      <w:bCs/>
                      <w:color w:val="000000"/>
                      <w:sz w:val="20"/>
                      <w:szCs w:val="20"/>
                      <w:lang w:eastAsia="en-GB"/>
                    </w:rPr>
                  </w:pPr>
                  <w:r w:rsidRPr="00B921F3">
                    <w:rPr>
                      <w:rFonts w:ascii="Arial" w:eastAsia="Times New Roman" w:hAnsi="Arial" w:cs="Arial"/>
                      <w:b/>
                      <w:bCs/>
                      <w:color w:val="000000"/>
                      <w:sz w:val="20"/>
                      <w:szCs w:val="20"/>
                      <w:lang w:eastAsia="en-GB"/>
                    </w:rPr>
                    <w:t>2</w:t>
                  </w:r>
                  <w:r w:rsidR="00AF39AA">
                    <w:rPr>
                      <w:rFonts w:ascii="Arial" w:eastAsia="Times New Roman" w:hAnsi="Arial" w:cs="Arial"/>
                      <w:b/>
                      <w:bCs/>
                      <w:color w:val="000000"/>
                      <w:sz w:val="20"/>
                      <w:szCs w:val="20"/>
                      <w:lang w:eastAsia="en-GB"/>
                    </w:rPr>
                    <w:t>13,72</w:t>
                  </w:r>
                  <w:r w:rsidR="00BA11DA">
                    <w:rPr>
                      <w:rFonts w:ascii="Arial" w:eastAsia="Times New Roman" w:hAnsi="Arial" w:cs="Arial"/>
                      <w:b/>
                      <w:bCs/>
                      <w:color w:val="000000"/>
                      <w:sz w:val="20"/>
                      <w:szCs w:val="20"/>
                      <w:lang w:eastAsia="en-GB"/>
                    </w:rPr>
                    <w:t>9</w:t>
                  </w:r>
                </w:p>
              </w:tc>
              <w:tc>
                <w:tcPr>
                  <w:tcW w:w="1060" w:type="dxa"/>
                  <w:tcBorders>
                    <w:top w:val="nil"/>
                    <w:left w:val="nil"/>
                    <w:bottom w:val="single" w:sz="8" w:space="0" w:color="auto"/>
                    <w:right w:val="nil"/>
                  </w:tcBorders>
                  <w:shd w:val="clear" w:color="auto" w:fill="auto"/>
                  <w:noWrap/>
                  <w:vAlign w:val="center"/>
                  <w:hideMark/>
                </w:tcPr>
                <w:p w14:paraId="03CCD12A" w14:textId="77777777" w:rsidR="004A51B4" w:rsidRPr="004A51B4" w:rsidRDefault="004A51B4" w:rsidP="004A51B4">
                  <w:pPr>
                    <w:spacing w:after="0" w:line="240" w:lineRule="auto"/>
                    <w:jc w:val="right"/>
                    <w:rPr>
                      <w:rFonts w:ascii="Arial" w:eastAsia="Times New Roman" w:hAnsi="Arial" w:cs="Arial"/>
                      <w:color w:val="000000"/>
                      <w:sz w:val="20"/>
                      <w:szCs w:val="20"/>
                      <w:lang w:eastAsia="en-GB"/>
                    </w:rPr>
                  </w:pPr>
                  <w:r w:rsidRPr="004A51B4">
                    <w:rPr>
                      <w:rFonts w:ascii="Arial" w:eastAsia="Times New Roman" w:hAnsi="Arial" w:cs="Arial"/>
                      <w:color w:val="000000"/>
                      <w:sz w:val="20"/>
                      <w:szCs w:val="20"/>
                      <w:lang w:eastAsia="en-GB"/>
                    </w:rPr>
                    <w:t>217,844</w:t>
                  </w:r>
                </w:p>
              </w:tc>
              <w:tc>
                <w:tcPr>
                  <w:tcW w:w="1060" w:type="dxa"/>
                  <w:tcBorders>
                    <w:top w:val="nil"/>
                    <w:left w:val="nil"/>
                    <w:bottom w:val="single" w:sz="8" w:space="0" w:color="auto"/>
                    <w:right w:val="nil"/>
                  </w:tcBorders>
                  <w:shd w:val="clear" w:color="auto" w:fill="auto"/>
                  <w:noWrap/>
                  <w:vAlign w:val="center"/>
                  <w:hideMark/>
                </w:tcPr>
                <w:p w14:paraId="6380F2B3" w14:textId="77777777" w:rsidR="004A51B4" w:rsidRPr="004A51B4" w:rsidRDefault="004A51B4" w:rsidP="004A51B4">
                  <w:pPr>
                    <w:spacing w:after="0" w:line="240" w:lineRule="auto"/>
                    <w:jc w:val="right"/>
                    <w:rPr>
                      <w:rFonts w:ascii="Arial" w:eastAsia="Times New Roman" w:hAnsi="Arial" w:cs="Arial"/>
                      <w:color w:val="000000"/>
                      <w:sz w:val="20"/>
                      <w:szCs w:val="20"/>
                      <w:lang w:eastAsia="en-GB"/>
                    </w:rPr>
                  </w:pPr>
                  <w:r w:rsidRPr="004A51B4">
                    <w:rPr>
                      <w:rFonts w:ascii="Arial" w:eastAsia="Times New Roman" w:hAnsi="Arial" w:cs="Arial"/>
                      <w:color w:val="000000"/>
                      <w:sz w:val="20"/>
                      <w:szCs w:val="20"/>
                      <w:lang w:eastAsia="en-GB"/>
                    </w:rPr>
                    <w:t>1,665</w:t>
                  </w:r>
                </w:p>
              </w:tc>
              <w:tc>
                <w:tcPr>
                  <w:tcW w:w="1060" w:type="dxa"/>
                  <w:tcBorders>
                    <w:top w:val="nil"/>
                    <w:left w:val="nil"/>
                    <w:bottom w:val="single" w:sz="8" w:space="0" w:color="auto"/>
                    <w:right w:val="nil"/>
                  </w:tcBorders>
                  <w:shd w:val="clear" w:color="auto" w:fill="auto"/>
                  <w:noWrap/>
                  <w:vAlign w:val="center"/>
                  <w:hideMark/>
                </w:tcPr>
                <w:p w14:paraId="64EBB0F1" w14:textId="77777777" w:rsidR="004A51B4" w:rsidRPr="006647C2" w:rsidRDefault="004A51B4" w:rsidP="004A51B4">
                  <w:pPr>
                    <w:spacing w:after="0" w:line="240" w:lineRule="auto"/>
                    <w:jc w:val="right"/>
                    <w:rPr>
                      <w:rFonts w:ascii="Arial" w:eastAsia="Times New Roman" w:hAnsi="Arial" w:cs="Arial"/>
                      <w:bCs/>
                      <w:color w:val="000000"/>
                      <w:sz w:val="20"/>
                      <w:szCs w:val="20"/>
                      <w:lang w:eastAsia="en-GB"/>
                    </w:rPr>
                  </w:pPr>
                  <w:r w:rsidRPr="006647C2">
                    <w:rPr>
                      <w:rFonts w:ascii="Arial" w:eastAsia="Times New Roman" w:hAnsi="Arial" w:cs="Arial"/>
                      <w:bCs/>
                      <w:color w:val="000000"/>
                      <w:sz w:val="20"/>
                      <w:szCs w:val="20"/>
                      <w:lang w:eastAsia="en-GB"/>
                    </w:rPr>
                    <w:t>219,5</w:t>
                  </w:r>
                  <w:r w:rsidR="00BA11DA">
                    <w:rPr>
                      <w:rFonts w:ascii="Arial" w:eastAsia="Times New Roman" w:hAnsi="Arial" w:cs="Arial"/>
                      <w:bCs/>
                      <w:color w:val="000000"/>
                      <w:sz w:val="20"/>
                      <w:szCs w:val="20"/>
                      <w:lang w:eastAsia="en-GB"/>
                    </w:rPr>
                    <w:t>12</w:t>
                  </w:r>
                </w:p>
              </w:tc>
            </w:tr>
            <w:tr w:rsidR="004A51B4" w:rsidRPr="004A51B4" w14:paraId="2C2764ED" w14:textId="77777777" w:rsidTr="00161381">
              <w:trPr>
                <w:trHeight w:val="510"/>
              </w:trPr>
              <w:tc>
                <w:tcPr>
                  <w:tcW w:w="2380" w:type="dxa"/>
                  <w:tcBorders>
                    <w:top w:val="nil"/>
                    <w:left w:val="nil"/>
                    <w:bottom w:val="single" w:sz="8" w:space="0" w:color="auto"/>
                    <w:right w:val="nil"/>
                  </w:tcBorders>
                  <w:shd w:val="clear" w:color="auto" w:fill="auto"/>
                  <w:hideMark/>
                </w:tcPr>
                <w:p w14:paraId="4E89D921" w14:textId="77777777" w:rsidR="004A51B4" w:rsidRPr="004A51B4" w:rsidRDefault="004A51B4" w:rsidP="004A51B4">
                  <w:pPr>
                    <w:spacing w:after="0" w:line="240" w:lineRule="auto"/>
                    <w:rPr>
                      <w:rFonts w:ascii="Arial" w:eastAsia="Times New Roman" w:hAnsi="Arial" w:cs="Arial"/>
                      <w:b/>
                      <w:bCs/>
                      <w:color w:val="000000"/>
                      <w:sz w:val="20"/>
                      <w:szCs w:val="20"/>
                      <w:lang w:eastAsia="en-GB"/>
                    </w:rPr>
                  </w:pPr>
                  <w:r w:rsidRPr="004A51B4">
                    <w:rPr>
                      <w:rFonts w:ascii="Arial" w:eastAsia="Times New Roman" w:hAnsi="Arial" w:cs="Arial"/>
                      <w:b/>
                      <w:bCs/>
                      <w:color w:val="000000"/>
                      <w:sz w:val="20"/>
                      <w:szCs w:val="20"/>
                      <w:lang w:eastAsia="en-GB"/>
                    </w:rPr>
                    <w:t>Total Resources Expended</w:t>
                  </w:r>
                </w:p>
              </w:tc>
              <w:tc>
                <w:tcPr>
                  <w:tcW w:w="1060" w:type="dxa"/>
                  <w:tcBorders>
                    <w:top w:val="nil"/>
                    <w:left w:val="nil"/>
                    <w:bottom w:val="single" w:sz="8" w:space="0" w:color="auto"/>
                    <w:right w:val="nil"/>
                  </w:tcBorders>
                  <w:shd w:val="clear" w:color="auto" w:fill="auto"/>
                  <w:noWrap/>
                  <w:vAlign w:val="center"/>
                  <w:hideMark/>
                </w:tcPr>
                <w:p w14:paraId="195BA480" w14:textId="77777777" w:rsidR="004A51B4" w:rsidRPr="00B921F3" w:rsidRDefault="004E6DCD" w:rsidP="004A51B4">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21</w:t>
                  </w:r>
                  <w:r w:rsidR="00D67695">
                    <w:rPr>
                      <w:rFonts w:ascii="Arial" w:eastAsia="Times New Roman" w:hAnsi="Arial" w:cs="Arial"/>
                      <w:color w:val="000000"/>
                      <w:sz w:val="20"/>
                      <w:szCs w:val="20"/>
                      <w:lang w:eastAsia="en-GB"/>
                    </w:rPr>
                    <w:t>5,65</w:t>
                  </w:r>
                  <w:r w:rsidR="00BA11DA">
                    <w:rPr>
                      <w:rFonts w:ascii="Arial" w:eastAsia="Times New Roman" w:hAnsi="Arial" w:cs="Arial"/>
                      <w:color w:val="000000"/>
                      <w:sz w:val="20"/>
                      <w:szCs w:val="20"/>
                      <w:lang w:eastAsia="en-GB"/>
                    </w:rPr>
                    <w:t>6</w:t>
                  </w:r>
                </w:p>
              </w:tc>
              <w:tc>
                <w:tcPr>
                  <w:tcW w:w="1060" w:type="dxa"/>
                  <w:tcBorders>
                    <w:top w:val="nil"/>
                    <w:left w:val="nil"/>
                    <w:bottom w:val="single" w:sz="8" w:space="0" w:color="auto"/>
                    <w:right w:val="nil"/>
                  </w:tcBorders>
                  <w:shd w:val="clear" w:color="auto" w:fill="auto"/>
                  <w:noWrap/>
                  <w:vAlign w:val="center"/>
                  <w:hideMark/>
                </w:tcPr>
                <w:p w14:paraId="6BC29059" w14:textId="77777777" w:rsidR="004A51B4" w:rsidRPr="00B921F3" w:rsidRDefault="00D67695" w:rsidP="004A51B4">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1,877</w:t>
                  </w:r>
                </w:p>
              </w:tc>
              <w:tc>
                <w:tcPr>
                  <w:tcW w:w="1060" w:type="dxa"/>
                  <w:tcBorders>
                    <w:top w:val="nil"/>
                    <w:left w:val="nil"/>
                    <w:bottom w:val="single" w:sz="8" w:space="0" w:color="auto"/>
                    <w:right w:val="nil"/>
                  </w:tcBorders>
                  <w:shd w:val="clear" w:color="auto" w:fill="auto"/>
                  <w:noWrap/>
                  <w:vAlign w:val="center"/>
                  <w:hideMark/>
                </w:tcPr>
                <w:p w14:paraId="22289BF9" w14:textId="77777777" w:rsidR="004A51B4" w:rsidRPr="00B921F3" w:rsidRDefault="00450989" w:rsidP="004A51B4">
                  <w:pPr>
                    <w:spacing w:after="0" w:line="240" w:lineRule="auto"/>
                    <w:jc w:val="right"/>
                    <w:rPr>
                      <w:rFonts w:ascii="Arial" w:eastAsia="Times New Roman" w:hAnsi="Arial" w:cs="Arial"/>
                      <w:b/>
                      <w:bCs/>
                      <w:color w:val="000000"/>
                      <w:sz w:val="20"/>
                      <w:szCs w:val="20"/>
                      <w:lang w:eastAsia="en-GB"/>
                    </w:rPr>
                  </w:pPr>
                  <w:r w:rsidRPr="00B921F3">
                    <w:rPr>
                      <w:rFonts w:ascii="Arial" w:eastAsia="Times New Roman" w:hAnsi="Arial" w:cs="Arial"/>
                      <w:b/>
                      <w:bCs/>
                      <w:color w:val="000000"/>
                      <w:sz w:val="20"/>
                      <w:szCs w:val="20"/>
                      <w:lang w:eastAsia="en-GB"/>
                    </w:rPr>
                    <w:t>21</w:t>
                  </w:r>
                  <w:r w:rsidR="004E6DCD">
                    <w:rPr>
                      <w:rFonts w:ascii="Arial" w:eastAsia="Times New Roman" w:hAnsi="Arial" w:cs="Arial"/>
                      <w:b/>
                      <w:bCs/>
                      <w:color w:val="000000"/>
                      <w:sz w:val="20"/>
                      <w:szCs w:val="20"/>
                      <w:lang w:eastAsia="en-GB"/>
                    </w:rPr>
                    <w:t>7,5</w:t>
                  </w:r>
                  <w:r w:rsidR="00BA11DA">
                    <w:rPr>
                      <w:rFonts w:ascii="Arial" w:eastAsia="Times New Roman" w:hAnsi="Arial" w:cs="Arial"/>
                      <w:b/>
                      <w:bCs/>
                      <w:color w:val="000000"/>
                      <w:sz w:val="20"/>
                      <w:szCs w:val="20"/>
                      <w:lang w:eastAsia="en-GB"/>
                    </w:rPr>
                    <w:t>33</w:t>
                  </w:r>
                </w:p>
              </w:tc>
              <w:tc>
                <w:tcPr>
                  <w:tcW w:w="1060" w:type="dxa"/>
                  <w:tcBorders>
                    <w:top w:val="nil"/>
                    <w:left w:val="nil"/>
                    <w:bottom w:val="single" w:sz="8" w:space="0" w:color="auto"/>
                    <w:right w:val="nil"/>
                  </w:tcBorders>
                  <w:shd w:val="clear" w:color="auto" w:fill="auto"/>
                  <w:noWrap/>
                  <w:vAlign w:val="center"/>
                  <w:hideMark/>
                </w:tcPr>
                <w:p w14:paraId="0AF459D4" w14:textId="77777777" w:rsidR="004A51B4" w:rsidRPr="004A51B4" w:rsidRDefault="004A51B4" w:rsidP="004A51B4">
                  <w:pPr>
                    <w:spacing w:after="0" w:line="240" w:lineRule="auto"/>
                    <w:jc w:val="right"/>
                    <w:rPr>
                      <w:rFonts w:ascii="Arial" w:eastAsia="Times New Roman" w:hAnsi="Arial" w:cs="Arial"/>
                      <w:color w:val="000000"/>
                      <w:sz w:val="20"/>
                      <w:szCs w:val="20"/>
                      <w:lang w:eastAsia="en-GB"/>
                    </w:rPr>
                  </w:pPr>
                  <w:r w:rsidRPr="004A51B4">
                    <w:rPr>
                      <w:rFonts w:ascii="Arial" w:eastAsia="Times New Roman" w:hAnsi="Arial" w:cs="Arial"/>
                      <w:color w:val="000000"/>
                      <w:sz w:val="20"/>
                      <w:szCs w:val="20"/>
                      <w:lang w:eastAsia="en-GB"/>
                    </w:rPr>
                    <w:t>223,134</w:t>
                  </w:r>
                </w:p>
              </w:tc>
              <w:tc>
                <w:tcPr>
                  <w:tcW w:w="1060" w:type="dxa"/>
                  <w:tcBorders>
                    <w:top w:val="nil"/>
                    <w:left w:val="nil"/>
                    <w:bottom w:val="single" w:sz="8" w:space="0" w:color="auto"/>
                    <w:right w:val="nil"/>
                  </w:tcBorders>
                  <w:shd w:val="clear" w:color="auto" w:fill="auto"/>
                  <w:noWrap/>
                  <w:vAlign w:val="center"/>
                  <w:hideMark/>
                </w:tcPr>
                <w:p w14:paraId="5B26E099" w14:textId="77777777" w:rsidR="004A51B4" w:rsidRPr="004A51B4" w:rsidRDefault="004A51B4" w:rsidP="004A51B4">
                  <w:pPr>
                    <w:spacing w:after="0" w:line="240" w:lineRule="auto"/>
                    <w:jc w:val="right"/>
                    <w:rPr>
                      <w:rFonts w:ascii="Arial" w:eastAsia="Times New Roman" w:hAnsi="Arial" w:cs="Arial"/>
                      <w:color w:val="000000"/>
                      <w:sz w:val="20"/>
                      <w:szCs w:val="20"/>
                      <w:lang w:eastAsia="en-GB"/>
                    </w:rPr>
                  </w:pPr>
                  <w:r w:rsidRPr="004A51B4">
                    <w:rPr>
                      <w:rFonts w:ascii="Arial" w:eastAsia="Times New Roman" w:hAnsi="Arial" w:cs="Arial"/>
                      <w:color w:val="000000"/>
                      <w:sz w:val="20"/>
                      <w:szCs w:val="20"/>
                      <w:lang w:eastAsia="en-GB"/>
                    </w:rPr>
                    <w:t>1,665</w:t>
                  </w:r>
                </w:p>
              </w:tc>
              <w:tc>
                <w:tcPr>
                  <w:tcW w:w="1060" w:type="dxa"/>
                  <w:tcBorders>
                    <w:top w:val="nil"/>
                    <w:left w:val="nil"/>
                    <w:bottom w:val="single" w:sz="8" w:space="0" w:color="auto"/>
                    <w:right w:val="nil"/>
                  </w:tcBorders>
                  <w:shd w:val="clear" w:color="auto" w:fill="auto"/>
                  <w:noWrap/>
                  <w:vAlign w:val="center"/>
                  <w:hideMark/>
                </w:tcPr>
                <w:p w14:paraId="7D832B77" w14:textId="77777777" w:rsidR="004A51B4" w:rsidRPr="006647C2" w:rsidRDefault="004A51B4" w:rsidP="004A51B4">
                  <w:pPr>
                    <w:spacing w:after="0" w:line="240" w:lineRule="auto"/>
                    <w:jc w:val="right"/>
                    <w:rPr>
                      <w:rFonts w:ascii="Arial" w:eastAsia="Times New Roman" w:hAnsi="Arial" w:cs="Arial"/>
                      <w:bCs/>
                      <w:color w:val="000000"/>
                      <w:sz w:val="20"/>
                      <w:szCs w:val="20"/>
                      <w:lang w:eastAsia="en-GB"/>
                    </w:rPr>
                  </w:pPr>
                  <w:r w:rsidRPr="006647C2">
                    <w:rPr>
                      <w:rFonts w:ascii="Arial" w:eastAsia="Times New Roman" w:hAnsi="Arial" w:cs="Arial"/>
                      <w:bCs/>
                      <w:color w:val="000000"/>
                      <w:sz w:val="20"/>
                      <w:szCs w:val="20"/>
                      <w:lang w:eastAsia="en-GB"/>
                    </w:rPr>
                    <w:t>224,</w:t>
                  </w:r>
                  <w:r w:rsidR="00BA11DA">
                    <w:rPr>
                      <w:rFonts w:ascii="Arial" w:eastAsia="Times New Roman" w:hAnsi="Arial" w:cs="Arial"/>
                      <w:bCs/>
                      <w:color w:val="000000"/>
                      <w:sz w:val="20"/>
                      <w:szCs w:val="20"/>
                      <w:lang w:eastAsia="en-GB"/>
                    </w:rPr>
                    <w:t>802</w:t>
                  </w:r>
                </w:p>
              </w:tc>
            </w:tr>
          </w:tbl>
          <w:p w14:paraId="7E5792C3" w14:textId="77777777" w:rsidR="00AF15E5" w:rsidRDefault="00AF15E5" w:rsidP="003D5AF3">
            <w:pPr>
              <w:spacing w:after="0" w:line="240" w:lineRule="auto"/>
              <w:rPr>
                <w:rFonts w:ascii="Arial" w:hAnsi="Arial" w:cs="Arial"/>
                <w:b/>
                <w:i/>
                <w:sz w:val="24"/>
                <w:szCs w:val="24"/>
              </w:rPr>
            </w:pPr>
          </w:p>
          <w:p w14:paraId="00A64BAA" w14:textId="77777777" w:rsidR="003E4FA9" w:rsidRDefault="003E4FA9" w:rsidP="003D5AF3">
            <w:pPr>
              <w:spacing w:after="0" w:line="240" w:lineRule="auto"/>
              <w:rPr>
                <w:rFonts w:ascii="Arial" w:eastAsia="Times New Roman" w:hAnsi="Arial" w:cs="Arial"/>
                <w:sz w:val="20"/>
                <w:szCs w:val="20"/>
                <w:lang w:eastAsia="en-GB"/>
              </w:rPr>
            </w:pPr>
            <w:r w:rsidRPr="0088736E">
              <w:rPr>
                <w:rFonts w:ascii="Arial" w:hAnsi="Arial" w:cs="Arial"/>
                <w:b/>
                <w:i/>
                <w:sz w:val="24"/>
                <w:szCs w:val="24"/>
              </w:rPr>
              <w:lastRenderedPageBreak/>
              <w:t xml:space="preserve">Notes to the financial </w:t>
            </w:r>
            <w:r w:rsidR="008679F3">
              <w:rPr>
                <w:rFonts w:ascii="Arial" w:hAnsi="Arial" w:cs="Arial"/>
                <w:b/>
                <w:i/>
                <w:sz w:val="24"/>
                <w:szCs w:val="24"/>
              </w:rPr>
              <w:t xml:space="preserve">statements </w:t>
            </w:r>
            <w:r w:rsidRPr="0088736E">
              <w:rPr>
                <w:rFonts w:ascii="Arial" w:hAnsi="Arial" w:cs="Arial"/>
                <w:b/>
                <w:i/>
                <w:sz w:val="24"/>
                <w:szCs w:val="24"/>
              </w:rPr>
              <w:t>(continued)</w:t>
            </w:r>
          </w:p>
          <w:p w14:paraId="06B15FF3" w14:textId="77777777" w:rsidR="003E4FA9" w:rsidRDefault="003E4FA9" w:rsidP="003D5AF3">
            <w:pPr>
              <w:spacing w:after="0" w:line="240" w:lineRule="auto"/>
              <w:rPr>
                <w:rFonts w:ascii="Arial" w:eastAsia="Times New Roman" w:hAnsi="Arial" w:cs="Arial"/>
                <w:sz w:val="20"/>
                <w:szCs w:val="20"/>
                <w:lang w:eastAsia="en-GB"/>
              </w:rPr>
            </w:pPr>
          </w:p>
          <w:p w14:paraId="5DBAA0AE" w14:textId="77777777" w:rsidR="003E4FA9" w:rsidRPr="0088736E" w:rsidRDefault="003E4FA9" w:rsidP="003E4FA9">
            <w:pPr>
              <w:rPr>
                <w:rFonts w:ascii="Arial" w:hAnsi="Arial" w:cs="Arial"/>
                <w:b/>
                <w:i/>
                <w:sz w:val="24"/>
                <w:szCs w:val="24"/>
              </w:rPr>
            </w:pPr>
            <w:r w:rsidRPr="00E51CA0">
              <w:rPr>
                <w:rFonts w:ascii="Arial" w:eastAsia="Times New Roman" w:hAnsi="Arial" w:cs="Arial"/>
                <w:b/>
                <w:bCs/>
                <w:sz w:val="24"/>
                <w:szCs w:val="24"/>
                <w:lang w:eastAsia="en-GB"/>
              </w:rPr>
              <w:t>2. Analysis of total resources expended</w:t>
            </w:r>
          </w:p>
          <w:p w14:paraId="5BB3096A" w14:textId="77777777" w:rsidR="003E4FA9" w:rsidRDefault="003E4FA9" w:rsidP="003D5AF3">
            <w:pPr>
              <w:spacing w:after="0" w:line="240" w:lineRule="auto"/>
              <w:rPr>
                <w:rFonts w:ascii="Arial" w:eastAsia="Times New Roman" w:hAnsi="Arial" w:cs="Arial"/>
                <w:sz w:val="20"/>
                <w:szCs w:val="20"/>
                <w:lang w:eastAsia="en-GB"/>
              </w:rPr>
            </w:pPr>
          </w:p>
          <w:p w14:paraId="7E7D13B3" w14:textId="77777777" w:rsidR="003D5AF3" w:rsidRPr="003D5AF3" w:rsidRDefault="003D5AF3" w:rsidP="003D5AF3">
            <w:pPr>
              <w:spacing w:after="0" w:line="240" w:lineRule="auto"/>
              <w:rPr>
                <w:rFonts w:ascii="Arial" w:eastAsia="Times New Roman" w:hAnsi="Arial" w:cs="Arial"/>
                <w:sz w:val="20"/>
                <w:szCs w:val="20"/>
                <w:lang w:eastAsia="en-GB"/>
              </w:rPr>
            </w:pPr>
            <w:r w:rsidRPr="003D5AF3">
              <w:rPr>
                <w:rFonts w:ascii="Arial" w:eastAsia="Times New Roman" w:hAnsi="Arial" w:cs="Arial"/>
                <w:sz w:val="20"/>
                <w:szCs w:val="20"/>
                <w:lang w:eastAsia="en-GB"/>
              </w:rPr>
              <w:t>Support costs not directly allocated comprise the following:</w:t>
            </w:r>
          </w:p>
          <w:p w14:paraId="1F69C552" w14:textId="77777777" w:rsidR="003D5AF3" w:rsidRPr="003D5AF3" w:rsidRDefault="003D5AF3" w:rsidP="003D5AF3">
            <w:pPr>
              <w:spacing w:after="0" w:line="240" w:lineRule="auto"/>
              <w:rPr>
                <w:rFonts w:ascii="Arial" w:eastAsia="Times New Roman" w:hAnsi="Arial" w:cs="Arial"/>
                <w:sz w:val="20"/>
                <w:szCs w:val="20"/>
                <w:lang w:eastAsia="en-GB"/>
              </w:rPr>
            </w:pPr>
          </w:p>
          <w:tbl>
            <w:tblPr>
              <w:tblW w:w="8826" w:type="dxa"/>
              <w:tblLook w:val="04A0" w:firstRow="1" w:lastRow="0" w:firstColumn="1" w:lastColumn="0" w:noHBand="0" w:noVBand="1"/>
            </w:tblPr>
            <w:tblGrid>
              <w:gridCol w:w="3378"/>
              <w:gridCol w:w="2187"/>
              <w:gridCol w:w="1702"/>
              <w:gridCol w:w="1417"/>
              <w:gridCol w:w="142"/>
            </w:tblGrid>
            <w:tr w:rsidR="00226CBF" w:rsidRPr="003D5AF3" w14:paraId="07DA3727" w14:textId="77777777" w:rsidTr="00FB465D">
              <w:trPr>
                <w:gridAfter w:val="1"/>
                <w:wAfter w:w="142" w:type="dxa"/>
                <w:trHeight w:val="323"/>
              </w:trPr>
              <w:tc>
                <w:tcPr>
                  <w:tcW w:w="3378" w:type="dxa"/>
                  <w:tcBorders>
                    <w:top w:val="nil"/>
                    <w:left w:val="nil"/>
                    <w:bottom w:val="single" w:sz="4" w:space="0" w:color="auto"/>
                    <w:right w:val="nil"/>
                  </w:tcBorders>
                  <w:shd w:val="clear" w:color="auto" w:fill="auto"/>
                  <w:vAlign w:val="center"/>
                  <w:hideMark/>
                </w:tcPr>
                <w:p w14:paraId="37C3A80A" w14:textId="77777777" w:rsidR="00226CBF" w:rsidRPr="003D5AF3" w:rsidRDefault="00226CBF" w:rsidP="00226CBF">
                  <w:pPr>
                    <w:spacing w:after="0" w:line="240" w:lineRule="auto"/>
                    <w:rPr>
                      <w:rFonts w:ascii="Arial" w:eastAsia="Times New Roman" w:hAnsi="Arial" w:cs="Arial"/>
                      <w:b/>
                      <w:bCs/>
                      <w:sz w:val="20"/>
                      <w:szCs w:val="20"/>
                      <w:lang w:eastAsia="en-GB"/>
                    </w:rPr>
                  </w:pPr>
                  <w:r w:rsidRPr="003D5AF3">
                    <w:rPr>
                      <w:rFonts w:ascii="Arial" w:eastAsia="Times New Roman" w:hAnsi="Arial" w:cs="Arial"/>
                      <w:b/>
                      <w:bCs/>
                      <w:sz w:val="20"/>
                      <w:szCs w:val="20"/>
                      <w:lang w:eastAsia="en-GB"/>
                    </w:rPr>
                    <w:t>Support costs</w:t>
                  </w:r>
                </w:p>
              </w:tc>
              <w:tc>
                <w:tcPr>
                  <w:tcW w:w="2187" w:type="dxa"/>
                  <w:tcBorders>
                    <w:top w:val="nil"/>
                    <w:left w:val="nil"/>
                    <w:bottom w:val="single" w:sz="4" w:space="0" w:color="auto"/>
                    <w:right w:val="nil"/>
                  </w:tcBorders>
                  <w:shd w:val="clear" w:color="auto" w:fill="auto"/>
                  <w:noWrap/>
                  <w:vAlign w:val="center"/>
                  <w:hideMark/>
                </w:tcPr>
                <w:p w14:paraId="68126BE2" w14:textId="77777777" w:rsidR="00226CBF" w:rsidRPr="003D5AF3" w:rsidRDefault="00226CBF" w:rsidP="00226CBF">
                  <w:pPr>
                    <w:spacing w:after="0" w:line="240" w:lineRule="auto"/>
                    <w:rPr>
                      <w:rFonts w:ascii="Arial" w:eastAsia="Times New Roman" w:hAnsi="Arial" w:cs="Arial"/>
                      <w:sz w:val="20"/>
                      <w:szCs w:val="20"/>
                      <w:lang w:eastAsia="en-GB"/>
                    </w:rPr>
                  </w:pPr>
                  <w:r w:rsidRPr="003D5AF3">
                    <w:rPr>
                      <w:rFonts w:ascii="Arial" w:eastAsia="Times New Roman" w:hAnsi="Arial" w:cs="Arial"/>
                      <w:sz w:val="20"/>
                      <w:szCs w:val="20"/>
                      <w:lang w:eastAsia="en-GB"/>
                    </w:rPr>
                    <w:t> </w:t>
                  </w:r>
                </w:p>
              </w:tc>
              <w:tc>
                <w:tcPr>
                  <w:tcW w:w="1702" w:type="dxa"/>
                  <w:tcBorders>
                    <w:top w:val="nil"/>
                    <w:left w:val="nil"/>
                    <w:bottom w:val="single" w:sz="4" w:space="0" w:color="auto"/>
                    <w:right w:val="nil"/>
                  </w:tcBorders>
                  <w:shd w:val="clear" w:color="auto" w:fill="auto"/>
                  <w:noWrap/>
                  <w:vAlign w:val="center"/>
                  <w:hideMark/>
                </w:tcPr>
                <w:p w14:paraId="25C1BEA8" w14:textId="77777777" w:rsidR="00226CBF" w:rsidRPr="00226CBF" w:rsidRDefault="00226CBF" w:rsidP="006647C2">
                  <w:pPr>
                    <w:spacing w:after="0" w:line="240" w:lineRule="auto"/>
                    <w:ind w:right="179" w:hanging="253"/>
                    <w:jc w:val="right"/>
                    <w:rPr>
                      <w:rFonts w:ascii="Arial" w:eastAsia="Times New Roman" w:hAnsi="Arial" w:cs="Arial"/>
                      <w:b/>
                      <w:bCs/>
                      <w:sz w:val="20"/>
                      <w:szCs w:val="20"/>
                      <w:lang w:eastAsia="en-GB"/>
                    </w:rPr>
                  </w:pPr>
                  <w:r w:rsidRPr="00226CBF">
                    <w:rPr>
                      <w:rFonts w:ascii="Arial" w:eastAsia="Times New Roman" w:hAnsi="Arial" w:cs="Arial"/>
                      <w:b/>
                      <w:bCs/>
                      <w:sz w:val="20"/>
                      <w:szCs w:val="20"/>
                      <w:lang w:eastAsia="en-GB"/>
                    </w:rPr>
                    <w:t>Year ended 31 August 2020</w:t>
                  </w:r>
                </w:p>
              </w:tc>
              <w:tc>
                <w:tcPr>
                  <w:tcW w:w="1417" w:type="dxa"/>
                  <w:tcBorders>
                    <w:top w:val="nil"/>
                    <w:left w:val="nil"/>
                    <w:bottom w:val="single" w:sz="4" w:space="0" w:color="auto"/>
                    <w:right w:val="nil"/>
                  </w:tcBorders>
                  <w:shd w:val="clear" w:color="auto" w:fill="auto"/>
                  <w:noWrap/>
                  <w:vAlign w:val="center"/>
                  <w:hideMark/>
                </w:tcPr>
                <w:p w14:paraId="14BBE8AF" w14:textId="77777777" w:rsidR="00226CBF" w:rsidRPr="00226CBF" w:rsidRDefault="00226CBF" w:rsidP="006647C2">
                  <w:pPr>
                    <w:spacing w:after="0" w:line="240" w:lineRule="auto"/>
                    <w:ind w:right="-111" w:hanging="88"/>
                    <w:jc w:val="right"/>
                    <w:rPr>
                      <w:rFonts w:ascii="Arial" w:eastAsia="Times New Roman" w:hAnsi="Arial" w:cs="Arial"/>
                      <w:sz w:val="20"/>
                      <w:szCs w:val="20"/>
                      <w:lang w:eastAsia="en-GB"/>
                    </w:rPr>
                  </w:pPr>
                  <w:r w:rsidRPr="00226CBF">
                    <w:rPr>
                      <w:rFonts w:ascii="Arial" w:eastAsia="Times New Roman" w:hAnsi="Arial" w:cs="Arial"/>
                      <w:sz w:val="20"/>
                      <w:szCs w:val="20"/>
                      <w:lang w:eastAsia="en-GB"/>
                    </w:rPr>
                    <w:t>Year ended 31 August 2019</w:t>
                  </w:r>
                </w:p>
              </w:tc>
            </w:tr>
            <w:tr w:rsidR="0061265C" w:rsidRPr="003D5AF3" w14:paraId="2859EF6C" w14:textId="77777777" w:rsidTr="00FB465D">
              <w:trPr>
                <w:trHeight w:val="323"/>
              </w:trPr>
              <w:tc>
                <w:tcPr>
                  <w:tcW w:w="3378" w:type="dxa"/>
                  <w:tcBorders>
                    <w:top w:val="nil"/>
                    <w:left w:val="nil"/>
                    <w:bottom w:val="nil"/>
                    <w:right w:val="nil"/>
                  </w:tcBorders>
                  <w:shd w:val="clear" w:color="auto" w:fill="auto"/>
                  <w:noWrap/>
                  <w:vAlign w:val="center"/>
                  <w:hideMark/>
                </w:tcPr>
                <w:p w14:paraId="598281C6" w14:textId="77777777" w:rsidR="0061265C" w:rsidRPr="003D5AF3" w:rsidRDefault="0061265C" w:rsidP="0061265C">
                  <w:pPr>
                    <w:spacing w:after="0" w:line="240" w:lineRule="auto"/>
                    <w:rPr>
                      <w:rFonts w:ascii="Arial" w:eastAsia="Times New Roman" w:hAnsi="Arial" w:cs="Arial"/>
                      <w:sz w:val="20"/>
                      <w:szCs w:val="20"/>
                      <w:lang w:eastAsia="en-GB"/>
                    </w:rPr>
                  </w:pPr>
                  <w:r w:rsidRPr="003D5AF3">
                    <w:rPr>
                      <w:rFonts w:ascii="Arial" w:eastAsia="Times New Roman" w:hAnsi="Arial" w:cs="Arial"/>
                      <w:sz w:val="20"/>
                      <w:szCs w:val="20"/>
                      <w:lang w:eastAsia="en-GB"/>
                    </w:rPr>
                    <w:t>Management</w:t>
                  </w:r>
                </w:p>
              </w:tc>
              <w:tc>
                <w:tcPr>
                  <w:tcW w:w="2187" w:type="dxa"/>
                  <w:tcBorders>
                    <w:top w:val="nil"/>
                    <w:left w:val="nil"/>
                    <w:bottom w:val="nil"/>
                    <w:right w:val="nil"/>
                  </w:tcBorders>
                  <w:shd w:val="clear" w:color="auto" w:fill="auto"/>
                  <w:noWrap/>
                  <w:vAlign w:val="center"/>
                  <w:hideMark/>
                </w:tcPr>
                <w:p w14:paraId="7EB96204" w14:textId="77777777" w:rsidR="0061265C" w:rsidRPr="003D5AF3" w:rsidRDefault="0061265C" w:rsidP="0061265C">
                  <w:pPr>
                    <w:spacing w:after="0" w:line="240" w:lineRule="auto"/>
                    <w:rPr>
                      <w:rFonts w:ascii="Arial" w:eastAsia="Times New Roman" w:hAnsi="Arial" w:cs="Arial"/>
                      <w:sz w:val="20"/>
                      <w:szCs w:val="20"/>
                      <w:lang w:eastAsia="en-GB"/>
                    </w:rPr>
                  </w:pPr>
                </w:p>
              </w:tc>
              <w:tc>
                <w:tcPr>
                  <w:tcW w:w="1702" w:type="dxa"/>
                  <w:tcBorders>
                    <w:top w:val="single" w:sz="4" w:space="0" w:color="auto"/>
                    <w:left w:val="nil"/>
                    <w:bottom w:val="nil"/>
                    <w:right w:val="nil"/>
                  </w:tcBorders>
                  <w:shd w:val="clear" w:color="auto" w:fill="auto"/>
                  <w:noWrap/>
                  <w:vAlign w:val="center"/>
                </w:tcPr>
                <w:p w14:paraId="28F23289" w14:textId="77777777" w:rsidR="0061265C" w:rsidRPr="003D5AF3" w:rsidRDefault="00D67695" w:rsidP="006647C2">
                  <w:pPr>
                    <w:spacing w:after="0" w:line="240" w:lineRule="auto"/>
                    <w:ind w:hanging="88"/>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596</w:t>
                  </w:r>
                </w:p>
              </w:tc>
              <w:tc>
                <w:tcPr>
                  <w:tcW w:w="1559" w:type="dxa"/>
                  <w:gridSpan w:val="2"/>
                  <w:tcBorders>
                    <w:top w:val="single" w:sz="4" w:space="0" w:color="auto"/>
                    <w:left w:val="nil"/>
                    <w:bottom w:val="nil"/>
                    <w:right w:val="nil"/>
                  </w:tcBorders>
                  <w:shd w:val="clear" w:color="auto" w:fill="auto"/>
                  <w:noWrap/>
                  <w:vAlign w:val="center"/>
                  <w:hideMark/>
                </w:tcPr>
                <w:p w14:paraId="6E8967A4" w14:textId="77777777" w:rsidR="0061265C" w:rsidRPr="0061265C" w:rsidRDefault="0061265C" w:rsidP="006647C2">
                  <w:pPr>
                    <w:spacing w:after="0" w:line="240" w:lineRule="auto"/>
                    <w:ind w:hanging="88"/>
                    <w:jc w:val="right"/>
                    <w:rPr>
                      <w:rFonts w:ascii="Arial" w:eastAsia="Times New Roman" w:hAnsi="Arial" w:cs="Arial"/>
                      <w:sz w:val="20"/>
                      <w:szCs w:val="20"/>
                      <w:lang w:eastAsia="en-GB"/>
                    </w:rPr>
                  </w:pPr>
                  <w:r w:rsidRPr="0061265C">
                    <w:rPr>
                      <w:rFonts w:ascii="Arial" w:eastAsia="Times New Roman" w:hAnsi="Arial" w:cs="Arial"/>
                      <w:bCs/>
                      <w:sz w:val="20"/>
                      <w:szCs w:val="20"/>
                      <w:lang w:eastAsia="en-GB"/>
                    </w:rPr>
                    <w:t>742</w:t>
                  </w:r>
                </w:p>
              </w:tc>
            </w:tr>
            <w:tr w:rsidR="0061265C" w:rsidRPr="003D5AF3" w14:paraId="5715CF14" w14:textId="77777777" w:rsidTr="00FB465D">
              <w:trPr>
                <w:trHeight w:val="323"/>
              </w:trPr>
              <w:tc>
                <w:tcPr>
                  <w:tcW w:w="3378" w:type="dxa"/>
                  <w:tcBorders>
                    <w:top w:val="nil"/>
                    <w:left w:val="nil"/>
                    <w:bottom w:val="nil"/>
                    <w:right w:val="nil"/>
                  </w:tcBorders>
                  <w:shd w:val="clear" w:color="auto" w:fill="auto"/>
                  <w:noWrap/>
                  <w:vAlign w:val="center"/>
                  <w:hideMark/>
                </w:tcPr>
                <w:p w14:paraId="1D42CAFE" w14:textId="77777777" w:rsidR="0061265C" w:rsidRPr="003D5AF3" w:rsidRDefault="0061265C" w:rsidP="0061265C">
                  <w:pPr>
                    <w:spacing w:after="0" w:line="240" w:lineRule="auto"/>
                    <w:rPr>
                      <w:rFonts w:ascii="Arial" w:eastAsia="Times New Roman" w:hAnsi="Arial" w:cs="Arial"/>
                      <w:sz w:val="20"/>
                      <w:szCs w:val="20"/>
                      <w:lang w:eastAsia="en-GB"/>
                    </w:rPr>
                  </w:pPr>
                  <w:r w:rsidRPr="003D5AF3">
                    <w:rPr>
                      <w:rFonts w:ascii="Arial" w:eastAsia="Times New Roman" w:hAnsi="Arial" w:cs="Arial"/>
                      <w:sz w:val="20"/>
                      <w:szCs w:val="20"/>
                      <w:lang w:eastAsia="en-GB"/>
                    </w:rPr>
                    <w:t>Corporate Governance</w:t>
                  </w:r>
                </w:p>
              </w:tc>
              <w:tc>
                <w:tcPr>
                  <w:tcW w:w="2187" w:type="dxa"/>
                  <w:tcBorders>
                    <w:top w:val="nil"/>
                    <w:left w:val="nil"/>
                    <w:bottom w:val="nil"/>
                    <w:right w:val="nil"/>
                  </w:tcBorders>
                  <w:shd w:val="clear" w:color="auto" w:fill="auto"/>
                  <w:noWrap/>
                  <w:vAlign w:val="center"/>
                  <w:hideMark/>
                </w:tcPr>
                <w:p w14:paraId="26723410" w14:textId="77777777" w:rsidR="0061265C" w:rsidRPr="003D5AF3" w:rsidRDefault="0061265C" w:rsidP="0061265C">
                  <w:pPr>
                    <w:spacing w:after="0" w:line="240" w:lineRule="auto"/>
                    <w:rPr>
                      <w:rFonts w:ascii="Arial" w:eastAsia="Times New Roman" w:hAnsi="Arial" w:cs="Arial"/>
                      <w:sz w:val="20"/>
                      <w:szCs w:val="20"/>
                      <w:lang w:eastAsia="en-GB"/>
                    </w:rPr>
                  </w:pPr>
                </w:p>
              </w:tc>
              <w:tc>
                <w:tcPr>
                  <w:tcW w:w="1702" w:type="dxa"/>
                  <w:tcBorders>
                    <w:top w:val="nil"/>
                    <w:left w:val="nil"/>
                    <w:bottom w:val="nil"/>
                    <w:right w:val="nil"/>
                  </w:tcBorders>
                  <w:shd w:val="clear" w:color="auto" w:fill="auto"/>
                  <w:noWrap/>
                  <w:vAlign w:val="center"/>
                </w:tcPr>
                <w:p w14:paraId="06440FB9" w14:textId="77777777" w:rsidR="0061265C" w:rsidRPr="003D5AF3" w:rsidRDefault="00D67695" w:rsidP="006647C2">
                  <w:pPr>
                    <w:spacing w:after="0" w:line="240" w:lineRule="auto"/>
                    <w:ind w:hanging="88"/>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205</w:t>
                  </w:r>
                </w:p>
              </w:tc>
              <w:tc>
                <w:tcPr>
                  <w:tcW w:w="1559" w:type="dxa"/>
                  <w:gridSpan w:val="2"/>
                  <w:tcBorders>
                    <w:top w:val="nil"/>
                    <w:left w:val="nil"/>
                    <w:bottom w:val="nil"/>
                    <w:right w:val="nil"/>
                  </w:tcBorders>
                  <w:shd w:val="clear" w:color="auto" w:fill="auto"/>
                  <w:noWrap/>
                  <w:vAlign w:val="center"/>
                  <w:hideMark/>
                </w:tcPr>
                <w:p w14:paraId="7C1BF1BD" w14:textId="77777777" w:rsidR="0061265C" w:rsidRPr="0061265C" w:rsidRDefault="0061265C" w:rsidP="006647C2">
                  <w:pPr>
                    <w:spacing w:after="0" w:line="240" w:lineRule="auto"/>
                    <w:ind w:hanging="88"/>
                    <w:jc w:val="right"/>
                    <w:rPr>
                      <w:rFonts w:ascii="Arial" w:eastAsia="Times New Roman" w:hAnsi="Arial" w:cs="Arial"/>
                      <w:sz w:val="20"/>
                      <w:szCs w:val="20"/>
                      <w:lang w:eastAsia="en-GB"/>
                    </w:rPr>
                  </w:pPr>
                  <w:r w:rsidRPr="0061265C">
                    <w:rPr>
                      <w:rFonts w:ascii="Arial" w:eastAsia="Times New Roman" w:hAnsi="Arial" w:cs="Arial"/>
                      <w:bCs/>
                      <w:sz w:val="20"/>
                      <w:szCs w:val="20"/>
                      <w:lang w:eastAsia="en-GB"/>
                    </w:rPr>
                    <w:t>227</w:t>
                  </w:r>
                </w:p>
              </w:tc>
            </w:tr>
            <w:tr w:rsidR="0061265C" w:rsidRPr="003D5AF3" w14:paraId="5BEBA0B5" w14:textId="77777777" w:rsidTr="00FB465D">
              <w:trPr>
                <w:trHeight w:val="323"/>
              </w:trPr>
              <w:tc>
                <w:tcPr>
                  <w:tcW w:w="3378" w:type="dxa"/>
                  <w:tcBorders>
                    <w:top w:val="nil"/>
                    <w:left w:val="nil"/>
                    <w:bottom w:val="nil"/>
                    <w:right w:val="nil"/>
                  </w:tcBorders>
                  <w:shd w:val="clear" w:color="auto" w:fill="auto"/>
                  <w:noWrap/>
                  <w:vAlign w:val="center"/>
                  <w:hideMark/>
                </w:tcPr>
                <w:p w14:paraId="7AB60FFF" w14:textId="77777777" w:rsidR="0061265C" w:rsidRPr="003D5AF3" w:rsidRDefault="0061265C" w:rsidP="0061265C">
                  <w:pPr>
                    <w:spacing w:after="0" w:line="240" w:lineRule="auto"/>
                    <w:rPr>
                      <w:rFonts w:ascii="Arial" w:eastAsia="Times New Roman" w:hAnsi="Arial" w:cs="Arial"/>
                      <w:sz w:val="20"/>
                      <w:szCs w:val="20"/>
                      <w:lang w:eastAsia="en-GB"/>
                    </w:rPr>
                  </w:pPr>
                  <w:r w:rsidRPr="003D5AF3">
                    <w:rPr>
                      <w:rFonts w:ascii="Arial" w:eastAsia="Times New Roman" w:hAnsi="Arial" w:cs="Arial"/>
                      <w:sz w:val="20"/>
                      <w:szCs w:val="20"/>
                      <w:lang w:eastAsia="en-GB"/>
                    </w:rPr>
                    <w:t>Finance</w:t>
                  </w:r>
                </w:p>
              </w:tc>
              <w:tc>
                <w:tcPr>
                  <w:tcW w:w="2187" w:type="dxa"/>
                  <w:tcBorders>
                    <w:top w:val="nil"/>
                    <w:left w:val="nil"/>
                    <w:bottom w:val="nil"/>
                    <w:right w:val="nil"/>
                  </w:tcBorders>
                  <w:shd w:val="clear" w:color="auto" w:fill="auto"/>
                  <w:noWrap/>
                  <w:vAlign w:val="center"/>
                  <w:hideMark/>
                </w:tcPr>
                <w:p w14:paraId="3590B2C2" w14:textId="77777777" w:rsidR="0061265C" w:rsidRPr="003D5AF3" w:rsidRDefault="0061265C" w:rsidP="0061265C">
                  <w:pPr>
                    <w:spacing w:after="0" w:line="240" w:lineRule="auto"/>
                    <w:rPr>
                      <w:rFonts w:ascii="Arial" w:eastAsia="Times New Roman" w:hAnsi="Arial" w:cs="Arial"/>
                      <w:sz w:val="20"/>
                      <w:szCs w:val="20"/>
                      <w:lang w:eastAsia="en-GB"/>
                    </w:rPr>
                  </w:pPr>
                </w:p>
              </w:tc>
              <w:tc>
                <w:tcPr>
                  <w:tcW w:w="1702" w:type="dxa"/>
                  <w:tcBorders>
                    <w:top w:val="nil"/>
                    <w:left w:val="nil"/>
                    <w:bottom w:val="nil"/>
                    <w:right w:val="nil"/>
                  </w:tcBorders>
                  <w:shd w:val="clear" w:color="auto" w:fill="auto"/>
                  <w:noWrap/>
                  <w:vAlign w:val="center"/>
                </w:tcPr>
                <w:p w14:paraId="0B267F8A" w14:textId="77777777" w:rsidR="0061265C" w:rsidRPr="003D5AF3" w:rsidRDefault="004A51B4" w:rsidP="006647C2">
                  <w:pPr>
                    <w:spacing w:after="0" w:line="240" w:lineRule="auto"/>
                    <w:ind w:hanging="88"/>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2</w:t>
                  </w:r>
                  <w:r w:rsidR="00D67695">
                    <w:rPr>
                      <w:rFonts w:ascii="Arial" w:eastAsia="Times New Roman" w:hAnsi="Arial" w:cs="Arial"/>
                      <w:b/>
                      <w:bCs/>
                      <w:sz w:val="20"/>
                      <w:szCs w:val="20"/>
                      <w:lang w:eastAsia="en-GB"/>
                    </w:rPr>
                    <w:t>46</w:t>
                  </w:r>
                </w:p>
              </w:tc>
              <w:tc>
                <w:tcPr>
                  <w:tcW w:w="1559" w:type="dxa"/>
                  <w:gridSpan w:val="2"/>
                  <w:tcBorders>
                    <w:top w:val="nil"/>
                    <w:left w:val="nil"/>
                    <w:bottom w:val="nil"/>
                    <w:right w:val="nil"/>
                  </w:tcBorders>
                  <w:shd w:val="clear" w:color="auto" w:fill="auto"/>
                  <w:noWrap/>
                  <w:vAlign w:val="center"/>
                  <w:hideMark/>
                </w:tcPr>
                <w:p w14:paraId="5EF79A69" w14:textId="77777777" w:rsidR="0061265C" w:rsidRPr="0061265C" w:rsidRDefault="0061265C" w:rsidP="006647C2">
                  <w:pPr>
                    <w:spacing w:after="0" w:line="240" w:lineRule="auto"/>
                    <w:ind w:hanging="88"/>
                    <w:jc w:val="right"/>
                    <w:rPr>
                      <w:rFonts w:ascii="Arial" w:eastAsia="Times New Roman" w:hAnsi="Arial" w:cs="Arial"/>
                      <w:sz w:val="20"/>
                      <w:szCs w:val="20"/>
                      <w:lang w:eastAsia="en-GB"/>
                    </w:rPr>
                  </w:pPr>
                  <w:r w:rsidRPr="0061265C">
                    <w:rPr>
                      <w:rFonts w:ascii="Arial" w:eastAsia="Times New Roman" w:hAnsi="Arial" w:cs="Arial"/>
                      <w:bCs/>
                      <w:sz w:val="20"/>
                      <w:szCs w:val="20"/>
                      <w:lang w:eastAsia="en-GB"/>
                    </w:rPr>
                    <w:t>41</w:t>
                  </w:r>
                </w:p>
              </w:tc>
            </w:tr>
            <w:tr w:rsidR="0061265C" w:rsidRPr="003D5AF3" w14:paraId="19A97231" w14:textId="77777777" w:rsidTr="00FB465D">
              <w:trPr>
                <w:trHeight w:val="323"/>
              </w:trPr>
              <w:tc>
                <w:tcPr>
                  <w:tcW w:w="3378" w:type="dxa"/>
                  <w:tcBorders>
                    <w:top w:val="nil"/>
                    <w:left w:val="nil"/>
                    <w:bottom w:val="nil"/>
                    <w:right w:val="nil"/>
                  </w:tcBorders>
                  <w:shd w:val="clear" w:color="auto" w:fill="auto"/>
                  <w:noWrap/>
                  <w:vAlign w:val="center"/>
                  <w:hideMark/>
                </w:tcPr>
                <w:p w14:paraId="7981358A" w14:textId="77777777" w:rsidR="0061265C" w:rsidRPr="003D5AF3" w:rsidRDefault="0061265C" w:rsidP="0061265C">
                  <w:pPr>
                    <w:spacing w:after="0" w:line="240" w:lineRule="auto"/>
                    <w:rPr>
                      <w:rFonts w:ascii="Arial" w:eastAsia="Times New Roman" w:hAnsi="Arial" w:cs="Arial"/>
                      <w:sz w:val="20"/>
                      <w:szCs w:val="20"/>
                      <w:lang w:eastAsia="en-GB"/>
                    </w:rPr>
                  </w:pPr>
                  <w:r w:rsidRPr="003D5AF3">
                    <w:rPr>
                      <w:rFonts w:ascii="Arial" w:eastAsia="Times New Roman" w:hAnsi="Arial" w:cs="Arial"/>
                      <w:sz w:val="20"/>
                      <w:szCs w:val="20"/>
                      <w:lang w:eastAsia="en-GB"/>
                    </w:rPr>
                    <w:t>Information Technology</w:t>
                  </w:r>
                </w:p>
              </w:tc>
              <w:tc>
                <w:tcPr>
                  <w:tcW w:w="2187" w:type="dxa"/>
                  <w:tcBorders>
                    <w:top w:val="nil"/>
                    <w:left w:val="nil"/>
                    <w:bottom w:val="nil"/>
                    <w:right w:val="nil"/>
                  </w:tcBorders>
                  <w:shd w:val="clear" w:color="auto" w:fill="auto"/>
                  <w:noWrap/>
                  <w:vAlign w:val="center"/>
                  <w:hideMark/>
                </w:tcPr>
                <w:p w14:paraId="6CEFDDA6" w14:textId="77777777" w:rsidR="0061265C" w:rsidRPr="003D5AF3" w:rsidRDefault="0061265C" w:rsidP="0061265C">
                  <w:pPr>
                    <w:spacing w:after="0" w:line="240" w:lineRule="auto"/>
                    <w:rPr>
                      <w:rFonts w:ascii="Arial" w:eastAsia="Times New Roman" w:hAnsi="Arial" w:cs="Arial"/>
                      <w:sz w:val="20"/>
                      <w:szCs w:val="20"/>
                      <w:lang w:eastAsia="en-GB"/>
                    </w:rPr>
                  </w:pPr>
                </w:p>
              </w:tc>
              <w:tc>
                <w:tcPr>
                  <w:tcW w:w="1702" w:type="dxa"/>
                  <w:tcBorders>
                    <w:top w:val="nil"/>
                    <w:left w:val="nil"/>
                    <w:bottom w:val="nil"/>
                    <w:right w:val="nil"/>
                  </w:tcBorders>
                  <w:shd w:val="clear" w:color="auto" w:fill="auto"/>
                  <w:noWrap/>
                  <w:vAlign w:val="center"/>
                </w:tcPr>
                <w:p w14:paraId="49172682" w14:textId="77777777" w:rsidR="0061265C" w:rsidRPr="003D5AF3" w:rsidRDefault="00D67695" w:rsidP="006647C2">
                  <w:pPr>
                    <w:spacing w:after="0" w:line="240" w:lineRule="auto"/>
                    <w:ind w:hanging="88"/>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655</w:t>
                  </w:r>
                </w:p>
              </w:tc>
              <w:tc>
                <w:tcPr>
                  <w:tcW w:w="1559" w:type="dxa"/>
                  <w:gridSpan w:val="2"/>
                  <w:tcBorders>
                    <w:top w:val="nil"/>
                    <w:left w:val="nil"/>
                    <w:bottom w:val="nil"/>
                    <w:right w:val="nil"/>
                  </w:tcBorders>
                  <w:shd w:val="clear" w:color="auto" w:fill="auto"/>
                  <w:noWrap/>
                  <w:vAlign w:val="center"/>
                  <w:hideMark/>
                </w:tcPr>
                <w:p w14:paraId="182D3726" w14:textId="77777777" w:rsidR="0061265C" w:rsidRPr="0061265C" w:rsidRDefault="0061265C" w:rsidP="006647C2">
                  <w:pPr>
                    <w:spacing w:after="0" w:line="240" w:lineRule="auto"/>
                    <w:ind w:hanging="88"/>
                    <w:jc w:val="right"/>
                    <w:rPr>
                      <w:rFonts w:ascii="Arial" w:eastAsia="Times New Roman" w:hAnsi="Arial" w:cs="Arial"/>
                      <w:sz w:val="20"/>
                      <w:szCs w:val="20"/>
                      <w:lang w:eastAsia="en-GB"/>
                    </w:rPr>
                  </w:pPr>
                  <w:r w:rsidRPr="0061265C">
                    <w:rPr>
                      <w:rFonts w:ascii="Arial" w:eastAsia="Times New Roman" w:hAnsi="Arial" w:cs="Arial"/>
                      <w:bCs/>
                      <w:sz w:val="20"/>
                      <w:szCs w:val="20"/>
                      <w:lang w:eastAsia="en-GB"/>
                    </w:rPr>
                    <w:t>447</w:t>
                  </w:r>
                </w:p>
              </w:tc>
            </w:tr>
            <w:tr w:rsidR="0061265C" w:rsidRPr="003D5AF3" w14:paraId="52476E73" w14:textId="77777777" w:rsidTr="00FB465D">
              <w:trPr>
                <w:trHeight w:val="323"/>
              </w:trPr>
              <w:tc>
                <w:tcPr>
                  <w:tcW w:w="3378" w:type="dxa"/>
                  <w:tcBorders>
                    <w:top w:val="nil"/>
                    <w:left w:val="nil"/>
                    <w:bottom w:val="nil"/>
                    <w:right w:val="nil"/>
                  </w:tcBorders>
                  <w:shd w:val="clear" w:color="auto" w:fill="auto"/>
                  <w:noWrap/>
                  <w:vAlign w:val="center"/>
                  <w:hideMark/>
                </w:tcPr>
                <w:p w14:paraId="148E7CEC" w14:textId="77777777" w:rsidR="0061265C" w:rsidRPr="003D5AF3" w:rsidRDefault="0061265C" w:rsidP="0061265C">
                  <w:pPr>
                    <w:spacing w:after="0" w:line="240" w:lineRule="auto"/>
                    <w:rPr>
                      <w:rFonts w:ascii="Arial" w:eastAsia="Times New Roman" w:hAnsi="Arial" w:cs="Arial"/>
                      <w:sz w:val="20"/>
                      <w:szCs w:val="20"/>
                      <w:lang w:eastAsia="en-GB"/>
                    </w:rPr>
                  </w:pPr>
                  <w:r w:rsidRPr="003D5AF3">
                    <w:rPr>
                      <w:rFonts w:ascii="Arial" w:eastAsia="Times New Roman" w:hAnsi="Arial" w:cs="Arial"/>
                      <w:sz w:val="20"/>
                      <w:szCs w:val="20"/>
                      <w:lang w:eastAsia="en-GB"/>
                    </w:rPr>
                    <w:t>Human Resources</w:t>
                  </w:r>
                </w:p>
              </w:tc>
              <w:tc>
                <w:tcPr>
                  <w:tcW w:w="2187" w:type="dxa"/>
                  <w:tcBorders>
                    <w:top w:val="nil"/>
                    <w:left w:val="nil"/>
                    <w:bottom w:val="nil"/>
                    <w:right w:val="nil"/>
                  </w:tcBorders>
                  <w:shd w:val="clear" w:color="auto" w:fill="auto"/>
                  <w:noWrap/>
                  <w:vAlign w:val="center"/>
                  <w:hideMark/>
                </w:tcPr>
                <w:p w14:paraId="395B2946" w14:textId="77777777" w:rsidR="0061265C" w:rsidRPr="003D5AF3" w:rsidRDefault="0061265C" w:rsidP="0061265C">
                  <w:pPr>
                    <w:spacing w:after="0" w:line="240" w:lineRule="auto"/>
                    <w:rPr>
                      <w:rFonts w:ascii="Arial" w:eastAsia="Times New Roman" w:hAnsi="Arial" w:cs="Arial"/>
                      <w:sz w:val="20"/>
                      <w:szCs w:val="20"/>
                      <w:lang w:eastAsia="en-GB"/>
                    </w:rPr>
                  </w:pPr>
                </w:p>
              </w:tc>
              <w:tc>
                <w:tcPr>
                  <w:tcW w:w="1702" w:type="dxa"/>
                  <w:tcBorders>
                    <w:top w:val="nil"/>
                    <w:left w:val="nil"/>
                    <w:bottom w:val="nil"/>
                    <w:right w:val="nil"/>
                  </w:tcBorders>
                  <w:shd w:val="clear" w:color="auto" w:fill="auto"/>
                  <w:noWrap/>
                  <w:vAlign w:val="center"/>
                </w:tcPr>
                <w:p w14:paraId="794B3D77" w14:textId="77777777" w:rsidR="0061265C" w:rsidRPr="003D5AF3" w:rsidRDefault="004A51B4" w:rsidP="006647C2">
                  <w:pPr>
                    <w:spacing w:after="0" w:line="240" w:lineRule="auto"/>
                    <w:ind w:hanging="88"/>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1</w:t>
                  </w:r>
                  <w:r w:rsidR="00D67695">
                    <w:rPr>
                      <w:rFonts w:ascii="Arial" w:eastAsia="Times New Roman" w:hAnsi="Arial" w:cs="Arial"/>
                      <w:b/>
                      <w:bCs/>
                      <w:sz w:val="20"/>
                      <w:szCs w:val="20"/>
                      <w:lang w:eastAsia="en-GB"/>
                    </w:rPr>
                    <w:t>55</w:t>
                  </w:r>
                </w:p>
              </w:tc>
              <w:tc>
                <w:tcPr>
                  <w:tcW w:w="1559" w:type="dxa"/>
                  <w:gridSpan w:val="2"/>
                  <w:tcBorders>
                    <w:top w:val="nil"/>
                    <w:left w:val="nil"/>
                    <w:bottom w:val="nil"/>
                    <w:right w:val="nil"/>
                  </w:tcBorders>
                  <w:shd w:val="clear" w:color="auto" w:fill="auto"/>
                  <w:noWrap/>
                  <w:vAlign w:val="center"/>
                  <w:hideMark/>
                </w:tcPr>
                <w:p w14:paraId="5681F2AB" w14:textId="77777777" w:rsidR="0061265C" w:rsidRPr="0061265C" w:rsidRDefault="0061265C" w:rsidP="006647C2">
                  <w:pPr>
                    <w:spacing w:after="0" w:line="240" w:lineRule="auto"/>
                    <w:ind w:hanging="88"/>
                    <w:jc w:val="right"/>
                    <w:rPr>
                      <w:rFonts w:ascii="Arial" w:eastAsia="Times New Roman" w:hAnsi="Arial" w:cs="Arial"/>
                      <w:sz w:val="20"/>
                      <w:szCs w:val="20"/>
                      <w:lang w:eastAsia="en-GB"/>
                    </w:rPr>
                  </w:pPr>
                  <w:r w:rsidRPr="0061265C">
                    <w:rPr>
                      <w:rFonts w:ascii="Arial" w:eastAsia="Times New Roman" w:hAnsi="Arial" w:cs="Arial"/>
                      <w:bCs/>
                      <w:sz w:val="20"/>
                      <w:szCs w:val="20"/>
                      <w:lang w:eastAsia="en-GB"/>
                    </w:rPr>
                    <w:t>115</w:t>
                  </w:r>
                </w:p>
              </w:tc>
            </w:tr>
            <w:tr w:rsidR="0061265C" w:rsidRPr="003D5AF3" w14:paraId="75FCBEB8" w14:textId="77777777" w:rsidTr="00FB465D">
              <w:trPr>
                <w:trHeight w:val="323"/>
              </w:trPr>
              <w:tc>
                <w:tcPr>
                  <w:tcW w:w="3378" w:type="dxa"/>
                  <w:tcBorders>
                    <w:top w:val="nil"/>
                    <w:left w:val="nil"/>
                    <w:bottom w:val="nil"/>
                    <w:right w:val="nil"/>
                  </w:tcBorders>
                  <w:shd w:val="clear" w:color="auto" w:fill="auto"/>
                  <w:noWrap/>
                  <w:vAlign w:val="center"/>
                  <w:hideMark/>
                </w:tcPr>
                <w:p w14:paraId="196513F0" w14:textId="77777777" w:rsidR="0061265C" w:rsidRPr="003D5AF3" w:rsidRDefault="0061265C" w:rsidP="0061265C">
                  <w:pPr>
                    <w:spacing w:after="0" w:line="240" w:lineRule="auto"/>
                    <w:rPr>
                      <w:rFonts w:ascii="Arial" w:eastAsia="Times New Roman" w:hAnsi="Arial" w:cs="Arial"/>
                      <w:sz w:val="20"/>
                      <w:szCs w:val="20"/>
                      <w:lang w:eastAsia="en-GB"/>
                    </w:rPr>
                  </w:pPr>
                  <w:r w:rsidRPr="003D5AF3">
                    <w:rPr>
                      <w:rFonts w:ascii="Arial" w:eastAsia="Times New Roman" w:hAnsi="Arial" w:cs="Arial"/>
                      <w:sz w:val="20"/>
                      <w:szCs w:val="20"/>
                      <w:lang w:eastAsia="en-GB"/>
                    </w:rPr>
                    <w:t>Communications and Marketing</w:t>
                  </w:r>
                </w:p>
              </w:tc>
              <w:tc>
                <w:tcPr>
                  <w:tcW w:w="2187" w:type="dxa"/>
                  <w:tcBorders>
                    <w:top w:val="nil"/>
                    <w:left w:val="nil"/>
                    <w:bottom w:val="nil"/>
                    <w:right w:val="nil"/>
                  </w:tcBorders>
                  <w:shd w:val="clear" w:color="auto" w:fill="auto"/>
                  <w:noWrap/>
                  <w:vAlign w:val="center"/>
                  <w:hideMark/>
                </w:tcPr>
                <w:p w14:paraId="55BA8FB7" w14:textId="77777777" w:rsidR="0061265C" w:rsidRPr="003D5AF3" w:rsidRDefault="0061265C" w:rsidP="0061265C">
                  <w:pPr>
                    <w:spacing w:after="0" w:line="240" w:lineRule="auto"/>
                    <w:rPr>
                      <w:rFonts w:ascii="Arial" w:eastAsia="Times New Roman" w:hAnsi="Arial" w:cs="Arial"/>
                      <w:sz w:val="20"/>
                      <w:szCs w:val="20"/>
                      <w:lang w:eastAsia="en-GB"/>
                    </w:rPr>
                  </w:pPr>
                </w:p>
              </w:tc>
              <w:tc>
                <w:tcPr>
                  <w:tcW w:w="1702" w:type="dxa"/>
                  <w:tcBorders>
                    <w:top w:val="nil"/>
                    <w:left w:val="nil"/>
                    <w:bottom w:val="nil"/>
                    <w:right w:val="nil"/>
                  </w:tcBorders>
                  <w:shd w:val="clear" w:color="auto" w:fill="auto"/>
                  <w:noWrap/>
                  <w:vAlign w:val="center"/>
                </w:tcPr>
                <w:p w14:paraId="71283BCA" w14:textId="77777777" w:rsidR="0061265C" w:rsidRPr="003D5AF3" w:rsidRDefault="004A51B4" w:rsidP="006647C2">
                  <w:pPr>
                    <w:spacing w:after="0" w:line="240" w:lineRule="auto"/>
                    <w:ind w:hanging="88"/>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2</w:t>
                  </w:r>
                  <w:r w:rsidR="00D67695">
                    <w:rPr>
                      <w:rFonts w:ascii="Arial" w:eastAsia="Times New Roman" w:hAnsi="Arial" w:cs="Arial"/>
                      <w:b/>
                      <w:bCs/>
                      <w:sz w:val="20"/>
                      <w:szCs w:val="20"/>
                      <w:lang w:eastAsia="en-GB"/>
                    </w:rPr>
                    <w:t>0</w:t>
                  </w:r>
                </w:p>
              </w:tc>
              <w:tc>
                <w:tcPr>
                  <w:tcW w:w="1559" w:type="dxa"/>
                  <w:gridSpan w:val="2"/>
                  <w:tcBorders>
                    <w:top w:val="nil"/>
                    <w:left w:val="nil"/>
                    <w:bottom w:val="nil"/>
                    <w:right w:val="nil"/>
                  </w:tcBorders>
                  <w:shd w:val="clear" w:color="auto" w:fill="auto"/>
                  <w:noWrap/>
                  <w:vAlign w:val="center"/>
                  <w:hideMark/>
                </w:tcPr>
                <w:p w14:paraId="2F8AAC32" w14:textId="77777777" w:rsidR="0061265C" w:rsidRPr="0061265C" w:rsidRDefault="0061265C" w:rsidP="006647C2">
                  <w:pPr>
                    <w:spacing w:after="0" w:line="240" w:lineRule="auto"/>
                    <w:ind w:hanging="88"/>
                    <w:jc w:val="right"/>
                    <w:rPr>
                      <w:rFonts w:ascii="Arial" w:eastAsia="Times New Roman" w:hAnsi="Arial" w:cs="Arial"/>
                      <w:sz w:val="20"/>
                      <w:szCs w:val="20"/>
                      <w:lang w:eastAsia="en-GB"/>
                    </w:rPr>
                  </w:pPr>
                  <w:r w:rsidRPr="0061265C">
                    <w:rPr>
                      <w:rFonts w:ascii="Arial" w:eastAsia="Times New Roman" w:hAnsi="Arial" w:cs="Arial"/>
                      <w:bCs/>
                      <w:sz w:val="20"/>
                      <w:szCs w:val="20"/>
                      <w:lang w:eastAsia="en-GB"/>
                    </w:rPr>
                    <w:t>93</w:t>
                  </w:r>
                </w:p>
              </w:tc>
            </w:tr>
            <w:tr w:rsidR="0061265C" w:rsidRPr="003D5AF3" w14:paraId="47CA9172" w14:textId="77777777" w:rsidTr="00FB465D">
              <w:trPr>
                <w:trHeight w:val="323"/>
              </w:trPr>
              <w:tc>
                <w:tcPr>
                  <w:tcW w:w="5565" w:type="dxa"/>
                  <w:gridSpan w:val="2"/>
                  <w:tcBorders>
                    <w:top w:val="single" w:sz="4" w:space="0" w:color="auto"/>
                    <w:left w:val="nil"/>
                    <w:bottom w:val="single" w:sz="4" w:space="0" w:color="auto"/>
                    <w:right w:val="nil"/>
                  </w:tcBorders>
                  <w:shd w:val="clear" w:color="auto" w:fill="auto"/>
                  <w:noWrap/>
                  <w:vAlign w:val="center"/>
                  <w:hideMark/>
                </w:tcPr>
                <w:p w14:paraId="7C2DA0C3" w14:textId="77777777" w:rsidR="0061265C" w:rsidRPr="003D5AF3" w:rsidRDefault="0061265C" w:rsidP="0061265C">
                  <w:pPr>
                    <w:spacing w:after="0" w:line="240" w:lineRule="auto"/>
                    <w:rPr>
                      <w:rFonts w:ascii="Arial" w:eastAsia="Times New Roman" w:hAnsi="Arial" w:cs="Arial"/>
                      <w:b/>
                      <w:bCs/>
                      <w:sz w:val="20"/>
                      <w:szCs w:val="20"/>
                      <w:lang w:eastAsia="en-GB"/>
                    </w:rPr>
                  </w:pPr>
                  <w:r w:rsidRPr="003D5AF3">
                    <w:rPr>
                      <w:rFonts w:ascii="Arial" w:eastAsia="Times New Roman" w:hAnsi="Arial" w:cs="Arial"/>
                      <w:b/>
                      <w:bCs/>
                      <w:sz w:val="20"/>
                      <w:szCs w:val="20"/>
                      <w:lang w:eastAsia="en-GB"/>
                    </w:rPr>
                    <w:t>Support costs not directly allocated</w:t>
                  </w:r>
                </w:p>
              </w:tc>
              <w:tc>
                <w:tcPr>
                  <w:tcW w:w="1702" w:type="dxa"/>
                  <w:tcBorders>
                    <w:top w:val="single" w:sz="4" w:space="0" w:color="auto"/>
                    <w:left w:val="nil"/>
                    <w:bottom w:val="single" w:sz="4" w:space="0" w:color="auto"/>
                    <w:right w:val="nil"/>
                  </w:tcBorders>
                  <w:shd w:val="clear" w:color="auto" w:fill="auto"/>
                  <w:noWrap/>
                  <w:vAlign w:val="center"/>
                </w:tcPr>
                <w:p w14:paraId="7D7D45DB" w14:textId="77777777" w:rsidR="0061265C" w:rsidRPr="00D67695" w:rsidRDefault="00D67695" w:rsidP="006647C2">
                  <w:pPr>
                    <w:spacing w:after="0" w:line="240" w:lineRule="auto"/>
                    <w:ind w:hanging="88"/>
                    <w:jc w:val="right"/>
                    <w:rPr>
                      <w:rFonts w:ascii="Arial" w:eastAsia="Times New Roman" w:hAnsi="Arial" w:cs="Arial"/>
                      <w:b/>
                      <w:bCs/>
                      <w:sz w:val="20"/>
                      <w:szCs w:val="20"/>
                      <w:lang w:eastAsia="en-GB"/>
                    </w:rPr>
                  </w:pPr>
                  <w:r w:rsidRPr="00161381">
                    <w:rPr>
                      <w:rFonts w:ascii="Arial" w:eastAsia="Times New Roman" w:hAnsi="Arial" w:cs="Arial"/>
                      <w:b/>
                      <w:color w:val="000000"/>
                      <w:sz w:val="20"/>
                      <w:szCs w:val="20"/>
                      <w:lang w:eastAsia="en-GB"/>
                    </w:rPr>
                    <w:t>1,877</w:t>
                  </w:r>
                </w:p>
              </w:tc>
              <w:tc>
                <w:tcPr>
                  <w:tcW w:w="1559" w:type="dxa"/>
                  <w:gridSpan w:val="2"/>
                  <w:tcBorders>
                    <w:top w:val="single" w:sz="4" w:space="0" w:color="auto"/>
                    <w:left w:val="nil"/>
                    <w:bottom w:val="single" w:sz="4" w:space="0" w:color="auto"/>
                    <w:right w:val="nil"/>
                  </w:tcBorders>
                  <w:shd w:val="clear" w:color="auto" w:fill="auto"/>
                  <w:noWrap/>
                  <w:vAlign w:val="center"/>
                  <w:hideMark/>
                </w:tcPr>
                <w:p w14:paraId="49EDEDDA" w14:textId="77777777" w:rsidR="0061265C" w:rsidRPr="003D5AF3" w:rsidRDefault="0061265C" w:rsidP="006647C2">
                  <w:pPr>
                    <w:spacing w:after="0" w:line="240" w:lineRule="auto"/>
                    <w:ind w:hanging="88"/>
                    <w:jc w:val="right"/>
                    <w:rPr>
                      <w:rFonts w:ascii="Arial" w:eastAsia="Times New Roman" w:hAnsi="Arial" w:cs="Arial"/>
                      <w:sz w:val="20"/>
                      <w:szCs w:val="20"/>
                      <w:lang w:eastAsia="en-GB"/>
                    </w:rPr>
                  </w:pPr>
                  <w:r>
                    <w:rPr>
                      <w:rFonts w:ascii="Arial" w:eastAsia="Times New Roman" w:hAnsi="Arial" w:cs="Arial"/>
                      <w:sz w:val="20"/>
                      <w:szCs w:val="20"/>
                      <w:lang w:eastAsia="en-GB"/>
                    </w:rPr>
                    <w:t>1,665</w:t>
                  </w:r>
                </w:p>
              </w:tc>
            </w:tr>
          </w:tbl>
          <w:p w14:paraId="413AA6AB" w14:textId="77777777" w:rsidR="003D5AF3" w:rsidRPr="003D5AF3" w:rsidRDefault="003D5AF3" w:rsidP="003D5AF3">
            <w:pPr>
              <w:spacing w:after="0" w:line="240" w:lineRule="auto"/>
              <w:rPr>
                <w:rFonts w:ascii="Arial" w:eastAsia="Times New Roman" w:hAnsi="Arial" w:cs="Arial"/>
                <w:sz w:val="20"/>
                <w:szCs w:val="20"/>
                <w:lang w:eastAsia="en-GB"/>
              </w:rPr>
            </w:pPr>
          </w:p>
        </w:tc>
      </w:tr>
    </w:tbl>
    <w:p w14:paraId="0BEFB7B7" w14:textId="77777777" w:rsidR="006968BD" w:rsidRDefault="006968BD" w:rsidP="00F93B5D">
      <w:pPr>
        <w:tabs>
          <w:tab w:val="left" w:pos="567"/>
        </w:tabs>
        <w:ind w:left="567" w:hanging="567"/>
        <w:rPr>
          <w:rFonts w:ascii="Arial" w:hAnsi="Arial" w:cs="Arial"/>
          <w:sz w:val="24"/>
          <w:szCs w:val="24"/>
        </w:rPr>
      </w:pPr>
    </w:p>
    <w:tbl>
      <w:tblPr>
        <w:tblW w:w="8931" w:type="dxa"/>
        <w:tblLook w:val="04A0" w:firstRow="1" w:lastRow="0" w:firstColumn="1" w:lastColumn="0" w:noHBand="0" w:noVBand="1"/>
      </w:tblPr>
      <w:tblGrid>
        <w:gridCol w:w="5529"/>
        <w:gridCol w:w="283"/>
        <w:gridCol w:w="219"/>
        <w:gridCol w:w="1122"/>
        <w:gridCol w:w="1032"/>
        <w:gridCol w:w="528"/>
        <w:gridCol w:w="218"/>
      </w:tblGrid>
      <w:tr w:rsidR="00190D85" w:rsidRPr="00B30D76" w14:paraId="28329F45" w14:textId="77777777" w:rsidTr="00FB465D">
        <w:trPr>
          <w:trHeight w:val="484"/>
        </w:trPr>
        <w:tc>
          <w:tcPr>
            <w:tcW w:w="6031" w:type="dxa"/>
            <w:gridSpan w:val="3"/>
            <w:tcBorders>
              <w:top w:val="nil"/>
              <w:left w:val="nil"/>
              <w:bottom w:val="nil"/>
              <w:right w:val="nil"/>
            </w:tcBorders>
            <w:shd w:val="clear" w:color="auto" w:fill="auto"/>
            <w:noWrap/>
            <w:vAlign w:val="center"/>
            <w:hideMark/>
          </w:tcPr>
          <w:p w14:paraId="06679D0F" w14:textId="77777777" w:rsidR="00190D85" w:rsidRPr="00B30D76" w:rsidRDefault="00BE0959" w:rsidP="001F6984">
            <w:pPr>
              <w:spacing w:after="0" w:line="240" w:lineRule="auto"/>
              <w:rPr>
                <w:rFonts w:ascii="Arial" w:eastAsia="Times New Roman" w:hAnsi="Arial" w:cs="Arial"/>
                <w:b/>
                <w:bCs/>
                <w:sz w:val="24"/>
                <w:szCs w:val="24"/>
                <w:lang w:eastAsia="en-GB"/>
              </w:rPr>
            </w:pPr>
            <w:r>
              <w:rPr>
                <w:rFonts w:ascii="Arial" w:eastAsia="Times New Roman" w:hAnsi="Arial" w:cs="Arial"/>
                <w:b/>
                <w:bCs/>
                <w:sz w:val="24"/>
                <w:szCs w:val="24"/>
                <w:lang w:eastAsia="en-GB"/>
              </w:rPr>
              <w:t>3</w:t>
            </w:r>
            <w:r w:rsidR="00190D85" w:rsidRPr="00B30D76">
              <w:rPr>
                <w:rFonts w:ascii="Arial" w:eastAsia="Times New Roman" w:hAnsi="Arial" w:cs="Arial"/>
                <w:b/>
                <w:bCs/>
                <w:sz w:val="24"/>
                <w:szCs w:val="24"/>
                <w:lang w:eastAsia="en-GB"/>
              </w:rPr>
              <w:t>. Finance costs</w:t>
            </w:r>
          </w:p>
        </w:tc>
        <w:tc>
          <w:tcPr>
            <w:tcW w:w="2154" w:type="dxa"/>
            <w:gridSpan w:val="2"/>
            <w:tcBorders>
              <w:top w:val="nil"/>
              <w:left w:val="nil"/>
              <w:bottom w:val="nil"/>
              <w:right w:val="nil"/>
            </w:tcBorders>
            <w:shd w:val="clear" w:color="auto" w:fill="auto"/>
            <w:noWrap/>
            <w:vAlign w:val="center"/>
            <w:hideMark/>
          </w:tcPr>
          <w:p w14:paraId="50010E0C" w14:textId="77777777" w:rsidR="00190D85" w:rsidRPr="00B30D76" w:rsidRDefault="00190D85" w:rsidP="001F6984">
            <w:pPr>
              <w:spacing w:after="0" w:line="240" w:lineRule="auto"/>
              <w:rPr>
                <w:rFonts w:ascii="Arial" w:eastAsia="Times New Roman" w:hAnsi="Arial" w:cs="Arial"/>
                <w:b/>
                <w:bCs/>
                <w:sz w:val="24"/>
                <w:szCs w:val="24"/>
                <w:lang w:eastAsia="en-GB"/>
              </w:rPr>
            </w:pPr>
          </w:p>
        </w:tc>
        <w:tc>
          <w:tcPr>
            <w:tcW w:w="746" w:type="dxa"/>
            <w:gridSpan w:val="2"/>
            <w:tcBorders>
              <w:top w:val="nil"/>
              <w:left w:val="nil"/>
              <w:bottom w:val="nil"/>
              <w:right w:val="nil"/>
            </w:tcBorders>
            <w:shd w:val="clear" w:color="auto" w:fill="auto"/>
            <w:noWrap/>
            <w:vAlign w:val="center"/>
            <w:hideMark/>
          </w:tcPr>
          <w:p w14:paraId="5384C97D" w14:textId="77777777" w:rsidR="00190D85" w:rsidRPr="00B30D76" w:rsidRDefault="00190D85" w:rsidP="001F6984">
            <w:pPr>
              <w:spacing w:after="0" w:line="240" w:lineRule="auto"/>
              <w:rPr>
                <w:rFonts w:ascii="Times New Roman" w:eastAsia="Times New Roman" w:hAnsi="Times New Roman" w:cs="Times New Roman"/>
                <w:sz w:val="20"/>
                <w:szCs w:val="20"/>
                <w:lang w:eastAsia="en-GB"/>
              </w:rPr>
            </w:pPr>
          </w:p>
        </w:tc>
      </w:tr>
      <w:tr w:rsidR="00190D85" w:rsidRPr="00B30D76" w14:paraId="71CC5ABE" w14:textId="77777777" w:rsidTr="00FB465D">
        <w:trPr>
          <w:gridAfter w:val="1"/>
          <w:wAfter w:w="218" w:type="dxa"/>
          <w:trHeight w:val="389"/>
        </w:trPr>
        <w:tc>
          <w:tcPr>
            <w:tcW w:w="5529" w:type="dxa"/>
            <w:tcBorders>
              <w:top w:val="nil"/>
              <w:left w:val="nil"/>
              <w:bottom w:val="nil"/>
              <w:right w:val="nil"/>
            </w:tcBorders>
            <w:shd w:val="clear" w:color="auto" w:fill="auto"/>
            <w:noWrap/>
            <w:vAlign w:val="center"/>
            <w:hideMark/>
          </w:tcPr>
          <w:p w14:paraId="3914F242" w14:textId="77777777" w:rsidR="00190D85" w:rsidRPr="00B30D76" w:rsidRDefault="00190D85" w:rsidP="001F6984">
            <w:pPr>
              <w:spacing w:after="0" w:line="240" w:lineRule="auto"/>
              <w:rPr>
                <w:rFonts w:ascii="Times New Roman" w:eastAsia="Times New Roman" w:hAnsi="Times New Roman" w:cs="Times New Roman"/>
                <w:sz w:val="20"/>
                <w:szCs w:val="20"/>
                <w:lang w:eastAsia="en-GB"/>
              </w:rPr>
            </w:pPr>
          </w:p>
        </w:tc>
        <w:tc>
          <w:tcPr>
            <w:tcW w:w="1624" w:type="dxa"/>
            <w:gridSpan w:val="3"/>
            <w:tcBorders>
              <w:top w:val="nil"/>
              <w:left w:val="nil"/>
              <w:bottom w:val="nil"/>
              <w:right w:val="nil"/>
            </w:tcBorders>
            <w:shd w:val="clear" w:color="auto" w:fill="auto"/>
            <w:noWrap/>
            <w:vAlign w:val="center"/>
            <w:hideMark/>
          </w:tcPr>
          <w:p w14:paraId="739E9FCC" w14:textId="77777777" w:rsidR="00190D85" w:rsidRPr="00B30D76" w:rsidRDefault="002F1E81" w:rsidP="00FB465D">
            <w:pPr>
              <w:spacing w:after="0" w:line="240" w:lineRule="auto"/>
              <w:ind w:left="29" w:hanging="29"/>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 xml:space="preserve">Year ended 31 August </w:t>
            </w:r>
            <w:r w:rsidR="0037645F">
              <w:rPr>
                <w:rFonts w:ascii="Arial" w:eastAsia="Times New Roman" w:hAnsi="Arial" w:cs="Arial"/>
                <w:b/>
                <w:bCs/>
                <w:sz w:val="20"/>
                <w:szCs w:val="20"/>
                <w:lang w:eastAsia="en-GB"/>
              </w:rPr>
              <w:t>2020</w:t>
            </w:r>
          </w:p>
        </w:tc>
        <w:tc>
          <w:tcPr>
            <w:tcW w:w="1560" w:type="dxa"/>
            <w:gridSpan w:val="2"/>
            <w:tcBorders>
              <w:top w:val="nil"/>
              <w:left w:val="nil"/>
              <w:bottom w:val="nil"/>
              <w:right w:val="nil"/>
            </w:tcBorders>
            <w:shd w:val="clear" w:color="auto" w:fill="auto"/>
            <w:noWrap/>
            <w:vAlign w:val="center"/>
            <w:hideMark/>
          </w:tcPr>
          <w:p w14:paraId="27653C70" w14:textId="77777777" w:rsidR="00190D85" w:rsidRPr="00B30D76" w:rsidRDefault="00255CE0" w:rsidP="005B39D0">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Year ended</w:t>
            </w:r>
            <w:r w:rsidR="002F1E81">
              <w:rPr>
                <w:rFonts w:ascii="Arial" w:eastAsia="Times New Roman" w:hAnsi="Arial" w:cs="Arial"/>
                <w:sz w:val="20"/>
                <w:szCs w:val="20"/>
                <w:lang w:eastAsia="en-GB"/>
              </w:rPr>
              <w:t xml:space="preserve"> 31 August </w:t>
            </w:r>
            <w:r w:rsidR="0037645F">
              <w:rPr>
                <w:rFonts w:ascii="Arial" w:eastAsia="Times New Roman" w:hAnsi="Arial" w:cs="Arial"/>
                <w:sz w:val="20"/>
                <w:szCs w:val="20"/>
                <w:lang w:eastAsia="en-GB"/>
              </w:rPr>
              <w:t>2019</w:t>
            </w:r>
          </w:p>
        </w:tc>
      </w:tr>
      <w:tr w:rsidR="00190D85" w:rsidRPr="00B30D76" w14:paraId="0BC1966F" w14:textId="77777777" w:rsidTr="00FB465D">
        <w:trPr>
          <w:gridAfter w:val="1"/>
          <w:wAfter w:w="218" w:type="dxa"/>
          <w:trHeight w:val="389"/>
        </w:trPr>
        <w:tc>
          <w:tcPr>
            <w:tcW w:w="5529" w:type="dxa"/>
            <w:tcBorders>
              <w:top w:val="nil"/>
              <w:left w:val="nil"/>
              <w:bottom w:val="single" w:sz="4" w:space="0" w:color="auto"/>
              <w:right w:val="nil"/>
            </w:tcBorders>
            <w:shd w:val="clear" w:color="auto" w:fill="auto"/>
            <w:noWrap/>
            <w:vAlign w:val="center"/>
            <w:hideMark/>
          </w:tcPr>
          <w:p w14:paraId="47C224DB" w14:textId="77777777" w:rsidR="00190D85" w:rsidRPr="00B30D76" w:rsidRDefault="00190D85" w:rsidP="001F6984">
            <w:pPr>
              <w:spacing w:after="0" w:line="240" w:lineRule="auto"/>
              <w:rPr>
                <w:rFonts w:ascii="Arial" w:eastAsia="Times New Roman" w:hAnsi="Arial" w:cs="Arial"/>
                <w:sz w:val="20"/>
                <w:szCs w:val="20"/>
                <w:lang w:eastAsia="en-GB"/>
              </w:rPr>
            </w:pPr>
            <w:r w:rsidRPr="00B30D76">
              <w:rPr>
                <w:rFonts w:ascii="Arial" w:eastAsia="Times New Roman" w:hAnsi="Arial" w:cs="Arial"/>
                <w:sz w:val="20"/>
                <w:szCs w:val="20"/>
                <w:lang w:eastAsia="en-GB"/>
              </w:rPr>
              <w:t> </w:t>
            </w:r>
          </w:p>
        </w:tc>
        <w:tc>
          <w:tcPr>
            <w:tcW w:w="1624" w:type="dxa"/>
            <w:gridSpan w:val="3"/>
            <w:tcBorders>
              <w:top w:val="nil"/>
              <w:left w:val="nil"/>
              <w:bottom w:val="single" w:sz="4" w:space="0" w:color="auto"/>
              <w:right w:val="nil"/>
            </w:tcBorders>
            <w:shd w:val="clear" w:color="auto" w:fill="auto"/>
            <w:noWrap/>
            <w:vAlign w:val="center"/>
            <w:hideMark/>
          </w:tcPr>
          <w:p w14:paraId="7E0CCCE2" w14:textId="77777777" w:rsidR="00190D85" w:rsidRPr="00B30D76" w:rsidRDefault="00190D85" w:rsidP="00FB465D">
            <w:pPr>
              <w:spacing w:after="0" w:line="240" w:lineRule="auto"/>
              <w:ind w:left="29" w:hanging="29"/>
              <w:jc w:val="right"/>
              <w:rPr>
                <w:rFonts w:ascii="Arial" w:eastAsia="Times New Roman" w:hAnsi="Arial" w:cs="Arial"/>
                <w:b/>
                <w:bCs/>
                <w:sz w:val="20"/>
                <w:szCs w:val="20"/>
                <w:lang w:eastAsia="en-GB"/>
              </w:rPr>
            </w:pPr>
            <w:r w:rsidRPr="00B30D76">
              <w:rPr>
                <w:rFonts w:ascii="Arial" w:eastAsia="Times New Roman" w:hAnsi="Arial" w:cs="Arial"/>
                <w:b/>
                <w:bCs/>
                <w:sz w:val="20"/>
                <w:szCs w:val="20"/>
                <w:lang w:eastAsia="en-GB"/>
              </w:rPr>
              <w:t>£'000</w:t>
            </w:r>
          </w:p>
        </w:tc>
        <w:tc>
          <w:tcPr>
            <w:tcW w:w="1560" w:type="dxa"/>
            <w:gridSpan w:val="2"/>
            <w:tcBorders>
              <w:top w:val="nil"/>
              <w:left w:val="nil"/>
              <w:bottom w:val="single" w:sz="4" w:space="0" w:color="auto"/>
              <w:right w:val="nil"/>
            </w:tcBorders>
            <w:shd w:val="clear" w:color="auto" w:fill="auto"/>
            <w:noWrap/>
            <w:vAlign w:val="center"/>
            <w:hideMark/>
          </w:tcPr>
          <w:p w14:paraId="4C1CE673" w14:textId="77777777" w:rsidR="00190D85" w:rsidRPr="00B30D76" w:rsidRDefault="00190D85" w:rsidP="005B39D0">
            <w:pPr>
              <w:spacing w:after="0" w:line="240" w:lineRule="auto"/>
              <w:jc w:val="right"/>
              <w:rPr>
                <w:rFonts w:ascii="Arial" w:eastAsia="Times New Roman" w:hAnsi="Arial" w:cs="Arial"/>
                <w:sz w:val="20"/>
                <w:szCs w:val="20"/>
                <w:lang w:eastAsia="en-GB"/>
              </w:rPr>
            </w:pPr>
            <w:r w:rsidRPr="00B30D76">
              <w:rPr>
                <w:rFonts w:ascii="Arial" w:eastAsia="Times New Roman" w:hAnsi="Arial" w:cs="Arial"/>
                <w:sz w:val="20"/>
                <w:szCs w:val="20"/>
                <w:lang w:eastAsia="en-GB"/>
              </w:rPr>
              <w:t>£'000</w:t>
            </w:r>
          </w:p>
        </w:tc>
      </w:tr>
      <w:tr w:rsidR="00ED24FC" w:rsidRPr="00B30D76" w14:paraId="266B63C0" w14:textId="77777777" w:rsidTr="00FB465D">
        <w:trPr>
          <w:gridAfter w:val="1"/>
          <w:wAfter w:w="218" w:type="dxa"/>
          <w:trHeight w:val="389"/>
        </w:trPr>
        <w:tc>
          <w:tcPr>
            <w:tcW w:w="5812" w:type="dxa"/>
            <w:gridSpan w:val="2"/>
            <w:tcBorders>
              <w:top w:val="nil"/>
              <w:left w:val="nil"/>
              <w:bottom w:val="nil"/>
              <w:right w:val="nil"/>
            </w:tcBorders>
            <w:shd w:val="clear" w:color="auto" w:fill="auto"/>
            <w:noWrap/>
            <w:vAlign w:val="center"/>
            <w:hideMark/>
          </w:tcPr>
          <w:p w14:paraId="1CB4CCD6" w14:textId="77777777" w:rsidR="00ED24FC" w:rsidRPr="00B30D76" w:rsidRDefault="00ED24FC" w:rsidP="00ED24FC">
            <w:pPr>
              <w:spacing w:after="0" w:line="240" w:lineRule="auto"/>
              <w:rPr>
                <w:rFonts w:ascii="Arial" w:eastAsia="Times New Roman" w:hAnsi="Arial" w:cs="Arial"/>
                <w:sz w:val="20"/>
                <w:szCs w:val="20"/>
                <w:lang w:eastAsia="en-GB"/>
              </w:rPr>
            </w:pPr>
            <w:r w:rsidRPr="00B30D76">
              <w:rPr>
                <w:rFonts w:ascii="Arial" w:eastAsia="Times New Roman" w:hAnsi="Arial" w:cs="Arial"/>
                <w:sz w:val="20"/>
                <w:szCs w:val="20"/>
                <w:lang w:eastAsia="en-GB"/>
              </w:rPr>
              <w:t>Bank charges, interest and other finance costs</w:t>
            </w:r>
            <w:r>
              <w:rPr>
                <w:rFonts w:ascii="Arial" w:eastAsia="Times New Roman" w:hAnsi="Arial" w:cs="Arial"/>
                <w:sz w:val="20"/>
                <w:szCs w:val="20"/>
                <w:lang w:eastAsia="en-GB"/>
              </w:rPr>
              <w:t xml:space="preserve"> (note 2)</w:t>
            </w:r>
          </w:p>
        </w:tc>
        <w:tc>
          <w:tcPr>
            <w:tcW w:w="1341" w:type="dxa"/>
            <w:gridSpan w:val="2"/>
            <w:tcBorders>
              <w:top w:val="nil"/>
              <w:left w:val="nil"/>
              <w:bottom w:val="nil"/>
              <w:right w:val="nil"/>
            </w:tcBorders>
            <w:shd w:val="clear" w:color="auto" w:fill="auto"/>
            <w:noWrap/>
            <w:vAlign w:val="center"/>
          </w:tcPr>
          <w:p w14:paraId="5F22DD2C" w14:textId="77777777" w:rsidR="00ED24FC" w:rsidRPr="00B30D76" w:rsidRDefault="004E6DCD" w:rsidP="00FB465D">
            <w:pPr>
              <w:spacing w:after="0" w:line="240" w:lineRule="auto"/>
              <w:ind w:left="29" w:hanging="29"/>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1,1</w:t>
            </w:r>
            <w:r w:rsidR="000B2DF3">
              <w:rPr>
                <w:rFonts w:ascii="Arial" w:eastAsia="Times New Roman" w:hAnsi="Arial" w:cs="Arial"/>
                <w:b/>
                <w:bCs/>
                <w:sz w:val="20"/>
                <w:szCs w:val="20"/>
                <w:lang w:eastAsia="en-GB"/>
              </w:rPr>
              <w:t>22</w:t>
            </w:r>
          </w:p>
        </w:tc>
        <w:tc>
          <w:tcPr>
            <w:tcW w:w="1560" w:type="dxa"/>
            <w:gridSpan w:val="2"/>
            <w:tcBorders>
              <w:top w:val="nil"/>
              <w:left w:val="nil"/>
              <w:bottom w:val="nil"/>
              <w:right w:val="nil"/>
            </w:tcBorders>
            <w:shd w:val="clear" w:color="auto" w:fill="auto"/>
            <w:noWrap/>
            <w:vAlign w:val="center"/>
            <w:hideMark/>
          </w:tcPr>
          <w:p w14:paraId="578BBA00" w14:textId="77777777" w:rsidR="00ED24FC" w:rsidRPr="00ED24FC" w:rsidRDefault="00ED24FC" w:rsidP="00ED24FC">
            <w:pPr>
              <w:spacing w:after="0" w:line="240" w:lineRule="auto"/>
              <w:jc w:val="right"/>
              <w:rPr>
                <w:rFonts w:ascii="Arial" w:eastAsia="Times New Roman" w:hAnsi="Arial" w:cs="Arial"/>
                <w:sz w:val="20"/>
                <w:szCs w:val="20"/>
                <w:lang w:eastAsia="en-GB"/>
              </w:rPr>
            </w:pPr>
            <w:r w:rsidRPr="00ED24FC">
              <w:rPr>
                <w:rFonts w:ascii="Arial" w:eastAsia="Times New Roman" w:hAnsi="Arial" w:cs="Arial"/>
                <w:bCs/>
                <w:sz w:val="20"/>
                <w:szCs w:val="20"/>
                <w:lang w:eastAsia="en-GB"/>
              </w:rPr>
              <w:t>1,48</w:t>
            </w:r>
            <w:r w:rsidR="000B2DF3">
              <w:rPr>
                <w:rFonts w:ascii="Arial" w:eastAsia="Times New Roman" w:hAnsi="Arial" w:cs="Arial"/>
                <w:bCs/>
                <w:sz w:val="20"/>
                <w:szCs w:val="20"/>
                <w:lang w:eastAsia="en-GB"/>
              </w:rPr>
              <w:t>5</w:t>
            </w:r>
          </w:p>
        </w:tc>
      </w:tr>
      <w:tr w:rsidR="00ED24FC" w:rsidRPr="00B30D76" w14:paraId="78F009E9" w14:textId="77777777" w:rsidTr="00FB465D">
        <w:trPr>
          <w:gridAfter w:val="1"/>
          <w:wAfter w:w="218" w:type="dxa"/>
          <w:trHeight w:val="389"/>
        </w:trPr>
        <w:tc>
          <w:tcPr>
            <w:tcW w:w="5812" w:type="dxa"/>
            <w:gridSpan w:val="2"/>
            <w:tcBorders>
              <w:top w:val="nil"/>
              <w:left w:val="nil"/>
              <w:bottom w:val="nil"/>
              <w:right w:val="nil"/>
            </w:tcBorders>
            <w:shd w:val="clear" w:color="auto" w:fill="auto"/>
            <w:noWrap/>
            <w:vAlign w:val="center"/>
            <w:hideMark/>
          </w:tcPr>
          <w:p w14:paraId="00DE76C0" w14:textId="77777777" w:rsidR="00ED24FC" w:rsidRPr="00B30D76" w:rsidRDefault="00ED24FC" w:rsidP="00B14700">
            <w:pPr>
              <w:spacing w:after="0" w:line="240" w:lineRule="auto"/>
              <w:rPr>
                <w:rFonts w:ascii="Arial" w:eastAsia="Times New Roman" w:hAnsi="Arial" w:cs="Arial"/>
                <w:sz w:val="20"/>
                <w:szCs w:val="20"/>
                <w:lang w:eastAsia="en-GB"/>
              </w:rPr>
            </w:pPr>
            <w:r w:rsidRPr="005969AF">
              <w:rPr>
                <w:rFonts w:ascii="Arial" w:eastAsia="Times New Roman" w:hAnsi="Arial" w:cs="Arial"/>
                <w:sz w:val="20"/>
                <w:szCs w:val="20"/>
                <w:lang w:eastAsia="en-GB"/>
              </w:rPr>
              <w:t xml:space="preserve">Net finance </w:t>
            </w:r>
            <w:r w:rsidR="00B14700">
              <w:rPr>
                <w:rFonts w:ascii="Arial" w:eastAsia="Times New Roman" w:hAnsi="Arial" w:cs="Arial"/>
                <w:sz w:val="20"/>
                <w:szCs w:val="20"/>
                <w:lang w:eastAsia="en-GB"/>
              </w:rPr>
              <w:t>cost</w:t>
            </w:r>
            <w:r w:rsidRPr="005969AF">
              <w:rPr>
                <w:rFonts w:ascii="Arial" w:eastAsia="Times New Roman" w:hAnsi="Arial" w:cs="Arial"/>
                <w:sz w:val="20"/>
                <w:szCs w:val="20"/>
                <w:lang w:eastAsia="en-GB"/>
              </w:rPr>
              <w:t xml:space="preserve"> on defined benefit pension scheme (note 24)</w:t>
            </w:r>
          </w:p>
        </w:tc>
        <w:tc>
          <w:tcPr>
            <w:tcW w:w="1341" w:type="dxa"/>
            <w:gridSpan w:val="2"/>
            <w:tcBorders>
              <w:top w:val="nil"/>
              <w:left w:val="nil"/>
              <w:bottom w:val="single" w:sz="4" w:space="0" w:color="auto"/>
              <w:right w:val="nil"/>
            </w:tcBorders>
            <w:shd w:val="clear" w:color="auto" w:fill="auto"/>
            <w:noWrap/>
            <w:vAlign w:val="center"/>
          </w:tcPr>
          <w:p w14:paraId="717E477D" w14:textId="77777777" w:rsidR="00ED24FC" w:rsidRPr="00B30D76" w:rsidRDefault="00C81CDF" w:rsidP="00FB465D">
            <w:pPr>
              <w:spacing w:after="0" w:line="240" w:lineRule="auto"/>
              <w:ind w:left="29" w:hanging="29"/>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1,546</w:t>
            </w:r>
          </w:p>
        </w:tc>
        <w:tc>
          <w:tcPr>
            <w:tcW w:w="1560" w:type="dxa"/>
            <w:gridSpan w:val="2"/>
            <w:tcBorders>
              <w:top w:val="nil"/>
              <w:left w:val="nil"/>
              <w:bottom w:val="single" w:sz="4" w:space="0" w:color="auto"/>
              <w:right w:val="nil"/>
            </w:tcBorders>
            <w:shd w:val="clear" w:color="auto" w:fill="auto"/>
            <w:noWrap/>
            <w:vAlign w:val="center"/>
            <w:hideMark/>
          </w:tcPr>
          <w:p w14:paraId="148978E8" w14:textId="77777777" w:rsidR="00ED24FC" w:rsidRPr="00ED24FC" w:rsidRDefault="00ED24FC" w:rsidP="00ED24FC">
            <w:pPr>
              <w:spacing w:after="0" w:line="240" w:lineRule="auto"/>
              <w:jc w:val="right"/>
              <w:rPr>
                <w:rFonts w:ascii="Arial" w:eastAsia="Times New Roman" w:hAnsi="Arial" w:cs="Arial"/>
                <w:sz w:val="20"/>
                <w:szCs w:val="20"/>
                <w:lang w:eastAsia="en-GB"/>
              </w:rPr>
            </w:pPr>
            <w:r w:rsidRPr="00ED24FC">
              <w:rPr>
                <w:rFonts w:ascii="Arial" w:eastAsia="Times New Roman" w:hAnsi="Arial" w:cs="Arial"/>
                <w:bCs/>
                <w:sz w:val="20"/>
                <w:szCs w:val="20"/>
                <w:lang w:eastAsia="en-GB"/>
              </w:rPr>
              <w:t>1,714</w:t>
            </w:r>
          </w:p>
        </w:tc>
      </w:tr>
      <w:tr w:rsidR="00ED24FC" w:rsidRPr="00B30D76" w14:paraId="76E69B72" w14:textId="77777777" w:rsidTr="00FB465D">
        <w:trPr>
          <w:gridAfter w:val="1"/>
          <w:wAfter w:w="218" w:type="dxa"/>
          <w:trHeight w:val="389"/>
        </w:trPr>
        <w:tc>
          <w:tcPr>
            <w:tcW w:w="5812" w:type="dxa"/>
            <w:gridSpan w:val="2"/>
            <w:tcBorders>
              <w:top w:val="single" w:sz="4" w:space="0" w:color="auto"/>
              <w:left w:val="nil"/>
              <w:bottom w:val="single" w:sz="4" w:space="0" w:color="auto"/>
              <w:right w:val="nil"/>
            </w:tcBorders>
            <w:shd w:val="clear" w:color="auto" w:fill="auto"/>
            <w:noWrap/>
            <w:vAlign w:val="center"/>
            <w:hideMark/>
          </w:tcPr>
          <w:p w14:paraId="2BB9213D" w14:textId="77777777" w:rsidR="00ED24FC" w:rsidRPr="00B30D76" w:rsidRDefault="00ED24FC" w:rsidP="00ED24FC">
            <w:pPr>
              <w:spacing w:after="0" w:line="240" w:lineRule="auto"/>
              <w:rPr>
                <w:rFonts w:ascii="Arial" w:eastAsia="Times New Roman" w:hAnsi="Arial" w:cs="Arial"/>
                <w:sz w:val="20"/>
                <w:szCs w:val="20"/>
                <w:lang w:eastAsia="en-GB"/>
              </w:rPr>
            </w:pPr>
            <w:r w:rsidRPr="00B30D76">
              <w:rPr>
                <w:rFonts w:ascii="Arial" w:eastAsia="Times New Roman" w:hAnsi="Arial" w:cs="Arial"/>
                <w:sz w:val="20"/>
                <w:szCs w:val="20"/>
                <w:lang w:eastAsia="en-GB"/>
              </w:rPr>
              <w:t>Total</w:t>
            </w:r>
          </w:p>
        </w:tc>
        <w:tc>
          <w:tcPr>
            <w:tcW w:w="1341" w:type="dxa"/>
            <w:gridSpan w:val="2"/>
            <w:tcBorders>
              <w:top w:val="nil"/>
              <w:left w:val="nil"/>
              <w:bottom w:val="single" w:sz="4" w:space="0" w:color="auto"/>
              <w:right w:val="nil"/>
            </w:tcBorders>
            <w:shd w:val="clear" w:color="auto" w:fill="auto"/>
            <w:noWrap/>
            <w:vAlign w:val="center"/>
          </w:tcPr>
          <w:p w14:paraId="783CE2B8" w14:textId="77777777" w:rsidR="00ED24FC" w:rsidRPr="00B30D76" w:rsidRDefault="004E6DCD" w:rsidP="00FB465D">
            <w:pPr>
              <w:spacing w:after="0" w:line="240" w:lineRule="auto"/>
              <w:ind w:left="29" w:hanging="29"/>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2,66</w:t>
            </w:r>
            <w:r w:rsidR="000B2DF3">
              <w:rPr>
                <w:rFonts w:ascii="Arial" w:eastAsia="Times New Roman" w:hAnsi="Arial" w:cs="Arial"/>
                <w:b/>
                <w:bCs/>
                <w:sz w:val="20"/>
                <w:szCs w:val="20"/>
                <w:lang w:eastAsia="en-GB"/>
              </w:rPr>
              <w:t>8</w:t>
            </w:r>
          </w:p>
        </w:tc>
        <w:tc>
          <w:tcPr>
            <w:tcW w:w="1560" w:type="dxa"/>
            <w:gridSpan w:val="2"/>
            <w:tcBorders>
              <w:top w:val="nil"/>
              <w:left w:val="nil"/>
              <w:bottom w:val="single" w:sz="4" w:space="0" w:color="auto"/>
              <w:right w:val="nil"/>
            </w:tcBorders>
            <w:shd w:val="clear" w:color="auto" w:fill="auto"/>
            <w:noWrap/>
            <w:vAlign w:val="center"/>
            <w:hideMark/>
          </w:tcPr>
          <w:p w14:paraId="52D2AA93" w14:textId="77777777" w:rsidR="00ED24FC" w:rsidRPr="00ED24FC" w:rsidRDefault="00ED24FC" w:rsidP="00ED24FC">
            <w:pPr>
              <w:spacing w:after="0" w:line="240" w:lineRule="auto"/>
              <w:jc w:val="right"/>
              <w:rPr>
                <w:rFonts w:ascii="Arial" w:eastAsia="Times New Roman" w:hAnsi="Arial" w:cs="Arial"/>
                <w:sz w:val="20"/>
                <w:szCs w:val="20"/>
                <w:lang w:eastAsia="en-GB"/>
              </w:rPr>
            </w:pPr>
            <w:r w:rsidRPr="00ED24FC">
              <w:rPr>
                <w:rFonts w:ascii="Arial" w:eastAsia="Times New Roman" w:hAnsi="Arial" w:cs="Arial"/>
                <w:bCs/>
                <w:sz w:val="20"/>
                <w:szCs w:val="20"/>
                <w:lang w:eastAsia="en-GB"/>
              </w:rPr>
              <w:t>3,19</w:t>
            </w:r>
            <w:r w:rsidR="000B2DF3">
              <w:rPr>
                <w:rFonts w:ascii="Arial" w:eastAsia="Times New Roman" w:hAnsi="Arial" w:cs="Arial"/>
                <w:bCs/>
                <w:sz w:val="20"/>
                <w:szCs w:val="20"/>
                <w:lang w:eastAsia="en-GB"/>
              </w:rPr>
              <w:t>9</w:t>
            </w:r>
          </w:p>
        </w:tc>
      </w:tr>
    </w:tbl>
    <w:p w14:paraId="07E660A6" w14:textId="77777777" w:rsidR="00190D85" w:rsidRDefault="00190D85" w:rsidP="00190D85">
      <w:pPr>
        <w:rPr>
          <w:rFonts w:ascii="Arial" w:hAnsi="Arial" w:cs="Arial"/>
          <w:sz w:val="20"/>
          <w:szCs w:val="20"/>
        </w:rPr>
      </w:pPr>
    </w:p>
    <w:p w14:paraId="2C167A13" w14:textId="77777777" w:rsidR="006A46D9" w:rsidRDefault="006A46D9" w:rsidP="00190D85">
      <w:pPr>
        <w:rPr>
          <w:rFonts w:ascii="Arial" w:hAnsi="Arial" w:cs="Arial"/>
          <w:sz w:val="20"/>
          <w:szCs w:val="20"/>
        </w:rPr>
      </w:pPr>
      <w:r>
        <w:rPr>
          <w:rFonts w:ascii="Arial" w:hAnsi="Arial" w:cs="Arial"/>
          <w:sz w:val="20"/>
          <w:szCs w:val="20"/>
        </w:rPr>
        <w:t xml:space="preserve">These charges </w:t>
      </w:r>
      <w:r w:rsidR="00083DDE">
        <w:rPr>
          <w:rFonts w:ascii="Arial" w:hAnsi="Arial" w:cs="Arial"/>
          <w:sz w:val="20"/>
          <w:szCs w:val="20"/>
        </w:rPr>
        <w:t>have</w:t>
      </w:r>
      <w:r>
        <w:rPr>
          <w:rFonts w:ascii="Arial" w:hAnsi="Arial" w:cs="Arial"/>
          <w:sz w:val="20"/>
          <w:szCs w:val="20"/>
        </w:rPr>
        <w:t xml:space="preserve"> been reported in Statement of Financial A</w:t>
      </w:r>
      <w:r w:rsidRPr="006A46D9">
        <w:rPr>
          <w:rFonts w:ascii="Arial" w:hAnsi="Arial" w:cs="Arial"/>
          <w:sz w:val="20"/>
          <w:szCs w:val="20"/>
        </w:rPr>
        <w:t>ctivities</w:t>
      </w:r>
      <w:r>
        <w:rPr>
          <w:rFonts w:ascii="Arial" w:hAnsi="Arial" w:cs="Arial"/>
          <w:sz w:val="20"/>
          <w:szCs w:val="20"/>
        </w:rPr>
        <w:t xml:space="preserve"> under Charitable A</w:t>
      </w:r>
      <w:r w:rsidRPr="006A46D9">
        <w:rPr>
          <w:rFonts w:ascii="Arial" w:hAnsi="Arial" w:cs="Arial"/>
          <w:sz w:val="20"/>
          <w:szCs w:val="20"/>
        </w:rPr>
        <w:t>ctivities</w:t>
      </w:r>
      <w:r>
        <w:rPr>
          <w:rFonts w:ascii="Arial" w:hAnsi="Arial" w:cs="Arial"/>
          <w:sz w:val="20"/>
          <w:szCs w:val="20"/>
        </w:rPr>
        <w:t>.</w:t>
      </w:r>
    </w:p>
    <w:tbl>
      <w:tblPr>
        <w:tblW w:w="9584" w:type="dxa"/>
        <w:tblLook w:val="04A0" w:firstRow="1" w:lastRow="0" w:firstColumn="1" w:lastColumn="0" w:noHBand="0" w:noVBand="1"/>
      </w:tblPr>
      <w:tblGrid>
        <w:gridCol w:w="5637"/>
        <w:gridCol w:w="141"/>
        <w:gridCol w:w="660"/>
        <w:gridCol w:w="792"/>
        <w:gridCol w:w="140"/>
        <w:gridCol w:w="568"/>
        <w:gridCol w:w="404"/>
        <w:gridCol w:w="10"/>
        <w:gridCol w:w="229"/>
        <w:gridCol w:w="67"/>
        <w:gridCol w:w="142"/>
        <w:gridCol w:w="85"/>
        <w:gridCol w:w="82"/>
        <w:gridCol w:w="219"/>
        <w:gridCol w:w="74"/>
        <w:gridCol w:w="107"/>
        <w:gridCol w:w="227"/>
      </w:tblGrid>
      <w:tr w:rsidR="004B18B9" w:rsidRPr="00742859" w14:paraId="7107D7D8" w14:textId="77777777" w:rsidTr="00FB465D">
        <w:trPr>
          <w:gridAfter w:val="1"/>
          <w:wAfter w:w="227" w:type="dxa"/>
          <w:trHeight w:val="279"/>
        </w:trPr>
        <w:tc>
          <w:tcPr>
            <w:tcW w:w="6438" w:type="dxa"/>
            <w:gridSpan w:val="3"/>
            <w:tcBorders>
              <w:top w:val="nil"/>
              <w:left w:val="nil"/>
              <w:bottom w:val="nil"/>
              <w:right w:val="nil"/>
            </w:tcBorders>
            <w:shd w:val="clear" w:color="auto" w:fill="auto"/>
            <w:noWrap/>
            <w:vAlign w:val="center"/>
          </w:tcPr>
          <w:p w14:paraId="75560676" w14:textId="77777777" w:rsidR="004C468E" w:rsidRPr="00742859" w:rsidRDefault="004C468E" w:rsidP="00665BC7">
            <w:pPr>
              <w:spacing w:after="0" w:line="240" w:lineRule="auto"/>
              <w:rPr>
                <w:rFonts w:ascii="Arial" w:eastAsia="Times New Roman" w:hAnsi="Arial" w:cs="Arial"/>
                <w:b/>
                <w:bCs/>
                <w:sz w:val="24"/>
                <w:szCs w:val="24"/>
                <w:lang w:eastAsia="en-GB"/>
              </w:rPr>
            </w:pPr>
          </w:p>
        </w:tc>
        <w:tc>
          <w:tcPr>
            <w:tcW w:w="1500" w:type="dxa"/>
            <w:gridSpan w:val="3"/>
            <w:tcBorders>
              <w:top w:val="nil"/>
              <w:left w:val="nil"/>
              <w:bottom w:val="nil"/>
              <w:right w:val="nil"/>
            </w:tcBorders>
            <w:shd w:val="clear" w:color="auto" w:fill="auto"/>
            <w:noWrap/>
            <w:vAlign w:val="center"/>
          </w:tcPr>
          <w:p w14:paraId="0042DBBA" w14:textId="77777777" w:rsidR="004B18B9" w:rsidRPr="00742859" w:rsidRDefault="004B18B9" w:rsidP="001F6984">
            <w:pPr>
              <w:spacing w:after="0" w:line="240" w:lineRule="auto"/>
              <w:rPr>
                <w:rFonts w:ascii="Arial" w:eastAsia="Times New Roman" w:hAnsi="Arial" w:cs="Arial"/>
                <w:b/>
                <w:bCs/>
                <w:sz w:val="24"/>
                <w:szCs w:val="24"/>
                <w:lang w:eastAsia="en-GB"/>
              </w:rPr>
            </w:pPr>
          </w:p>
        </w:tc>
        <w:tc>
          <w:tcPr>
            <w:tcW w:w="1419" w:type="dxa"/>
            <w:gridSpan w:val="10"/>
            <w:tcBorders>
              <w:top w:val="nil"/>
              <w:left w:val="nil"/>
              <w:bottom w:val="nil"/>
              <w:right w:val="nil"/>
            </w:tcBorders>
            <w:shd w:val="clear" w:color="auto" w:fill="auto"/>
            <w:noWrap/>
            <w:vAlign w:val="center"/>
          </w:tcPr>
          <w:p w14:paraId="1FF40F9E" w14:textId="77777777" w:rsidR="004B18B9" w:rsidRPr="00742859" w:rsidRDefault="004B18B9" w:rsidP="001F6984">
            <w:pPr>
              <w:spacing w:after="0" w:line="240" w:lineRule="auto"/>
              <w:rPr>
                <w:rFonts w:ascii="Times New Roman" w:eastAsia="Times New Roman" w:hAnsi="Times New Roman" w:cs="Times New Roman"/>
                <w:sz w:val="20"/>
                <w:szCs w:val="20"/>
                <w:lang w:eastAsia="en-GB"/>
              </w:rPr>
            </w:pPr>
          </w:p>
        </w:tc>
      </w:tr>
      <w:tr w:rsidR="00190D85" w:rsidRPr="00742859" w14:paraId="40C68FF4" w14:textId="77777777" w:rsidTr="00FB465D">
        <w:trPr>
          <w:gridAfter w:val="1"/>
          <w:wAfter w:w="227" w:type="dxa"/>
          <w:trHeight w:val="279"/>
        </w:trPr>
        <w:tc>
          <w:tcPr>
            <w:tcW w:w="6438" w:type="dxa"/>
            <w:gridSpan w:val="3"/>
            <w:tcBorders>
              <w:top w:val="nil"/>
              <w:left w:val="nil"/>
              <w:bottom w:val="nil"/>
              <w:right w:val="nil"/>
            </w:tcBorders>
            <w:shd w:val="clear" w:color="auto" w:fill="auto"/>
            <w:noWrap/>
            <w:vAlign w:val="center"/>
            <w:hideMark/>
          </w:tcPr>
          <w:p w14:paraId="54F07194" w14:textId="77777777" w:rsidR="00190D85" w:rsidRPr="00742859" w:rsidRDefault="00BE0959" w:rsidP="001F6984">
            <w:pPr>
              <w:spacing w:after="0" w:line="240" w:lineRule="auto"/>
              <w:rPr>
                <w:rFonts w:ascii="Arial" w:eastAsia="Times New Roman" w:hAnsi="Arial" w:cs="Arial"/>
                <w:b/>
                <w:bCs/>
                <w:sz w:val="24"/>
                <w:szCs w:val="24"/>
                <w:lang w:eastAsia="en-GB"/>
              </w:rPr>
            </w:pPr>
            <w:r>
              <w:rPr>
                <w:rFonts w:ascii="Arial" w:eastAsia="Times New Roman" w:hAnsi="Arial" w:cs="Arial"/>
                <w:b/>
                <w:bCs/>
                <w:sz w:val="24"/>
                <w:szCs w:val="24"/>
                <w:lang w:eastAsia="en-GB"/>
              </w:rPr>
              <w:t>4</w:t>
            </w:r>
            <w:r w:rsidR="00190D85" w:rsidRPr="00742859">
              <w:rPr>
                <w:rFonts w:ascii="Arial" w:eastAsia="Times New Roman" w:hAnsi="Arial" w:cs="Arial"/>
                <w:b/>
                <w:bCs/>
                <w:sz w:val="24"/>
                <w:szCs w:val="24"/>
                <w:lang w:eastAsia="en-GB"/>
              </w:rPr>
              <w:t>. Net incoming resources</w:t>
            </w:r>
          </w:p>
        </w:tc>
        <w:tc>
          <w:tcPr>
            <w:tcW w:w="1500" w:type="dxa"/>
            <w:gridSpan w:val="3"/>
            <w:tcBorders>
              <w:top w:val="nil"/>
              <w:left w:val="nil"/>
              <w:bottom w:val="nil"/>
              <w:right w:val="nil"/>
            </w:tcBorders>
            <w:shd w:val="clear" w:color="auto" w:fill="auto"/>
            <w:noWrap/>
            <w:vAlign w:val="center"/>
            <w:hideMark/>
          </w:tcPr>
          <w:p w14:paraId="27421B33" w14:textId="77777777" w:rsidR="00190D85" w:rsidRPr="00742859" w:rsidRDefault="00190D85" w:rsidP="001F6984">
            <w:pPr>
              <w:spacing w:after="0" w:line="240" w:lineRule="auto"/>
              <w:rPr>
                <w:rFonts w:ascii="Arial" w:eastAsia="Times New Roman" w:hAnsi="Arial" w:cs="Arial"/>
                <w:b/>
                <w:bCs/>
                <w:sz w:val="24"/>
                <w:szCs w:val="24"/>
                <w:lang w:eastAsia="en-GB"/>
              </w:rPr>
            </w:pPr>
          </w:p>
        </w:tc>
        <w:tc>
          <w:tcPr>
            <w:tcW w:w="1419" w:type="dxa"/>
            <w:gridSpan w:val="10"/>
            <w:tcBorders>
              <w:top w:val="nil"/>
              <w:left w:val="nil"/>
              <w:bottom w:val="nil"/>
              <w:right w:val="nil"/>
            </w:tcBorders>
            <w:shd w:val="clear" w:color="auto" w:fill="auto"/>
            <w:noWrap/>
            <w:vAlign w:val="center"/>
            <w:hideMark/>
          </w:tcPr>
          <w:p w14:paraId="2E1A449A" w14:textId="77777777" w:rsidR="00190D85" w:rsidRPr="00742859" w:rsidRDefault="00190D85" w:rsidP="001F6984">
            <w:pPr>
              <w:spacing w:after="0" w:line="240" w:lineRule="auto"/>
              <w:rPr>
                <w:rFonts w:ascii="Times New Roman" w:eastAsia="Times New Roman" w:hAnsi="Times New Roman" w:cs="Times New Roman"/>
                <w:sz w:val="20"/>
                <w:szCs w:val="20"/>
                <w:lang w:eastAsia="en-GB"/>
              </w:rPr>
            </w:pPr>
          </w:p>
        </w:tc>
      </w:tr>
      <w:tr w:rsidR="00190D85" w:rsidRPr="00742859" w14:paraId="39AE0920" w14:textId="77777777" w:rsidTr="00FB465D">
        <w:trPr>
          <w:gridAfter w:val="6"/>
          <w:wAfter w:w="794" w:type="dxa"/>
          <w:trHeight w:val="279"/>
        </w:trPr>
        <w:tc>
          <w:tcPr>
            <w:tcW w:w="5637" w:type="dxa"/>
            <w:tcBorders>
              <w:top w:val="nil"/>
              <w:left w:val="nil"/>
              <w:bottom w:val="nil"/>
              <w:right w:val="nil"/>
            </w:tcBorders>
            <w:shd w:val="clear" w:color="auto" w:fill="auto"/>
            <w:noWrap/>
            <w:vAlign w:val="center"/>
            <w:hideMark/>
          </w:tcPr>
          <w:p w14:paraId="1C8D4C79" w14:textId="77777777" w:rsidR="00190D85" w:rsidRPr="00742859" w:rsidRDefault="00190D85" w:rsidP="001F6984">
            <w:pPr>
              <w:spacing w:after="0" w:line="240" w:lineRule="auto"/>
              <w:rPr>
                <w:rFonts w:ascii="Times New Roman" w:eastAsia="Times New Roman" w:hAnsi="Times New Roman" w:cs="Times New Roman"/>
                <w:sz w:val="20"/>
                <w:szCs w:val="20"/>
                <w:lang w:eastAsia="en-GB"/>
              </w:rPr>
            </w:pPr>
          </w:p>
        </w:tc>
        <w:tc>
          <w:tcPr>
            <w:tcW w:w="1593" w:type="dxa"/>
            <w:gridSpan w:val="3"/>
            <w:tcBorders>
              <w:top w:val="nil"/>
              <w:left w:val="nil"/>
              <w:bottom w:val="nil"/>
              <w:right w:val="nil"/>
            </w:tcBorders>
            <w:shd w:val="clear" w:color="auto" w:fill="auto"/>
            <w:noWrap/>
            <w:vAlign w:val="center"/>
            <w:hideMark/>
          </w:tcPr>
          <w:p w14:paraId="73BB86B6" w14:textId="77777777" w:rsidR="00190D85" w:rsidRPr="00742859" w:rsidRDefault="002F1E81" w:rsidP="006968BD">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 xml:space="preserve">Year ended 31 August </w:t>
            </w:r>
            <w:r w:rsidR="0037645F">
              <w:rPr>
                <w:rFonts w:ascii="Arial" w:eastAsia="Times New Roman" w:hAnsi="Arial" w:cs="Arial"/>
                <w:b/>
                <w:bCs/>
                <w:sz w:val="20"/>
                <w:szCs w:val="20"/>
                <w:lang w:eastAsia="en-GB"/>
              </w:rPr>
              <w:t>2020</w:t>
            </w:r>
          </w:p>
        </w:tc>
        <w:tc>
          <w:tcPr>
            <w:tcW w:w="1560" w:type="dxa"/>
            <w:gridSpan w:val="7"/>
            <w:tcBorders>
              <w:top w:val="nil"/>
              <w:left w:val="nil"/>
              <w:bottom w:val="nil"/>
              <w:right w:val="nil"/>
            </w:tcBorders>
            <w:shd w:val="clear" w:color="auto" w:fill="auto"/>
            <w:noWrap/>
            <w:vAlign w:val="center"/>
            <w:hideMark/>
          </w:tcPr>
          <w:p w14:paraId="7C2BDC44" w14:textId="77777777" w:rsidR="00190D85" w:rsidRPr="00742859" w:rsidRDefault="00255CE0" w:rsidP="006968BD">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Year ended</w:t>
            </w:r>
            <w:r w:rsidR="002F1E81">
              <w:rPr>
                <w:rFonts w:ascii="Arial" w:eastAsia="Times New Roman" w:hAnsi="Arial" w:cs="Arial"/>
                <w:sz w:val="20"/>
                <w:szCs w:val="20"/>
                <w:lang w:eastAsia="en-GB"/>
              </w:rPr>
              <w:t xml:space="preserve"> 31 August </w:t>
            </w:r>
            <w:r w:rsidR="0037645F">
              <w:rPr>
                <w:rFonts w:ascii="Arial" w:eastAsia="Times New Roman" w:hAnsi="Arial" w:cs="Arial"/>
                <w:sz w:val="20"/>
                <w:szCs w:val="20"/>
                <w:lang w:eastAsia="en-GB"/>
              </w:rPr>
              <w:t>2019</w:t>
            </w:r>
          </w:p>
        </w:tc>
      </w:tr>
      <w:tr w:rsidR="00190D85" w:rsidRPr="00742859" w14:paraId="438976E4" w14:textId="77777777" w:rsidTr="00FB465D">
        <w:trPr>
          <w:gridAfter w:val="7"/>
          <w:wAfter w:w="936" w:type="dxa"/>
          <w:trHeight w:val="279"/>
        </w:trPr>
        <w:tc>
          <w:tcPr>
            <w:tcW w:w="5637" w:type="dxa"/>
            <w:tcBorders>
              <w:top w:val="nil"/>
              <w:left w:val="nil"/>
              <w:bottom w:val="single" w:sz="4" w:space="0" w:color="auto"/>
              <w:right w:val="nil"/>
            </w:tcBorders>
            <w:shd w:val="clear" w:color="auto" w:fill="auto"/>
            <w:noWrap/>
            <w:vAlign w:val="center"/>
            <w:hideMark/>
          </w:tcPr>
          <w:p w14:paraId="64A0E42B" w14:textId="77777777" w:rsidR="00190D85" w:rsidRPr="00742859" w:rsidRDefault="00190D85" w:rsidP="006968BD">
            <w:pPr>
              <w:spacing w:after="0" w:line="240" w:lineRule="auto"/>
              <w:ind w:right="173"/>
              <w:rPr>
                <w:rFonts w:ascii="Arial" w:eastAsia="Times New Roman" w:hAnsi="Arial" w:cs="Arial"/>
                <w:sz w:val="20"/>
                <w:szCs w:val="20"/>
                <w:lang w:eastAsia="en-GB"/>
              </w:rPr>
            </w:pPr>
            <w:r w:rsidRPr="00742859">
              <w:rPr>
                <w:rFonts w:ascii="Arial" w:eastAsia="Times New Roman" w:hAnsi="Arial" w:cs="Arial"/>
                <w:sz w:val="20"/>
                <w:szCs w:val="20"/>
                <w:lang w:eastAsia="en-GB"/>
              </w:rPr>
              <w:t>The net incoming resources are stated after charging:</w:t>
            </w:r>
          </w:p>
        </w:tc>
        <w:tc>
          <w:tcPr>
            <w:tcW w:w="1593" w:type="dxa"/>
            <w:gridSpan w:val="3"/>
            <w:tcBorders>
              <w:top w:val="nil"/>
              <w:left w:val="nil"/>
              <w:bottom w:val="single" w:sz="4" w:space="0" w:color="auto"/>
              <w:right w:val="nil"/>
            </w:tcBorders>
            <w:shd w:val="clear" w:color="auto" w:fill="auto"/>
            <w:noWrap/>
            <w:vAlign w:val="center"/>
            <w:hideMark/>
          </w:tcPr>
          <w:p w14:paraId="0B5E33C5" w14:textId="77777777" w:rsidR="00190D85" w:rsidRPr="00742859" w:rsidRDefault="00F632D9" w:rsidP="00F632D9">
            <w:pPr>
              <w:spacing w:after="0" w:line="240" w:lineRule="auto"/>
              <w:ind w:right="-110"/>
              <w:jc w:val="center"/>
              <w:rPr>
                <w:rFonts w:ascii="Arial" w:eastAsia="Times New Roman" w:hAnsi="Arial" w:cs="Arial"/>
                <w:b/>
                <w:bCs/>
                <w:sz w:val="20"/>
                <w:szCs w:val="20"/>
                <w:lang w:eastAsia="en-GB"/>
              </w:rPr>
            </w:pPr>
            <w:r>
              <w:rPr>
                <w:rFonts w:ascii="Arial" w:eastAsia="Times New Roman" w:hAnsi="Arial" w:cs="Arial"/>
                <w:b/>
                <w:bCs/>
                <w:sz w:val="20"/>
                <w:szCs w:val="20"/>
                <w:lang w:eastAsia="en-GB"/>
              </w:rPr>
              <w:t xml:space="preserve">                        </w:t>
            </w:r>
            <w:r w:rsidR="00190D85" w:rsidRPr="00742859">
              <w:rPr>
                <w:rFonts w:ascii="Arial" w:eastAsia="Times New Roman" w:hAnsi="Arial" w:cs="Arial"/>
                <w:b/>
                <w:bCs/>
                <w:sz w:val="20"/>
                <w:szCs w:val="20"/>
                <w:lang w:eastAsia="en-GB"/>
              </w:rPr>
              <w:t>£'000</w:t>
            </w:r>
          </w:p>
        </w:tc>
        <w:tc>
          <w:tcPr>
            <w:tcW w:w="1418" w:type="dxa"/>
            <w:gridSpan w:val="6"/>
            <w:tcBorders>
              <w:top w:val="nil"/>
              <w:left w:val="nil"/>
              <w:bottom w:val="single" w:sz="4" w:space="0" w:color="auto"/>
              <w:right w:val="nil"/>
            </w:tcBorders>
            <w:shd w:val="clear" w:color="auto" w:fill="auto"/>
            <w:noWrap/>
            <w:vAlign w:val="center"/>
            <w:hideMark/>
          </w:tcPr>
          <w:p w14:paraId="37F4C07E" w14:textId="77777777" w:rsidR="00190D85" w:rsidRPr="00742859" w:rsidRDefault="00190D85" w:rsidP="006968BD">
            <w:pPr>
              <w:spacing w:after="0" w:line="240" w:lineRule="auto"/>
              <w:ind w:right="-111"/>
              <w:jc w:val="right"/>
              <w:rPr>
                <w:rFonts w:ascii="Arial" w:eastAsia="Times New Roman" w:hAnsi="Arial" w:cs="Arial"/>
                <w:sz w:val="20"/>
                <w:szCs w:val="20"/>
                <w:lang w:eastAsia="en-GB"/>
              </w:rPr>
            </w:pPr>
            <w:r w:rsidRPr="00742859">
              <w:rPr>
                <w:rFonts w:ascii="Arial" w:eastAsia="Times New Roman" w:hAnsi="Arial" w:cs="Arial"/>
                <w:sz w:val="20"/>
                <w:szCs w:val="20"/>
                <w:lang w:eastAsia="en-GB"/>
              </w:rPr>
              <w:t>£'000</w:t>
            </w:r>
          </w:p>
        </w:tc>
      </w:tr>
      <w:tr w:rsidR="00ED24FC" w:rsidRPr="00742859" w14:paraId="6CD964A0" w14:textId="77777777" w:rsidTr="00FB465D">
        <w:trPr>
          <w:gridAfter w:val="7"/>
          <w:wAfter w:w="936" w:type="dxa"/>
          <w:trHeight w:val="279"/>
        </w:trPr>
        <w:tc>
          <w:tcPr>
            <w:tcW w:w="5637" w:type="dxa"/>
            <w:tcBorders>
              <w:top w:val="nil"/>
              <w:left w:val="nil"/>
              <w:bottom w:val="nil"/>
              <w:right w:val="nil"/>
            </w:tcBorders>
            <w:shd w:val="clear" w:color="auto" w:fill="auto"/>
            <w:noWrap/>
            <w:vAlign w:val="center"/>
            <w:hideMark/>
          </w:tcPr>
          <w:p w14:paraId="0BA2EFDC" w14:textId="77777777" w:rsidR="00ED24FC" w:rsidRPr="00742859" w:rsidRDefault="00ED24FC" w:rsidP="00ED24FC">
            <w:pPr>
              <w:spacing w:after="0" w:line="240" w:lineRule="auto"/>
              <w:rPr>
                <w:rFonts w:ascii="Arial" w:eastAsia="Times New Roman" w:hAnsi="Arial" w:cs="Arial"/>
                <w:sz w:val="20"/>
                <w:szCs w:val="20"/>
                <w:lang w:eastAsia="en-GB"/>
              </w:rPr>
            </w:pPr>
            <w:r w:rsidRPr="00742859">
              <w:rPr>
                <w:rFonts w:ascii="Arial" w:eastAsia="Times New Roman" w:hAnsi="Arial" w:cs="Arial"/>
                <w:sz w:val="20"/>
                <w:szCs w:val="20"/>
                <w:lang w:eastAsia="en-GB"/>
              </w:rPr>
              <w:t>Depreciation charge for the year on tangible owned assets</w:t>
            </w:r>
          </w:p>
        </w:tc>
        <w:tc>
          <w:tcPr>
            <w:tcW w:w="1593" w:type="dxa"/>
            <w:gridSpan w:val="3"/>
            <w:tcBorders>
              <w:top w:val="nil"/>
              <w:left w:val="nil"/>
              <w:bottom w:val="nil"/>
              <w:right w:val="nil"/>
            </w:tcBorders>
            <w:shd w:val="clear" w:color="auto" w:fill="auto"/>
            <w:noWrap/>
            <w:vAlign w:val="center"/>
          </w:tcPr>
          <w:p w14:paraId="04D87509" w14:textId="77777777" w:rsidR="00ED24FC" w:rsidRPr="00AF39AA" w:rsidRDefault="00AF39AA" w:rsidP="00ED24FC">
            <w:pPr>
              <w:spacing w:after="0" w:line="240" w:lineRule="auto"/>
              <w:jc w:val="right"/>
              <w:rPr>
                <w:rFonts w:ascii="Arial" w:eastAsia="Times New Roman" w:hAnsi="Arial" w:cs="Arial"/>
                <w:b/>
                <w:bCs/>
                <w:sz w:val="20"/>
                <w:szCs w:val="20"/>
                <w:lang w:eastAsia="en-GB"/>
              </w:rPr>
            </w:pPr>
            <w:bookmarkStart w:id="35" w:name="OLE_LINK1"/>
            <w:r w:rsidRPr="00AF39AA">
              <w:rPr>
                <w:rFonts w:ascii="Arial" w:eastAsia="Times New Roman" w:hAnsi="Arial" w:cs="Arial"/>
                <w:b/>
                <w:bCs/>
                <w:sz w:val="20"/>
                <w:szCs w:val="20"/>
                <w:lang w:eastAsia="en-GB"/>
              </w:rPr>
              <w:t>5,768</w:t>
            </w:r>
            <w:bookmarkEnd w:id="35"/>
          </w:p>
        </w:tc>
        <w:tc>
          <w:tcPr>
            <w:tcW w:w="1418" w:type="dxa"/>
            <w:gridSpan w:val="6"/>
            <w:tcBorders>
              <w:top w:val="nil"/>
              <w:left w:val="nil"/>
              <w:bottom w:val="nil"/>
              <w:right w:val="nil"/>
            </w:tcBorders>
            <w:shd w:val="clear" w:color="auto" w:fill="auto"/>
            <w:noWrap/>
            <w:vAlign w:val="center"/>
            <w:hideMark/>
          </w:tcPr>
          <w:p w14:paraId="7F0E90E4" w14:textId="77777777" w:rsidR="00ED24FC" w:rsidRPr="00ED24FC" w:rsidRDefault="00ED24FC" w:rsidP="006968BD">
            <w:pPr>
              <w:spacing w:after="0" w:line="240" w:lineRule="auto"/>
              <w:ind w:right="-111"/>
              <w:jc w:val="right"/>
              <w:rPr>
                <w:rFonts w:ascii="Arial" w:eastAsia="Times New Roman" w:hAnsi="Arial" w:cs="Arial"/>
                <w:sz w:val="20"/>
                <w:szCs w:val="20"/>
                <w:lang w:eastAsia="en-GB"/>
              </w:rPr>
            </w:pPr>
            <w:r w:rsidRPr="00ED24FC">
              <w:rPr>
                <w:rFonts w:ascii="Arial" w:eastAsia="Times New Roman" w:hAnsi="Arial" w:cs="Arial"/>
                <w:bCs/>
                <w:sz w:val="20"/>
                <w:szCs w:val="20"/>
                <w:lang w:eastAsia="en-GB"/>
              </w:rPr>
              <w:t>5,155</w:t>
            </w:r>
          </w:p>
        </w:tc>
      </w:tr>
      <w:tr w:rsidR="00ED24FC" w:rsidRPr="00742859" w14:paraId="53CFB6AA" w14:textId="77777777" w:rsidTr="00FB465D">
        <w:trPr>
          <w:gridAfter w:val="7"/>
          <w:wAfter w:w="936" w:type="dxa"/>
          <w:trHeight w:val="279"/>
        </w:trPr>
        <w:tc>
          <w:tcPr>
            <w:tcW w:w="5637" w:type="dxa"/>
            <w:tcBorders>
              <w:top w:val="nil"/>
              <w:left w:val="nil"/>
              <w:bottom w:val="nil"/>
              <w:right w:val="nil"/>
            </w:tcBorders>
            <w:shd w:val="clear" w:color="auto" w:fill="auto"/>
            <w:noWrap/>
            <w:vAlign w:val="center"/>
            <w:hideMark/>
          </w:tcPr>
          <w:p w14:paraId="6AF63A3F" w14:textId="77777777" w:rsidR="00ED24FC" w:rsidRPr="00742859" w:rsidRDefault="00ED24FC" w:rsidP="00ED24FC">
            <w:pPr>
              <w:spacing w:after="0" w:line="240" w:lineRule="auto"/>
              <w:rPr>
                <w:rFonts w:ascii="Arial" w:eastAsia="Times New Roman" w:hAnsi="Arial" w:cs="Arial"/>
                <w:sz w:val="20"/>
                <w:szCs w:val="20"/>
                <w:lang w:eastAsia="en-GB"/>
              </w:rPr>
            </w:pPr>
            <w:r w:rsidRPr="00742859">
              <w:rPr>
                <w:rFonts w:ascii="Arial" w:eastAsia="Times New Roman" w:hAnsi="Arial" w:cs="Arial"/>
                <w:sz w:val="20"/>
                <w:szCs w:val="20"/>
                <w:lang w:eastAsia="en-GB"/>
              </w:rPr>
              <w:t>Amortisation charge for the year on intangible owned assets</w:t>
            </w:r>
          </w:p>
        </w:tc>
        <w:tc>
          <w:tcPr>
            <w:tcW w:w="1593" w:type="dxa"/>
            <w:gridSpan w:val="3"/>
            <w:tcBorders>
              <w:top w:val="nil"/>
              <w:left w:val="nil"/>
              <w:bottom w:val="nil"/>
              <w:right w:val="nil"/>
            </w:tcBorders>
            <w:shd w:val="clear" w:color="auto" w:fill="auto"/>
            <w:noWrap/>
            <w:vAlign w:val="center"/>
          </w:tcPr>
          <w:p w14:paraId="032560ED" w14:textId="77777777" w:rsidR="00ED24FC" w:rsidRPr="00AF39AA" w:rsidRDefault="00A558F1" w:rsidP="00ED24FC">
            <w:pPr>
              <w:spacing w:after="0" w:line="240" w:lineRule="auto"/>
              <w:jc w:val="right"/>
              <w:rPr>
                <w:rFonts w:ascii="Arial" w:eastAsia="Times New Roman" w:hAnsi="Arial" w:cs="Arial"/>
                <w:b/>
                <w:bCs/>
                <w:sz w:val="20"/>
                <w:szCs w:val="20"/>
                <w:lang w:eastAsia="en-GB"/>
              </w:rPr>
            </w:pPr>
            <w:r w:rsidRPr="00AF39AA">
              <w:rPr>
                <w:rFonts w:ascii="Arial" w:eastAsia="Times New Roman" w:hAnsi="Arial" w:cs="Arial"/>
                <w:b/>
                <w:bCs/>
                <w:sz w:val="20"/>
                <w:szCs w:val="20"/>
                <w:lang w:eastAsia="en-GB"/>
              </w:rPr>
              <w:t>8,204</w:t>
            </w:r>
          </w:p>
        </w:tc>
        <w:tc>
          <w:tcPr>
            <w:tcW w:w="1418" w:type="dxa"/>
            <w:gridSpan w:val="6"/>
            <w:tcBorders>
              <w:top w:val="nil"/>
              <w:left w:val="nil"/>
              <w:bottom w:val="nil"/>
              <w:right w:val="nil"/>
            </w:tcBorders>
            <w:shd w:val="clear" w:color="auto" w:fill="auto"/>
            <w:noWrap/>
            <w:vAlign w:val="center"/>
            <w:hideMark/>
          </w:tcPr>
          <w:p w14:paraId="4C041613" w14:textId="77777777" w:rsidR="00ED24FC" w:rsidRPr="00ED24FC" w:rsidRDefault="00ED24FC" w:rsidP="006968BD">
            <w:pPr>
              <w:spacing w:after="0" w:line="240" w:lineRule="auto"/>
              <w:ind w:right="-111"/>
              <w:jc w:val="right"/>
              <w:rPr>
                <w:rFonts w:ascii="Arial" w:eastAsia="Times New Roman" w:hAnsi="Arial" w:cs="Arial"/>
                <w:sz w:val="20"/>
                <w:szCs w:val="20"/>
                <w:lang w:eastAsia="en-GB"/>
              </w:rPr>
            </w:pPr>
            <w:r w:rsidRPr="00ED24FC">
              <w:rPr>
                <w:rFonts w:ascii="Arial" w:eastAsia="Times New Roman" w:hAnsi="Arial" w:cs="Arial"/>
                <w:bCs/>
                <w:sz w:val="20"/>
                <w:szCs w:val="20"/>
                <w:lang w:eastAsia="en-GB"/>
              </w:rPr>
              <w:t>11,533</w:t>
            </w:r>
          </w:p>
        </w:tc>
      </w:tr>
      <w:tr w:rsidR="00ED24FC" w:rsidRPr="00742859" w14:paraId="240308CC" w14:textId="77777777" w:rsidTr="00FB465D">
        <w:trPr>
          <w:gridAfter w:val="7"/>
          <w:wAfter w:w="936" w:type="dxa"/>
          <w:trHeight w:val="279"/>
        </w:trPr>
        <w:tc>
          <w:tcPr>
            <w:tcW w:w="5637" w:type="dxa"/>
            <w:tcBorders>
              <w:top w:val="nil"/>
              <w:left w:val="nil"/>
              <w:bottom w:val="nil"/>
              <w:right w:val="nil"/>
            </w:tcBorders>
            <w:shd w:val="clear" w:color="auto" w:fill="auto"/>
            <w:noWrap/>
            <w:vAlign w:val="center"/>
            <w:hideMark/>
          </w:tcPr>
          <w:p w14:paraId="629F677B" w14:textId="77777777" w:rsidR="00ED24FC" w:rsidRDefault="00ED24FC" w:rsidP="00ED24FC">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Goodwill Impairment Charge</w:t>
            </w:r>
          </w:p>
          <w:p w14:paraId="1851BDB7" w14:textId="77777777" w:rsidR="00ED24FC" w:rsidRPr="00742859" w:rsidRDefault="00ED24FC" w:rsidP="00ED24FC">
            <w:pPr>
              <w:spacing w:after="0" w:line="240" w:lineRule="auto"/>
              <w:rPr>
                <w:rFonts w:ascii="Arial" w:eastAsia="Times New Roman" w:hAnsi="Arial" w:cs="Arial"/>
                <w:sz w:val="20"/>
                <w:szCs w:val="20"/>
                <w:lang w:eastAsia="en-GB"/>
              </w:rPr>
            </w:pPr>
            <w:r w:rsidRPr="00742859">
              <w:rPr>
                <w:rFonts w:ascii="Arial" w:eastAsia="Times New Roman" w:hAnsi="Arial" w:cs="Arial"/>
                <w:sz w:val="20"/>
                <w:szCs w:val="20"/>
                <w:lang w:eastAsia="en-GB"/>
              </w:rPr>
              <w:t>Auditors' remuneration: audit services</w:t>
            </w:r>
          </w:p>
        </w:tc>
        <w:tc>
          <w:tcPr>
            <w:tcW w:w="1593" w:type="dxa"/>
            <w:gridSpan w:val="3"/>
            <w:tcBorders>
              <w:top w:val="nil"/>
              <w:left w:val="nil"/>
              <w:bottom w:val="nil"/>
              <w:right w:val="nil"/>
            </w:tcBorders>
            <w:shd w:val="clear" w:color="auto" w:fill="auto"/>
            <w:noWrap/>
            <w:vAlign w:val="center"/>
          </w:tcPr>
          <w:p w14:paraId="12E7DBC4" w14:textId="77777777" w:rsidR="00ED24FC" w:rsidRPr="005969AF" w:rsidRDefault="00C81CDF" w:rsidP="00ED24FC">
            <w:pPr>
              <w:spacing w:after="0" w:line="240" w:lineRule="auto"/>
              <w:jc w:val="right"/>
              <w:rPr>
                <w:rFonts w:ascii="Arial" w:eastAsia="Times New Roman" w:hAnsi="Arial" w:cs="Arial"/>
                <w:b/>
                <w:sz w:val="20"/>
                <w:szCs w:val="20"/>
                <w:lang w:eastAsia="en-GB"/>
              </w:rPr>
            </w:pPr>
            <w:r>
              <w:rPr>
                <w:rFonts w:ascii="Arial" w:eastAsia="Times New Roman" w:hAnsi="Arial" w:cs="Arial"/>
                <w:b/>
                <w:sz w:val="20"/>
                <w:szCs w:val="20"/>
                <w:lang w:eastAsia="en-GB"/>
              </w:rPr>
              <w:t>-</w:t>
            </w:r>
          </w:p>
        </w:tc>
        <w:tc>
          <w:tcPr>
            <w:tcW w:w="1418" w:type="dxa"/>
            <w:gridSpan w:val="6"/>
            <w:tcBorders>
              <w:top w:val="nil"/>
              <w:left w:val="nil"/>
              <w:bottom w:val="nil"/>
              <w:right w:val="nil"/>
            </w:tcBorders>
            <w:shd w:val="clear" w:color="auto" w:fill="auto"/>
            <w:noWrap/>
            <w:vAlign w:val="center"/>
            <w:hideMark/>
          </w:tcPr>
          <w:p w14:paraId="63E6B037" w14:textId="77777777" w:rsidR="00ED24FC" w:rsidRPr="00ED24FC" w:rsidRDefault="00ED24FC" w:rsidP="006968BD">
            <w:pPr>
              <w:spacing w:after="0" w:line="240" w:lineRule="auto"/>
              <w:ind w:right="-111"/>
              <w:jc w:val="right"/>
              <w:rPr>
                <w:rFonts w:ascii="Times New Roman" w:eastAsia="Times New Roman" w:hAnsi="Times New Roman" w:cs="Times New Roman"/>
                <w:sz w:val="20"/>
                <w:szCs w:val="20"/>
                <w:lang w:eastAsia="en-GB"/>
              </w:rPr>
            </w:pPr>
            <w:r w:rsidRPr="00ED24FC">
              <w:rPr>
                <w:rFonts w:ascii="Arial" w:eastAsia="Times New Roman" w:hAnsi="Arial" w:cs="Arial"/>
                <w:sz w:val="20"/>
                <w:szCs w:val="20"/>
                <w:lang w:eastAsia="en-GB"/>
              </w:rPr>
              <w:t>15,859</w:t>
            </w:r>
          </w:p>
        </w:tc>
      </w:tr>
      <w:tr w:rsidR="00ED24FC" w:rsidRPr="00742859" w14:paraId="285E1EF1" w14:textId="77777777" w:rsidTr="00FB465D">
        <w:trPr>
          <w:gridAfter w:val="7"/>
          <w:wAfter w:w="936" w:type="dxa"/>
          <w:trHeight w:val="279"/>
        </w:trPr>
        <w:tc>
          <w:tcPr>
            <w:tcW w:w="5637" w:type="dxa"/>
            <w:tcBorders>
              <w:top w:val="nil"/>
              <w:left w:val="nil"/>
              <w:bottom w:val="nil"/>
              <w:right w:val="nil"/>
            </w:tcBorders>
            <w:shd w:val="clear" w:color="auto" w:fill="auto"/>
            <w:noWrap/>
            <w:vAlign w:val="center"/>
            <w:hideMark/>
          </w:tcPr>
          <w:p w14:paraId="23753348" w14:textId="77777777" w:rsidR="00ED24FC" w:rsidRPr="00742859" w:rsidRDefault="00ED24FC" w:rsidP="00ED24FC">
            <w:pPr>
              <w:spacing w:after="0" w:line="240" w:lineRule="auto"/>
              <w:rPr>
                <w:rFonts w:ascii="Arial" w:eastAsia="Times New Roman" w:hAnsi="Arial" w:cs="Arial"/>
                <w:sz w:val="20"/>
                <w:szCs w:val="20"/>
                <w:lang w:eastAsia="en-GB"/>
              </w:rPr>
            </w:pPr>
            <w:r w:rsidRPr="00742859">
              <w:rPr>
                <w:rFonts w:ascii="Arial" w:eastAsia="Times New Roman" w:hAnsi="Arial" w:cs="Arial"/>
                <w:sz w:val="20"/>
                <w:szCs w:val="20"/>
                <w:lang w:eastAsia="en-GB"/>
              </w:rPr>
              <w:t>- Parent Company and consolidated financial services</w:t>
            </w:r>
          </w:p>
        </w:tc>
        <w:tc>
          <w:tcPr>
            <w:tcW w:w="1593" w:type="dxa"/>
            <w:gridSpan w:val="3"/>
            <w:tcBorders>
              <w:top w:val="nil"/>
              <w:left w:val="nil"/>
              <w:bottom w:val="nil"/>
              <w:right w:val="nil"/>
            </w:tcBorders>
            <w:shd w:val="clear" w:color="auto" w:fill="auto"/>
            <w:noWrap/>
            <w:vAlign w:val="center"/>
          </w:tcPr>
          <w:p w14:paraId="623D1B55" w14:textId="77777777" w:rsidR="00ED24FC" w:rsidRPr="00D07E98" w:rsidRDefault="007B53DE" w:rsidP="00ED24FC">
            <w:pPr>
              <w:spacing w:after="0" w:line="240" w:lineRule="auto"/>
              <w:jc w:val="right"/>
              <w:rPr>
                <w:rFonts w:ascii="Arial" w:eastAsia="Times New Roman" w:hAnsi="Arial" w:cs="Arial"/>
                <w:b/>
                <w:bCs/>
                <w:sz w:val="20"/>
                <w:szCs w:val="20"/>
                <w:highlight w:val="yellow"/>
                <w:lang w:eastAsia="en-GB"/>
              </w:rPr>
            </w:pPr>
            <w:r w:rsidRPr="007B53DE">
              <w:rPr>
                <w:rFonts w:ascii="Arial" w:eastAsia="Times New Roman" w:hAnsi="Arial" w:cs="Arial"/>
                <w:b/>
                <w:bCs/>
                <w:sz w:val="20"/>
                <w:szCs w:val="20"/>
                <w:lang w:eastAsia="en-GB"/>
              </w:rPr>
              <w:t>1</w:t>
            </w:r>
            <w:r w:rsidR="001C5BB1">
              <w:rPr>
                <w:rFonts w:ascii="Arial" w:eastAsia="Times New Roman" w:hAnsi="Arial" w:cs="Arial"/>
                <w:b/>
                <w:bCs/>
                <w:sz w:val="20"/>
                <w:szCs w:val="20"/>
                <w:lang w:eastAsia="en-GB"/>
              </w:rPr>
              <w:t>39</w:t>
            </w:r>
          </w:p>
        </w:tc>
        <w:tc>
          <w:tcPr>
            <w:tcW w:w="1418" w:type="dxa"/>
            <w:gridSpan w:val="6"/>
            <w:tcBorders>
              <w:top w:val="nil"/>
              <w:left w:val="nil"/>
              <w:bottom w:val="nil"/>
              <w:right w:val="nil"/>
            </w:tcBorders>
            <w:shd w:val="clear" w:color="auto" w:fill="auto"/>
            <w:noWrap/>
            <w:vAlign w:val="center"/>
            <w:hideMark/>
          </w:tcPr>
          <w:p w14:paraId="5D4E8556" w14:textId="77777777" w:rsidR="00ED24FC" w:rsidRPr="00ED24FC" w:rsidRDefault="00ED24FC" w:rsidP="006968BD">
            <w:pPr>
              <w:spacing w:after="0" w:line="240" w:lineRule="auto"/>
              <w:ind w:right="-111"/>
              <w:jc w:val="right"/>
              <w:rPr>
                <w:rFonts w:ascii="Arial" w:eastAsia="Times New Roman" w:hAnsi="Arial" w:cs="Arial"/>
                <w:sz w:val="20"/>
                <w:szCs w:val="20"/>
                <w:lang w:eastAsia="en-GB"/>
              </w:rPr>
            </w:pPr>
            <w:r w:rsidRPr="00ED24FC">
              <w:rPr>
                <w:rFonts w:ascii="Arial" w:eastAsia="Times New Roman" w:hAnsi="Arial" w:cs="Arial"/>
                <w:bCs/>
                <w:sz w:val="20"/>
                <w:szCs w:val="20"/>
                <w:lang w:eastAsia="en-GB"/>
              </w:rPr>
              <w:t>90</w:t>
            </w:r>
          </w:p>
        </w:tc>
      </w:tr>
      <w:tr w:rsidR="00ED24FC" w:rsidRPr="00742859" w14:paraId="05458ADF" w14:textId="77777777" w:rsidTr="00FB465D">
        <w:trPr>
          <w:gridAfter w:val="7"/>
          <w:wAfter w:w="936" w:type="dxa"/>
          <w:trHeight w:val="279"/>
        </w:trPr>
        <w:tc>
          <w:tcPr>
            <w:tcW w:w="5637" w:type="dxa"/>
            <w:tcBorders>
              <w:top w:val="nil"/>
              <w:left w:val="nil"/>
              <w:bottom w:val="nil"/>
              <w:right w:val="nil"/>
            </w:tcBorders>
            <w:shd w:val="clear" w:color="auto" w:fill="auto"/>
            <w:noWrap/>
            <w:vAlign w:val="center"/>
            <w:hideMark/>
          </w:tcPr>
          <w:p w14:paraId="3DD5D034" w14:textId="77777777" w:rsidR="00ED24FC" w:rsidRPr="00742859" w:rsidRDefault="00ED24FC" w:rsidP="00ED24FC">
            <w:pPr>
              <w:spacing w:after="0" w:line="240" w:lineRule="auto"/>
              <w:rPr>
                <w:rFonts w:ascii="Arial" w:eastAsia="Times New Roman" w:hAnsi="Arial" w:cs="Arial"/>
                <w:sz w:val="20"/>
                <w:szCs w:val="20"/>
                <w:lang w:eastAsia="en-GB"/>
              </w:rPr>
            </w:pPr>
            <w:r w:rsidRPr="00742859">
              <w:rPr>
                <w:rFonts w:ascii="Arial" w:eastAsia="Times New Roman" w:hAnsi="Arial" w:cs="Arial"/>
                <w:sz w:val="20"/>
                <w:szCs w:val="20"/>
                <w:lang w:eastAsia="en-GB"/>
              </w:rPr>
              <w:t>- Audit of the company's subsidiaries</w:t>
            </w:r>
          </w:p>
        </w:tc>
        <w:tc>
          <w:tcPr>
            <w:tcW w:w="1593" w:type="dxa"/>
            <w:gridSpan w:val="3"/>
            <w:tcBorders>
              <w:top w:val="nil"/>
              <w:left w:val="nil"/>
              <w:bottom w:val="nil"/>
              <w:right w:val="nil"/>
            </w:tcBorders>
            <w:shd w:val="clear" w:color="auto" w:fill="auto"/>
            <w:noWrap/>
            <w:vAlign w:val="center"/>
          </w:tcPr>
          <w:p w14:paraId="4EA12DC3" w14:textId="77777777" w:rsidR="00ED24FC" w:rsidRPr="00D07E98" w:rsidRDefault="007B53DE" w:rsidP="00ED24FC">
            <w:pPr>
              <w:spacing w:after="0" w:line="240" w:lineRule="auto"/>
              <w:jc w:val="right"/>
              <w:rPr>
                <w:rFonts w:ascii="Arial" w:eastAsia="Times New Roman" w:hAnsi="Arial" w:cs="Arial"/>
                <w:b/>
                <w:bCs/>
                <w:sz w:val="20"/>
                <w:szCs w:val="20"/>
                <w:highlight w:val="yellow"/>
                <w:lang w:eastAsia="en-GB"/>
              </w:rPr>
            </w:pPr>
            <w:r w:rsidRPr="007B53DE">
              <w:rPr>
                <w:rFonts w:ascii="Arial" w:eastAsia="Times New Roman" w:hAnsi="Arial" w:cs="Arial"/>
                <w:b/>
                <w:bCs/>
                <w:sz w:val="20"/>
                <w:szCs w:val="20"/>
                <w:lang w:eastAsia="en-GB"/>
              </w:rPr>
              <w:t>2</w:t>
            </w:r>
            <w:r w:rsidR="001C5BB1">
              <w:rPr>
                <w:rFonts w:ascii="Arial" w:eastAsia="Times New Roman" w:hAnsi="Arial" w:cs="Arial"/>
                <w:b/>
                <w:bCs/>
                <w:sz w:val="20"/>
                <w:szCs w:val="20"/>
                <w:lang w:eastAsia="en-GB"/>
              </w:rPr>
              <w:t>19</w:t>
            </w:r>
          </w:p>
        </w:tc>
        <w:tc>
          <w:tcPr>
            <w:tcW w:w="1418" w:type="dxa"/>
            <w:gridSpan w:val="6"/>
            <w:tcBorders>
              <w:top w:val="nil"/>
              <w:left w:val="nil"/>
              <w:bottom w:val="nil"/>
              <w:right w:val="nil"/>
            </w:tcBorders>
            <w:shd w:val="clear" w:color="auto" w:fill="auto"/>
            <w:noWrap/>
            <w:vAlign w:val="center"/>
            <w:hideMark/>
          </w:tcPr>
          <w:p w14:paraId="186567A3" w14:textId="77777777" w:rsidR="00ED24FC" w:rsidRPr="00ED24FC" w:rsidRDefault="00ED24FC" w:rsidP="006968BD">
            <w:pPr>
              <w:spacing w:after="0" w:line="240" w:lineRule="auto"/>
              <w:ind w:right="-111"/>
              <w:jc w:val="right"/>
              <w:rPr>
                <w:rFonts w:ascii="Arial" w:eastAsia="Times New Roman" w:hAnsi="Arial" w:cs="Arial"/>
                <w:sz w:val="20"/>
                <w:szCs w:val="20"/>
                <w:lang w:eastAsia="en-GB"/>
              </w:rPr>
            </w:pPr>
            <w:r w:rsidRPr="00ED24FC">
              <w:rPr>
                <w:rFonts w:ascii="Arial" w:eastAsia="Times New Roman" w:hAnsi="Arial" w:cs="Arial"/>
                <w:bCs/>
                <w:sz w:val="20"/>
                <w:szCs w:val="20"/>
                <w:lang w:eastAsia="en-GB"/>
              </w:rPr>
              <w:t>173</w:t>
            </w:r>
          </w:p>
        </w:tc>
      </w:tr>
      <w:tr w:rsidR="00ED24FC" w:rsidRPr="00742859" w14:paraId="07065026" w14:textId="77777777" w:rsidTr="00FB465D">
        <w:trPr>
          <w:gridAfter w:val="7"/>
          <w:wAfter w:w="936" w:type="dxa"/>
          <w:trHeight w:val="279"/>
        </w:trPr>
        <w:tc>
          <w:tcPr>
            <w:tcW w:w="5637" w:type="dxa"/>
            <w:tcBorders>
              <w:top w:val="nil"/>
              <w:left w:val="nil"/>
              <w:bottom w:val="nil"/>
              <w:right w:val="nil"/>
            </w:tcBorders>
            <w:shd w:val="clear" w:color="auto" w:fill="auto"/>
            <w:noWrap/>
            <w:vAlign w:val="center"/>
            <w:hideMark/>
          </w:tcPr>
          <w:p w14:paraId="57ED3865" w14:textId="77777777" w:rsidR="00ED24FC" w:rsidRPr="00742859" w:rsidRDefault="00ED24FC" w:rsidP="00ED24FC">
            <w:pPr>
              <w:spacing w:after="0" w:line="240" w:lineRule="auto"/>
              <w:rPr>
                <w:rFonts w:ascii="Arial" w:eastAsia="Times New Roman" w:hAnsi="Arial" w:cs="Arial"/>
                <w:sz w:val="20"/>
                <w:szCs w:val="20"/>
                <w:lang w:eastAsia="en-GB"/>
              </w:rPr>
            </w:pPr>
            <w:r w:rsidRPr="00742859">
              <w:rPr>
                <w:rFonts w:ascii="Arial" w:eastAsia="Times New Roman" w:hAnsi="Arial" w:cs="Arial"/>
                <w:sz w:val="20"/>
                <w:szCs w:val="20"/>
                <w:lang w:eastAsia="en-GB"/>
              </w:rPr>
              <w:t>Auditors' remuneration: other services</w:t>
            </w:r>
          </w:p>
        </w:tc>
        <w:tc>
          <w:tcPr>
            <w:tcW w:w="1593" w:type="dxa"/>
            <w:gridSpan w:val="3"/>
            <w:tcBorders>
              <w:top w:val="nil"/>
              <w:left w:val="nil"/>
              <w:bottom w:val="nil"/>
              <w:right w:val="nil"/>
            </w:tcBorders>
            <w:shd w:val="clear" w:color="auto" w:fill="auto"/>
            <w:noWrap/>
            <w:vAlign w:val="center"/>
          </w:tcPr>
          <w:p w14:paraId="42995B0D" w14:textId="77777777" w:rsidR="00ED24FC" w:rsidRPr="00D07E98" w:rsidRDefault="00ED24FC" w:rsidP="00ED24FC">
            <w:pPr>
              <w:spacing w:after="0" w:line="240" w:lineRule="auto"/>
              <w:jc w:val="right"/>
              <w:rPr>
                <w:rFonts w:ascii="Arial" w:eastAsia="Times New Roman" w:hAnsi="Arial" w:cs="Arial"/>
                <w:sz w:val="20"/>
                <w:szCs w:val="20"/>
                <w:highlight w:val="yellow"/>
                <w:lang w:eastAsia="en-GB"/>
              </w:rPr>
            </w:pPr>
          </w:p>
        </w:tc>
        <w:tc>
          <w:tcPr>
            <w:tcW w:w="1418" w:type="dxa"/>
            <w:gridSpan w:val="6"/>
            <w:tcBorders>
              <w:top w:val="nil"/>
              <w:left w:val="nil"/>
              <w:bottom w:val="nil"/>
              <w:right w:val="nil"/>
            </w:tcBorders>
            <w:shd w:val="clear" w:color="auto" w:fill="auto"/>
            <w:noWrap/>
            <w:vAlign w:val="center"/>
            <w:hideMark/>
          </w:tcPr>
          <w:p w14:paraId="1046CBD4" w14:textId="77777777" w:rsidR="00ED24FC" w:rsidRPr="00ED24FC" w:rsidRDefault="00ED24FC" w:rsidP="006968BD">
            <w:pPr>
              <w:spacing w:after="0" w:line="240" w:lineRule="auto"/>
              <w:ind w:right="-111"/>
              <w:jc w:val="right"/>
              <w:rPr>
                <w:rFonts w:ascii="Times New Roman" w:eastAsia="Times New Roman" w:hAnsi="Times New Roman" w:cs="Times New Roman"/>
                <w:sz w:val="20"/>
                <w:szCs w:val="20"/>
                <w:lang w:eastAsia="en-GB"/>
              </w:rPr>
            </w:pPr>
          </w:p>
        </w:tc>
      </w:tr>
      <w:tr w:rsidR="00ED24FC" w:rsidRPr="00742859" w14:paraId="603016F7" w14:textId="77777777" w:rsidTr="00FB465D">
        <w:trPr>
          <w:gridAfter w:val="7"/>
          <w:wAfter w:w="936" w:type="dxa"/>
          <w:trHeight w:val="279"/>
        </w:trPr>
        <w:tc>
          <w:tcPr>
            <w:tcW w:w="5637" w:type="dxa"/>
            <w:tcBorders>
              <w:top w:val="nil"/>
              <w:left w:val="nil"/>
              <w:bottom w:val="nil"/>
              <w:right w:val="nil"/>
            </w:tcBorders>
            <w:shd w:val="clear" w:color="auto" w:fill="auto"/>
            <w:noWrap/>
            <w:vAlign w:val="center"/>
            <w:hideMark/>
          </w:tcPr>
          <w:p w14:paraId="183D63E6" w14:textId="77777777" w:rsidR="00ED24FC" w:rsidRPr="00742859" w:rsidRDefault="00ED24FC" w:rsidP="00ED24FC">
            <w:pPr>
              <w:spacing w:after="0" w:line="240" w:lineRule="auto"/>
              <w:rPr>
                <w:rFonts w:ascii="Arial" w:eastAsia="Times New Roman" w:hAnsi="Arial" w:cs="Arial"/>
                <w:sz w:val="20"/>
                <w:szCs w:val="20"/>
                <w:lang w:eastAsia="en-GB"/>
              </w:rPr>
            </w:pPr>
            <w:r w:rsidRPr="00742859">
              <w:rPr>
                <w:rFonts w:ascii="Arial" w:eastAsia="Times New Roman" w:hAnsi="Arial" w:cs="Arial"/>
                <w:sz w:val="20"/>
                <w:szCs w:val="20"/>
                <w:lang w:eastAsia="en-GB"/>
              </w:rPr>
              <w:t xml:space="preserve"> - services relating to taxation</w:t>
            </w:r>
          </w:p>
        </w:tc>
        <w:tc>
          <w:tcPr>
            <w:tcW w:w="1593" w:type="dxa"/>
            <w:gridSpan w:val="3"/>
            <w:tcBorders>
              <w:top w:val="nil"/>
              <w:left w:val="nil"/>
              <w:bottom w:val="nil"/>
              <w:right w:val="nil"/>
            </w:tcBorders>
            <w:shd w:val="clear" w:color="auto" w:fill="auto"/>
            <w:noWrap/>
            <w:vAlign w:val="center"/>
          </w:tcPr>
          <w:p w14:paraId="062E3AD6" w14:textId="77777777" w:rsidR="00ED24FC" w:rsidRPr="00C97B6D" w:rsidRDefault="007C0FCE" w:rsidP="00ED24FC">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19</w:t>
            </w:r>
          </w:p>
        </w:tc>
        <w:tc>
          <w:tcPr>
            <w:tcW w:w="1418" w:type="dxa"/>
            <w:gridSpan w:val="6"/>
            <w:tcBorders>
              <w:top w:val="nil"/>
              <w:left w:val="nil"/>
              <w:bottom w:val="nil"/>
              <w:right w:val="nil"/>
            </w:tcBorders>
            <w:shd w:val="clear" w:color="auto" w:fill="auto"/>
            <w:noWrap/>
            <w:vAlign w:val="center"/>
            <w:hideMark/>
          </w:tcPr>
          <w:p w14:paraId="3693D3C6" w14:textId="77777777" w:rsidR="00ED24FC" w:rsidRPr="00ED24FC" w:rsidRDefault="00ED24FC" w:rsidP="006968BD">
            <w:pPr>
              <w:spacing w:after="0" w:line="240" w:lineRule="auto"/>
              <w:ind w:right="-111"/>
              <w:jc w:val="right"/>
              <w:rPr>
                <w:rFonts w:ascii="Arial" w:eastAsia="Times New Roman" w:hAnsi="Arial" w:cs="Arial"/>
                <w:sz w:val="20"/>
                <w:szCs w:val="20"/>
                <w:lang w:eastAsia="en-GB"/>
              </w:rPr>
            </w:pPr>
            <w:r w:rsidRPr="00ED24FC">
              <w:rPr>
                <w:rFonts w:ascii="Arial" w:eastAsia="Times New Roman" w:hAnsi="Arial" w:cs="Arial"/>
                <w:bCs/>
                <w:sz w:val="20"/>
                <w:szCs w:val="20"/>
                <w:lang w:eastAsia="en-GB"/>
              </w:rPr>
              <w:t>44</w:t>
            </w:r>
          </w:p>
        </w:tc>
      </w:tr>
      <w:tr w:rsidR="00ED24FC" w:rsidRPr="00742859" w14:paraId="73F74E26" w14:textId="77777777" w:rsidTr="00FB465D">
        <w:trPr>
          <w:gridAfter w:val="7"/>
          <w:wAfter w:w="936" w:type="dxa"/>
          <w:trHeight w:val="279"/>
        </w:trPr>
        <w:tc>
          <w:tcPr>
            <w:tcW w:w="5637" w:type="dxa"/>
            <w:tcBorders>
              <w:top w:val="nil"/>
              <w:left w:val="nil"/>
              <w:bottom w:val="nil"/>
              <w:right w:val="nil"/>
            </w:tcBorders>
            <w:shd w:val="clear" w:color="auto" w:fill="auto"/>
            <w:noWrap/>
            <w:vAlign w:val="center"/>
            <w:hideMark/>
          </w:tcPr>
          <w:p w14:paraId="2FEDD8E0" w14:textId="77777777" w:rsidR="00ED24FC" w:rsidRPr="00742859" w:rsidRDefault="00ED24FC" w:rsidP="00ED24FC">
            <w:pPr>
              <w:spacing w:after="0" w:line="240" w:lineRule="auto"/>
              <w:rPr>
                <w:rFonts w:ascii="Arial" w:eastAsia="Times New Roman" w:hAnsi="Arial" w:cs="Arial"/>
                <w:sz w:val="20"/>
                <w:szCs w:val="20"/>
                <w:lang w:eastAsia="en-GB"/>
              </w:rPr>
            </w:pPr>
            <w:r w:rsidRPr="00742859">
              <w:rPr>
                <w:rFonts w:ascii="Arial" w:eastAsia="Times New Roman" w:hAnsi="Arial" w:cs="Arial"/>
                <w:sz w:val="20"/>
                <w:szCs w:val="20"/>
                <w:lang w:eastAsia="en-GB"/>
              </w:rPr>
              <w:t xml:space="preserve"> - all other services</w:t>
            </w:r>
          </w:p>
        </w:tc>
        <w:tc>
          <w:tcPr>
            <w:tcW w:w="1593" w:type="dxa"/>
            <w:gridSpan w:val="3"/>
            <w:tcBorders>
              <w:top w:val="nil"/>
              <w:left w:val="nil"/>
              <w:bottom w:val="nil"/>
              <w:right w:val="nil"/>
            </w:tcBorders>
            <w:shd w:val="clear" w:color="auto" w:fill="auto"/>
            <w:noWrap/>
            <w:vAlign w:val="center"/>
          </w:tcPr>
          <w:p w14:paraId="52A5C65E" w14:textId="77777777" w:rsidR="00ED24FC" w:rsidRPr="00C97B6D" w:rsidRDefault="001C5BB1" w:rsidP="00ED24FC">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119</w:t>
            </w:r>
          </w:p>
        </w:tc>
        <w:tc>
          <w:tcPr>
            <w:tcW w:w="1418" w:type="dxa"/>
            <w:gridSpan w:val="6"/>
            <w:tcBorders>
              <w:top w:val="nil"/>
              <w:left w:val="nil"/>
              <w:bottom w:val="nil"/>
              <w:right w:val="nil"/>
            </w:tcBorders>
            <w:shd w:val="clear" w:color="auto" w:fill="auto"/>
            <w:noWrap/>
            <w:vAlign w:val="center"/>
            <w:hideMark/>
          </w:tcPr>
          <w:p w14:paraId="3CB7D871" w14:textId="77777777" w:rsidR="00ED24FC" w:rsidRPr="00ED24FC" w:rsidRDefault="00ED24FC" w:rsidP="006968BD">
            <w:pPr>
              <w:spacing w:after="0" w:line="240" w:lineRule="auto"/>
              <w:ind w:right="-111"/>
              <w:jc w:val="right"/>
              <w:rPr>
                <w:rFonts w:ascii="Arial" w:eastAsia="Times New Roman" w:hAnsi="Arial" w:cs="Arial"/>
                <w:sz w:val="20"/>
                <w:szCs w:val="20"/>
                <w:lang w:eastAsia="en-GB"/>
              </w:rPr>
            </w:pPr>
            <w:r w:rsidRPr="00ED24FC">
              <w:rPr>
                <w:rFonts w:ascii="Arial" w:eastAsia="Times New Roman" w:hAnsi="Arial" w:cs="Arial"/>
                <w:bCs/>
                <w:sz w:val="20"/>
                <w:szCs w:val="20"/>
                <w:lang w:eastAsia="en-GB"/>
              </w:rPr>
              <w:t>22</w:t>
            </w:r>
          </w:p>
        </w:tc>
      </w:tr>
      <w:tr w:rsidR="00ED24FC" w:rsidRPr="00742859" w14:paraId="3A4A36EA" w14:textId="77777777" w:rsidTr="00FB465D">
        <w:trPr>
          <w:gridAfter w:val="7"/>
          <w:wAfter w:w="936" w:type="dxa"/>
          <w:trHeight w:val="279"/>
        </w:trPr>
        <w:tc>
          <w:tcPr>
            <w:tcW w:w="5637" w:type="dxa"/>
            <w:tcBorders>
              <w:top w:val="nil"/>
              <w:left w:val="nil"/>
              <w:bottom w:val="nil"/>
              <w:right w:val="nil"/>
            </w:tcBorders>
            <w:shd w:val="clear" w:color="auto" w:fill="auto"/>
            <w:noWrap/>
            <w:vAlign w:val="center"/>
            <w:hideMark/>
          </w:tcPr>
          <w:p w14:paraId="717E059B" w14:textId="77777777" w:rsidR="00ED24FC" w:rsidRPr="00742859" w:rsidRDefault="00ED24FC" w:rsidP="00ED24FC">
            <w:pPr>
              <w:spacing w:after="0" w:line="240" w:lineRule="auto"/>
              <w:rPr>
                <w:rFonts w:ascii="Arial" w:eastAsia="Times New Roman" w:hAnsi="Arial" w:cs="Arial"/>
                <w:sz w:val="20"/>
                <w:szCs w:val="20"/>
                <w:lang w:eastAsia="en-GB"/>
              </w:rPr>
            </w:pPr>
            <w:r w:rsidRPr="00742859">
              <w:rPr>
                <w:rFonts w:ascii="Arial" w:eastAsia="Times New Roman" w:hAnsi="Arial" w:cs="Arial"/>
                <w:sz w:val="20"/>
                <w:szCs w:val="20"/>
                <w:lang w:eastAsia="en-GB"/>
              </w:rPr>
              <w:t>Operating leases:</w:t>
            </w:r>
          </w:p>
        </w:tc>
        <w:tc>
          <w:tcPr>
            <w:tcW w:w="1593" w:type="dxa"/>
            <w:gridSpan w:val="3"/>
            <w:tcBorders>
              <w:top w:val="nil"/>
              <w:left w:val="nil"/>
              <w:bottom w:val="nil"/>
              <w:right w:val="nil"/>
            </w:tcBorders>
            <w:shd w:val="clear" w:color="auto" w:fill="auto"/>
            <w:noWrap/>
            <w:vAlign w:val="center"/>
          </w:tcPr>
          <w:p w14:paraId="0AAA0A9E" w14:textId="77777777" w:rsidR="00ED24FC" w:rsidRPr="00742859" w:rsidRDefault="00ED24FC" w:rsidP="00ED24FC">
            <w:pPr>
              <w:spacing w:after="0" w:line="240" w:lineRule="auto"/>
              <w:jc w:val="right"/>
              <w:rPr>
                <w:rFonts w:ascii="Arial" w:eastAsia="Times New Roman" w:hAnsi="Arial" w:cs="Arial"/>
                <w:sz w:val="20"/>
                <w:szCs w:val="20"/>
                <w:lang w:eastAsia="en-GB"/>
              </w:rPr>
            </w:pPr>
          </w:p>
        </w:tc>
        <w:tc>
          <w:tcPr>
            <w:tcW w:w="1418" w:type="dxa"/>
            <w:gridSpan w:val="6"/>
            <w:tcBorders>
              <w:top w:val="nil"/>
              <w:left w:val="nil"/>
              <w:bottom w:val="nil"/>
              <w:right w:val="nil"/>
            </w:tcBorders>
            <w:shd w:val="clear" w:color="auto" w:fill="auto"/>
            <w:noWrap/>
            <w:vAlign w:val="center"/>
            <w:hideMark/>
          </w:tcPr>
          <w:p w14:paraId="3865F3E4" w14:textId="77777777" w:rsidR="00ED24FC" w:rsidRPr="00ED24FC" w:rsidRDefault="00ED24FC" w:rsidP="006968BD">
            <w:pPr>
              <w:spacing w:after="0" w:line="240" w:lineRule="auto"/>
              <w:ind w:right="-111"/>
              <w:jc w:val="right"/>
              <w:rPr>
                <w:rFonts w:ascii="Times New Roman" w:eastAsia="Times New Roman" w:hAnsi="Times New Roman" w:cs="Times New Roman"/>
                <w:sz w:val="20"/>
                <w:szCs w:val="20"/>
                <w:lang w:eastAsia="en-GB"/>
              </w:rPr>
            </w:pPr>
          </w:p>
        </w:tc>
      </w:tr>
      <w:tr w:rsidR="00ED24FC" w:rsidRPr="00742859" w14:paraId="4244D92B" w14:textId="77777777" w:rsidTr="00FB465D">
        <w:trPr>
          <w:gridAfter w:val="7"/>
          <w:wAfter w:w="936" w:type="dxa"/>
          <w:trHeight w:val="279"/>
        </w:trPr>
        <w:tc>
          <w:tcPr>
            <w:tcW w:w="5637" w:type="dxa"/>
            <w:tcBorders>
              <w:top w:val="nil"/>
              <w:left w:val="nil"/>
              <w:bottom w:val="nil"/>
              <w:right w:val="nil"/>
            </w:tcBorders>
            <w:shd w:val="clear" w:color="auto" w:fill="auto"/>
            <w:noWrap/>
            <w:vAlign w:val="center"/>
            <w:hideMark/>
          </w:tcPr>
          <w:p w14:paraId="4C29749E" w14:textId="77777777" w:rsidR="00ED24FC" w:rsidRPr="00742859" w:rsidRDefault="00ED24FC" w:rsidP="00ED24FC">
            <w:pPr>
              <w:spacing w:after="0" w:line="240" w:lineRule="auto"/>
              <w:rPr>
                <w:rFonts w:ascii="Arial" w:eastAsia="Times New Roman" w:hAnsi="Arial" w:cs="Arial"/>
                <w:sz w:val="20"/>
                <w:szCs w:val="20"/>
                <w:lang w:eastAsia="en-GB"/>
              </w:rPr>
            </w:pPr>
            <w:r w:rsidRPr="00742859">
              <w:rPr>
                <w:rFonts w:ascii="Arial" w:eastAsia="Times New Roman" w:hAnsi="Arial" w:cs="Arial"/>
                <w:sz w:val="20"/>
                <w:szCs w:val="20"/>
                <w:lang w:eastAsia="en-GB"/>
              </w:rPr>
              <w:t xml:space="preserve"> - others</w:t>
            </w:r>
          </w:p>
        </w:tc>
        <w:tc>
          <w:tcPr>
            <w:tcW w:w="1593" w:type="dxa"/>
            <w:gridSpan w:val="3"/>
            <w:tcBorders>
              <w:top w:val="nil"/>
              <w:left w:val="nil"/>
              <w:bottom w:val="nil"/>
              <w:right w:val="nil"/>
            </w:tcBorders>
            <w:shd w:val="clear" w:color="auto" w:fill="auto"/>
            <w:noWrap/>
            <w:vAlign w:val="center"/>
          </w:tcPr>
          <w:p w14:paraId="6D6BA16B" w14:textId="77777777" w:rsidR="00ED24FC" w:rsidRPr="00742859" w:rsidRDefault="00C81CDF" w:rsidP="00ED24FC">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216</w:t>
            </w:r>
          </w:p>
        </w:tc>
        <w:tc>
          <w:tcPr>
            <w:tcW w:w="1418" w:type="dxa"/>
            <w:gridSpan w:val="6"/>
            <w:tcBorders>
              <w:top w:val="nil"/>
              <w:left w:val="nil"/>
              <w:bottom w:val="nil"/>
              <w:right w:val="nil"/>
            </w:tcBorders>
            <w:shd w:val="clear" w:color="auto" w:fill="auto"/>
            <w:noWrap/>
            <w:vAlign w:val="center"/>
            <w:hideMark/>
          </w:tcPr>
          <w:p w14:paraId="551C85C6" w14:textId="77777777" w:rsidR="00ED24FC" w:rsidRPr="00ED24FC" w:rsidRDefault="00ED24FC" w:rsidP="006968BD">
            <w:pPr>
              <w:spacing w:after="0" w:line="240" w:lineRule="auto"/>
              <w:ind w:right="-111"/>
              <w:jc w:val="right"/>
              <w:rPr>
                <w:rFonts w:ascii="Arial" w:eastAsia="Times New Roman" w:hAnsi="Arial" w:cs="Arial"/>
                <w:sz w:val="20"/>
                <w:szCs w:val="20"/>
                <w:lang w:eastAsia="en-GB"/>
              </w:rPr>
            </w:pPr>
            <w:r w:rsidRPr="00ED24FC">
              <w:rPr>
                <w:rFonts w:ascii="Arial" w:eastAsia="Times New Roman" w:hAnsi="Arial" w:cs="Arial"/>
                <w:bCs/>
                <w:sz w:val="20"/>
                <w:szCs w:val="20"/>
                <w:lang w:eastAsia="en-GB"/>
              </w:rPr>
              <w:t>196</w:t>
            </w:r>
          </w:p>
        </w:tc>
      </w:tr>
      <w:tr w:rsidR="00ED24FC" w:rsidRPr="00742859" w14:paraId="742BD456" w14:textId="77777777" w:rsidTr="00FB465D">
        <w:trPr>
          <w:gridAfter w:val="7"/>
          <w:wAfter w:w="936" w:type="dxa"/>
          <w:trHeight w:val="279"/>
        </w:trPr>
        <w:tc>
          <w:tcPr>
            <w:tcW w:w="5637" w:type="dxa"/>
            <w:tcBorders>
              <w:top w:val="nil"/>
              <w:left w:val="nil"/>
              <w:bottom w:val="nil"/>
              <w:right w:val="nil"/>
            </w:tcBorders>
            <w:shd w:val="clear" w:color="auto" w:fill="auto"/>
            <w:noWrap/>
            <w:vAlign w:val="center"/>
            <w:hideMark/>
          </w:tcPr>
          <w:p w14:paraId="664C1119" w14:textId="77777777" w:rsidR="00ED24FC" w:rsidRPr="00742859" w:rsidRDefault="00ED24FC" w:rsidP="00ED24FC">
            <w:pPr>
              <w:spacing w:after="0" w:line="240" w:lineRule="auto"/>
              <w:rPr>
                <w:rFonts w:ascii="Arial" w:eastAsia="Times New Roman" w:hAnsi="Arial" w:cs="Arial"/>
                <w:sz w:val="20"/>
                <w:szCs w:val="20"/>
                <w:lang w:eastAsia="en-GB"/>
              </w:rPr>
            </w:pPr>
            <w:r w:rsidRPr="00742859">
              <w:rPr>
                <w:rFonts w:ascii="Arial" w:eastAsia="Times New Roman" w:hAnsi="Arial" w:cs="Arial"/>
                <w:sz w:val="20"/>
                <w:szCs w:val="20"/>
                <w:lang w:eastAsia="en-GB"/>
              </w:rPr>
              <w:t xml:space="preserve"> - property</w:t>
            </w:r>
          </w:p>
        </w:tc>
        <w:tc>
          <w:tcPr>
            <w:tcW w:w="1593" w:type="dxa"/>
            <w:gridSpan w:val="3"/>
            <w:tcBorders>
              <w:top w:val="nil"/>
              <w:left w:val="nil"/>
              <w:bottom w:val="nil"/>
              <w:right w:val="nil"/>
            </w:tcBorders>
            <w:shd w:val="clear" w:color="auto" w:fill="auto"/>
            <w:noWrap/>
            <w:vAlign w:val="center"/>
          </w:tcPr>
          <w:p w14:paraId="0F38DB0E" w14:textId="77777777" w:rsidR="00ED24FC" w:rsidRPr="00742859" w:rsidRDefault="00C81CDF" w:rsidP="00ED24FC">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2,110</w:t>
            </w:r>
          </w:p>
        </w:tc>
        <w:tc>
          <w:tcPr>
            <w:tcW w:w="1418" w:type="dxa"/>
            <w:gridSpan w:val="6"/>
            <w:tcBorders>
              <w:top w:val="nil"/>
              <w:left w:val="nil"/>
              <w:bottom w:val="nil"/>
              <w:right w:val="nil"/>
            </w:tcBorders>
            <w:shd w:val="clear" w:color="auto" w:fill="auto"/>
            <w:noWrap/>
            <w:vAlign w:val="center"/>
            <w:hideMark/>
          </w:tcPr>
          <w:p w14:paraId="13385BF0" w14:textId="77777777" w:rsidR="00ED24FC" w:rsidRPr="00ED24FC" w:rsidRDefault="00ED24FC" w:rsidP="006968BD">
            <w:pPr>
              <w:spacing w:after="0" w:line="240" w:lineRule="auto"/>
              <w:ind w:right="-111"/>
              <w:jc w:val="right"/>
              <w:rPr>
                <w:rFonts w:ascii="Arial" w:eastAsia="Times New Roman" w:hAnsi="Arial" w:cs="Arial"/>
                <w:sz w:val="20"/>
                <w:szCs w:val="20"/>
                <w:lang w:eastAsia="en-GB"/>
              </w:rPr>
            </w:pPr>
            <w:r w:rsidRPr="00ED24FC">
              <w:rPr>
                <w:rFonts w:ascii="Arial" w:eastAsia="Times New Roman" w:hAnsi="Arial" w:cs="Arial"/>
                <w:bCs/>
                <w:sz w:val="20"/>
                <w:szCs w:val="20"/>
                <w:lang w:eastAsia="en-GB"/>
              </w:rPr>
              <w:t>2,051</w:t>
            </w:r>
          </w:p>
        </w:tc>
      </w:tr>
      <w:tr w:rsidR="00ED24FC" w:rsidRPr="00742859" w14:paraId="1E329BA2" w14:textId="77777777" w:rsidTr="00FB465D">
        <w:trPr>
          <w:gridAfter w:val="7"/>
          <w:wAfter w:w="936" w:type="dxa"/>
          <w:trHeight w:val="279"/>
        </w:trPr>
        <w:tc>
          <w:tcPr>
            <w:tcW w:w="5637" w:type="dxa"/>
            <w:tcBorders>
              <w:top w:val="nil"/>
              <w:left w:val="nil"/>
              <w:bottom w:val="single" w:sz="4" w:space="0" w:color="auto"/>
              <w:right w:val="nil"/>
            </w:tcBorders>
            <w:shd w:val="clear" w:color="auto" w:fill="auto"/>
            <w:noWrap/>
            <w:vAlign w:val="center"/>
            <w:hideMark/>
          </w:tcPr>
          <w:p w14:paraId="507DD264" w14:textId="77777777" w:rsidR="00ED24FC" w:rsidRPr="00742859" w:rsidRDefault="00ED24FC" w:rsidP="00ED24FC">
            <w:pPr>
              <w:spacing w:after="0" w:line="240" w:lineRule="auto"/>
              <w:rPr>
                <w:rFonts w:ascii="Arial" w:eastAsia="Times New Roman" w:hAnsi="Arial" w:cs="Arial"/>
                <w:sz w:val="20"/>
                <w:szCs w:val="20"/>
                <w:lang w:eastAsia="en-GB"/>
              </w:rPr>
            </w:pPr>
            <w:r w:rsidRPr="00742859">
              <w:rPr>
                <w:rFonts w:ascii="Arial" w:eastAsia="Times New Roman" w:hAnsi="Arial" w:cs="Arial"/>
                <w:sz w:val="20"/>
                <w:szCs w:val="20"/>
                <w:lang w:eastAsia="en-GB"/>
              </w:rPr>
              <w:t>Net loss on write off / disposal of tangible fixed assets</w:t>
            </w:r>
          </w:p>
        </w:tc>
        <w:tc>
          <w:tcPr>
            <w:tcW w:w="1593" w:type="dxa"/>
            <w:gridSpan w:val="3"/>
            <w:tcBorders>
              <w:top w:val="nil"/>
              <w:left w:val="nil"/>
              <w:bottom w:val="single" w:sz="4" w:space="0" w:color="auto"/>
              <w:right w:val="nil"/>
            </w:tcBorders>
            <w:shd w:val="clear" w:color="auto" w:fill="auto"/>
            <w:noWrap/>
            <w:vAlign w:val="center"/>
          </w:tcPr>
          <w:p w14:paraId="05FD1695" w14:textId="77777777" w:rsidR="00ED24FC" w:rsidRPr="00742859" w:rsidRDefault="0018053E" w:rsidP="00ED24FC">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10,733</w:t>
            </w:r>
          </w:p>
        </w:tc>
        <w:tc>
          <w:tcPr>
            <w:tcW w:w="1418" w:type="dxa"/>
            <w:gridSpan w:val="6"/>
            <w:tcBorders>
              <w:top w:val="nil"/>
              <w:left w:val="nil"/>
              <w:bottom w:val="single" w:sz="4" w:space="0" w:color="auto"/>
              <w:right w:val="nil"/>
            </w:tcBorders>
            <w:shd w:val="clear" w:color="auto" w:fill="auto"/>
            <w:noWrap/>
            <w:vAlign w:val="center"/>
            <w:hideMark/>
          </w:tcPr>
          <w:p w14:paraId="5957F3D8" w14:textId="77777777" w:rsidR="00ED24FC" w:rsidRPr="00ED24FC" w:rsidRDefault="00ED24FC" w:rsidP="006968BD">
            <w:pPr>
              <w:spacing w:after="0" w:line="240" w:lineRule="auto"/>
              <w:ind w:right="-111"/>
              <w:jc w:val="right"/>
              <w:rPr>
                <w:rFonts w:ascii="Arial" w:eastAsia="Times New Roman" w:hAnsi="Arial" w:cs="Arial"/>
                <w:sz w:val="20"/>
                <w:szCs w:val="20"/>
                <w:lang w:eastAsia="en-GB"/>
              </w:rPr>
            </w:pPr>
            <w:r w:rsidRPr="00ED24FC">
              <w:rPr>
                <w:rFonts w:ascii="Arial" w:eastAsia="Times New Roman" w:hAnsi="Arial" w:cs="Arial"/>
                <w:bCs/>
                <w:sz w:val="20"/>
                <w:szCs w:val="20"/>
                <w:lang w:eastAsia="en-GB"/>
              </w:rPr>
              <w:t>1,275</w:t>
            </w:r>
          </w:p>
        </w:tc>
      </w:tr>
      <w:tr w:rsidR="004B18B9" w:rsidRPr="00742859" w14:paraId="5BA508AC" w14:textId="77777777" w:rsidTr="00F632D9">
        <w:trPr>
          <w:gridAfter w:val="8"/>
          <w:wAfter w:w="1003" w:type="dxa"/>
          <w:trHeight w:val="352"/>
        </w:trPr>
        <w:tc>
          <w:tcPr>
            <w:tcW w:w="5778" w:type="dxa"/>
            <w:gridSpan w:val="2"/>
            <w:tcBorders>
              <w:top w:val="nil"/>
              <w:left w:val="nil"/>
              <w:bottom w:val="nil"/>
              <w:right w:val="nil"/>
            </w:tcBorders>
            <w:shd w:val="clear" w:color="auto" w:fill="auto"/>
            <w:noWrap/>
            <w:vAlign w:val="center"/>
          </w:tcPr>
          <w:p w14:paraId="16895A7D" w14:textId="77777777" w:rsidR="004B18B9" w:rsidRPr="004B18B9" w:rsidRDefault="004B18B9" w:rsidP="00E51CA0">
            <w:pPr>
              <w:tabs>
                <w:tab w:val="left" w:pos="567"/>
              </w:tabs>
              <w:ind w:left="567" w:hanging="567"/>
              <w:rPr>
                <w:rFonts w:ascii="Arial" w:hAnsi="Arial" w:cs="Arial"/>
                <w:b/>
                <w:i/>
                <w:sz w:val="24"/>
                <w:szCs w:val="24"/>
              </w:rPr>
            </w:pPr>
          </w:p>
        </w:tc>
        <w:tc>
          <w:tcPr>
            <w:tcW w:w="2574" w:type="dxa"/>
            <w:gridSpan w:val="6"/>
            <w:tcBorders>
              <w:top w:val="nil"/>
              <w:left w:val="nil"/>
              <w:bottom w:val="nil"/>
              <w:right w:val="nil"/>
            </w:tcBorders>
            <w:shd w:val="clear" w:color="auto" w:fill="auto"/>
            <w:noWrap/>
            <w:vAlign w:val="center"/>
          </w:tcPr>
          <w:p w14:paraId="2E612F93" w14:textId="77777777" w:rsidR="004B18B9" w:rsidRPr="00742859" w:rsidRDefault="004B18B9" w:rsidP="001F6984">
            <w:pPr>
              <w:spacing w:after="0" w:line="240" w:lineRule="auto"/>
              <w:rPr>
                <w:rFonts w:ascii="Arial" w:eastAsia="Times New Roman" w:hAnsi="Arial" w:cs="Arial"/>
                <w:b/>
                <w:bCs/>
                <w:sz w:val="24"/>
                <w:szCs w:val="24"/>
                <w:lang w:eastAsia="en-GB"/>
              </w:rPr>
            </w:pPr>
          </w:p>
        </w:tc>
        <w:tc>
          <w:tcPr>
            <w:tcW w:w="229" w:type="dxa"/>
            <w:tcBorders>
              <w:top w:val="nil"/>
              <w:left w:val="nil"/>
              <w:bottom w:val="nil"/>
              <w:right w:val="nil"/>
            </w:tcBorders>
            <w:shd w:val="clear" w:color="auto" w:fill="auto"/>
            <w:noWrap/>
            <w:vAlign w:val="center"/>
          </w:tcPr>
          <w:p w14:paraId="616ADCC9" w14:textId="77777777" w:rsidR="004B18B9" w:rsidRPr="00742859" w:rsidRDefault="004B18B9" w:rsidP="001F6984">
            <w:pPr>
              <w:spacing w:after="0" w:line="240" w:lineRule="auto"/>
              <w:rPr>
                <w:rFonts w:ascii="Times New Roman" w:eastAsia="Times New Roman" w:hAnsi="Times New Roman" w:cs="Times New Roman"/>
                <w:sz w:val="20"/>
                <w:szCs w:val="20"/>
                <w:lang w:eastAsia="en-GB"/>
              </w:rPr>
            </w:pPr>
          </w:p>
        </w:tc>
      </w:tr>
      <w:tr w:rsidR="00190D85" w:rsidRPr="00742859" w14:paraId="7C77BF57" w14:textId="77777777" w:rsidTr="003E4FA9">
        <w:trPr>
          <w:gridAfter w:val="8"/>
          <w:wAfter w:w="1003" w:type="dxa"/>
          <w:trHeight w:val="446"/>
        </w:trPr>
        <w:tc>
          <w:tcPr>
            <w:tcW w:w="5637" w:type="dxa"/>
            <w:tcBorders>
              <w:top w:val="nil"/>
              <w:left w:val="nil"/>
              <w:bottom w:val="nil"/>
              <w:right w:val="nil"/>
            </w:tcBorders>
            <w:shd w:val="clear" w:color="auto" w:fill="auto"/>
            <w:noWrap/>
            <w:vAlign w:val="center"/>
            <w:hideMark/>
          </w:tcPr>
          <w:p w14:paraId="654A9FC6" w14:textId="77777777" w:rsidR="0002280B" w:rsidRDefault="0002280B" w:rsidP="006968BD">
            <w:pPr>
              <w:spacing w:after="0" w:line="240" w:lineRule="auto"/>
              <w:rPr>
                <w:rFonts w:ascii="Arial" w:hAnsi="Arial" w:cs="Arial"/>
                <w:b/>
                <w:i/>
                <w:sz w:val="24"/>
                <w:szCs w:val="24"/>
              </w:rPr>
            </w:pPr>
            <w:r w:rsidRPr="0088736E">
              <w:rPr>
                <w:rFonts w:ascii="Arial" w:hAnsi="Arial" w:cs="Arial"/>
                <w:b/>
                <w:i/>
                <w:sz w:val="24"/>
                <w:szCs w:val="24"/>
              </w:rPr>
              <w:lastRenderedPageBreak/>
              <w:t xml:space="preserve">Notes to the financial </w:t>
            </w:r>
            <w:r w:rsidR="006C07DD">
              <w:rPr>
                <w:rFonts w:ascii="Arial" w:hAnsi="Arial" w:cs="Arial"/>
                <w:b/>
                <w:i/>
                <w:sz w:val="24"/>
                <w:szCs w:val="24"/>
              </w:rPr>
              <w:t>statements</w:t>
            </w:r>
            <w:r w:rsidR="006C07DD" w:rsidRPr="0088736E">
              <w:rPr>
                <w:rFonts w:ascii="Arial" w:hAnsi="Arial" w:cs="Arial"/>
                <w:b/>
                <w:i/>
                <w:sz w:val="24"/>
                <w:szCs w:val="24"/>
              </w:rPr>
              <w:t xml:space="preserve"> </w:t>
            </w:r>
            <w:r w:rsidRPr="0088736E">
              <w:rPr>
                <w:rFonts w:ascii="Arial" w:hAnsi="Arial" w:cs="Arial"/>
                <w:b/>
                <w:i/>
                <w:sz w:val="24"/>
                <w:szCs w:val="24"/>
              </w:rPr>
              <w:t>(continued)</w:t>
            </w:r>
          </w:p>
          <w:p w14:paraId="7AE06158" w14:textId="77777777" w:rsidR="006968BD" w:rsidRPr="0088736E" w:rsidRDefault="006968BD" w:rsidP="006968BD">
            <w:pPr>
              <w:spacing w:after="0" w:line="240" w:lineRule="auto"/>
              <w:rPr>
                <w:rFonts w:ascii="Arial" w:hAnsi="Arial" w:cs="Arial"/>
                <w:b/>
                <w:i/>
                <w:sz w:val="24"/>
                <w:szCs w:val="24"/>
              </w:rPr>
            </w:pPr>
          </w:p>
          <w:p w14:paraId="0D0354D3" w14:textId="77777777" w:rsidR="00190D85" w:rsidRPr="00742859" w:rsidRDefault="00BE0959" w:rsidP="001F6984">
            <w:pPr>
              <w:spacing w:after="0" w:line="240" w:lineRule="auto"/>
              <w:rPr>
                <w:rFonts w:ascii="Arial" w:eastAsia="Times New Roman" w:hAnsi="Arial" w:cs="Arial"/>
                <w:b/>
                <w:bCs/>
                <w:sz w:val="24"/>
                <w:szCs w:val="24"/>
                <w:lang w:eastAsia="en-GB"/>
              </w:rPr>
            </w:pPr>
            <w:r>
              <w:rPr>
                <w:rFonts w:ascii="Arial" w:eastAsia="Times New Roman" w:hAnsi="Arial" w:cs="Arial"/>
                <w:b/>
                <w:bCs/>
                <w:sz w:val="24"/>
                <w:szCs w:val="24"/>
                <w:lang w:eastAsia="en-GB"/>
              </w:rPr>
              <w:t>5</w:t>
            </w:r>
            <w:r w:rsidR="00190D85" w:rsidRPr="00742859">
              <w:rPr>
                <w:rFonts w:ascii="Arial" w:eastAsia="Times New Roman" w:hAnsi="Arial" w:cs="Arial"/>
                <w:b/>
                <w:bCs/>
                <w:sz w:val="24"/>
                <w:szCs w:val="24"/>
                <w:lang w:eastAsia="en-GB"/>
              </w:rPr>
              <w:t>. Employees</w:t>
            </w:r>
          </w:p>
        </w:tc>
        <w:tc>
          <w:tcPr>
            <w:tcW w:w="2705" w:type="dxa"/>
            <w:gridSpan w:val="6"/>
            <w:tcBorders>
              <w:top w:val="nil"/>
              <w:left w:val="nil"/>
              <w:bottom w:val="nil"/>
              <w:right w:val="nil"/>
            </w:tcBorders>
            <w:shd w:val="clear" w:color="auto" w:fill="auto"/>
            <w:noWrap/>
            <w:vAlign w:val="center"/>
            <w:hideMark/>
          </w:tcPr>
          <w:p w14:paraId="53D9CCD6" w14:textId="77777777" w:rsidR="00190D85" w:rsidRPr="00742859" w:rsidRDefault="00190D85" w:rsidP="001F6984">
            <w:pPr>
              <w:spacing w:after="0" w:line="240" w:lineRule="auto"/>
              <w:rPr>
                <w:rFonts w:ascii="Arial" w:eastAsia="Times New Roman" w:hAnsi="Arial" w:cs="Arial"/>
                <w:b/>
                <w:bCs/>
                <w:sz w:val="24"/>
                <w:szCs w:val="24"/>
                <w:lang w:eastAsia="en-GB"/>
              </w:rPr>
            </w:pPr>
          </w:p>
        </w:tc>
        <w:tc>
          <w:tcPr>
            <w:tcW w:w="239" w:type="dxa"/>
            <w:gridSpan w:val="2"/>
            <w:tcBorders>
              <w:top w:val="nil"/>
              <w:left w:val="nil"/>
              <w:bottom w:val="nil"/>
              <w:right w:val="nil"/>
            </w:tcBorders>
            <w:shd w:val="clear" w:color="auto" w:fill="auto"/>
            <w:noWrap/>
            <w:vAlign w:val="center"/>
            <w:hideMark/>
          </w:tcPr>
          <w:p w14:paraId="659411B2" w14:textId="77777777" w:rsidR="00190D85" w:rsidRPr="00742859" w:rsidRDefault="00190D85" w:rsidP="001F6984">
            <w:pPr>
              <w:spacing w:after="0" w:line="240" w:lineRule="auto"/>
              <w:rPr>
                <w:rFonts w:ascii="Times New Roman" w:eastAsia="Times New Roman" w:hAnsi="Times New Roman" w:cs="Times New Roman"/>
                <w:sz w:val="20"/>
                <w:szCs w:val="20"/>
                <w:lang w:eastAsia="en-GB"/>
              </w:rPr>
            </w:pPr>
          </w:p>
        </w:tc>
      </w:tr>
      <w:tr w:rsidR="00190D85" w:rsidRPr="00742859" w14:paraId="710B14E2" w14:textId="77777777" w:rsidTr="003E4FA9">
        <w:trPr>
          <w:gridAfter w:val="3"/>
          <w:wAfter w:w="408" w:type="dxa"/>
          <w:trHeight w:val="357"/>
        </w:trPr>
        <w:tc>
          <w:tcPr>
            <w:tcW w:w="9176" w:type="dxa"/>
            <w:gridSpan w:val="14"/>
            <w:tcBorders>
              <w:top w:val="nil"/>
              <w:left w:val="nil"/>
              <w:bottom w:val="nil"/>
              <w:right w:val="nil"/>
            </w:tcBorders>
            <w:shd w:val="clear" w:color="auto" w:fill="auto"/>
            <w:noWrap/>
            <w:vAlign w:val="center"/>
            <w:hideMark/>
          </w:tcPr>
          <w:p w14:paraId="18F4591B" w14:textId="77777777" w:rsidR="00190D85" w:rsidRPr="006C6857" w:rsidRDefault="00190D85" w:rsidP="001F6984">
            <w:pPr>
              <w:spacing w:after="0" w:line="240" w:lineRule="auto"/>
              <w:rPr>
                <w:rFonts w:ascii="Arial" w:eastAsia="Times New Roman" w:hAnsi="Arial" w:cs="Arial"/>
                <w:lang w:eastAsia="en-GB"/>
              </w:rPr>
            </w:pPr>
            <w:r w:rsidRPr="006C6857">
              <w:rPr>
                <w:rFonts w:ascii="Arial" w:eastAsia="Times New Roman" w:hAnsi="Arial" w:cs="Arial"/>
                <w:lang w:eastAsia="en-GB"/>
              </w:rPr>
              <w:t>The average monthly number of persons employed by the group during the year was:</w:t>
            </w:r>
          </w:p>
        </w:tc>
      </w:tr>
      <w:tr w:rsidR="00190D85" w:rsidRPr="00742859" w14:paraId="523AE34B" w14:textId="77777777" w:rsidTr="003E4FA9">
        <w:trPr>
          <w:gridAfter w:val="3"/>
          <w:wAfter w:w="408" w:type="dxa"/>
          <w:trHeight w:val="357"/>
        </w:trPr>
        <w:tc>
          <w:tcPr>
            <w:tcW w:w="5637" w:type="dxa"/>
            <w:tcBorders>
              <w:top w:val="nil"/>
              <w:left w:val="nil"/>
              <w:bottom w:val="nil"/>
              <w:right w:val="nil"/>
            </w:tcBorders>
            <w:shd w:val="clear" w:color="auto" w:fill="auto"/>
            <w:noWrap/>
            <w:vAlign w:val="center"/>
            <w:hideMark/>
          </w:tcPr>
          <w:p w14:paraId="512D0528" w14:textId="77777777" w:rsidR="00190D85" w:rsidRPr="00742859" w:rsidRDefault="00190D85" w:rsidP="001F6984">
            <w:pPr>
              <w:spacing w:after="0" w:line="240" w:lineRule="auto"/>
              <w:rPr>
                <w:rFonts w:ascii="Arial" w:eastAsia="Times New Roman" w:hAnsi="Arial" w:cs="Arial"/>
                <w:sz w:val="20"/>
                <w:szCs w:val="20"/>
                <w:lang w:eastAsia="en-GB"/>
              </w:rPr>
            </w:pPr>
          </w:p>
        </w:tc>
        <w:tc>
          <w:tcPr>
            <w:tcW w:w="2705" w:type="dxa"/>
            <w:gridSpan w:val="6"/>
            <w:tcBorders>
              <w:top w:val="nil"/>
              <w:left w:val="nil"/>
              <w:bottom w:val="nil"/>
              <w:right w:val="nil"/>
            </w:tcBorders>
            <w:shd w:val="clear" w:color="auto" w:fill="auto"/>
            <w:noWrap/>
            <w:vAlign w:val="center"/>
            <w:hideMark/>
          </w:tcPr>
          <w:p w14:paraId="472BAE77" w14:textId="77777777" w:rsidR="00190D85" w:rsidRPr="00742859" w:rsidRDefault="00190D85" w:rsidP="001F6984">
            <w:pPr>
              <w:spacing w:after="0" w:line="240" w:lineRule="auto"/>
              <w:rPr>
                <w:rFonts w:ascii="Times New Roman" w:eastAsia="Times New Roman" w:hAnsi="Times New Roman" w:cs="Times New Roman"/>
                <w:sz w:val="20"/>
                <w:szCs w:val="20"/>
                <w:lang w:eastAsia="en-GB"/>
              </w:rPr>
            </w:pPr>
          </w:p>
        </w:tc>
        <w:tc>
          <w:tcPr>
            <w:tcW w:w="239" w:type="dxa"/>
            <w:gridSpan w:val="2"/>
            <w:tcBorders>
              <w:top w:val="nil"/>
              <w:left w:val="nil"/>
              <w:bottom w:val="nil"/>
              <w:right w:val="nil"/>
            </w:tcBorders>
            <w:shd w:val="clear" w:color="auto" w:fill="auto"/>
            <w:noWrap/>
            <w:vAlign w:val="center"/>
            <w:hideMark/>
          </w:tcPr>
          <w:p w14:paraId="71D0EA63" w14:textId="77777777" w:rsidR="00190D85" w:rsidRPr="00742859" w:rsidRDefault="00190D85" w:rsidP="001F6984">
            <w:pPr>
              <w:spacing w:after="0" w:line="240" w:lineRule="auto"/>
              <w:rPr>
                <w:rFonts w:ascii="Times New Roman" w:eastAsia="Times New Roman" w:hAnsi="Times New Roman" w:cs="Times New Roman"/>
                <w:sz w:val="20"/>
                <w:szCs w:val="20"/>
                <w:lang w:eastAsia="en-GB"/>
              </w:rPr>
            </w:pPr>
          </w:p>
        </w:tc>
        <w:tc>
          <w:tcPr>
            <w:tcW w:w="294" w:type="dxa"/>
            <w:gridSpan w:val="3"/>
            <w:vAlign w:val="center"/>
            <w:hideMark/>
          </w:tcPr>
          <w:p w14:paraId="76BCCC07" w14:textId="77777777" w:rsidR="00190D85" w:rsidRPr="00742859" w:rsidRDefault="00190D85" w:rsidP="001F6984">
            <w:pPr>
              <w:spacing w:after="0" w:line="240" w:lineRule="auto"/>
              <w:rPr>
                <w:rFonts w:ascii="Times New Roman" w:eastAsia="Times New Roman" w:hAnsi="Times New Roman" w:cs="Times New Roman"/>
                <w:sz w:val="20"/>
                <w:szCs w:val="20"/>
                <w:lang w:eastAsia="en-GB"/>
              </w:rPr>
            </w:pPr>
          </w:p>
        </w:tc>
        <w:tc>
          <w:tcPr>
            <w:tcW w:w="301" w:type="dxa"/>
            <w:gridSpan w:val="2"/>
            <w:vAlign w:val="center"/>
            <w:hideMark/>
          </w:tcPr>
          <w:p w14:paraId="43EC1052" w14:textId="77777777" w:rsidR="00190D85" w:rsidRPr="00742859" w:rsidRDefault="00190D85" w:rsidP="001F6984">
            <w:pPr>
              <w:spacing w:after="0" w:line="240" w:lineRule="auto"/>
              <w:rPr>
                <w:rFonts w:ascii="Times New Roman" w:eastAsia="Times New Roman" w:hAnsi="Times New Roman" w:cs="Times New Roman"/>
                <w:sz w:val="20"/>
                <w:szCs w:val="20"/>
                <w:lang w:eastAsia="en-GB"/>
              </w:rPr>
            </w:pPr>
          </w:p>
        </w:tc>
      </w:tr>
      <w:tr w:rsidR="00190D85" w:rsidRPr="00742859" w14:paraId="050DD515" w14:textId="77777777" w:rsidTr="003E4FA9">
        <w:trPr>
          <w:trHeight w:val="357"/>
        </w:trPr>
        <w:tc>
          <w:tcPr>
            <w:tcW w:w="5637" w:type="dxa"/>
            <w:tcBorders>
              <w:top w:val="single" w:sz="4" w:space="0" w:color="auto"/>
              <w:left w:val="nil"/>
              <w:bottom w:val="nil"/>
              <w:right w:val="nil"/>
            </w:tcBorders>
            <w:shd w:val="clear" w:color="auto" w:fill="auto"/>
            <w:noWrap/>
            <w:vAlign w:val="center"/>
            <w:hideMark/>
          </w:tcPr>
          <w:p w14:paraId="382E955B" w14:textId="77777777" w:rsidR="00190D85" w:rsidRPr="00742859" w:rsidRDefault="00190D85" w:rsidP="001F6984">
            <w:pPr>
              <w:spacing w:after="0" w:line="240" w:lineRule="auto"/>
              <w:rPr>
                <w:rFonts w:ascii="Arial" w:eastAsia="Times New Roman" w:hAnsi="Arial" w:cs="Arial"/>
                <w:sz w:val="20"/>
                <w:szCs w:val="20"/>
                <w:lang w:eastAsia="en-GB"/>
              </w:rPr>
            </w:pPr>
            <w:r w:rsidRPr="00742859">
              <w:rPr>
                <w:rFonts w:ascii="Arial" w:eastAsia="Times New Roman" w:hAnsi="Arial" w:cs="Arial"/>
                <w:sz w:val="20"/>
                <w:szCs w:val="20"/>
                <w:lang w:eastAsia="en-GB"/>
              </w:rPr>
              <w:t> </w:t>
            </w:r>
          </w:p>
        </w:tc>
        <w:tc>
          <w:tcPr>
            <w:tcW w:w="1733" w:type="dxa"/>
            <w:gridSpan w:val="4"/>
            <w:tcBorders>
              <w:top w:val="single" w:sz="4" w:space="0" w:color="auto"/>
              <w:left w:val="nil"/>
              <w:bottom w:val="nil"/>
              <w:right w:val="nil"/>
            </w:tcBorders>
            <w:shd w:val="clear" w:color="auto" w:fill="auto"/>
            <w:noWrap/>
            <w:vAlign w:val="center"/>
            <w:hideMark/>
          </w:tcPr>
          <w:p w14:paraId="6E24871E" w14:textId="77777777" w:rsidR="00190D85" w:rsidRPr="00742859" w:rsidRDefault="002F1E81" w:rsidP="005B39D0">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 xml:space="preserve">Year ended 31 August </w:t>
            </w:r>
            <w:r w:rsidR="0037645F">
              <w:rPr>
                <w:rFonts w:ascii="Arial" w:eastAsia="Times New Roman" w:hAnsi="Arial" w:cs="Arial"/>
                <w:b/>
                <w:bCs/>
                <w:sz w:val="20"/>
                <w:szCs w:val="20"/>
                <w:lang w:eastAsia="en-GB"/>
              </w:rPr>
              <w:t>2020</w:t>
            </w:r>
          </w:p>
        </w:tc>
        <w:tc>
          <w:tcPr>
            <w:tcW w:w="1587" w:type="dxa"/>
            <w:gridSpan w:val="8"/>
            <w:tcBorders>
              <w:top w:val="single" w:sz="4" w:space="0" w:color="auto"/>
              <w:left w:val="nil"/>
              <w:bottom w:val="nil"/>
              <w:right w:val="nil"/>
            </w:tcBorders>
            <w:shd w:val="clear" w:color="auto" w:fill="auto"/>
            <w:noWrap/>
            <w:vAlign w:val="center"/>
            <w:hideMark/>
          </w:tcPr>
          <w:p w14:paraId="0A60798C" w14:textId="77777777" w:rsidR="00190D85" w:rsidRPr="00742859" w:rsidRDefault="00255CE0" w:rsidP="005B39D0">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Year ended</w:t>
            </w:r>
            <w:r w:rsidR="002F1E81">
              <w:rPr>
                <w:rFonts w:ascii="Arial" w:eastAsia="Times New Roman" w:hAnsi="Arial" w:cs="Arial"/>
                <w:sz w:val="20"/>
                <w:szCs w:val="20"/>
                <w:lang w:eastAsia="en-GB"/>
              </w:rPr>
              <w:t xml:space="preserve"> 31 August </w:t>
            </w:r>
            <w:r w:rsidR="0037645F">
              <w:rPr>
                <w:rFonts w:ascii="Arial" w:eastAsia="Times New Roman" w:hAnsi="Arial" w:cs="Arial"/>
                <w:sz w:val="20"/>
                <w:szCs w:val="20"/>
                <w:lang w:eastAsia="en-GB"/>
              </w:rPr>
              <w:t>2019</w:t>
            </w:r>
          </w:p>
        </w:tc>
        <w:tc>
          <w:tcPr>
            <w:tcW w:w="293" w:type="dxa"/>
            <w:gridSpan w:val="2"/>
            <w:vAlign w:val="center"/>
            <w:hideMark/>
          </w:tcPr>
          <w:p w14:paraId="322395D9" w14:textId="77777777" w:rsidR="00190D85" w:rsidRPr="00742859" w:rsidRDefault="00190D85" w:rsidP="007729E5">
            <w:pPr>
              <w:spacing w:after="0" w:line="240" w:lineRule="auto"/>
              <w:rPr>
                <w:rFonts w:ascii="Times New Roman" w:eastAsia="Times New Roman" w:hAnsi="Times New Roman" w:cs="Times New Roman"/>
                <w:sz w:val="20"/>
                <w:szCs w:val="20"/>
                <w:lang w:eastAsia="en-GB"/>
              </w:rPr>
            </w:pPr>
          </w:p>
        </w:tc>
        <w:tc>
          <w:tcPr>
            <w:tcW w:w="334" w:type="dxa"/>
            <w:gridSpan w:val="2"/>
            <w:vAlign w:val="center"/>
            <w:hideMark/>
          </w:tcPr>
          <w:p w14:paraId="1A388332" w14:textId="77777777" w:rsidR="00190D85" w:rsidRPr="00742859" w:rsidRDefault="00190D85" w:rsidP="007729E5">
            <w:pPr>
              <w:spacing w:after="0" w:line="240" w:lineRule="auto"/>
              <w:rPr>
                <w:rFonts w:ascii="Times New Roman" w:eastAsia="Times New Roman" w:hAnsi="Times New Roman" w:cs="Times New Roman"/>
                <w:sz w:val="20"/>
                <w:szCs w:val="20"/>
                <w:lang w:eastAsia="en-GB"/>
              </w:rPr>
            </w:pPr>
          </w:p>
        </w:tc>
      </w:tr>
      <w:tr w:rsidR="00190D85" w:rsidRPr="00742859" w14:paraId="1D25CA1B" w14:textId="77777777" w:rsidTr="003E4FA9">
        <w:trPr>
          <w:trHeight w:val="848"/>
        </w:trPr>
        <w:tc>
          <w:tcPr>
            <w:tcW w:w="5637" w:type="dxa"/>
            <w:tcBorders>
              <w:top w:val="nil"/>
              <w:left w:val="nil"/>
              <w:bottom w:val="single" w:sz="4" w:space="0" w:color="auto"/>
              <w:right w:val="nil"/>
            </w:tcBorders>
            <w:shd w:val="clear" w:color="auto" w:fill="auto"/>
            <w:noWrap/>
            <w:vAlign w:val="center"/>
            <w:hideMark/>
          </w:tcPr>
          <w:p w14:paraId="7EB437C7" w14:textId="77777777" w:rsidR="00190D85" w:rsidRPr="00742859" w:rsidRDefault="00190D85" w:rsidP="007729E5">
            <w:pPr>
              <w:spacing w:after="0" w:line="240" w:lineRule="auto"/>
              <w:rPr>
                <w:rFonts w:ascii="Arial" w:eastAsia="Times New Roman" w:hAnsi="Arial" w:cs="Arial"/>
                <w:sz w:val="20"/>
                <w:szCs w:val="20"/>
                <w:lang w:eastAsia="en-GB"/>
              </w:rPr>
            </w:pPr>
            <w:r w:rsidRPr="00742859">
              <w:rPr>
                <w:rFonts w:ascii="Arial" w:eastAsia="Times New Roman" w:hAnsi="Arial" w:cs="Arial"/>
                <w:sz w:val="20"/>
                <w:szCs w:val="20"/>
                <w:lang w:eastAsia="en-GB"/>
              </w:rPr>
              <w:t> </w:t>
            </w:r>
          </w:p>
        </w:tc>
        <w:tc>
          <w:tcPr>
            <w:tcW w:w="1733" w:type="dxa"/>
            <w:gridSpan w:val="4"/>
            <w:tcBorders>
              <w:top w:val="nil"/>
              <w:left w:val="nil"/>
              <w:bottom w:val="single" w:sz="4" w:space="0" w:color="auto"/>
              <w:right w:val="nil"/>
            </w:tcBorders>
            <w:shd w:val="clear" w:color="auto" w:fill="auto"/>
            <w:hideMark/>
          </w:tcPr>
          <w:p w14:paraId="62CCD37D" w14:textId="77777777" w:rsidR="00190D85" w:rsidRPr="00742859" w:rsidRDefault="00190D85" w:rsidP="005B39D0">
            <w:pPr>
              <w:spacing w:after="0" w:line="240" w:lineRule="auto"/>
              <w:jc w:val="right"/>
              <w:rPr>
                <w:rFonts w:ascii="Arial" w:eastAsia="Times New Roman" w:hAnsi="Arial" w:cs="Arial"/>
                <w:b/>
                <w:bCs/>
                <w:sz w:val="20"/>
                <w:szCs w:val="20"/>
                <w:lang w:eastAsia="en-GB"/>
              </w:rPr>
            </w:pPr>
            <w:r w:rsidRPr="00742859">
              <w:rPr>
                <w:rFonts w:ascii="Arial" w:eastAsia="Times New Roman" w:hAnsi="Arial" w:cs="Arial"/>
                <w:b/>
                <w:bCs/>
                <w:sz w:val="20"/>
                <w:szCs w:val="20"/>
                <w:lang w:eastAsia="en-GB"/>
              </w:rPr>
              <w:t xml:space="preserve">Full Time </w:t>
            </w:r>
            <w:r w:rsidR="001F6984">
              <w:rPr>
                <w:rFonts w:ascii="Arial" w:eastAsia="Times New Roman" w:hAnsi="Arial" w:cs="Arial"/>
                <w:b/>
                <w:bCs/>
                <w:sz w:val="20"/>
                <w:szCs w:val="20"/>
                <w:lang w:eastAsia="en-GB"/>
              </w:rPr>
              <w:br/>
            </w:r>
            <w:r w:rsidRPr="00742859">
              <w:rPr>
                <w:rFonts w:ascii="Arial" w:eastAsia="Times New Roman" w:hAnsi="Arial" w:cs="Arial"/>
                <w:b/>
                <w:bCs/>
                <w:sz w:val="20"/>
                <w:szCs w:val="20"/>
                <w:lang w:eastAsia="en-GB"/>
              </w:rPr>
              <w:t>Equivalent Number</w:t>
            </w:r>
          </w:p>
        </w:tc>
        <w:tc>
          <w:tcPr>
            <w:tcW w:w="1587" w:type="dxa"/>
            <w:gridSpan w:val="8"/>
            <w:tcBorders>
              <w:top w:val="nil"/>
              <w:left w:val="nil"/>
              <w:bottom w:val="single" w:sz="4" w:space="0" w:color="auto"/>
              <w:right w:val="nil"/>
            </w:tcBorders>
            <w:shd w:val="clear" w:color="auto" w:fill="auto"/>
            <w:hideMark/>
          </w:tcPr>
          <w:p w14:paraId="66DA4889" w14:textId="77777777" w:rsidR="00190D85" w:rsidRPr="00742859" w:rsidRDefault="00190D85" w:rsidP="005B39D0">
            <w:pPr>
              <w:spacing w:after="0" w:line="240" w:lineRule="auto"/>
              <w:jc w:val="right"/>
              <w:rPr>
                <w:rFonts w:ascii="Arial" w:eastAsia="Times New Roman" w:hAnsi="Arial" w:cs="Arial"/>
                <w:sz w:val="20"/>
                <w:szCs w:val="20"/>
                <w:lang w:eastAsia="en-GB"/>
              </w:rPr>
            </w:pPr>
            <w:r w:rsidRPr="00742859">
              <w:rPr>
                <w:rFonts w:ascii="Arial" w:eastAsia="Times New Roman" w:hAnsi="Arial" w:cs="Arial"/>
                <w:sz w:val="20"/>
                <w:szCs w:val="20"/>
                <w:lang w:eastAsia="en-GB"/>
              </w:rPr>
              <w:t>Full Time Equivalent Number</w:t>
            </w:r>
          </w:p>
        </w:tc>
        <w:tc>
          <w:tcPr>
            <w:tcW w:w="293" w:type="dxa"/>
            <w:gridSpan w:val="2"/>
            <w:vAlign w:val="center"/>
            <w:hideMark/>
          </w:tcPr>
          <w:p w14:paraId="5F1D9FB6" w14:textId="77777777" w:rsidR="00190D85" w:rsidRPr="00742859" w:rsidRDefault="00190D85" w:rsidP="001F6984">
            <w:pPr>
              <w:spacing w:after="0" w:line="240" w:lineRule="auto"/>
              <w:rPr>
                <w:rFonts w:ascii="Times New Roman" w:eastAsia="Times New Roman" w:hAnsi="Times New Roman" w:cs="Times New Roman"/>
                <w:sz w:val="20"/>
                <w:szCs w:val="20"/>
                <w:lang w:eastAsia="en-GB"/>
              </w:rPr>
            </w:pPr>
          </w:p>
        </w:tc>
        <w:tc>
          <w:tcPr>
            <w:tcW w:w="334" w:type="dxa"/>
            <w:gridSpan w:val="2"/>
            <w:vAlign w:val="center"/>
            <w:hideMark/>
          </w:tcPr>
          <w:p w14:paraId="0E84F132" w14:textId="77777777" w:rsidR="00190D85" w:rsidRPr="00742859" w:rsidRDefault="00190D85" w:rsidP="001F6984">
            <w:pPr>
              <w:spacing w:after="0" w:line="240" w:lineRule="auto"/>
              <w:rPr>
                <w:rFonts w:ascii="Times New Roman" w:eastAsia="Times New Roman" w:hAnsi="Times New Roman" w:cs="Times New Roman"/>
                <w:sz w:val="20"/>
                <w:szCs w:val="20"/>
                <w:lang w:eastAsia="en-GB"/>
              </w:rPr>
            </w:pPr>
          </w:p>
        </w:tc>
      </w:tr>
      <w:tr w:rsidR="00ED24FC" w:rsidRPr="00742859" w14:paraId="684927C8" w14:textId="77777777" w:rsidTr="003E4FA9">
        <w:trPr>
          <w:trHeight w:val="357"/>
        </w:trPr>
        <w:tc>
          <w:tcPr>
            <w:tcW w:w="5637" w:type="dxa"/>
            <w:tcBorders>
              <w:top w:val="nil"/>
              <w:left w:val="nil"/>
              <w:bottom w:val="nil"/>
              <w:right w:val="nil"/>
            </w:tcBorders>
            <w:shd w:val="clear" w:color="auto" w:fill="auto"/>
            <w:noWrap/>
            <w:vAlign w:val="center"/>
            <w:hideMark/>
          </w:tcPr>
          <w:p w14:paraId="4DC73776" w14:textId="77777777" w:rsidR="00ED24FC" w:rsidRPr="00742859" w:rsidRDefault="00ED24FC" w:rsidP="00ED24FC">
            <w:pPr>
              <w:spacing w:after="0" w:line="240" w:lineRule="auto"/>
              <w:rPr>
                <w:rFonts w:ascii="Arial" w:eastAsia="Times New Roman" w:hAnsi="Arial" w:cs="Arial"/>
                <w:sz w:val="20"/>
                <w:szCs w:val="20"/>
                <w:lang w:eastAsia="en-GB"/>
              </w:rPr>
            </w:pPr>
            <w:r w:rsidRPr="00742859">
              <w:rPr>
                <w:rFonts w:ascii="Arial" w:eastAsia="Times New Roman" w:hAnsi="Arial" w:cs="Arial"/>
                <w:sz w:val="20"/>
                <w:szCs w:val="20"/>
                <w:lang w:eastAsia="en-GB"/>
              </w:rPr>
              <w:t>Charitable purposes</w:t>
            </w:r>
          </w:p>
        </w:tc>
        <w:tc>
          <w:tcPr>
            <w:tcW w:w="1733" w:type="dxa"/>
            <w:gridSpan w:val="4"/>
            <w:tcBorders>
              <w:top w:val="nil"/>
              <w:left w:val="nil"/>
              <w:bottom w:val="nil"/>
              <w:right w:val="nil"/>
            </w:tcBorders>
            <w:shd w:val="clear" w:color="auto" w:fill="auto"/>
            <w:noWrap/>
            <w:vAlign w:val="center"/>
          </w:tcPr>
          <w:p w14:paraId="6EA798E9" w14:textId="77777777" w:rsidR="00ED24FC" w:rsidRPr="00742859" w:rsidRDefault="00756CB8" w:rsidP="00ED24FC">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3,</w:t>
            </w:r>
            <w:r w:rsidR="007C0FCE">
              <w:rPr>
                <w:rFonts w:ascii="Arial" w:eastAsia="Times New Roman" w:hAnsi="Arial" w:cs="Arial"/>
                <w:b/>
                <w:bCs/>
                <w:sz w:val="20"/>
                <w:szCs w:val="20"/>
                <w:lang w:eastAsia="en-GB"/>
              </w:rPr>
              <w:t>63</w:t>
            </w:r>
            <w:r w:rsidR="00641883">
              <w:rPr>
                <w:rFonts w:ascii="Arial" w:eastAsia="Times New Roman" w:hAnsi="Arial" w:cs="Arial"/>
                <w:b/>
                <w:bCs/>
                <w:sz w:val="20"/>
                <w:szCs w:val="20"/>
                <w:lang w:eastAsia="en-GB"/>
              </w:rPr>
              <w:t>6</w:t>
            </w:r>
          </w:p>
        </w:tc>
        <w:tc>
          <w:tcPr>
            <w:tcW w:w="1587" w:type="dxa"/>
            <w:gridSpan w:val="8"/>
            <w:tcBorders>
              <w:top w:val="nil"/>
              <w:left w:val="nil"/>
              <w:bottom w:val="nil"/>
              <w:right w:val="nil"/>
            </w:tcBorders>
            <w:shd w:val="clear" w:color="auto" w:fill="auto"/>
            <w:noWrap/>
            <w:vAlign w:val="center"/>
            <w:hideMark/>
          </w:tcPr>
          <w:p w14:paraId="2EA203D4" w14:textId="77777777" w:rsidR="00ED24FC" w:rsidRPr="00ED24FC" w:rsidRDefault="00ED24FC" w:rsidP="00ED24FC">
            <w:pPr>
              <w:spacing w:after="0" w:line="240" w:lineRule="auto"/>
              <w:jc w:val="right"/>
              <w:rPr>
                <w:rFonts w:ascii="Arial" w:eastAsia="Times New Roman" w:hAnsi="Arial" w:cs="Arial"/>
                <w:sz w:val="20"/>
                <w:szCs w:val="20"/>
                <w:lang w:eastAsia="en-GB"/>
              </w:rPr>
            </w:pPr>
            <w:r w:rsidRPr="00ED24FC">
              <w:rPr>
                <w:rFonts w:ascii="Arial" w:eastAsia="Times New Roman" w:hAnsi="Arial" w:cs="Arial"/>
                <w:bCs/>
                <w:sz w:val="20"/>
                <w:szCs w:val="20"/>
                <w:lang w:eastAsia="en-GB"/>
              </w:rPr>
              <w:t>3,523</w:t>
            </w:r>
          </w:p>
        </w:tc>
        <w:tc>
          <w:tcPr>
            <w:tcW w:w="293" w:type="dxa"/>
            <w:gridSpan w:val="2"/>
            <w:vAlign w:val="center"/>
            <w:hideMark/>
          </w:tcPr>
          <w:p w14:paraId="1879A61F" w14:textId="77777777" w:rsidR="00ED24FC" w:rsidRPr="00742859" w:rsidRDefault="00ED24FC" w:rsidP="00ED24FC">
            <w:pPr>
              <w:spacing w:after="0" w:line="240" w:lineRule="auto"/>
              <w:rPr>
                <w:rFonts w:ascii="Times New Roman" w:eastAsia="Times New Roman" w:hAnsi="Times New Roman" w:cs="Times New Roman"/>
                <w:sz w:val="20"/>
                <w:szCs w:val="20"/>
                <w:lang w:eastAsia="en-GB"/>
              </w:rPr>
            </w:pPr>
          </w:p>
        </w:tc>
        <w:tc>
          <w:tcPr>
            <w:tcW w:w="334" w:type="dxa"/>
            <w:gridSpan w:val="2"/>
            <w:vAlign w:val="center"/>
            <w:hideMark/>
          </w:tcPr>
          <w:p w14:paraId="0DE6BF64" w14:textId="77777777" w:rsidR="00ED24FC" w:rsidRPr="00742859" w:rsidRDefault="00ED24FC" w:rsidP="00ED24FC">
            <w:pPr>
              <w:spacing w:after="0" w:line="240" w:lineRule="auto"/>
              <w:rPr>
                <w:rFonts w:ascii="Times New Roman" w:eastAsia="Times New Roman" w:hAnsi="Times New Roman" w:cs="Times New Roman"/>
                <w:sz w:val="20"/>
                <w:szCs w:val="20"/>
                <w:lang w:eastAsia="en-GB"/>
              </w:rPr>
            </w:pPr>
          </w:p>
        </w:tc>
      </w:tr>
      <w:tr w:rsidR="00ED24FC" w:rsidRPr="00A35742" w14:paraId="45F569C3" w14:textId="77777777" w:rsidTr="003E4FA9">
        <w:trPr>
          <w:trHeight w:val="357"/>
        </w:trPr>
        <w:tc>
          <w:tcPr>
            <w:tcW w:w="5637" w:type="dxa"/>
            <w:tcBorders>
              <w:top w:val="nil"/>
              <w:left w:val="nil"/>
              <w:bottom w:val="single" w:sz="4" w:space="0" w:color="auto"/>
              <w:right w:val="nil"/>
            </w:tcBorders>
            <w:shd w:val="clear" w:color="auto" w:fill="auto"/>
            <w:noWrap/>
            <w:vAlign w:val="center"/>
            <w:hideMark/>
          </w:tcPr>
          <w:p w14:paraId="5988164C" w14:textId="77777777" w:rsidR="00ED24FC" w:rsidRPr="00A35742" w:rsidRDefault="00ED24FC" w:rsidP="00ED24FC">
            <w:pPr>
              <w:spacing w:after="0" w:line="240" w:lineRule="auto"/>
              <w:rPr>
                <w:rFonts w:ascii="Arial" w:eastAsia="Times New Roman" w:hAnsi="Arial" w:cs="Arial"/>
                <w:sz w:val="20"/>
                <w:szCs w:val="20"/>
                <w:lang w:eastAsia="en-GB"/>
              </w:rPr>
            </w:pPr>
            <w:r w:rsidRPr="00A35742">
              <w:rPr>
                <w:rFonts w:ascii="Arial" w:eastAsia="Times New Roman" w:hAnsi="Arial" w:cs="Arial"/>
                <w:sz w:val="20"/>
                <w:szCs w:val="20"/>
                <w:lang w:eastAsia="en-GB"/>
              </w:rPr>
              <w:t>Retail</w:t>
            </w:r>
          </w:p>
        </w:tc>
        <w:tc>
          <w:tcPr>
            <w:tcW w:w="1733" w:type="dxa"/>
            <w:gridSpan w:val="4"/>
            <w:tcBorders>
              <w:top w:val="nil"/>
              <w:left w:val="nil"/>
              <w:bottom w:val="nil"/>
              <w:right w:val="nil"/>
            </w:tcBorders>
            <w:shd w:val="clear" w:color="auto" w:fill="auto"/>
            <w:noWrap/>
            <w:vAlign w:val="center"/>
          </w:tcPr>
          <w:p w14:paraId="54CC3800" w14:textId="77777777" w:rsidR="00ED24FC" w:rsidRPr="00A35742" w:rsidRDefault="00756CB8" w:rsidP="00ED24FC">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9</w:t>
            </w:r>
            <w:r w:rsidR="00C81CDF">
              <w:rPr>
                <w:rFonts w:ascii="Arial" w:eastAsia="Times New Roman" w:hAnsi="Arial" w:cs="Arial"/>
                <w:b/>
                <w:bCs/>
                <w:sz w:val="20"/>
                <w:szCs w:val="20"/>
                <w:lang w:eastAsia="en-GB"/>
              </w:rPr>
              <w:t>1</w:t>
            </w:r>
          </w:p>
        </w:tc>
        <w:tc>
          <w:tcPr>
            <w:tcW w:w="1587" w:type="dxa"/>
            <w:gridSpan w:val="8"/>
            <w:tcBorders>
              <w:top w:val="nil"/>
              <w:left w:val="nil"/>
              <w:bottom w:val="nil"/>
              <w:right w:val="nil"/>
            </w:tcBorders>
            <w:shd w:val="clear" w:color="auto" w:fill="auto"/>
            <w:noWrap/>
            <w:vAlign w:val="center"/>
            <w:hideMark/>
          </w:tcPr>
          <w:p w14:paraId="398D4266" w14:textId="77777777" w:rsidR="00ED24FC" w:rsidRPr="00ED24FC" w:rsidRDefault="00ED24FC" w:rsidP="00ED24FC">
            <w:pPr>
              <w:spacing w:after="0" w:line="240" w:lineRule="auto"/>
              <w:jc w:val="right"/>
              <w:rPr>
                <w:rFonts w:ascii="Arial" w:eastAsia="Times New Roman" w:hAnsi="Arial" w:cs="Arial"/>
                <w:sz w:val="20"/>
                <w:szCs w:val="20"/>
                <w:lang w:eastAsia="en-GB"/>
              </w:rPr>
            </w:pPr>
            <w:r w:rsidRPr="00ED24FC">
              <w:rPr>
                <w:rFonts w:ascii="Arial" w:eastAsia="Times New Roman" w:hAnsi="Arial" w:cs="Arial"/>
                <w:bCs/>
                <w:sz w:val="20"/>
                <w:szCs w:val="20"/>
                <w:lang w:eastAsia="en-GB"/>
              </w:rPr>
              <w:t>84</w:t>
            </w:r>
          </w:p>
        </w:tc>
        <w:tc>
          <w:tcPr>
            <w:tcW w:w="293" w:type="dxa"/>
            <w:gridSpan w:val="2"/>
            <w:vAlign w:val="center"/>
            <w:hideMark/>
          </w:tcPr>
          <w:p w14:paraId="7B391A31" w14:textId="77777777" w:rsidR="00ED24FC" w:rsidRPr="00A35742" w:rsidRDefault="00ED24FC" w:rsidP="00ED24FC">
            <w:pPr>
              <w:spacing w:after="0" w:line="240" w:lineRule="auto"/>
              <w:rPr>
                <w:rFonts w:ascii="Times New Roman" w:eastAsia="Times New Roman" w:hAnsi="Times New Roman" w:cs="Times New Roman"/>
                <w:sz w:val="20"/>
                <w:szCs w:val="20"/>
                <w:lang w:eastAsia="en-GB"/>
              </w:rPr>
            </w:pPr>
          </w:p>
        </w:tc>
        <w:tc>
          <w:tcPr>
            <w:tcW w:w="334" w:type="dxa"/>
            <w:gridSpan w:val="2"/>
            <w:vAlign w:val="center"/>
            <w:hideMark/>
          </w:tcPr>
          <w:p w14:paraId="58AED385" w14:textId="77777777" w:rsidR="00ED24FC" w:rsidRPr="00A35742" w:rsidRDefault="00ED24FC" w:rsidP="00ED24FC">
            <w:pPr>
              <w:spacing w:after="0" w:line="240" w:lineRule="auto"/>
              <w:rPr>
                <w:rFonts w:ascii="Times New Roman" w:eastAsia="Times New Roman" w:hAnsi="Times New Roman" w:cs="Times New Roman"/>
                <w:sz w:val="20"/>
                <w:szCs w:val="20"/>
                <w:lang w:eastAsia="en-GB"/>
              </w:rPr>
            </w:pPr>
          </w:p>
        </w:tc>
      </w:tr>
      <w:tr w:rsidR="00ED24FC" w:rsidRPr="00A35742" w14:paraId="7059BF3C" w14:textId="77777777" w:rsidTr="003E4FA9">
        <w:trPr>
          <w:trHeight w:val="357"/>
        </w:trPr>
        <w:tc>
          <w:tcPr>
            <w:tcW w:w="5637" w:type="dxa"/>
            <w:tcBorders>
              <w:top w:val="nil"/>
              <w:left w:val="nil"/>
              <w:bottom w:val="single" w:sz="4" w:space="0" w:color="auto"/>
              <w:right w:val="nil"/>
            </w:tcBorders>
            <w:shd w:val="clear" w:color="auto" w:fill="auto"/>
            <w:noWrap/>
            <w:vAlign w:val="center"/>
            <w:hideMark/>
          </w:tcPr>
          <w:p w14:paraId="72E72C83" w14:textId="77777777" w:rsidR="00ED24FC" w:rsidRPr="00A35742" w:rsidRDefault="00ED24FC" w:rsidP="00ED24FC">
            <w:pPr>
              <w:spacing w:after="0" w:line="240" w:lineRule="auto"/>
              <w:rPr>
                <w:rFonts w:ascii="Arial" w:eastAsia="Times New Roman" w:hAnsi="Arial" w:cs="Arial"/>
                <w:sz w:val="20"/>
                <w:szCs w:val="20"/>
                <w:lang w:eastAsia="en-GB"/>
              </w:rPr>
            </w:pPr>
            <w:r w:rsidRPr="00A35742">
              <w:rPr>
                <w:rFonts w:ascii="Arial" w:eastAsia="Times New Roman" w:hAnsi="Arial" w:cs="Arial"/>
                <w:sz w:val="20"/>
                <w:szCs w:val="20"/>
                <w:lang w:eastAsia="en-GB"/>
              </w:rPr>
              <w:t>Total</w:t>
            </w:r>
          </w:p>
        </w:tc>
        <w:tc>
          <w:tcPr>
            <w:tcW w:w="1733" w:type="dxa"/>
            <w:gridSpan w:val="4"/>
            <w:tcBorders>
              <w:top w:val="single" w:sz="4" w:space="0" w:color="auto"/>
              <w:left w:val="nil"/>
              <w:bottom w:val="single" w:sz="4" w:space="0" w:color="auto"/>
              <w:right w:val="nil"/>
            </w:tcBorders>
            <w:shd w:val="clear" w:color="auto" w:fill="auto"/>
            <w:noWrap/>
            <w:vAlign w:val="center"/>
          </w:tcPr>
          <w:p w14:paraId="29A39327" w14:textId="77777777" w:rsidR="00ED24FC" w:rsidRPr="00A35742" w:rsidRDefault="00756CB8" w:rsidP="00ED24FC">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3,</w:t>
            </w:r>
            <w:r w:rsidR="007C0FCE">
              <w:rPr>
                <w:rFonts w:ascii="Arial" w:eastAsia="Times New Roman" w:hAnsi="Arial" w:cs="Arial"/>
                <w:b/>
                <w:bCs/>
                <w:sz w:val="20"/>
                <w:szCs w:val="20"/>
                <w:lang w:eastAsia="en-GB"/>
              </w:rPr>
              <w:t>72</w:t>
            </w:r>
            <w:r w:rsidR="00641883">
              <w:rPr>
                <w:rFonts w:ascii="Arial" w:eastAsia="Times New Roman" w:hAnsi="Arial" w:cs="Arial"/>
                <w:b/>
                <w:bCs/>
                <w:sz w:val="20"/>
                <w:szCs w:val="20"/>
                <w:lang w:eastAsia="en-GB"/>
              </w:rPr>
              <w:t>7</w:t>
            </w:r>
          </w:p>
        </w:tc>
        <w:tc>
          <w:tcPr>
            <w:tcW w:w="1587" w:type="dxa"/>
            <w:gridSpan w:val="8"/>
            <w:tcBorders>
              <w:top w:val="single" w:sz="4" w:space="0" w:color="auto"/>
              <w:left w:val="nil"/>
              <w:bottom w:val="single" w:sz="4" w:space="0" w:color="auto"/>
              <w:right w:val="nil"/>
            </w:tcBorders>
            <w:shd w:val="clear" w:color="auto" w:fill="auto"/>
            <w:noWrap/>
            <w:vAlign w:val="center"/>
            <w:hideMark/>
          </w:tcPr>
          <w:p w14:paraId="035118DC" w14:textId="77777777" w:rsidR="00ED24FC" w:rsidRPr="00ED24FC" w:rsidRDefault="00ED24FC" w:rsidP="00ED24FC">
            <w:pPr>
              <w:spacing w:after="0" w:line="240" w:lineRule="auto"/>
              <w:jc w:val="right"/>
              <w:rPr>
                <w:rFonts w:ascii="Arial" w:eastAsia="Times New Roman" w:hAnsi="Arial" w:cs="Arial"/>
                <w:sz w:val="20"/>
                <w:szCs w:val="20"/>
                <w:lang w:eastAsia="en-GB"/>
              </w:rPr>
            </w:pPr>
            <w:r w:rsidRPr="00ED24FC">
              <w:rPr>
                <w:rFonts w:ascii="Arial" w:eastAsia="Times New Roman" w:hAnsi="Arial" w:cs="Arial"/>
                <w:bCs/>
                <w:sz w:val="20"/>
                <w:szCs w:val="20"/>
                <w:lang w:eastAsia="en-GB"/>
              </w:rPr>
              <w:t>3,607</w:t>
            </w:r>
          </w:p>
        </w:tc>
        <w:tc>
          <w:tcPr>
            <w:tcW w:w="293" w:type="dxa"/>
            <w:gridSpan w:val="2"/>
            <w:vAlign w:val="center"/>
            <w:hideMark/>
          </w:tcPr>
          <w:p w14:paraId="593373A8" w14:textId="77777777" w:rsidR="00ED24FC" w:rsidRPr="00A35742" w:rsidRDefault="00ED24FC" w:rsidP="00ED24FC">
            <w:pPr>
              <w:spacing w:after="0" w:line="240" w:lineRule="auto"/>
              <w:rPr>
                <w:rFonts w:ascii="Times New Roman" w:eastAsia="Times New Roman" w:hAnsi="Times New Roman" w:cs="Times New Roman"/>
                <w:sz w:val="20"/>
                <w:szCs w:val="20"/>
                <w:lang w:eastAsia="en-GB"/>
              </w:rPr>
            </w:pPr>
          </w:p>
        </w:tc>
        <w:tc>
          <w:tcPr>
            <w:tcW w:w="334" w:type="dxa"/>
            <w:gridSpan w:val="2"/>
            <w:vAlign w:val="center"/>
            <w:hideMark/>
          </w:tcPr>
          <w:p w14:paraId="25E8D5AB" w14:textId="77777777" w:rsidR="00ED24FC" w:rsidRPr="00A35742" w:rsidRDefault="00ED24FC" w:rsidP="00ED24FC">
            <w:pPr>
              <w:spacing w:after="0" w:line="240" w:lineRule="auto"/>
              <w:rPr>
                <w:rFonts w:ascii="Times New Roman" w:eastAsia="Times New Roman" w:hAnsi="Times New Roman" w:cs="Times New Roman"/>
                <w:sz w:val="20"/>
                <w:szCs w:val="20"/>
                <w:lang w:eastAsia="en-GB"/>
              </w:rPr>
            </w:pPr>
          </w:p>
        </w:tc>
      </w:tr>
    </w:tbl>
    <w:p w14:paraId="3E0A50E4" w14:textId="77777777" w:rsidR="00190D85" w:rsidRDefault="004B18B9" w:rsidP="00190D85">
      <w:pPr>
        <w:spacing w:after="0" w:line="240" w:lineRule="auto"/>
        <w:rPr>
          <w:rFonts w:ascii="Arial" w:eastAsia="Times New Roman" w:hAnsi="Arial" w:cs="Arial"/>
          <w:lang w:eastAsia="en-GB"/>
        </w:rPr>
      </w:pPr>
      <w:r w:rsidRPr="00A35742">
        <w:rPr>
          <w:rFonts w:ascii="Arial" w:eastAsia="Times New Roman" w:hAnsi="Arial" w:cs="Arial"/>
          <w:lang w:eastAsia="en-GB"/>
        </w:rPr>
        <w:br/>
      </w:r>
      <w:r w:rsidR="00190D85" w:rsidRPr="00A35742">
        <w:rPr>
          <w:rFonts w:ascii="Arial" w:eastAsia="Times New Roman" w:hAnsi="Arial" w:cs="Arial"/>
          <w:lang w:eastAsia="en-GB"/>
        </w:rPr>
        <w:t>Employee costs for the above persons during the year were:</w:t>
      </w:r>
    </w:p>
    <w:p w14:paraId="2CCE0A7A" w14:textId="77777777" w:rsidR="00F8700E" w:rsidRPr="00A35742" w:rsidRDefault="00F8700E" w:rsidP="00190D85">
      <w:pPr>
        <w:spacing w:after="0" w:line="240" w:lineRule="auto"/>
        <w:rPr>
          <w:rFonts w:ascii="Arial" w:eastAsia="Times New Roman" w:hAnsi="Arial" w:cs="Arial"/>
          <w:lang w:eastAsia="en-GB"/>
        </w:rPr>
      </w:pPr>
    </w:p>
    <w:tbl>
      <w:tblPr>
        <w:tblW w:w="9016" w:type="dxa"/>
        <w:tblLook w:val="04A0" w:firstRow="1" w:lastRow="0" w:firstColumn="1" w:lastColumn="0" w:noHBand="0" w:noVBand="1"/>
      </w:tblPr>
      <w:tblGrid>
        <w:gridCol w:w="4701"/>
        <w:gridCol w:w="881"/>
        <w:gridCol w:w="1717"/>
        <w:gridCol w:w="141"/>
        <w:gridCol w:w="1431"/>
        <w:gridCol w:w="145"/>
      </w:tblGrid>
      <w:tr w:rsidR="00190D85" w:rsidRPr="00A35742" w14:paraId="1E7F89EF" w14:textId="77777777" w:rsidTr="000D1293">
        <w:trPr>
          <w:gridAfter w:val="1"/>
          <w:wAfter w:w="145" w:type="dxa"/>
          <w:trHeight w:val="371"/>
        </w:trPr>
        <w:tc>
          <w:tcPr>
            <w:tcW w:w="4701" w:type="dxa"/>
            <w:tcBorders>
              <w:top w:val="nil"/>
              <w:left w:val="nil"/>
              <w:bottom w:val="nil"/>
              <w:right w:val="nil"/>
            </w:tcBorders>
            <w:shd w:val="clear" w:color="auto" w:fill="auto"/>
            <w:noWrap/>
            <w:vAlign w:val="center"/>
            <w:hideMark/>
          </w:tcPr>
          <w:p w14:paraId="7774C761" w14:textId="77777777" w:rsidR="00190D85" w:rsidRPr="00A35742" w:rsidRDefault="00190D85" w:rsidP="001F6984">
            <w:pPr>
              <w:rPr>
                <w:rFonts w:ascii="Times New Roman" w:eastAsia="Times New Roman" w:hAnsi="Times New Roman" w:cs="Times New Roman"/>
                <w:sz w:val="24"/>
                <w:szCs w:val="24"/>
                <w:lang w:eastAsia="en-GB"/>
              </w:rPr>
            </w:pPr>
          </w:p>
        </w:tc>
        <w:tc>
          <w:tcPr>
            <w:tcW w:w="881" w:type="dxa"/>
            <w:tcBorders>
              <w:top w:val="nil"/>
              <w:left w:val="nil"/>
              <w:bottom w:val="nil"/>
              <w:right w:val="nil"/>
            </w:tcBorders>
            <w:shd w:val="clear" w:color="auto" w:fill="auto"/>
            <w:noWrap/>
            <w:vAlign w:val="center"/>
            <w:hideMark/>
          </w:tcPr>
          <w:p w14:paraId="5611C501" w14:textId="77777777" w:rsidR="00190D85" w:rsidRPr="00A35742" w:rsidRDefault="00190D85" w:rsidP="001F6984">
            <w:pPr>
              <w:spacing w:after="0" w:line="240" w:lineRule="auto"/>
              <w:rPr>
                <w:rFonts w:ascii="Times New Roman" w:eastAsia="Times New Roman" w:hAnsi="Times New Roman" w:cs="Times New Roman"/>
                <w:sz w:val="20"/>
                <w:szCs w:val="20"/>
                <w:lang w:eastAsia="en-GB"/>
              </w:rPr>
            </w:pPr>
          </w:p>
        </w:tc>
        <w:tc>
          <w:tcPr>
            <w:tcW w:w="1717" w:type="dxa"/>
            <w:tcBorders>
              <w:top w:val="nil"/>
              <w:left w:val="nil"/>
              <w:bottom w:val="nil"/>
              <w:right w:val="nil"/>
            </w:tcBorders>
            <w:shd w:val="clear" w:color="auto" w:fill="auto"/>
            <w:noWrap/>
            <w:vAlign w:val="center"/>
            <w:hideMark/>
          </w:tcPr>
          <w:p w14:paraId="02BF9F71" w14:textId="77777777" w:rsidR="00190D85" w:rsidRPr="00A35742" w:rsidRDefault="002F1E81" w:rsidP="005B39D0">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 xml:space="preserve">Year ended 31 August </w:t>
            </w:r>
            <w:r w:rsidR="0037645F">
              <w:rPr>
                <w:rFonts w:ascii="Arial" w:eastAsia="Times New Roman" w:hAnsi="Arial" w:cs="Arial"/>
                <w:b/>
                <w:bCs/>
                <w:sz w:val="20"/>
                <w:szCs w:val="20"/>
                <w:lang w:eastAsia="en-GB"/>
              </w:rPr>
              <w:t>2020</w:t>
            </w:r>
          </w:p>
        </w:tc>
        <w:tc>
          <w:tcPr>
            <w:tcW w:w="1572" w:type="dxa"/>
            <w:gridSpan w:val="2"/>
            <w:tcBorders>
              <w:top w:val="nil"/>
              <w:left w:val="nil"/>
              <w:bottom w:val="nil"/>
              <w:right w:val="nil"/>
            </w:tcBorders>
            <w:shd w:val="clear" w:color="auto" w:fill="auto"/>
            <w:noWrap/>
            <w:vAlign w:val="center"/>
            <w:hideMark/>
          </w:tcPr>
          <w:p w14:paraId="0C5470FE" w14:textId="77777777" w:rsidR="00190D85" w:rsidRPr="00A35742" w:rsidRDefault="00255CE0" w:rsidP="006968BD">
            <w:pPr>
              <w:spacing w:after="0" w:line="240" w:lineRule="auto"/>
              <w:ind w:right="-107"/>
              <w:jc w:val="right"/>
              <w:rPr>
                <w:rFonts w:ascii="Arial" w:eastAsia="Times New Roman" w:hAnsi="Arial" w:cs="Arial"/>
                <w:sz w:val="20"/>
                <w:szCs w:val="20"/>
                <w:lang w:eastAsia="en-GB"/>
              </w:rPr>
            </w:pPr>
            <w:r>
              <w:rPr>
                <w:rFonts w:ascii="Arial" w:eastAsia="Times New Roman" w:hAnsi="Arial" w:cs="Arial"/>
                <w:sz w:val="20"/>
                <w:szCs w:val="20"/>
                <w:lang w:eastAsia="en-GB"/>
              </w:rPr>
              <w:t>Year ended</w:t>
            </w:r>
            <w:r w:rsidR="002F1E81">
              <w:rPr>
                <w:rFonts w:ascii="Arial" w:eastAsia="Times New Roman" w:hAnsi="Arial" w:cs="Arial"/>
                <w:sz w:val="20"/>
                <w:szCs w:val="20"/>
                <w:lang w:eastAsia="en-GB"/>
              </w:rPr>
              <w:t xml:space="preserve"> 31 August </w:t>
            </w:r>
            <w:r w:rsidR="0037645F">
              <w:rPr>
                <w:rFonts w:ascii="Arial" w:eastAsia="Times New Roman" w:hAnsi="Arial" w:cs="Arial"/>
                <w:sz w:val="20"/>
                <w:szCs w:val="20"/>
                <w:lang w:eastAsia="en-GB"/>
              </w:rPr>
              <w:t>2019</w:t>
            </w:r>
          </w:p>
        </w:tc>
      </w:tr>
      <w:tr w:rsidR="00190D85" w:rsidRPr="00A35742" w14:paraId="37903AF3" w14:textId="77777777" w:rsidTr="000D1293">
        <w:trPr>
          <w:gridAfter w:val="1"/>
          <w:wAfter w:w="145" w:type="dxa"/>
          <w:trHeight w:val="371"/>
        </w:trPr>
        <w:tc>
          <w:tcPr>
            <w:tcW w:w="4701" w:type="dxa"/>
            <w:tcBorders>
              <w:top w:val="nil"/>
              <w:left w:val="nil"/>
              <w:bottom w:val="nil"/>
              <w:right w:val="nil"/>
            </w:tcBorders>
            <w:shd w:val="clear" w:color="auto" w:fill="auto"/>
            <w:noWrap/>
            <w:vAlign w:val="center"/>
            <w:hideMark/>
          </w:tcPr>
          <w:p w14:paraId="1DDB4F23" w14:textId="77777777" w:rsidR="00190D85" w:rsidRPr="00A35742" w:rsidRDefault="00190D85" w:rsidP="007729E5">
            <w:pPr>
              <w:spacing w:after="0" w:line="240" w:lineRule="auto"/>
              <w:rPr>
                <w:rFonts w:ascii="Arial" w:eastAsia="Times New Roman" w:hAnsi="Arial" w:cs="Arial"/>
                <w:sz w:val="20"/>
                <w:szCs w:val="20"/>
                <w:lang w:eastAsia="en-GB"/>
              </w:rPr>
            </w:pPr>
          </w:p>
        </w:tc>
        <w:tc>
          <w:tcPr>
            <w:tcW w:w="881" w:type="dxa"/>
            <w:tcBorders>
              <w:top w:val="nil"/>
              <w:left w:val="nil"/>
              <w:bottom w:val="nil"/>
              <w:right w:val="nil"/>
            </w:tcBorders>
            <w:shd w:val="clear" w:color="auto" w:fill="auto"/>
            <w:noWrap/>
            <w:vAlign w:val="center"/>
            <w:hideMark/>
          </w:tcPr>
          <w:p w14:paraId="0177BA96" w14:textId="77777777" w:rsidR="00190D85" w:rsidRPr="00A35742" w:rsidRDefault="00190D85" w:rsidP="007729E5">
            <w:pPr>
              <w:spacing w:after="0" w:line="240" w:lineRule="auto"/>
              <w:rPr>
                <w:rFonts w:ascii="Times New Roman" w:eastAsia="Times New Roman" w:hAnsi="Times New Roman" w:cs="Times New Roman"/>
                <w:sz w:val="20"/>
                <w:szCs w:val="20"/>
                <w:lang w:eastAsia="en-GB"/>
              </w:rPr>
            </w:pPr>
          </w:p>
        </w:tc>
        <w:tc>
          <w:tcPr>
            <w:tcW w:w="1717" w:type="dxa"/>
            <w:tcBorders>
              <w:top w:val="nil"/>
              <w:left w:val="nil"/>
              <w:bottom w:val="single" w:sz="4" w:space="0" w:color="auto"/>
              <w:right w:val="nil"/>
            </w:tcBorders>
            <w:shd w:val="clear" w:color="auto" w:fill="auto"/>
            <w:noWrap/>
            <w:vAlign w:val="center"/>
            <w:hideMark/>
          </w:tcPr>
          <w:p w14:paraId="693DC58C" w14:textId="77777777" w:rsidR="00190D85" w:rsidRPr="00A35742" w:rsidRDefault="00190D85" w:rsidP="005B39D0">
            <w:pPr>
              <w:spacing w:after="0" w:line="240" w:lineRule="auto"/>
              <w:jc w:val="right"/>
              <w:rPr>
                <w:rFonts w:ascii="Arial" w:eastAsia="Times New Roman" w:hAnsi="Arial" w:cs="Arial"/>
                <w:b/>
                <w:bCs/>
                <w:sz w:val="20"/>
                <w:szCs w:val="20"/>
                <w:lang w:eastAsia="en-GB"/>
              </w:rPr>
            </w:pPr>
            <w:r w:rsidRPr="00A35742">
              <w:rPr>
                <w:rFonts w:ascii="Arial" w:eastAsia="Times New Roman" w:hAnsi="Arial" w:cs="Arial"/>
                <w:b/>
                <w:bCs/>
                <w:sz w:val="20"/>
                <w:szCs w:val="20"/>
                <w:lang w:eastAsia="en-GB"/>
              </w:rPr>
              <w:t>£'000</w:t>
            </w:r>
          </w:p>
        </w:tc>
        <w:tc>
          <w:tcPr>
            <w:tcW w:w="1572" w:type="dxa"/>
            <w:gridSpan w:val="2"/>
            <w:tcBorders>
              <w:top w:val="nil"/>
              <w:left w:val="nil"/>
              <w:bottom w:val="single" w:sz="4" w:space="0" w:color="auto"/>
              <w:right w:val="nil"/>
            </w:tcBorders>
            <w:shd w:val="clear" w:color="auto" w:fill="auto"/>
            <w:noWrap/>
            <w:vAlign w:val="center"/>
            <w:hideMark/>
          </w:tcPr>
          <w:p w14:paraId="01D08523" w14:textId="77777777" w:rsidR="00190D85" w:rsidRPr="00A35742" w:rsidRDefault="00190D85" w:rsidP="006968BD">
            <w:pPr>
              <w:spacing w:after="0" w:line="240" w:lineRule="auto"/>
              <w:ind w:right="-107"/>
              <w:jc w:val="right"/>
              <w:rPr>
                <w:rFonts w:ascii="Arial" w:eastAsia="Times New Roman" w:hAnsi="Arial" w:cs="Arial"/>
                <w:sz w:val="20"/>
                <w:szCs w:val="20"/>
                <w:lang w:eastAsia="en-GB"/>
              </w:rPr>
            </w:pPr>
            <w:r w:rsidRPr="00A35742">
              <w:rPr>
                <w:rFonts w:ascii="Arial" w:eastAsia="Times New Roman" w:hAnsi="Arial" w:cs="Arial"/>
                <w:sz w:val="20"/>
                <w:szCs w:val="20"/>
                <w:lang w:eastAsia="en-GB"/>
              </w:rPr>
              <w:t>£'000</w:t>
            </w:r>
          </w:p>
        </w:tc>
      </w:tr>
      <w:tr w:rsidR="00ED24FC" w:rsidRPr="00A35742" w14:paraId="342393E9" w14:textId="77777777" w:rsidTr="000D1293">
        <w:trPr>
          <w:trHeight w:val="371"/>
        </w:trPr>
        <w:tc>
          <w:tcPr>
            <w:tcW w:w="4701" w:type="dxa"/>
            <w:tcBorders>
              <w:top w:val="single" w:sz="4" w:space="0" w:color="auto"/>
              <w:left w:val="nil"/>
              <w:bottom w:val="nil"/>
              <w:right w:val="nil"/>
            </w:tcBorders>
            <w:shd w:val="clear" w:color="auto" w:fill="auto"/>
            <w:noWrap/>
            <w:vAlign w:val="center"/>
            <w:hideMark/>
          </w:tcPr>
          <w:p w14:paraId="33324EB4" w14:textId="77777777" w:rsidR="00ED24FC" w:rsidRPr="00A35742" w:rsidRDefault="00ED24FC" w:rsidP="00ED24FC">
            <w:pPr>
              <w:spacing w:after="0" w:line="240" w:lineRule="auto"/>
              <w:rPr>
                <w:rFonts w:ascii="Arial" w:eastAsia="Times New Roman" w:hAnsi="Arial" w:cs="Arial"/>
                <w:sz w:val="20"/>
                <w:szCs w:val="20"/>
                <w:lang w:eastAsia="en-GB"/>
              </w:rPr>
            </w:pPr>
            <w:r w:rsidRPr="00A35742">
              <w:rPr>
                <w:rFonts w:ascii="Arial" w:eastAsia="Times New Roman" w:hAnsi="Arial" w:cs="Arial"/>
                <w:sz w:val="20"/>
                <w:szCs w:val="20"/>
                <w:lang w:eastAsia="en-GB"/>
              </w:rPr>
              <w:t>Wages and salaries</w:t>
            </w:r>
          </w:p>
        </w:tc>
        <w:tc>
          <w:tcPr>
            <w:tcW w:w="881" w:type="dxa"/>
            <w:tcBorders>
              <w:top w:val="single" w:sz="4" w:space="0" w:color="auto"/>
              <w:left w:val="nil"/>
              <w:bottom w:val="nil"/>
              <w:right w:val="nil"/>
            </w:tcBorders>
            <w:shd w:val="clear" w:color="auto" w:fill="auto"/>
            <w:noWrap/>
            <w:vAlign w:val="center"/>
            <w:hideMark/>
          </w:tcPr>
          <w:p w14:paraId="2C021261" w14:textId="77777777" w:rsidR="00ED24FC" w:rsidRPr="00A35742" w:rsidRDefault="00ED24FC" w:rsidP="00ED24FC">
            <w:pPr>
              <w:spacing w:after="0" w:line="240" w:lineRule="auto"/>
              <w:rPr>
                <w:rFonts w:ascii="Arial" w:eastAsia="Times New Roman" w:hAnsi="Arial" w:cs="Arial"/>
                <w:sz w:val="20"/>
                <w:szCs w:val="20"/>
                <w:lang w:eastAsia="en-GB"/>
              </w:rPr>
            </w:pPr>
            <w:r w:rsidRPr="00A35742">
              <w:rPr>
                <w:rFonts w:ascii="Arial" w:eastAsia="Times New Roman" w:hAnsi="Arial" w:cs="Arial"/>
                <w:sz w:val="20"/>
                <w:szCs w:val="20"/>
                <w:lang w:eastAsia="en-GB"/>
              </w:rPr>
              <w:t> </w:t>
            </w:r>
          </w:p>
        </w:tc>
        <w:tc>
          <w:tcPr>
            <w:tcW w:w="1858" w:type="dxa"/>
            <w:gridSpan w:val="2"/>
            <w:tcBorders>
              <w:top w:val="nil"/>
              <w:left w:val="nil"/>
              <w:bottom w:val="nil"/>
              <w:right w:val="nil"/>
            </w:tcBorders>
            <w:shd w:val="clear" w:color="auto" w:fill="auto"/>
            <w:noWrap/>
            <w:vAlign w:val="center"/>
          </w:tcPr>
          <w:p w14:paraId="6687D58C" w14:textId="77777777" w:rsidR="00ED24FC" w:rsidRPr="00A35742" w:rsidRDefault="00AF39AA" w:rsidP="006647C2">
            <w:pPr>
              <w:spacing w:after="0" w:line="240" w:lineRule="auto"/>
              <w:ind w:right="178"/>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100,140</w:t>
            </w:r>
          </w:p>
        </w:tc>
        <w:tc>
          <w:tcPr>
            <w:tcW w:w="1576" w:type="dxa"/>
            <w:gridSpan w:val="2"/>
            <w:tcBorders>
              <w:top w:val="nil"/>
              <w:left w:val="nil"/>
              <w:bottom w:val="nil"/>
              <w:right w:val="nil"/>
            </w:tcBorders>
            <w:shd w:val="clear" w:color="auto" w:fill="auto"/>
            <w:noWrap/>
            <w:vAlign w:val="center"/>
            <w:hideMark/>
          </w:tcPr>
          <w:p w14:paraId="0418528D" w14:textId="77777777" w:rsidR="00ED24FC" w:rsidRPr="00ED24FC" w:rsidRDefault="00ED24FC" w:rsidP="00ED24FC">
            <w:pPr>
              <w:spacing w:after="0" w:line="240" w:lineRule="auto"/>
              <w:jc w:val="right"/>
              <w:rPr>
                <w:rFonts w:ascii="Arial" w:eastAsia="Times New Roman" w:hAnsi="Arial" w:cs="Arial"/>
                <w:sz w:val="20"/>
                <w:szCs w:val="20"/>
                <w:lang w:eastAsia="en-GB"/>
              </w:rPr>
            </w:pPr>
            <w:r w:rsidRPr="00ED24FC">
              <w:rPr>
                <w:rFonts w:ascii="Arial" w:eastAsia="Times New Roman" w:hAnsi="Arial" w:cs="Arial"/>
                <w:bCs/>
                <w:sz w:val="20"/>
                <w:szCs w:val="20"/>
                <w:lang w:eastAsia="en-GB"/>
              </w:rPr>
              <w:t>102,500</w:t>
            </w:r>
          </w:p>
        </w:tc>
      </w:tr>
      <w:tr w:rsidR="00ED24FC" w:rsidRPr="00A35742" w14:paraId="6205B231" w14:textId="77777777" w:rsidTr="000D1293">
        <w:trPr>
          <w:trHeight w:val="371"/>
        </w:trPr>
        <w:tc>
          <w:tcPr>
            <w:tcW w:w="4701" w:type="dxa"/>
            <w:tcBorders>
              <w:top w:val="nil"/>
              <w:left w:val="nil"/>
              <w:bottom w:val="nil"/>
              <w:right w:val="nil"/>
            </w:tcBorders>
            <w:shd w:val="clear" w:color="auto" w:fill="auto"/>
            <w:noWrap/>
            <w:vAlign w:val="center"/>
            <w:hideMark/>
          </w:tcPr>
          <w:p w14:paraId="53EE1D52" w14:textId="77777777" w:rsidR="00ED24FC" w:rsidRPr="00A35742" w:rsidRDefault="00ED24FC" w:rsidP="00ED24FC">
            <w:pPr>
              <w:spacing w:after="0" w:line="240" w:lineRule="auto"/>
              <w:rPr>
                <w:rFonts w:ascii="Arial" w:eastAsia="Times New Roman" w:hAnsi="Arial" w:cs="Arial"/>
                <w:sz w:val="20"/>
                <w:szCs w:val="20"/>
                <w:lang w:eastAsia="en-GB"/>
              </w:rPr>
            </w:pPr>
            <w:r w:rsidRPr="00A35742">
              <w:rPr>
                <w:rFonts w:ascii="Arial" w:eastAsia="Times New Roman" w:hAnsi="Arial" w:cs="Arial"/>
                <w:sz w:val="20"/>
                <w:szCs w:val="20"/>
                <w:lang w:eastAsia="en-GB"/>
              </w:rPr>
              <w:t>Social security costs</w:t>
            </w:r>
          </w:p>
        </w:tc>
        <w:tc>
          <w:tcPr>
            <w:tcW w:w="881" w:type="dxa"/>
            <w:tcBorders>
              <w:top w:val="nil"/>
              <w:left w:val="nil"/>
              <w:bottom w:val="nil"/>
              <w:right w:val="nil"/>
            </w:tcBorders>
            <w:shd w:val="clear" w:color="auto" w:fill="auto"/>
            <w:noWrap/>
            <w:vAlign w:val="center"/>
            <w:hideMark/>
          </w:tcPr>
          <w:p w14:paraId="70E7BE29" w14:textId="77777777" w:rsidR="00ED24FC" w:rsidRPr="00A35742" w:rsidRDefault="00ED24FC" w:rsidP="00ED24FC">
            <w:pPr>
              <w:spacing w:after="0" w:line="240" w:lineRule="auto"/>
              <w:rPr>
                <w:rFonts w:ascii="Arial" w:eastAsia="Times New Roman" w:hAnsi="Arial" w:cs="Arial"/>
                <w:sz w:val="20"/>
                <w:szCs w:val="20"/>
                <w:lang w:eastAsia="en-GB"/>
              </w:rPr>
            </w:pPr>
          </w:p>
        </w:tc>
        <w:tc>
          <w:tcPr>
            <w:tcW w:w="1858" w:type="dxa"/>
            <w:gridSpan w:val="2"/>
            <w:tcBorders>
              <w:top w:val="nil"/>
              <w:left w:val="nil"/>
              <w:bottom w:val="nil"/>
              <w:right w:val="nil"/>
            </w:tcBorders>
            <w:shd w:val="clear" w:color="auto" w:fill="auto"/>
            <w:noWrap/>
            <w:vAlign w:val="center"/>
          </w:tcPr>
          <w:p w14:paraId="05770FE7" w14:textId="77777777" w:rsidR="00ED24FC" w:rsidRPr="00A35742" w:rsidRDefault="00F8700E" w:rsidP="006647C2">
            <w:pPr>
              <w:spacing w:after="0" w:line="240" w:lineRule="auto"/>
              <w:ind w:right="178"/>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8,166</w:t>
            </w:r>
          </w:p>
        </w:tc>
        <w:tc>
          <w:tcPr>
            <w:tcW w:w="1576" w:type="dxa"/>
            <w:gridSpan w:val="2"/>
            <w:tcBorders>
              <w:top w:val="nil"/>
              <w:left w:val="nil"/>
              <w:bottom w:val="nil"/>
              <w:right w:val="nil"/>
            </w:tcBorders>
            <w:shd w:val="clear" w:color="auto" w:fill="auto"/>
            <w:noWrap/>
            <w:vAlign w:val="center"/>
            <w:hideMark/>
          </w:tcPr>
          <w:p w14:paraId="43A9BEB3" w14:textId="77777777" w:rsidR="00ED24FC" w:rsidRPr="00ED24FC" w:rsidRDefault="00ED24FC" w:rsidP="00ED24FC">
            <w:pPr>
              <w:spacing w:after="0" w:line="240" w:lineRule="auto"/>
              <w:jc w:val="right"/>
              <w:rPr>
                <w:rFonts w:ascii="Arial" w:eastAsia="Times New Roman" w:hAnsi="Arial" w:cs="Arial"/>
                <w:sz w:val="20"/>
                <w:szCs w:val="20"/>
                <w:lang w:eastAsia="en-GB"/>
              </w:rPr>
            </w:pPr>
            <w:r w:rsidRPr="00ED24FC">
              <w:rPr>
                <w:rFonts w:ascii="Arial" w:eastAsia="Times New Roman" w:hAnsi="Arial" w:cs="Arial"/>
                <w:bCs/>
                <w:sz w:val="20"/>
                <w:szCs w:val="20"/>
                <w:lang w:eastAsia="en-GB"/>
              </w:rPr>
              <w:t>9,318</w:t>
            </w:r>
          </w:p>
        </w:tc>
      </w:tr>
      <w:tr w:rsidR="00ED24FC" w:rsidRPr="00A35742" w14:paraId="31493A85" w14:textId="77777777" w:rsidTr="000D1293">
        <w:trPr>
          <w:trHeight w:val="371"/>
        </w:trPr>
        <w:tc>
          <w:tcPr>
            <w:tcW w:w="4701" w:type="dxa"/>
            <w:tcBorders>
              <w:top w:val="nil"/>
              <w:left w:val="nil"/>
              <w:bottom w:val="single" w:sz="4" w:space="0" w:color="auto"/>
              <w:right w:val="nil"/>
            </w:tcBorders>
            <w:shd w:val="clear" w:color="auto" w:fill="auto"/>
            <w:noWrap/>
            <w:vAlign w:val="center"/>
            <w:hideMark/>
          </w:tcPr>
          <w:p w14:paraId="0F91E17D" w14:textId="77777777" w:rsidR="00ED24FC" w:rsidRPr="00A35742" w:rsidRDefault="00ED24FC" w:rsidP="00ED24FC">
            <w:pPr>
              <w:spacing w:after="0" w:line="240" w:lineRule="auto"/>
              <w:rPr>
                <w:rFonts w:ascii="Arial" w:eastAsia="Times New Roman" w:hAnsi="Arial" w:cs="Arial"/>
                <w:sz w:val="20"/>
                <w:szCs w:val="20"/>
                <w:lang w:eastAsia="en-GB"/>
              </w:rPr>
            </w:pPr>
            <w:r w:rsidRPr="00A35742">
              <w:rPr>
                <w:rFonts w:ascii="Arial" w:eastAsia="Times New Roman" w:hAnsi="Arial" w:cs="Arial"/>
                <w:sz w:val="20"/>
                <w:szCs w:val="20"/>
                <w:lang w:eastAsia="en-GB"/>
              </w:rPr>
              <w:t>Other pension costs (note 24)</w:t>
            </w:r>
          </w:p>
        </w:tc>
        <w:tc>
          <w:tcPr>
            <w:tcW w:w="881" w:type="dxa"/>
            <w:tcBorders>
              <w:top w:val="nil"/>
              <w:left w:val="nil"/>
              <w:bottom w:val="nil"/>
              <w:right w:val="nil"/>
            </w:tcBorders>
            <w:shd w:val="clear" w:color="auto" w:fill="auto"/>
            <w:noWrap/>
            <w:vAlign w:val="center"/>
            <w:hideMark/>
          </w:tcPr>
          <w:p w14:paraId="6A842A29" w14:textId="77777777" w:rsidR="00ED24FC" w:rsidRPr="00A35742" w:rsidRDefault="00ED24FC" w:rsidP="00ED24FC">
            <w:pPr>
              <w:spacing w:after="0" w:line="240" w:lineRule="auto"/>
              <w:rPr>
                <w:rFonts w:ascii="Arial" w:eastAsia="Times New Roman" w:hAnsi="Arial" w:cs="Arial"/>
                <w:sz w:val="20"/>
                <w:szCs w:val="20"/>
                <w:lang w:eastAsia="en-GB"/>
              </w:rPr>
            </w:pPr>
          </w:p>
        </w:tc>
        <w:tc>
          <w:tcPr>
            <w:tcW w:w="1858" w:type="dxa"/>
            <w:gridSpan w:val="2"/>
            <w:tcBorders>
              <w:top w:val="nil"/>
              <w:left w:val="nil"/>
              <w:bottom w:val="nil"/>
              <w:right w:val="nil"/>
            </w:tcBorders>
            <w:shd w:val="clear" w:color="auto" w:fill="auto"/>
            <w:noWrap/>
            <w:vAlign w:val="center"/>
          </w:tcPr>
          <w:p w14:paraId="6B52581C" w14:textId="77777777" w:rsidR="00ED24FC" w:rsidRPr="00A35742" w:rsidRDefault="00F8700E" w:rsidP="006647C2">
            <w:pPr>
              <w:spacing w:after="0" w:line="240" w:lineRule="auto"/>
              <w:ind w:right="178"/>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15,469</w:t>
            </w:r>
          </w:p>
        </w:tc>
        <w:tc>
          <w:tcPr>
            <w:tcW w:w="1576" w:type="dxa"/>
            <w:gridSpan w:val="2"/>
            <w:tcBorders>
              <w:top w:val="nil"/>
              <w:left w:val="nil"/>
              <w:bottom w:val="nil"/>
              <w:right w:val="nil"/>
            </w:tcBorders>
            <w:shd w:val="clear" w:color="auto" w:fill="auto"/>
            <w:noWrap/>
            <w:vAlign w:val="center"/>
            <w:hideMark/>
          </w:tcPr>
          <w:p w14:paraId="510B159E" w14:textId="77777777" w:rsidR="00ED24FC" w:rsidRPr="00ED24FC" w:rsidRDefault="00ED24FC" w:rsidP="00ED24FC">
            <w:pPr>
              <w:spacing w:after="0" w:line="240" w:lineRule="auto"/>
              <w:jc w:val="right"/>
              <w:rPr>
                <w:rFonts w:ascii="Arial" w:eastAsia="Times New Roman" w:hAnsi="Arial" w:cs="Arial"/>
                <w:sz w:val="20"/>
                <w:szCs w:val="20"/>
                <w:lang w:eastAsia="en-GB"/>
              </w:rPr>
            </w:pPr>
            <w:r w:rsidRPr="00ED24FC">
              <w:rPr>
                <w:rFonts w:ascii="Arial" w:eastAsia="Times New Roman" w:hAnsi="Arial" w:cs="Arial"/>
                <w:bCs/>
                <w:sz w:val="20"/>
                <w:szCs w:val="20"/>
                <w:lang w:eastAsia="en-GB"/>
              </w:rPr>
              <w:t>9,461</w:t>
            </w:r>
          </w:p>
        </w:tc>
      </w:tr>
      <w:tr w:rsidR="00ED24FC" w:rsidRPr="00A35742" w14:paraId="0F90C6A7" w14:textId="77777777" w:rsidTr="000D1293">
        <w:trPr>
          <w:trHeight w:val="371"/>
        </w:trPr>
        <w:tc>
          <w:tcPr>
            <w:tcW w:w="4701" w:type="dxa"/>
            <w:tcBorders>
              <w:top w:val="nil"/>
              <w:left w:val="nil"/>
              <w:bottom w:val="single" w:sz="4" w:space="0" w:color="auto"/>
              <w:right w:val="nil"/>
            </w:tcBorders>
            <w:shd w:val="clear" w:color="auto" w:fill="auto"/>
            <w:noWrap/>
            <w:vAlign w:val="center"/>
            <w:hideMark/>
          </w:tcPr>
          <w:p w14:paraId="6156DE46" w14:textId="77777777" w:rsidR="00ED24FC" w:rsidRPr="00A35742" w:rsidRDefault="00ED24FC" w:rsidP="00ED24FC">
            <w:pPr>
              <w:spacing w:after="0" w:line="240" w:lineRule="auto"/>
              <w:rPr>
                <w:rFonts w:ascii="Arial" w:eastAsia="Times New Roman" w:hAnsi="Arial" w:cs="Arial"/>
                <w:sz w:val="20"/>
                <w:szCs w:val="20"/>
                <w:lang w:eastAsia="en-GB"/>
              </w:rPr>
            </w:pPr>
            <w:r w:rsidRPr="00A35742">
              <w:rPr>
                <w:rFonts w:ascii="Arial" w:eastAsia="Times New Roman" w:hAnsi="Arial" w:cs="Arial"/>
                <w:sz w:val="20"/>
                <w:szCs w:val="20"/>
                <w:lang w:eastAsia="en-GB"/>
              </w:rPr>
              <w:t>Total</w:t>
            </w:r>
          </w:p>
        </w:tc>
        <w:tc>
          <w:tcPr>
            <w:tcW w:w="881" w:type="dxa"/>
            <w:tcBorders>
              <w:top w:val="single" w:sz="4" w:space="0" w:color="auto"/>
              <w:left w:val="nil"/>
              <w:bottom w:val="single" w:sz="4" w:space="0" w:color="auto"/>
              <w:right w:val="nil"/>
            </w:tcBorders>
            <w:shd w:val="clear" w:color="auto" w:fill="auto"/>
            <w:noWrap/>
            <w:vAlign w:val="center"/>
            <w:hideMark/>
          </w:tcPr>
          <w:p w14:paraId="5C9A1B17" w14:textId="77777777" w:rsidR="00ED24FC" w:rsidRPr="00A35742" w:rsidRDefault="00ED24FC" w:rsidP="00ED24FC">
            <w:pPr>
              <w:spacing w:after="0" w:line="240" w:lineRule="auto"/>
              <w:rPr>
                <w:rFonts w:ascii="Arial" w:eastAsia="Times New Roman" w:hAnsi="Arial" w:cs="Arial"/>
                <w:sz w:val="20"/>
                <w:szCs w:val="20"/>
                <w:lang w:eastAsia="en-GB"/>
              </w:rPr>
            </w:pPr>
            <w:r w:rsidRPr="00A35742">
              <w:rPr>
                <w:rFonts w:ascii="Arial" w:eastAsia="Times New Roman" w:hAnsi="Arial" w:cs="Arial"/>
                <w:sz w:val="20"/>
                <w:szCs w:val="20"/>
                <w:lang w:eastAsia="en-GB"/>
              </w:rPr>
              <w:t> </w:t>
            </w:r>
          </w:p>
        </w:tc>
        <w:tc>
          <w:tcPr>
            <w:tcW w:w="1858" w:type="dxa"/>
            <w:gridSpan w:val="2"/>
            <w:tcBorders>
              <w:top w:val="single" w:sz="4" w:space="0" w:color="auto"/>
              <w:left w:val="nil"/>
              <w:bottom w:val="single" w:sz="4" w:space="0" w:color="auto"/>
              <w:right w:val="nil"/>
            </w:tcBorders>
            <w:shd w:val="clear" w:color="auto" w:fill="auto"/>
            <w:noWrap/>
            <w:vAlign w:val="center"/>
          </w:tcPr>
          <w:p w14:paraId="1F0E1E45" w14:textId="77777777" w:rsidR="00ED24FC" w:rsidRPr="00A35742" w:rsidRDefault="00AF39AA" w:rsidP="006647C2">
            <w:pPr>
              <w:spacing w:after="0" w:line="240" w:lineRule="auto"/>
              <w:ind w:right="178"/>
              <w:jc w:val="right"/>
              <w:rPr>
                <w:rFonts w:ascii="Arial" w:eastAsia="Times New Roman" w:hAnsi="Arial" w:cs="Arial"/>
                <w:b/>
                <w:bCs/>
                <w:sz w:val="20"/>
                <w:szCs w:val="20"/>
                <w:lang w:eastAsia="en-GB"/>
              </w:rPr>
            </w:pPr>
            <w:r w:rsidRPr="00AF39AA">
              <w:rPr>
                <w:rFonts w:ascii="Arial" w:eastAsia="Times New Roman" w:hAnsi="Arial" w:cs="Arial"/>
                <w:b/>
                <w:bCs/>
                <w:sz w:val="20"/>
                <w:szCs w:val="20"/>
                <w:lang w:eastAsia="en-GB"/>
              </w:rPr>
              <w:t>123,775</w:t>
            </w:r>
          </w:p>
        </w:tc>
        <w:tc>
          <w:tcPr>
            <w:tcW w:w="1576" w:type="dxa"/>
            <w:gridSpan w:val="2"/>
            <w:tcBorders>
              <w:top w:val="single" w:sz="4" w:space="0" w:color="auto"/>
              <w:left w:val="nil"/>
              <w:bottom w:val="single" w:sz="4" w:space="0" w:color="auto"/>
              <w:right w:val="nil"/>
            </w:tcBorders>
            <w:shd w:val="clear" w:color="auto" w:fill="auto"/>
            <w:noWrap/>
            <w:vAlign w:val="center"/>
            <w:hideMark/>
          </w:tcPr>
          <w:p w14:paraId="7BABF988" w14:textId="77777777" w:rsidR="00ED24FC" w:rsidRPr="00ED24FC" w:rsidRDefault="00ED24FC" w:rsidP="00ED24FC">
            <w:pPr>
              <w:spacing w:after="0" w:line="240" w:lineRule="auto"/>
              <w:jc w:val="right"/>
              <w:rPr>
                <w:rFonts w:ascii="Arial" w:eastAsia="Times New Roman" w:hAnsi="Arial" w:cs="Arial"/>
                <w:sz w:val="20"/>
                <w:szCs w:val="20"/>
                <w:lang w:eastAsia="en-GB"/>
              </w:rPr>
            </w:pPr>
            <w:r w:rsidRPr="00ED24FC">
              <w:rPr>
                <w:rFonts w:ascii="Arial" w:eastAsia="Times New Roman" w:hAnsi="Arial" w:cs="Arial"/>
                <w:bCs/>
                <w:sz w:val="20"/>
                <w:szCs w:val="20"/>
                <w:lang w:eastAsia="en-GB"/>
              </w:rPr>
              <w:t>121,279</w:t>
            </w:r>
          </w:p>
        </w:tc>
      </w:tr>
    </w:tbl>
    <w:p w14:paraId="4021AC0A" w14:textId="77777777" w:rsidR="00190D85" w:rsidRDefault="00190D85" w:rsidP="004B18B9">
      <w:pPr>
        <w:spacing w:after="120" w:line="240" w:lineRule="auto"/>
        <w:rPr>
          <w:rFonts w:ascii="Arial" w:hAnsi="Arial" w:cs="Arial"/>
          <w:sz w:val="20"/>
          <w:szCs w:val="20"/>
        </w:rPr>
      </w:pPr>
    </w:p>
    <w:p w14:paraId="66D1DE63" w14:textId="77777777" w:rsidR="006968BD" w:rsidRDefault="006968BD">
      <w:r>
        <w:br w:type="page"/>
      </w:r>
    </w:p>
    <w:tbl>
      <w:tblPr>
        <w:tblW w:w="13160" w:type="dxa"/>
        <w:tblLook w:val="04A0" w:firstRow="1" w:lastRow="0" w:firstColumn="1" w:lastColumn="0" w:noHBand="0" w:noVBand="1"/>
      </w:tblPr>
      <w:tblGrid>
        <w:gridCol w:w="2239"/>
        <w:gridCol w:w="2014"/>
        <w:gridCol w:w="1701"/>
        <w:gridCol w:w="1701"/>
        <w:gridCol w:w="1708"/>
        <w:gridCol w:w="222"/>
        <w:gridCol w:w="222"/>
        <w:gridCol w:w="222"/>
        <w:gridCol w:w="222"/>
        <w:gridCol w:w="222"/>
        <w:gridCol w:w="222"/>
        <w:gridCol w:w="222"/>
        <w:gridCol w:w="687"/>
        <w:gridCol w:w="869"/>
        <w:gridCol w:w="687"/>
      </w:tblGrid>
      <w:tr w:rsidR="00190D85" w:rsidRPr="00EE0867" w14:paraId="685D3CF6" w14:textId="77777777" w:rsidTr="006968BD">
        <w:trPr>
          <w:trHeight w:val="323"/>
        </w:trPr>
        <w:tc>
          <w:tcPr>
            <w:tcW w:w="11604" w:type="dxa"/>
            <w:gridSpan w:val="13"/>
            <w:tcBorders>
              <w:top w:val="nil"/>
              <w:left w:val="nil"/>
              <w:bottom w:val="nil"/>
              <w:right w:val="nil"/>
            </w:tcBorders>
            <w:shd w:val="clear" w:color="auto" w:fill="auto"/>
            <w:noWrap/>
            <w:vAlign w:val="center"/>
            <w:hideMark/>
          </w:tcPr>
          <w:p w14:paraId="1C4D653E" w14:textId="77777777" w:rsidR="006C07DD" w:rsidRDefault="00190D85" w:rsidP="00000B84">
            <w:pPr>
              <w:spacing w:after="0" w:line="240" w:lineRule="auto"/>
              <w:rPr>
                <w:rFonts w:ascii="Arial" w:hAnsi="Arial" w:cs="Arial"/>
                <w:b/>
                <w:i/>
                <w:sz w:val="24"/>
                <w:szCs w:val="24"/>
              </w:rPr>
            </w:pPr>
            <w:r>
              <w:lastRenderedPageBreak/>
              <w:br w:type="page"/>
            </w:r>
            <w:r w:rsidR="006C07DD" w:rsidRPr="0088736E">
              <w:rPr>
                <w:rFonts w:ascii="Arial" w:hAnsi="Arial" w:cs="Arial"/>
                <w:b/>
                <w:i/>
                <w:sz w:val="24"/>
                <w:szCs w:val="24"/>
              </w:rPr>
              <w:t xml:space="preserve">Notes to the financial </w:t>
            </w:r>
            <w:r w:rsidR="006C07DD">
              <w:rPr>
                <w:rFonts w:ascii="Arial" w:hAnsi="Arial" w:cs="Arial"/>
                <w:b/>
                <w:i/>
                <w:sz w:val="24"/>
                <w:szCs w:val="24"/>
              </w:rPr>
              <w:t>statements</w:t>
            </w:r>
            <w:r w:rsidR="006C07DD" w:rsidRPr="0088736E">
              <w:rPr>
                <w:rFonts w:ascii="Arial" w:hAnsi="Arial" w:cs="Arial"/>
                <w:b/>
                <w:i/>
                <w:sz w:val="24"/>
                <w:szCs w:val="24"/>
              </w:rPr>
              <w:t xml:space="preserve"> (continued)</w:t>
            </w:r>
          </w:p>
          <w:p w14:paraId="6031B6DD" w14:textId="77777777" w:rsidR="006C07DD" w:rsidRDefault="006C07DD" w:rsidP="00000B84">
            <w:pPr>
              <w:spacing w:after="0" w:line="240" w:lineRule="auto"/>
              <w:rPr>
                <w:rFonts w:ascii="Arial" w:eastAsia="Times New Roman" w:hAnsi="Arial" w:cs="Arial"/>
                <w:b/>
                <w:bCs/>
                <w:sz w:val="24"/>
                <w:szCs w:val="24"/>
                <w:lang w:eastAsia="en-GB"/>
              </w:rPr>
            </w:pPr>
          </w:p>
          <w:p w14:paraId="6E413717" w14:textId="77777777" w:rsidR="002F1E81" w:rsidRDefault="001F2611" w:rsidP="00000B84">
            <w:pPr>
              <w:spacing w:after="0" w:line="240" w:lineRule="auto"/>
            </w:pPr>
            <w:r>
              <w:rPr>
                <w:rFonts w:ascii="Arial" w:eastAsia="Times New Roman" w:hAnsi="Arial" w:cs="Arial"/>
                <w:b/>
                <w:bCs/>
                <w:sz w:val="24"/>
                <w:szCs w:val="24"/>
                <w:lang w:eastAsia="en-GB"/>
              </w:rPr>
              <w:t>5</w:t>
            </w:r>
            <w:r w:rsidR="002F1E81" w:rsidRPr="00742859">
              <w:rPr>
                <w:rFonts w:ascii="Arial" w:eastAsia="Times New Roman" w:hAnsi="Arial" w:cs="Arial"/>
                <w:b/>
                <w:bCs/>
                <w:sz w:val="24"/>
                <w:szCs w:val="24"/>
                <w:lang w:eastAsia="en-GB"/>
              </w:rPr>
              <w:t>. Employees</w:t>
            </w:r>
            <w:r w:rsidR="002F1E81">
              <w:rPr>
                <w:rFonts w:ascii="Arial" w:eastAsia="Times New Roman" w:hAnsi="Arial" w:cs="Arial"/>
                <w:b/>
                <w:bCs/>
                <w:sz w:val="24"/>
                <w:szCs w:val="24"/>
                <w:lang w:eastAsia="en-GB"/>
              </w:rPr>
              <w:t xml:space="preserve"> (continued)</w:t>
            </w:r>
          </w:p>
          <w:p w14:paraId="56EB6264" w14:textId="77777777" w:rsidR="002F1E81" w:rsidRDefault="002F1E81" w:rsidP="004B18B9">
            <w:pPr>
              <w:spacing w:after="120" w:line="240" w:lineRule="auto"/>
              <w:rPr>
                <w:rFonts w:ascii="Arial" w:eastAsia="Times New Roman" w:hAnsi="Arial" w:cs="Arial"/>
                <w:lang w:eastAsia="en-GB"/>
              </w:rPr>
            </w:pPr>
          </w:p>
          <w:p w14:paraId="1F2A8C0B" w14:textId="77777777" w:rsidR="00190D85" w:rsidRPr="004B18B9" w:rsidRDefault="00190D85" w:rsidP="004B18B9">
            <w:pPr>
              <w:spacing w:after="120" w:line="240" w:lineRule="auto"/>
              <w:rPr>
                <w:rFonts w:ascii="Arial" w:eastAsia="Times New Roman" w:hAnsi="Arial" w:cs="Arial"/>
                <w:lang w:eastAsia="en-GB"/>
              </w:rPr>
            </w:pPr>
            <w:r w:rsidRPr="006C6857">
              <w:rPr>
                <w:rFonts w:ascii="Arial" w:eastAsia="Times New Roman" w:hAnsi="Arial" w:cs="Arial"/>
                <w:lang w:eastAsia="en-GB"/>
              </w:rPr>
              <w:t>The total emoluments of employees earning more than £60,000 fall</w:t>
            </w:r>
            <w:r w:rsidR="004B18B9">
              <w:rPr>
                <w:rFonts w:ascii="Arial" w:eastAsia="Times New Roman" w:hAnsi="Arial" w:cs="Arial"/>
                <w:lang w:eastAsia="en-GB"/>
              </w:rPr>
              <w:t xml:space="preserve"> within the following bandings:</w:t>
            </w:r>
          </w:p>
        </w:tc>
        <w:tc>
          <w:tcPr>
            <w:tcW w:w="1556" w:type="dxa"/>
            <w:gridSpan w:val="2"/>
            <w:tcBorders>
              <w:top w:val="nil"/>
              <w:left w:val="nil"/>
              <w:bottom w:val="nil"/>
              <w:right w:val="nil"/>
            </w:tcBorders>
            <w:shd w:val="clear" w:color="auto" w:fill="auto"/>
            <w:noWrap/>
            <w:vAlign w:val="center"/>
            <w:hideMark/>
          </w:tcPr>
          <w:p w14:paraId="3E4B432F" w14:textId="77777777" w:rsidR="00190D85" w:rsidRPr="00EE0867" w:rsidRDefault="00190D85" w:rsidP="004B18B9">
            <w:pPr>
              <w:spacing w:after="120" w:line="240" w:lineRule="auto"/>
              <w:rPr>
                <w:rFonts w:ascii="Arial" w:eastAsia="Times New Roman" w:hAnsi="Arial" w:cs="Arial"/>
                <w:sz w:val="20"/>
                <w:szCs w:val="20"/>
                <w:lang w:eastAsia="en-GB"/>
              </w:rPr>
            </w:pPr>
          </w:p>
        </w:tc>
      </w:tr>
      <w:tr w:rsidR="00190D85" w:rsidRPr="00EE0867" w14:paraId="68B564B6" w14:textId="77777777" w:rsidTr="006968BD">
        <w:trPr>
          <w:gridAfter w:val="1"/>
          <w:wAfter w:w="687" w:type="dxa"/>
          <w:trHeight w:val="323"/>
        </w:trPr>
        <w:tc>
          <w:tcPr>
            <w:tcW w:w="2239" w:type="dxa"/>
            <w:tcBorders>
              <w:top w:val="nil"/>
              <w:left w:val="nil"/>
              <w:bottom w:val="nil"/>
              <w:right w:val="nil"/>
            </w:tcBorders>
            <w:shd w:val="clear" w:color="auto" w:fill="auto"/>
            <w:noWrap/>
            <w:vAlign w:val="center"/>
            <w:hideMark/>
          </w:tcPr>
          <w:p w14:paraId="5BF88FDE" w14:textId="77777777" w:rsidR="00190D85" w:rsidRPr="00EE0867" w:rsidRDefault="00190D85" w:rsidP="001F6984">
            <w:pPr>
              <w:spacing w:after="0" w:line="240" w:lineRule="auto"/>
              <w:rPr>
                <w:rFonts w:ascii="Times New Roman" w:eastAsia="Times New Roman" w:hAnsi="Times New Roman" w:cs="Times New Roman"/>
                <w:sz w:val="20"/>
                <w:szCs w:val="20"/>
                <w:lang w:eastAsia="en-GB"/>
              </w:rPr>
            </w:pPr>
          </w:p>
        </w:tc>
        <w:tc>
          <w:tcPr>
            <w:tcW w:w="2014" w:type="dxa"/>
            <w:tcBorders>
              <w:top w:val="nil"/>
              <w:left w:val="nil"/>
              <w:bottom w:val="nil"/>
              <w:right w:val="nil"/>
            </w:tcBorders>
            <w:shd w:val="clear" w:color="auto" w:fill="auto"/>
            <w:vAlign w:val="center"/>
            <w:hideMark/>
          </w:tcPr>
          <w:p w14:paraId="69B42411" w14:textId="77777777" w:rsidR="00190D85" w:rsidRPr="00EE0867" w:rsidRDefault="0037645F" w:rsidP="005B39D0">
            <w:pPr>
              <w:spacing w:after="0" w:line="240" w:lineRule="auto"/>
              <w:jc w:val="right"/>
              <w:rPr>
                <w:rFonts w:ascii="Arial" w:eastAsia="Times New Roman" w:hAnsi="Arial" w:cs="Arial"/>
                <w:b/>
                <w:bCs/>
                <w:sz w:val="20"/>
                <w:szCs w:val="20"/>
                <w:lang w:eastAsia="en-GB"/>
              </w:rPr>
            </w:pPr>
            <w:r>
              <w:rPr>
                <w:rFonts w:ascii="Arial" w:hAnsi="Arial" w:cs="Arial"/>
                <w:b/>
                <w:bCs/>
                <w:sz w:val="20"/>
                <w:szCs w:val="20"/>
              </w:rPr>
              <w:t>2020</w:t>
            </w:r>
          </w:p>
        </w:tc>
        <w:tc>
          <w:tcPr>
            <w:tcW w:w="1701" w:type="dxa"/>
            <w:tcBorders>
              <w:top w:val="nil"/>
              <w:left w:val="nil"/>
              <w:bottom w:val="nil"/>
              <w:right w:val="nil"/>
            </w:tcBorders>
            <w:shd w:val="clear" w:color="auto" w:fill="auto"/>
            <w:vAlign w:val="center"/>
            <w:hideMark/>
          </w:tcPr>
          <w:p w14:paraId="3ED89A02" w14:textId="77777777" w:rsidR="00190D85" w:rsidRPr="00EE0867" w:rsidRDefault="0037645F" w:rsidP="005B39D0">
            <w:pPr>
              <w:spacing w:after="0" w:line="240" w:lineRule="auto"/>
              <w:jc w:val="right"/>
              <w:rPr>
                <w:rFonts w:ascii="Arial" w:eastAsia="Times New Roman" w:hAnsi="Arial" w:cs="Arial"/>
                <w:b/>
                <w:bCs/>
                <w:sz w:val="20"/>
                <w:szCs w:val="20"/>
                <w:lang w:eastAsia="en-GB"/>
              </w:rPr>
            </w:pPr>
            <w:r>
              <w:rPr>
                <w:rFonts w:ascii="Arial" w:hAnsi="Arial" w:cs="Arial"/>
                <w:sz w:val="20"/>
                <w:szCs w:val="20"/>
              </w:rPr>
              <w:t>2019</w:t>
            </w:r>
          </w:p>
        </w:tc>
        <w:tc>
          <w:tcPr>
            <w:tcW w:w="1701" w:type="dxa"/>
            <w:tcBorders>
              <w:top w:val="nil"/>
              <w:left w:val="nil"/>
              <w:bottom w:val="nil"/>
              <w:right w:val="nil"/>
            </w:tcBorders>
            <w:shd w:val="clear" w:color="auto" w:fill="auto"/>
            <w:vAlign w:val="center"/>
            <w:hideMark/>
          </w:tcPr>
          <w:p w14:paraId="169925E8" w14:textId="77777777" w:rsidR="00190D85" w:rsidRPr="00EE0867" w:rsidRDefault="0037645F" w:rsidP="005B39D0">
            <w:pPr>
              <w:spacing w:after="0" w:line="240" w:lineRule="auto"/>
              <w:jc w:val="right"/>
              <w:rPr>
                <w:rFonts w:ascii="Arial" w:eastAsia="Times New Roman" w:hAnsi="Arial" w:cs="Arial"/>
                <w:b/>
                <w:bCs/>
                <w:sz w:val="20"/>
                <w:szCs w:val="20"/>
                <w:lang w:eastAsia="en-GB"/>
              </w:rPr>
            </w:pPr>
            <w:r>
              <w:rPr>
                <w:rFonts w:ascii="Arial" w:hAnsi="Arial" w:cs="Arial"/>
                <w:b/>
                <w:bCs/>
                <w:sz w:val="20"/>
                <w:szCs w:val="20"/>
              </w:rPr>
              <w:t>2020</w:t>
            </w:r>
          </w:p>
        </w:tc>
        <w:tc>
          <w:tcPr>
            <w:tcW w:w="1708" w:type="dxa"/>
            <w:tcBorders>
              <w:top w:val="nil"/>
              <w:left w:val="nil"/>
              <w:bottom w:val="nil"/>
              <w:right w:val="nil"/>
            </w:tcBorders>
            <w:shd w:val="clear" w:color="auto" w:fill="auto"/>
            <w:vAlign w:val="center"/>
            <w:hideMark/>
          </w:tcPr>
          <w:p w14:paraId="0C4FED55" w14:textId="77777777" w:rsidR="00190D85" w:rsidRPr="00EE0867" w:rsidRDefault="0037645F" w:rsidP="005B39D0">
            <w:pPr>
              <w:spacing w:after="0" w:line="240" w:lineRule="auto"/>
              <w:jc w:val="right"/>
              <w:rPr>
                <w:rFonts w:ascii="Arial" w:eastAsia="Times New Roman" w:hAnsi="Arial" w:cs="Arial"/>
                <w:b/>
                <w:bCs/>
                <w:sz w:val="20"/>
                <w:szCs w:val="20"/>
                <w:lang w:eastAsia="en-GB"/>
              </w:rPr>
            </w:pPr>
            <w:r>
              <w:rPr>
                <w:rFonts w:ascii="Arial" w:hAnsi="Arial" w:cs="Arial"/>
                <w:sz w:val="20"/>
                <w:szCs w:val="20"/>
              </w:rPr>
              <w:t>2019</w:t>
            </w:r>
          </w:p>
        </w:tc>
        <w:tc>
          <w:tcPr>
            <w:tcW w:w="222" w:type="dxa"/>
            <w:vAlign w:val="center"/>
            <w:hideMark/>
          </w:tcPr>
          <w:p w14:paraId="71508442" w14:textId="77777777" w:rsidR="00190D85" w:rsidRPr="00EE0867" w:rsidRDefault="00190D85" w:rsidP="001F6984">
            <w:pPr>
              <w:spacing w:after="0" w:line="240" w:lineRule="auto"/>
              <w:rPr>
                <w:rFonts w:ascii="Times New Roman" w:eastAsia="Times New Roman" w:hAnsi="Times New Roman" w:cs="Times New Roman"/>
                <w:sz w:val="20"/>
                <w:szCs w:val="20"/>
                <w:lang w:eastAsia="en-GB"/>
              </w:rPr>
            </w:pPr>
          </w:p>
        </w:tc>
        <w:tc>
          <w:tcPr>
            <w:tcW w:w="222" w:type="dxa"/>
            <w:vAlign w:val="center"/>
            <w:hideMark/>
          </w:tcPr>
          <w:p w14:paraId="38EEC286" w14:textId="77777777" w:rsidR="00190D85" w:rsidRPr="00EE0867" w:rsidRDefault="00190D85" w:rsidP="001F6984">
            <w:pPr>
              <w:spacing w:after="0" w:line="240" w:lineRule="auto"/>
              <w:rPr>
                <w:rFonts w:ascii="Times New Roman" w:eastAsia="Times New Roman" w:hAnsi="Times New Roman" w:cs="Times New Roman"/>
                <w:sz w:val="20"/>
                <w:szCs w:val="20"/>
                <w:lang w:eastAsia="en-GB"/>
              </w:rPr>
            </w:pPr>
          </w:p>
        </w:tc>
        <w:tc>
          <w:tcPr>
            <w:tcW w:w="222" w:type="dxa"/>
            <w:vAlign w:val="center"/>
            <w:hideMark/>
          </w:tcPr>
          <w:p w14:paraId="3AA973E9" w14:textId="77777777" w:rsidR="00190D85" w:rsidRPr="00EE0867" w:rsidRDefault="00190D85" w:rsidP="001F6984">
            <w:pPr>
              <w:spacing w:after="0" w:line="240" w:lineRule="auto"/>
              <w:rPr>
                <w:rFonts w:ascii="Times New Roman" w:eastAsia="Times New Roman" w:hAnsi="Times New Roman" w:cs="Times New Roman"/>
                <w:sz w:val="20"/>
                <w:szCs w:val="20"/>
                <w:lang w:eastAsia="en-GB"/>
              </w:rPr>
            </w:pPr>
          </w:p>
        </w:tc>
        <w:tc>
          <w:tcPr>
            <w:tcW w:w="222" w:type="dxa"/>
            <w:vAlign w:val="center"/>
            <w:hideMark/>
          </w:tcPr>
          <w:p w14:paraId="11D07455" w14:textId="77777777" w:rsidR="00190D85" w:rsidRPr="00EE0867" w:rsidRDefault="00190D85" w:rsidP="001F6984">
            <w:pPr>
              <w:spacing w:after="0" w:line="240" w:lineRule="auto"/>
              <w:rPr>
                <w:rFonts w:ascii="Times New Roman" w:eastAsia="Times New Roman" w:hAnsi="Times New Roman" w:cs="Times New Roman"/>
                <w:sz w:val="20"/>
                <w:szCs w:val="20"/>
                <w:lang w:eastAsia="en-GB"/>
              </w:rPr>
            </w:pPr>
          </w:p>
        </w:tc>
        <w:tc>
          <w:tcPr>
            <w:tcW w:w="222" w:type="dxa"/>
            <w:vAlign w:val="center"/>
            <w:hideMark/>
          </w:tcPr>
          <w:p w14:paraId="050BADAF" w14:textId="77777777" w:rsidR="00190D85" w:rsidRPr="00EE0867" w:rsidRDefault="00190D85" w:rsidP="001F6984">
            <w:pPr>
              <w:spacing w:after="0" w:line="240" w:lineRule="auto"/>
              <w:rPr>
                <w:rFonts w:ascii="Times New Roman" w:eastAsia="Times New Roman" w:hAnsi="Times New Roman" w:cs="Times New Roman"/>
                <w:sz w:val="20"/>
                <w:szCs w:val="20"/>
                <w:lang w:eastAsia="en-GB"/>
              </w:rPr>
            </w:pPr>
          </w:p>
        </w:tc>
        <w:tc>
          <w:tcPr>
            <w:tcW w:w="222" w:type="dxa"/>
            <w:vAlign w:val="center"/>
            <w:hideMark/>
          </w:tcPr>
          <w:p w14:paraId="2C12CD05" w14:textId="77777777" w:rsidR="00190D85" w:rsidRPr="00EE0867" w:rsidRDefault="00190D85" w:rsidP="001F6984">
            <w:pPr>
              <w:spacing w:after="0" w:line="240" w:lineRule="auto"/>
              <w:rPr>
                <w:rFonts w:ascii="Times New Roman" w:eastAsia="Times New Roman" w:hAnsi="Times New Roman" w:cs="Times New Roman"/>
                <w:sz w:val="20"/>
                <w:szCs w:val="20"/>
                <w:lang w:eastAsia="en-GB"/>
              </w:rPr>
            </w:pPr>
          </w:p>
        </w:tc>
        <w:tc>
          <w:tcPr>
            <w:tcW w:w="222" w:type="dxa"/>
            <w:vAlign w:val="center"/>
            <w:hideMark/>
          </w:tcPr>
          <w:p w14:paraId="6850065D" w14:textId="77777777" w:rsidR="00190D85" w:rsidRPr="00EE0867" w:rsidRDefault="00190D85" w:rsidP="001F6984">
            <w:pPr>
              <w:spacing w:after="0" w:line="240" w:lineRule="auto"/>
              <w:rPr>
                <w:rFonts w:ascii="Times New Roman" w:eastAsia="Times New Roman" w:hAnsi="Times New Roman" w:cs="Times New Roman"/>
                <w:sz w:val="20"/>
                <w:szCs w:val="20"/>
                <w:lang w:eastAsia="en-GB"/>
              </w:rPr>
            </w:pPr>
          </w:p>
        </w:tc>
        <w:tc>
          <w:tcPr>
            <w:tcW w:w="1556" w:type="dxa"/>
            <w:gridSpan w:val="2"/>
            <w:vAlign w:val="center"/>
            <w:hideMark/>
          </w:tcPr>
          <w:p w14:paraId="61111DE9" w14:textId="77777777" w:rsidR="00190D85" w:rsidRPr="00EE0867" w:rsidRDefault="00190D85" w:rsidP="001F6984">
            <w:pPr>
              <w:spacing w:after="0" w:line="240" w:lineRule="auto"/>
              <w:rPr>
                <w:rFonts w:ascii="Times New Roman" w:eastAsia="Times New Roman" w:hAnsi="Times New Roman" w:cs="Times New Roman"/>
                <w:sz w:val="20"/>
                <w:szCs w:val="20"/>
                <w:lang w:eastAsia="en-GB"/>
              </w:rPr>
            </w:pPr>
          </w:p>
        </w:tc>
      </w:tr>
      <w:tr w:rsidR="00190D85" w:rsidRPr="00EE0867" w14:paraId="766F2809" w14:textId="77777777" w:rsidTr="006968BD">
        <w:trPr>
          <w:gridAfter w:val="1"/>
          <w:wAfter w:w="687" w:type="dxa"/>
          <w:trHeight w:val="1275"/>
        </w:trPr>
        <w:tc>
          <w:tcPr>
            <w:tcW w:w="2239" w:type="dxa"/>
            <w:tcBorders>
              <w:top w:val="nil"/>
              <w:left w:val="nil"/>
              <w:bottom w:val="nil"/>
              <w:right w:val="nil"/>
            </w:tcBorders>
            <w:shd w:val="clear" w:color="auto" w:fill="auto"/>
            <w:noWrap/>
            <w:vAlign w:val="center"/>
            <w:hideMark/>
          </w:tcPr>
          <w:p w14:paraId="11E577A1" w14:textId="77777777" w:rsidR="00190D85" w:rsidRPr="00EE0867" w:rsidRDefault="00190D85" w:rsidP="001F6984">
            <w:pPr>
              <w:spacing w:after="0" w:line="240" w:lineRule="auto"/>
              <w:rPr>
                <w:rFonts w:ascii="Arial" w:eastAsia="Times New Roman" w:hAnsi="Arial" w:cs="Arial"/>
                <w:b/>
                <w:bCs/>
                <w:sz w:val="20"/>
                <w:szCs w:val="20"/>
                <w:lang w:eastAsia="en-GB"/>
              </w:rPr>
            </w:pPr>
          </w:p>
        </w:tc>
        <w:tc>
          <w:tcPr>
            <w:tcW w:w="2014" w:type="dxa"/>
            <w:tcBorders>
              <w:top w:val="nil"/>
              <w:left w:val="nil"/>
              <w:bottom w:val="nil"/>
              <w:right w:val="nil"/>
            </w:tcBorders>
            <w:shd w:val="clear" w:color="auto" w:fill="auto"/>
            <w:noWrap/>
            <w:hideMark/>
          </w:tcPr>
          <w:p w14:paraId="2B2B2957" w14:textId="77777777" w:rsidR="00190D85" w:rsidRPr="00EE0867" w:rsidRDefault="00190D85" w:rsidP="005B39D0">
            <w:pPr>
              <w:spacing w:after="0" w:line="240" w:lineRule="auto"/>
              <w:jc w:val="right"/>
              <w:rPr>
                <w:rFonts w:ascii="Arial" w:eastAsia="Times New Roman" w:hAnsi="Arial" w:cs="Arial"/>
                <w:b/>
                <w:bCs/>
                <w:sz w:val="20"/>
                <w:szCs w:val="20"/>
                <w:lang w:eastAsia="en-GB"/>
              </w:rPr>
            </w:pPr>
            <w:r>
              <w:rPr>
                <w:rFonts w:ascii="Arial" w:hAnsi="Arial" w:cs="Arial"/>
                <w:b/>
                <w:bCs/>
                <w:sz w:val="20"/>
                <w:szCs w:val="20"/>
              </w:rPr>
              <w:t xml:space="preserve">Total </w:t>
            </w:r>
            <w:r w:rsidR="000F6386">
              <w:rPr>
                <w:rFonts w:ascii="Arial" w:hAnsi="Arial" w:cs="Arial"/>
                <w:b/>
                <w:bCs/>
                <w:sz w:val="20"/>
                <w:szCs w:val="20"/>
              </w:rPr>
              <w:br/>
            </w:r>
            <w:r>
              <w:rPr>
                <w:rFonts w:ascii="Arial" w:hAnsi="Arial" w:cs="Arial"/>
                <w:b/>
                <w:bCs/>
                <w:sz w:val="20"/>
                <w:szCs w:val="20"/>
              </w:rPr>
              <w:t>Emoluments</w:t>
            </w:r>
          </w:p>
        </w:tc>
        <w:tc>
          <w:tcPr>
            <w:tcW w:w="1701" w:type="dxa"/>
            <w:tcBorders>
              <w:top w:val="nil"/>
              <w:left w:val="nil"/>
              <w:bottom w:val="nil"/>
              <w:right w:val="nil"/>
            </w:tcBorders>
            <w:shd w:val="clear" w:color="auto" w:fill="auto"/>
            <w:hideMark/>
          </w:tcPr>
          <w:p w14:paraId="31DDBDE1" w14:textId="77777777" w:rsidR="00190D85" w:rsidRPr="00EE0867" w:rsidRDefault="00190D85">
            <w:pPr>
              <w:spacing w:after="0" w:line="240" w:lineRule="auto"/>
              <w:jc w:val="right"/>
              <w:rPr>
                <w:rFonts w:ascii="Arial" w:eastAsia="Times New Roman" w:hAnsi="Arial" w:cs="Arial"/>
                <w:b/>
                <w:bCs/>
                <w:sz w:val="20"/>
                <w:szCs w:val="20"/>
                <w:lang w:eastAsia="en-GB"/>
              </w:rPr>
            </w:pPr>
            <w:r>
              <w:rPr>
                <w:rFonts w:ascii="Arial" w:hAnsi="Arial" w:cs="Arial"/>
                <w:sz w:val="20"/>
                <w:szCs w:val="20"/>
              </w:rPr>
              <w:t xml:space="preserve">Total </w:t>
            </w:r>
            <w:r w:rsidR="000F6386">
              <w:rPr>
                <w:rFonts w:ascii="Arial" w:hAnsi="Arial" w:cs="Arial"/>
                <w:sz w:val="20"/>
                <w:szCs w:val="20"/>
              </w:rPr>
              <w:br/>
            </w:r>
            <w:r>
              <w:rPr>
                <w:rFonts w:ascii="Arial" w:hAnsi="Arial" w:cs="Arial"/>
                <w:sz w:val="20"/>
                <w:szCs w:val="20"/>
              </w:rPr>
              <w:t xml:space="preserve">Emoluments  </w:t>
            </w:r>
          </w:p>
        </w:tc>
        <w:tc>
          <w:tcPr>
            <w:tcW w:w="1701" w:type="dxa"/>
            <w:tcBorders>
              <w:top w:val="nil"/>
              <w:left w:val="nil"/>
              <w:bottom w:val="nil"/>
              <w:right w:val="nil"/>
            </w:tcBorders>
            <w:shd w:val="clear" w:color="auto" w:fill="auto"/>
            <w:noWrap/>
            <w:hideMark/>
          </w:tcPr>
          <w:p w14:paraId="22CA4153" w14:textId="77777777" w:rsidR="00190D85" w:rsidRPr="00EE0867" w:rsidRDefault="00190D85" w:rsidP="005B39D0">
            <w:pPr>
              <w:spacing w:after="0" w:line="240" w:lineRule="auto"/>
              <w:jc w:val="right"/>
              <w:rPr>
                <w:rFonts w:ascii="Arial" w:eastAsia="Times New Roman" w:hAnsi="Arial" w:cs="Arial"/>
                <w:b/>
                <w:bCs/>
                <w:sz w:val="20"/>
                <w:szCs w:val="20"/>
                <w:lang w:eastAsia="en-GB"/>
              </w:rPr>
            </w:pPr>
            <w:r>
              <w:rPr>
                <w:rFonts w:ascii="Arial" w:hAnsi="Arial" w:cs="Arial"/>
                <w:b/>
                <w:bCs/>
                <w:sz w:val="20"/>
                <w:szCs w:val="20"/>
              </w:rPr>
              <w:t>Total Emoluments excl. severance payments</w:t>
            </w:r>
          </w:p>
        </w:tc>
        <w:tc>
          <w:tcPr>
            <w:tcW w:w="1708" w:type="dxa"/>
            <w:tcBorders>
              <w:top w:val="nil"/>
              <w:left w:val="nil"/>
              <w:bottom w:val="nil"/>
              <w:right w:val="nil"/>
            </w:tcBorders>
            <w:shd w:val="clear" w:color="auto" w:fill="auto"/>
            <w:hideMark/>
          </w:tcPr>
          <w:p w14:paraId="4438C5CC" w14:textId="77777777" w:rsidR="00190D85" w:rsidRPr="00EE0867" w:rsidRDefault="00190D85">
            <w:pPr>
              <w:spacing w:after="0" w:line="240" w:lineRule="auto"/>
              <w:jc w:val="right"/>
              <w:rPr>
                <w:rFonts w:ascii="Arial" w:eastAsia="Times New Roman" w:hAnsi="Arial" w:cs="Arial"/>
                <w:b/>
                <w:bCs/>
                <w:sz w:val="20"/>
                <w:szCs w:val="20"/>
                <w:lang w:eastAsia="en-GB"/>
              </w:rPr>
            </w:pPr>
            <w:r>
              <w:rPr>
                <w:rFonts w:ascii="Arial" w:hAnsi="Arial" w:cs="Arial"/>
                <w:sz w:val="20"/>
                <w:szCs w:val="20"/>
              </w:rPr>
              <w:t>Total Emoluments excl. severance payments</w:t>
            </w:r>
          </w:p>
        </w:tc>
        <w:tc>
          <w:tcPr>
            <w:tcW w:w="222" w:type="dxa"/>
            <w:vAlign w:val="center"/>
            <w:hideMark/>
          </w:tcPr>
          <w:p w14:paraId="5109093C" w14:textId="77777777" w:rsidR="00190D85" w:rsidRPr="00EE0867" w:rsidRDefault="00190D85" w:rsidP="001F6984">
            <w:pPr>
              <w:spacing w:after="0" w:line="240" w:lineRule="auto"/>
              <w:rPr>
                <w:rFonts w:ascii="Times New Roman" w:eastAsia="Times New Roman" w:hAnsi="Times New Roman" w:cs="Times New Roman"/>
                <w:sz w:val="20"/>
                <w:szCs w:val="20"/>
                <w:lang w:eastAsia="en-GB"/>
              </w:rPr>
            </w:pPr>
          </w:p>
        </w:tc>
        <w:tc>
          <w:tcPr>
            <w:tcW w:w="222" w:type="dxa"/>
            <w:vAlign w:val="center"/>
            <w:hideMark/>
          </w:tcPr>
          <w:p w14:paraId="62B432BD" w14:textId="77777777" w:rsidR="00190D85" w:rsidRPr="00EE0867" w:rsidRDefault="00190D85" w:rsidP="001F6984">
            <w:pPr>
              <w:spacing w:after="0" w:line="240" w:lineRule="auto"/>
              <w:rPr>
                <w:rFonts w:ascii="Times New Roman" w:eastAsia="Times New Roman" w:hAnsi="Times New Roman" w:cs="Times New Roman"/>
                <w:sz w:val="20"/>
                <w:szCs w:val="20"/>
                <w:lang w:eastAsia="en-GB"/>
              </w:rPr>
            </w:pPr>
          </w:p>
        </w:tc>
        <w:tc>
          <w:tcPr>
            <w:tcW w:w="222" w:type="dxa"/>
            <w:vAlign w:val="center"/>
            <w:hideMark/>
          </w:tcPr>
          <w:p w14:paraId="360B64BD" w14:textId="77777777" w:rsidR="00190D85" w:rsidRPr="00EE0867" w:rsidRDefault="00190D85" w:rsidP="001F6984">
            <w:pPr>
              <w:spacing w:after="0" w:line="240" w:lineRule="auto"/>
              <w:rPr>
                <w:rFonts w:ascii="Times New Roman" w:eastAsia="Times New Roman" w:hAnsi="Times New Roman" w:cs="Times New Roman"/>
                <w:sz w:val="20"/>
                <w:szCs w:val="20"/>
                <w:lang w:eastAsia="en-GB"/>
              </w:rPr>
            </w:pPr>
          </w:p>
        </w:tc>
        <w:tc>
          <w:tcPr>
            <w:tcW w:w="222" w:type="dxa"/>
            <w:vAlign w:val="center"/>
            <w:hideMark/>
          </w:tcPr>
          <w:p w14:paraId="6E246599" w14:textId="77777777" w:rsidR="00190D85" w:rsidRPr="00EE0867" w:rsidRDefault="00190D85" w:rsidP="001F6984">
            <w:pPr>
              <w:spacing w:after="0" w:line="240" w:lineRule="auto"/>
              <w:rPr>
                <w:rFonts w:ascii="Times New Roman" w:eastAsia="Times New Roman" w:hAnsi="Times New Roman" w:cs="Times New Roman"/>
                <w:sz w:val="20"/>
                <w:szCs w:val="20"/>
                <w:lang w:eastAsia="en-GB"/>
              </w:rPr>
            </w:pPr>
          </w:p>
        </w:tc>
        <w:tc>
          <w:tcPr>
            <w:tcW w:w="222" w:type="dxa"/>
            <w:vAlign w:val="center"/>
            <w:hideMark/>
          </w:tcPr>
          <w:p w14:paraId="055A8E9B" w14:textId="77777777" w:rsidR="00190D85" w:rsidRPr="00EE0867" w:rsidRDefault="00190D85" w:rsidP="001F6984">
            <w:pPr>
              <w:spacing w:after="0" w:line="240" w:lineRule="auto"/>
              <w:rPr>
                <w:rFonts w:ascii="Times New Roman" w:eastAsia="Times New Roman" w:hAnsi="Times New Roman" w:cs="Times New Roman"/>
                <w:sz w:val="20"/>
                <w:szCs w:val="20"/>
                <w:lang w:eastAsia="en-GB"/>
              </w:rPr>
            </w:pPr>
          </w:p>
        </w:tc>
        <w:tc>
          <w:tcPr>
            <w:tcW w:w="222" w:type="dxa"/>
            <w:vAlign w:val="center"/>
            <w:hideMark/>
          </w:tcPr>
          <w:p w14:paraId="7E1D72B2" w14:textId="77777777" w:rsidR="00190D85" w:rsidRPr="00EE0867" w:rsidRDefault="00190D85" w:rsidP="001F6984">
            <w:pPr>
              <w:spacing w:after="0" w:line="240" w:lineRule="auto"/>
              <w:rPr>
                <w:rFonts w:ascii="Times New Roman" w:eastAsia="Times New Roman" w:hAnsi="Times New Roman" w:cs="Times New Roman"/>
                <w:sz w:val="20"/>
                <w:szCs w:val="20"/>
                <w:lang w:eastAsia="en-GB"/>
              </w:rPr>
            </w:pPr>
          </w:p>
        </w:tc>
        <w:tc>
          <w:tcPr>
            <w:tcW w:w="222" w:type="dxa"/>
            <w:vAlign w:val="center"/>
            <w:hideMark/>
          </w:tcPr>
          <w:p w14:paraId="4AC6252D" w14:textId="77777777" w:rsidR="00190D85" w:rsidRPr="00EE0867" w:rsidRDefault="00190D85" w:rsidP="001F6984">
            <w:pPr>
              <w:spacing w:after="0" w:line="240" w:lineRule="auto"/>
              <w:rPr>
                <w:rFonts w:ascii="Times New Roman" w:eastAsia="Times New Roman" w:hAnsi="Times New Roman" w:cs="Times New Roman"/>
                <w:sz w:val="20"/>
                <w:szCs w:val="20"/>
                <w:lang w:eastAsia="en-GB"/>
              </w:rPr>
            </w:pPr>
          </w:p>
        </w:tc>
        <w:tc>
          <w:tcPr>
            <w:tcW w:w="1556" w:type="dxa"/>
            <w:gridSpan w:val="2"/>
            <w:vAlign w:val="center"/>
            <w:hideMark/>
          </w:tcPr>
          <w:p w14:paraId="2E8D1BC5" w14:textId="77777777" w:rsidR="00190D85" w:rsidRPr="00EE0867" w:rsidRDefault="00190D85" w:rsidP="001F6984">
            <w:pPr>
              <w:spacing w:after="0" w:line="240" w:lineRule="auto"/>
              <w:rPr>
                <w:rFonts w:ascii="Times New Roman" w:eastAsia="Times New Roman" w:hAnsi="Times New Roman" w:cs="Times New Roman"/>
                <w:sz w:val="20"/>
                <w:szCs w:val="20"/>
                <w:lang w:eastAsia="en-GB"/>
              </w:rPr>
            </w:pPr>
          </w:p>
        </w:tc>
      </w:tr>
      <w:tr w:rsidR="00190D85" w:rsidRPr="00EE0867" w14:paraId="430941D3" w14:textId="77777777" w:rsidTr="006968BD">
        <w:trPr>
          <w:gridAfter w:val="1"/>
          <w:wAfter w:w="687" w:type="dxa"/>
          <w:trHeight w:val="323"/>
        </w:trPr>
        <w:tc>
          <w:tcPr>
            <w:tcW w:w="2239" w:type="dxa"/>
            <w:tcBorders>
              <w:top w:val="nil"/>
              <w:left w:val="nil"/>
              <w:bottom w:val="nil"/>
              <w:right w:val="nil"/>
            </w:tcBorders>
            <w:shd w:val="clear" w:color="auto" w:fill="auto"/>
            <w:noWrap/>
            <w:vAlign w:val="center"/>
            <w:hideMark/>
          </w:tcPr>
          <w:p w14:paraId="215FC873" w14:textId="77777777" w:rsidR="00190D85" w:rsidRPr="00EE0867" w:rsidRDefault="00190D85" w:rsidP="001F6984">
            <w:pPr>
              <w:spacing w:after="0" w:line="240" w:lineRule="auto"/>
              <w:rPr>
                <w:rFonts w:ascii="Arial" w:eastAsia="Times New Roman" w:hAnsi="Arial" w:cs="Arial"/>
                <w:b/>
                <w:bCs/>
                <w:sz w:val="20"/>
                <w:szCs w:val="20"/>
                <w:lang w:eastAsia="en-GB"/>
              </w:rPr>
            </w:pPr>
          </w:p>
        </w:tc>
        <w:tc>
          <w:tcPr>
            <w:tcW w:w="2014" w:type="dxa"/>
            <w:tcBorders>
              <w:top w:val="nil"/>
              <w:left w:val="nil"/>
              <w:bottom w:val="nil"/>
              <w:right w:val="nil"/>
            </w:tcBorders>
            <w:shd w:val="clear" w:color="auto" w:fill="auto"/>
            <w:noWrap/>
            <w:vAlign w:val="center"/>
            <w:hideMark/>
          </w:tcPr>
          <w:p w14:paraId="72999BE5" w14:textId="77777777" w:rsidR="00190D85" w:rsidRPr="00EE0867" w:rsidRDefault="00190D85" w:rsidP="005B39D0">
            <w:pPr>
              <w:spacing w:after="0" w:line="240" w:lineRule="auto"/>
              <w:jc w:val="right"/>
              <w:rPr>
                <w:rFonts w:ascii="Times New Roman" w:eastAsia="Times New Roman" w:hAnsi="Times New Roman" w:cs="Times New Roman"/>
                <w:sz w:val="20"/>
                <w:szCs w:val="20"/>
                <w:lang w:eastAsia="en-GB"/>
              </w:rPr>
            </w:pPr>
            <w:r>
              <w:rPr>
                <w:rFonts w:ascii="Arial" w:hAnsi="Arial" w:cs="Arial"/>
                <w:b/>
                <w:bCs/>
                <w:sz w:val="20"/>
                <w:szCs w:val="20"/>
              </w:rPr>
              <w:t>Number</w:t>
            </w:r>
          </w:p>
        </w:tc>
        <w:tc>
          <w:tcPr>
            <w:tcW w:w="1701" w:type="dxa"/>
            <w:tcBorders>
              <w:top w:val="nil"/>
              <w:left w:val="nil"/>
              <w:bottom w:val="nil"/>
              <w:right w:val="nil"/>
            </w:tcBorders>
            <w:shd w:val="clear" w:color="auto" w:fill="auto"/>
            <w:noWrap/>
            <w:vAlign w:val="center"/>
            <w:hideMark/>
          </w:tcPr>
          <w:p w14:paraId="09FEA245" w14:textId="77777777" w:rsidR="00190D85" w:rsidRPr="00EE0867" w:rsidRDefault="00190D85" w:rsidP="005B39D0">
            <w:pPr>
              <w:spacing w:after="0" w:line="240" w:lineRule="auto"/>
              <w:jc w:val="right"/>
              <w:rPr>
                <w:rFonts w:ascii="Times New Roman" w:eastAsia="Times New Roman" w:hAnsi="Times New Roman" w:cs="Times New Roman"/>
                <w:sz w:val="20"/>
                <w:szCs w:val="20"/>
                <w:lang w:eastAsia="en-GB"/>
              </w:rPr>
            </w:pPr>
            <w:r>
              <w:rPr>
                <w:rFonts w:ascii="Arial" w:hAnsi="Arial" w:cs="Arial"/>
                <w:sz w:val="20"/>
                <w:szCs w:val="20"/>
              </w:rPr>
              <w:t>Number</w:t>
            </w:r>
          </w:p>
        </w:tc>
        <w:tc>
          <w:tcPr>
            <w:tcW w:w="1701" w:type="dxa"/>
            <w:tcBorders>
              <w:top w:val="nil"/>
              <w:left w:val="nil"/>
              <w:bottom w:val="nil"/>
              <w:right w:val="nil"/>
            </w:tcBorders>
            <w:shd w:val="clear" w:color="auto" w:fill="auto"/>
            <w:noWrap/>
            <w:vAlign w:val="center"/>
            <w:hideMark/>
          </w:tcPr>
          <w:p w14:paraId="08A3F122" w14:textId="77777777" w:rsidR="00190D85" w:rsidRPr="00EE0867" w:rsidRDefault="00190D85" w:rsidP="005B39D0">
            <w:pPr>
              <w:spacing w:after="0" w:line="240" w:lineRule="auto"/>
              <w:jc w:val="right"/>
              <w:rPr>
                <w:rFonts w:ascii="Times New Roman" w:eastAsia="Times New Roman" w:hAnsi="Times New Roman" w:cs="Times New Roman"/>
                <w:sz w:val="20"/>
                <w:szCs w:val="20"/>
                <w:lang w:eastAsia="en-GB"/>
              </w:rPr>
            </w:pPr>
            <w:r>
              <w:rPr>
                <w:rFonts w:ascii="Arial" w:hAnsi="Arial" w:cs="Arial"/>
                <w:b/>
                <w:bCs/>
                <w:sz w:val="20"/>
                <w:szCs w:val="20"/>
              </w:rPr>
              <w:t>Number</w:t>
            </w:r>
          </w:p>
        </w:tc>
        <w:tc>
          <w:tcPr>
            <w:tcW w:w="1708" w:type="dxa"/>
            <w:tcBorders>
              <w:top w:val="nil"/>
              <w:left w:val="nil"/>
              <w:bottom w:val="nil"/>
              <w:right w:val="nil"/>
            </w:tcBorders>
            <w:shd w:val="clear" w:color="auto" w:fill="auto"/>
            <w:noWrap/>
            <w:vAlign w:val="center"/>
            <w:hideMark/>
          </w:tcPr>
          <w:p w14:paraId="14666472" w14:textId="77777777" w:rsidR="00190D85" w:rsidRPr="00EE0867" w:rsidRDefault="00190D85" w:rsidP="005B39D0">
            <w:pPr>
              <w:spacing w:after="0" w:line="240" w:lineRule="auto"/>
              <w:jc w:val="right"/>
              <w:rPr>
                <w:rFonts w:ascii="Times New Roman" w:eastAsia="Times New Roman" w:hAnsi="Times New Roman" w:cs="Times New Roman"/>
                <w:sz w:val="20"/>
                <w:szCs w:val="20"/>
                <w:lang w:eastAsia="en-GB"/>
              </w:rPr>
            </w:pPr>
            <w:r>
              <w:rPr>
                <w:rFonts w:ascii="Arial" w:hAnsi="Arial" w:cs="Arial"/>
                <w:sz w:val="20"/>
                <w:szCs w:val="20"/>
              </w:rPr>
              <w:t>Number</w:t>
            </w:r>
          </w:p>
        </w:tc>
        <w:tc>
          <w:tcPr>
            <w:tcW w:w="222" w:type="dxa"/>
            <w:vAlign w:val="center"/>
            <w:hideMark/>
          </w:tcPr>
          <w:p w14:paraId="37281AA5" w14:textId="77777777" w:rsidR="00190D85" w:rsidRPr="00EE0867" w:rsidRDefault="00190D85" w:rsidP="001F6984">
            <w:pPr>
              <w:spacing w:after="0" w:line="240" w:lineRule="auto"/>
              <w:rPr>
                <w:rFonts w:ascii="Times New Roman" w:eastAsia="Times New Roman" w:hAnsi="Times New Roman" w:cs="Times New Roman"/>
                <w:sz w:val="20"/>
                <w:szCs w:val="20"/>
                <w:lang w:eastAsia="en-GB"/>
              </w:rPr>
            </w:pPr>
          </w:p>
        </w:tc>
        <w:tc>
          <w:tcPr>
            <w:tcW w:w="222" w:type="dxa"/>
            <w:vAlign w:val="center"/>
            <w:hideMark/>
          </w:tcPr>
          <w:p w14:paraId="1892EC62" w14:textId="77777777" w:rsidR="00190D85" w:rsidRPr="00EE0867" w:rsidRDefault="00190D85" w:rsidP="001F6984">
            <w:pPr>
              <w:spacing w:after="0" w:line="240" w:lineRule="auto"/>
              <w:rPr>
                <w:rFonts w:ascii="Times New Roman" w:eastAsia="Times New Roman" w:hAnsi="Times New Roman" w:cs="Times New Roman"/>
                <w:sz w:val="20"/>
                <w:szCs w:val="20"/>
                <w:lang w:eastAsia="en-GB"/>
              </w:rPr>
            </w:pPr>
          </w:p>
        </w:tc>
        <w:tc>
          <w:tcPr>
            <w:tcW w:w="222" w:type="dxa"/>
            <w:vAlign w:val="center"/>
            <w:hideMark/>
          </w:tcPr>
          <w:p w14:paraId="5783272B" w14:textId="77777777" w:rsidR="00190D85" w:rsidRPr="00EE0867" w:rsidRDefault="00190D85" w:rsidP="001F6984">
            <w:pPr>
              <w:spacing w:after="0" w:line="240" w:lineRule="auto"/>
              <w:rPr>
                <w:rFonts w:ascii="Times New Roman" w:eastAsia="Times New Roman" w:hAnsi="Times New Roman" w:cs="Times New Roman"/>
                <w:sz w:val="20"/>
                <w:szCs w:val="20"/>
                <w:lang w:eastAsia="en-GB"/>
              </w:rPr>
            </w:pPr>
          </w:p>
        </w:tc>
        <w:tc>
          <w:tcPr>
            <w:tcW w:w="222" w:type="dxa"/>
            <w:vAlign w:val="center"/>
            <w:hideMark/>
          </w:tcPr>
          <w:p w14:paraId="5D8285F8" w14:textId="77777777" w:rsidR="00190D85" w:rsidRPr="00EE0867" w:rsidRDefault="00190D85" w:rsidP="001F6984">
            <w:pPr>
              <w:spacing w:after="0" w:line="240" w:lineRule="auto"/>
              <w:rPr>
                <w:rFonts w:ascii="Times New Roman" w:eastAsia="Times New Roman" w:hAnsi="Times New Roman" w:cs="Times New Roman"/>
                <w:sz w:val="20"/>
                <w:szCs w:val="20"/>
                <w:lang w:eastAsia="en-GB"/>
              </w:rPr>
            </w:pPr>
          </w:p>
        </w:tc>
        <w:tc>
          <w:tcPr>
            <w:tcW w:w="222" w:type="dxa"/>
            <w:vAlign w:val="center"/>
            <w:hideMark/>
          </w:tcPr>
          <w:p w14:paraId="735A63C4" w14:textId="77777777" w:rsidR="00190D85" w:rsidRPr="00EE0867" w:rsidRDefault="00190D85" w:rsidP="001F6984">
            <w:pPr>
              <w:spacing w:after="0" w:line="240" w:lineRule="auto"/>
              <w:rPr>
                <w:rFonts w:ascii="Times New Roman" w:eastAsia="Times New Roman" w:hAnsi="Times New Roman" w:cs="Times New Roman"/>
                <w:sz w:val="20"/>
                <w:szCs w:val="20"/>
                <w:lang w:eastAsia="en-GB"/>
              </w:rPr>
            </w:pPr>
          </w:p>
        </w:tc>
        <w:tc>
          <w:tcPr>
            <w:tcW w:w="222" w:type="dxa"/>
            <w:vAlign w:val="center"/>
            <w:hideMark/>
          </w:tcPr>
          <w:p w14:paraId="6DB24CE3" w14:textId="77777777" w:rsidR="00190D85" w:rsidRPr="00EE0867" w:rsidRDefault="00190D85" w:rsidP="001F6984">
            <w:pPr>
              <w:spacing w:after="0" w:line="240" w:lineRule="auto"/>
              <w:rPr>
                <w:rFonts w:ascii="Times New Roman" w:eastAsia="Times New Roman" w:hAnsi="Times New Roman" w:cs="Times New Roman"/>
                <w:sz w:val="20"/>
                <w:szCs w:val="20"/>
                <w:lang w:eastAsia="en-GB"/>
              </w:rPr>
            </w:pPr>
          </w:p>
        </w:tc>
        <w:tc>
          <w:tcPr>
            <w:tcW w:w="222" w:type="dxa"/>
            <w:vAlign w:val="center"/>
            <w:hideMark/>
          </w:tcPr>
          <w:p w14:paraId="6C3C95E0" w14:textId="77777777" w:rsidR="00190D85" w:rsidRPr="00EE0867" w:rsidRDefault="00190D85" w:rsidP="001F6984">
            <w:pPr>
              <w:spacing w:after="0" w:line="240" w:lineRule="auto"/>
              <w:rPr>
                <w:rFonts w:ascii="Times New Roman" w:eastAsia="Times New Roman" w:hAnsi="Times New Roman" w:cs="Times New Roman"/>
                <w:sz w:val="20"/>
                <w:szCs w:val="20"/>
                <w:lang w:eastAsia="en-GB"/>
              </w:rPr>
            </w:pPr>
          </w:p>
        </w:tc>
        <w:tc>
          <w:tcPr>
            <w:tcW w:w="1556" w:type="dxa"/>
            <w:gridSpan w:val="2"/>
            <w:vAlign w:val="center"/>
            <w:hideMark/>
          </w:tcPr>
          <w:p w14:paraId="6B4EA47D" w14:textId="77777777" w:rsidR="00190D85" w:rsidRPr="00EE0867" w:rsidRDefault="00190D85" w:rsidP="001F6984">
            <w:pPr>
              <w:spacing w:after="0" w:line="240" w:lineRule="auto"/>
              <w:rPr>
                <w:rFonts w:ascii="Times New Roman" w:eastAsia="Times New Roman" w:hAnsi="Times New Roman" w:cs="Times New Roman"/>
                <w:sz w:val="20"/>
                <w:szCs w:val="20"/>
                <w:lang w:eastAsia="en-GB"/>
              </w:rPr>
            </w:pPr>
          </w:p>
        </w:tc>
      </w:tr>
      <w:tr w:rsidR="00ED24FC" w:rsidRPr="00EE0867" w14:paraId="745D0F2B" w14:textId="77777777" w:rsidTr="006968BD">
        <w:trPr>
          <w:gridAfter w:val="1"/>
          <w:wAfter w:w="687" w:type="dxa"/>
          <w:trHeight w:val="323"/>
        </w:trPr>
        <w:tc>
          <w:tcPr>
            <w:tcW w:w="2239" w:type="dxa"/>
            <w:tcBorders>
              <w:top w:val="nil"/>
              <w:left w:val="nil"/>
              <w:bottom w:val="nil"/>
              <w:right w:val="nil"/>
            </w:tcBorders>
            <w:shd w:val="clear" w:color="auto" w:fill="auto"/>
            <w:noWrap/>
            <w:vAlign w:val="center"/>
            <w:hideMark/>
          </w:tcPr>
          <w:p w14:paraId="552F2394" w14:textId="77777777" w:rsidR="00ED24FC" w:rsidRPr="00EE0867" w:rsidRDefault="00ED24FC" w:rsidP="00ED24FC">
            <w:pPr>
              <w:spacing w:after="0" w:line="240" w:lineRule="auto"/>
              <w:rPr>
                <w:rFonts w:ascii="Arial" w:eastAsia="Times New Roman" w:hAnsi="Arial" w:cs="Arial"/>
                <w:sz w:val="20"/>
                <w:szCs w:val="20"/>
                <w:lang w:eastAsia="en-GB"/>
              </w:rPr>
            </w:pPr>
            <w:r w:rsidRPr="00EE0867">
              <w:rPr>
                <w:rFonts w:ascii="Arial" w:eastAsia="Times New Roman" w:hAnsi="Arial" w:cs="Arial"/>
                <w:sz w:val="20"/>
                <w:szCs w:val="20"/>
                <w:lang w:eastAsia="en-GB"/>
              </w:rPr>
              <w:t>£60,001 - £70,000</w:t>
            </w:r>
          </w:p>
        </w:tc>
        <w:tc>
          <w:tcPr>
            <w:tcW w:w="2014" w:type="dxa"/>
            <w:tcBorders>
              <w:top w:val="nil"/>
              <w:left w:val="nil"/>
              <w:bottom w:val="nil"/>
              <w:right w:val="nil"/>
            </w:tcBorders>
            <w:shd w:val="clear" w:color="auto" w:fill="auto"/>
            <w:noWrap/>
            <w:vAlign w:val="center"/>
          </w:tcPr>
          <w:p w14:paraId="0C74BC23" w14:textId="77777777" w:rsidR="00ED24FC" w:rsidRPr="00EE0867" w:rsidRDefault="00626844" w:rsidP="00ED24FC">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63</w:t>
            </w:r>
          </w:p>
        </w:tc>
        <w:tc>
          <w:tcPr>
            <w:tcW w:w="1701" w:type="dxa"/>
            <w:tcBorders>
              <w:top w:val="nil"/>
              <w:left w:val="nil"/>
              <w:bottom w:val="nil"/>
              <w:right w:val="nil"/>
            </w:tcBorders>
            <w:shd w:val="clear" w:color="auto" w:fill="auto"/>
            <w:noWrap/>
            <w:vAlign w:val="center"/>
            <w:hideMark/>
          </w:tcPr>
          <w:p w14:paraId="7562363F" w14:textId="77777777" w:rsidR="00ED24FC" w:rsidRPr="00EE0867" w:rsidRDefault="00ED24FC" w:rsidP="00ED24FC">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53</w:t>
            </w:r>
          </w:p>
        </w:tc>
        <w:tc>
          <w:tcPr>
            <w:tcW w:w="1701" w:type="dxa"/>
            <w:tcBorders>
              <w:top w:val="nil"/>
              <w:left w:val="nil"/>
              <w:bottom w:val="nil"/>
              <w:right w:val="nil"/>
            </w:tcBorders>
            <w:shd w:val="clear" w:color="auto" w:fill="auto"/>
            <w:noWrap/>
            <w:vAlign w:val="center"/>
          </w:tcPr>
          <w:p w14:paraId="53C7FD2E" w14:textId="77777777" w:rsidR="00ED24FC" w:rsidRPr="00EE0867" w:rsidRDefault="00626844" w:rsidP="00ED24FC">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63</w:t>
            </w:r>
          </w:p>
        </w:tc>
        <w:tc>
          <w:tcPr>
            <w:tcW w:w="1708" w:type="dxa"/>
            <w:tcBorders>
              <w:top w:val="nil"/>
              <w:left w:val="nil"/>
              <w:bottom w:val="nil"/>
              <w:right w:val="nil"/>
            </w:tcBorders>
            <w:shd w:val="clear" w:color="auto" w:fill="auto"/>
            <w:noWrap/>
            <w:vAlign w:val="center"/>
            <w:hideMark/>
          </w:tcPr>
          <w:p w14:paraId="3A48B5F0" w14:textId="77777777" w:rsidR="00ED24FC" w:rsidRPr="00EE0867" w:rsidRDefault="00ED24FC" w:rsidP="00ED24FC">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53</w:t>
            </w:r>
          </w:p>
        </w:tc>
        <w:tc>
          <w:tcPr>
            <w:tcW w:w="222" w:type="dxa"/>
            <w:vAlign w:val="center"/>
            <w:hideMark/>
          </w:tcPr>
          <w:p w14:paraId="12788511" w14:textId="77777777" w:rsidR="00ED24FC" w:rsidRPr="00EE0867" w:rsidRDefault="00ED24FC" w:rsidP="00ED24FC">
            <w:pPr>
              <w:spacing w:after="0" w:line="240" w:lineRule="auto"/>
              <w:rPr>
                <w:rFonts w:ascii="Times New Roman" w:eastAsia="Times New Roman" w:hAnsi="Times New Roman" w:cs="Times New Roman"/>
                <w:sz w:val="20"/>
                <w:szCs w:val="20"/>
                <w:lang w:eastAsia="en-GB"/>
              </w:rPr>
            </w:pPr>
          </w:p>
        </w:tc>
        <w:tc>
          <w:tcPr>
            <w:tcW w:w="222" w:type="dxa"/>
            <w:vAlign w:val="center"/>
            <w:hideMark/>
          </w:tcPr>
          <w:p w14:paraId="34959E97" w14:textId="77777777" w:rsidR="00ED24FC" w:rsidRPr="00EE0867" w:rsidRDefault="00ED24FC" w:rsidP="00ED24FC">
            <w:pPr>
              <w:spacing w:after="0" w:line="240" w:lineRule="auto"/>
              <w:rPr>
                <w:rFonts w:ascii="Times New Roman" w:eastAsia="Times New Roman" w:hAnsi="Times New Roman" w:cs="Times New Roman"/>
                <w:sz w:val="20"/>
                <w:szCs w:val="20"/>
                <w:lang w:eastAsia="en-GB"/>
              </w:rPr>
            </w:pPr>
          </w:p>
        </w:tc>
        <w:tc>
          <w:tcPr>
            <w:tcW w:w="222" w:type="dxa"/>
            <w:vAlign w:val="center"/>
            <w:hideMark/>
          </w:tcPr>
          <w:p w14:paraId="6AF1D048" w14:textId="77777777" w:rsidR="00ED24FC" w:rsidRPr="00EE0867" w:rsidRDefault="00ED24FC" w:rsidP="00ED24FC">
            <w:pPr>
              <w:spacing w:after="0" w:line="240" w:lineRule="auto"/>
              <w:rPr>
                <w:rFonts w:ascii="Times New Roman" w:eastAsia="Times New Roman" w:hAnsi="Times New Roman" w:cs="Times New Roman"/>
                <w:sz w:val="20"/>
                <w:szCs w:val="20"/>
                <w:lang w:eastAsia="en-GB"/>
              </w:rPr>
            </w:pPr>
          </w:p>
        </w:tc>
        <w:tc>
          <w:tcPr>
            <w:tcW w:w="222" w:type="dxa"/>
            <w:vAlign w:val="center"/>
            <w:hideMark/>
          </w:tcPr>
          <w:p w14:paraId="59D05AA8" w14:textId="77777777" w:rsidR="00ED24FC" w:rsidRPr="00EE0867" w:rsidRDefault="00ED24FC" w:rsidP="00ED24FC">
            <w:pPr>
              <w:spacing w:after="0" w:line="240" w:lineRule="auto"/>
              <w:rPr>
                <w:rFonts w:ascii="Times New Roman" w:eastAsia="Times New Roman" w:hAnsi="Times New Roman" w:cs="Times New Roman"/>
                <w:sz w:val="20"/>
                <w:szCs w:val="20"/>
                <w:lang w:eastAsia="en-GB"/>
              </w:rPr>
            </w:pPr>
          </w:p>
        </w:tc>
        <w:tc>
          <w:tcPr>
            <w:tcW w:w="222" w:type="dxa"/>
            <w:vAlign w:val="center"/>
            <w:hideMark/>
          </w:tcPr>
          <w:p w14:paraId="2932CCA7" w14:textId="77777777" w:rsidR="00ED24FC" w:rsidRPr="00EE0867" w:rsidRDefault="00ED24FC" w:rsidP="00ED24FC">
            <w:pPr>
              <w:spacing w:after="0" w:line="240" w:lineRule="auto"/>
              <w:rPr>
                <w:rFonts w:ascii="Times New Roman" w:eastAsia="Times New Roman" w:hAnsi="Times New Roman" w:cs="Times New Roman"/>
                <w:sz w:val="20"/>
                <w:szCs w:val="20"/>
                <w:lang w:eastAsia="en-GB"/>
              </w:rPr>
            </w:pPr>
          </w:p>
        </w:tc>
        <w:tc>
          <w:tcPr>
            <w:tcW w:w="222" w:type="dxa"/>
            <w:vAlign w:val="center"/>
            <w:hideMark/>
          </w:tcPr>
          <w:p w14:paraId="1CE1F28B" w14:textId="77777777" w:rsidR="00ED24FC" w:rsidRPr="00EE0867" w:rsidRDefault="00ED24FC" w:rsidP="00ED24FC">
            <w:pPr>
              <w:spacing w:after="0" w:line="240" w:lineRule="auto"/>
              <w:rPr>
                <w:rFonts w:ascii="Times New Roman" w:eastAsia="Times New Roman" w:hAnsi="Times New Roman" w:cs="Times New Roman"/>
                <w:sz w:val="20"/>
                <w:szCs w:val="20"/>
                <w:lang w:eastAsia="en-GB"/>
              </w:rPr>
            </w:pPr>
          </w:p>
        </w:tc>
        <w:tc>
          <w:tcPr>
            <w:tcW w:w="222" w:type="dxa"/>
            <w:vAlign w:val="center"/>
            <w:hideMark/>
          </w:tcPr>
          <w:p w14:paraId="23228A1A" w14:textId="77777777" w:rsidR="00ED24FC" w:rsidRPr="00EE0867" w:rsidRDefault="00ED24FC" w:rsidP="00ED24FC">
            <w:pPr>
              <w:spacing w:after="0" w:line="240" w:lineRule="auto"/>
              <w:rPr>
                <w:rFonts w:ascii="Times New Roman" w:eastAsia="Times New Roman" w:hAnsi="Times New Roman" w:cs="Times New Roman"/>
                <w:sz w:val="20"/>
                <w:szCs w:val="20"/>
                <w:lang w:eastAsia="en-GB"/>
              </w:rPr>
            </w:pPr>
          </w:p>
        </w:tc>
        <w:tc>
          <w:tcPr>
            <w:tcW w:w="1556" w:type="dxa"/>
            <w:gridSpan w:val="2"/>
            <w:vAlign w:val="center"/>
            <w:hideMark/>
          </w:tcPr>
          <w:p w14:paraId="7F18C57B" w14:textId="77777777" w:rsidR="00ED24FC" w:rsidRPr="00EE0867" w:rsidRDefault="00ED24FC" w:rsidP="00ED24FC">
            <w:pPr>
              <w:spacing w:after="0" w:line="240" w:lineRule="auto"/>
              <w:rPr>
                <w:rFonts w:ascii="Times New Roman" w:eastAsia="Times New Roman" w:hAnsi="Times New Roman" w:cs="Times New Roman"/>
                <w:sz w:val="20"/>
                <w:szCs w:val="20"/>
                <w:lang w:eastAsia="en-GB"/>
              </w:rPr>
            </w:pPr>
          </w:p>
        </w:tc>
      </w:tr>
      <w:tr w:rsidR="00ED24FC" w:rsidRPr="00EE0867" w14:paraId="21A9C7FE" w14:textId="77777777" w:rsidTr="006968BD">
        <w:trPr>
          <w:gridAfter w:val="1"/>
          <w:wAfter w:w="687" w:type="dxa"/>
          <w:trHeight w:val="323"/>
        </w:trPr>
        <w:tc>
          <w:tcPr>
            <w:tcW w:w="2239" w:type="dxa"/>
            <w:tcBorders>
              <w:top w:val="nil"/>
              <w:left w:val="nil"/>
              <w:bottom w:val="nil"/>
              <w:right w:val="nil"/>
            </w:tcBorders>
            <w:shd w:val="clear" w:color="auto" w:fill="auto"/>
            <w:noWrap/>
            <w:vAlign w:val="center"/>
            <w:hideMark/>
          </w:tcPr>
          <w:p w14:paraId="311BDED5" w14:textId="77777777" w:rsidR="00ED24FC" w:rsidRPr="00EE0867" w:rsidRDefault="00ED24FC" w:rsidP="00ED24FC">
            <w:pPr>
              <w:spacing w:after="0" w:line="240" w:lineRule="auto"/>
              <w:rPr>
                <w:rFonts w:ascii="Arial" w:eastAsia="Times New Roman" w:hAnsi="Arial" w:cs="Arial"/>
                <w:sz w:val="20"/>
                <w:szCs w:val="20"/>
                <w:lang w:eastAsia="en-GB"/>
              </w:rPr>
            </w:pPr>
            <w:r w:rsidRPr="00EE0867">
              <w:rPr>
                <w:rFonts w:ascii="Arial" w:eastAsia="Times New Roman" w:hAnsi="Arial" w:cs="Arial"/>
                <w:sz w:val="20"/>
                <w:szCs w:val="20"/>
                <w:lang w:eastAsia="en-GB"/>
              </w:rPr>
              <w:t>£70,001 - £80,000</w:t>
            </w:r>
          </w:p>
        </w:tc>
        <w:tc>
          <w:tcPr>
            <w:tcW w:w="2014" w:type="dxa"/>
            <w:tcBorders>
              <w:top w:val="nil"/>
              <w:left w:val="nil"/>
              <w:bottom w:val="nil"/>
              <w:right w:val="nil"/>
            </w:tcBorders>
            <w:shd w:val="clear" w:color="auto" w:fill="auto"/>
            <w:noWrap/>
            <w:vAlign w:val="center"/>
          </w:tcPr>
          <w:p w14:paraId="15404EC0" w14:textId="77777777" w:rsidR="00ED24FC" w:rsidRPr="00EE0867" w:rsidRDefault="00626844" w:rsidP="00ED24FC">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25</w:t>
            </w:r>
          </w:p>
        </w:tc>
        <w:tc>
          <w:tcPr>
            <w:tcW w:w="1701" w:type="dxa"/>
            <w:tcBorders>
              <w:top w:val="nil"/>
              <w:left w:val="nil"/>
              <w:bottom w:val="nil"/>
              <w:right w:val="nil"/>
            </w:tcBorders>
            <w:shd w:val="clear" w:color="auto" w:fill="auto"/>
            <w:noWrap/>
            <w:vAlign w:val="center"/>
            <w:hideMark/>
          </w:tcPr>
          <w:p w14:paraId="5F19C628" w14:textId="77777777" w:rsidR="00ED24FC" w:rsidRPr="00EE0867" w:rsidRDefault="00ED24FC" w:rsidP="00ED24FC">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20</w:t>
            </w:r>
          </w:p>
        </w:tc>
        <w:tc>
          <w:tcPr>
            <w:tcW w:w="1701" w:type="dxa"/>
            <w:tcBorders>
              <w:top w:val="nil"/>
              <w:left w:val="nil"/>
              <w:bottom w:val="nil"/>
              <w:right w:val="nil"/>
            </w:tcBorders>
            <w:shd w:val="clear" w:color="auto" w:fill="auto"/>
            <w:noWrap/>
            <w:vAlign w:val="center"/>
          </w:tcPr>
          <w:p w14:paraId="7AD3E563" w14:textId="77777777" w:rsidR="00ED24FC" w:rsidRPr="00EE0867" w:rsidRDefault="00626844" w:rsidP="00ED24FC">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2</w:t>
            </w:r>
            <w:r w:rsidR="00F8700E">
              <w:rPr>
                <w:rFonts w:ascii="Arial" w:eastAsia="Times New Roman" w:hAnsi="Arial" w:cs="Arial"/>
                <w:sz w:val="20"/>
                <w:szCs w:val="20"/>
                <w:lang w:eastAsia="en-GB"/>
              </w:rPr>
              <w:t>5</w:t>
            </w:r>
          </w:p>
        </w:tc>
        <w:tc>
          <w:tcPr>
            <w:tcW w:w="1708" w:type="dxa"/>
            <w:tcBorders>
              <w:top w:val="nil"/>
              <w:left w:val="nil"/>
              <w:bottom w:val="nil"/>
              <w:right w:val="nil"/>
            </w:tcBorders>
            <w:shd w:val="clear" w:color="auto" w:fill="auto"/>
            <w:noWrap/>
            <w:vAlign w:val="center"/>
            <w:hideMark/>
          </w:tcPr>
          <w:p w14:paraId="2E1406A5" w14:textId="77777777" w:rsidR="00ED24FC" w:rsidRPr="00EE0867" w:rsidRDefault="00ED24FC" w:rsidP="00ED24FC">
            <w:pPr>
              <w:spacing w:after="0" w:line="240" w:lineRule="auto"/>
              <w:jc w:val="right"/>
              <w:rPr>
                <w:rFonts w:ascii="Times New Roman" w:eastAsia="Times New Roman" w:hAnsi="Times New Roman" w:cs="Times New Roman"/>
                <w:sz w:val="20"/>
                <w:szCs w:val="20"/>
                <w:lang w:eastAsia="en-GB"/>
              </w:rPr>
            </w:pPr>
            <w:r>
              <w:rPr>
                <w:rFonts w:ascii="Arial" w:eastAsia="Times New Roman" w:hAnsi="Arial" w:cs="Arial"/>
                <w:sz w:val="20"/>
                <w:szCs w:val="20"/>
                <w:lang w:eastAsia="en-GB"/>
              </w:rPr>
              <w:t>20</w:t>
            </w:r>
          </w:p>
        </w:tc>
        <w:tc>
          <w:tcPr>
            <w:tcW w:w="222" w:type="dxa"/>
            <w:vAlign w:val="center"/>
            <w:hideMark/>
          </w:tcPr>
          <w:p w14:paraId="514FAF33" w14:textId="77777777" w:rsidR="00ED24FC" w:rsidRPr="00EE0867" w:rsidRDefault="00ED24FC" w:rsidP="00ED24FC">
            <w:pPr>
              <w:spacing w:after="0" w:line="240" w:lineRule="auto"/>
              <w:rPr>
                <w:rFonts w:ascii="Times New Roman" w:eastAsia="Times New Roman" w:hAnsi="Times New Roman" w:cs="Times New Roman"/>
                <w:sz w:val="20"/>
                <w:szCs w:val="20"/>
                <w:lang w:eastAsia="en-GB"/>
              </w:rPr>
            </w:pPr>
          </w:p>
        </w:tc>
        <w:tc>
          <w:tcPr>
            <w:tcW w:w="222" w:type="dxa"/>
            <w:vAlign w:val="center"/>
            <w:hideMark/>
          </w:tcPr>
          <w:p w14:paraId="79010766" w14:textId="77777777" w:rsidR="00ED24FC" w:rsidRPr="00EE0867" w:rsidRDefault="00ED24FC" w:rsidP="00ED24FC">
            <w:pPr>
              <w:spacing w:after="0" w:line="240" w:lineRule="auto"/>
              <w:rPr>
                <w:rFonts w:ascii="Times New Roman" w:eastAsia="Times New Roman" w:hAnsi="Times New Roman" w:cs="Times New Roman"/>
                <w:sz w:val="20"/>
                <w:szCs w:val="20"/>
                <w:lang w:eastAsia="en-GB"/>
              </w:rPr>
            </w:pPr>
          </w:p>
        </w:tc>
        <w:tc>
          <w:tcPr>
            <w:tcW w:w="222" w:type="dxa"/>
            <w:vAlign w:val="center"/>
            <w:hideMark/>
          </w:tcPr>
          <w:p w14:paraId="3785C605" w14:textId="77777777" w:rsidR="00ED24FC" w:rsidRPr="00EE0867" w:rsidRDefault="00ED24FC" w:rsidP="00ED24FC">
            <w:pPr>
              <w:spacing w:after="0" w:line="240" w:lineRule="auto"/>
              <w:rPr>
                <w:rFonts w:ascii="Times New Roman" w:eastAsia="Times New Roman" w:hAnsi="Times New Roman" w:cs="Times New Roman"/>
                <w:sz w:val="20"/>
                <w:szCs w:val="20"/>
                <w:lang w:eastAsia="en-GB"/>
              </w:rPr>
            </w:pPr>
          </w:p>
        </w:tc>
        <w:tc>
          <w:tcPr>
            <w:tcW w:w="222" w:type="dxa"/>
            <w:vAlign w:val="center"/>
            <w:hideMark/>
          </w:tcPr>
          <w:p w14:paraId="220A924C" w14:textId="77777777" w:rsidR="00ED24FC" w:rsidRPr="00EE0867" w:rsidRDefault="00ED24FC" w:rsidP="00ED24FC">
            <w:pPr>
              <w:spacing w:after="0" w:line="240" w:lineRule="auto"/>
              <w:rPr>
                <w:rFonts w:ascii="Times New Roman" w:eastAsia="Times New Roman" w:hAnsi="Times New Roman" w:cs="Times New Roman"/>
                <w:sz w:val="20"/>
                <w:szCs w:val="20"/>
                <w:lang w:eastAsia="en-GB"/>
              </w:rPr>
            </w:pPr>
          </w:p>
        </w:tc>
        <w:tc>
          <w:tcPr>
            <w:tcW w:w="222" w:type="dxa"/>
            <w:vAlign w:val="center"/>
            <w:hideMark/>
          </w:tcPr>
          <w:p w14:paraId="0A9B3758" w14:textId="77777777" w:rsidR="00ED24FC" w:rsidRPr="00EE0867" w:rsidRDefault="00ED24FC" w:rsidP="00ED24FC">
            <w:pPr>
              <w:spacing w:after="0" w:line="240" w:lineRule="auto"/>
              <w:rPr>
                <w:rFonts w:ascii="Times New Roman" w:eastAsia="Times New Roman" w:hAnsi="Times New Roman" w:cs="Times New Roman"/>
                <w:sz w:val="20"/>
                <w:szCs w:val="20"/>
                <w:lang w:eastAsia="en-GB"/>
              </w:rPr>
            </w:pPr>
          </w:p>
        </w:tc>
        <w:tc>
          <w:tcPr>
            <w:tcW w:w="222" w:type="dxa"/>
            <w:vAlign w:val="center"/>
            <w:hideMark/>
          </w:tcPr>
          <w:p w14:paraId="7FA6D440" w14:textId="77777777" w:rsidR="00ED24FC" w:rsidRPr="00EE0867" w:rsidRDefault="00ED24FC" w:rsidP="00ED24FC">
            <w:pPr>
              <w:spacing w:after="0" w:line="240" w:lineRule="auto"/>
              <w:rPr>
                <w:rFonts w:ascii="Times New Roman" w:eastAsia="Times New Roman" w:hAnsi="Times New Roman" w:cs="Times New Roman"/>
                <w:sz w:val="20"/>
                <w:szCs w:val="20"/>
                <w:lang w:eastAsia="en-GB"/>
              </w:rPr>
            </w:pPr>
          </w:p>
        </w:tc>
        <w:tc>
          <w:tcPr>
            <w:tcW w:w="222" w:type="dxa"/>
            <w:vAlign w:val="center"/>
            <w:hideMark/>
          </w:tcPr>
          <w:p w14:paraId="3E299EAD" w14:textId="77777777" w:rsidR="00ED24FC" w:rsidRPr="00EE0867" w:rsidRDefault="00ED24FC" w:rsidP="00ED24FC">
            <w:pPr>
              <w:spacing w:after="0" w:line="240" w:lineRule="auto"/>
              <w:rPr>
                <w:rFonts w:ascii="Times New Roman" w:eastAsia="Times New Roman" w:hAnsi="Times New Roman" w:cs="Times New Roman"/>
                <w:sz w:val="20"/>
                <w:szCs w:val="20"/>
                <w:lang w:eastAsia="en-GB"/>
              </w:rPr>
            </w:pPr>
          </w:p>
        </w:tc>
        <w:tc>
          <w:tcPr>
            <w:tcW w:w="1556" w:type="dxa"/>
            <w:gridSpan w:val="2"/>
            <w:vAlign w:val="center"/>
            <w:hideMark/>
          </w:tcPr>
          <w:p w14:paraId="5DB91D66" w14:textId="77777777" w:rsidR="00ED24FC" w:rsidRPr="00EE0867" w:rsidRDefault="00ED24FC" w:rsidP="00ED24FC">
            <w:pPr>
              <w:spacing w:after="0" w:line="240" w:lineRule="auto"/>
              <w:rPr>
                <w:rFonts w:ascii="Times New Roman" w:eastAsia="Times New Roman" w:hAnsi="Times New Roman" w:cs="Times New Roman"/>
                <w:sz w:val="20"/>
                <w:szCs w:val="20"/>
                <w:lang w:eastAsia="en-GB"/>
              </w:rPr>
            </w:pPr>
          </w:p>
        </w:tc>
      </w:tr>
      <w:tr w:rsidR="00ED24FC" w:rsidRPr="00EE0867" w14:paraId="424B5178" w14:textId="77777777" w:rsidTr="006968BD">
        <w:trPr>
          <w:gridAfter w:val="1"/>
          <w:wAfter w:w="687" w:type="dxa"/>
          <w:trHeight w:val="323"/>
        </w:trPr>
        <w:tc>
          <w:tcPr>
            <w:tcW w:w="2239" w:type="dxa"/>
            <w:tcBorders>
              <w:top w:val="nil"/>
              <w:left w:val="nil"/>
              <w:bottom w:val="nil"/>
              <w:right w:val="nil"/>
            </w:tcBorders>
            <w:shd w:val="clear" w:color="auto" w:fill="auto"/>
            <w:noWrap/>
            <w:vAlign w:val="center"/>
            <w:hideMark/>
          </w:tcPr>
          <w:p w14:paraId="096A315F" w14:textId="77777777" w:rsidR="00ED24FC" w:rsidRPr="00EE0867" w:rsidRDefault="00ED24FC" w:rsidP="00ED24FC">
            <w:pPr>
              <w:spacing w:after="0" w:line="240" w:lineRule="auto"/>
              <w:rPr>
                <w:rFonts w:ascii="Arial" w:eastAsia="Times New Roman" w:hAnsi="Arial" w:cs="Arial"/>
                <w:sz w:val="20"/>
                <w:szCs w:val="20"/>
                <w:lang w:eastAsia="en-GB"/>
              </w:rPr>
            </w:pPr>
            <w:r w:rsidRPr="00EE0867">
              <w:rPr>
                <w:rFonts w:ascii="Arial" w:eastAsia="Times New Roman" w:hAnsi="Arial" w:cs="Arial"/>
                <w:sz w:val="20"/>
                <w:szCs w:val="20"/>
                <w:lang w:eastAsia="en-GB"/>
              </w:rPr>
              <w:t>£80,001 - £90,000</w:t>
            </w:r>
          </w:p>
        </w:tc>
        <w:tc>
          <w:tcPr>
            <w:tcW w:w="2014" w:type="dxa"/>
            <w:tcBorders>
              <w:top w:val="nil"/>
              <w:left w:val="nil"/>
              <w:bottom w:val="nil"/>
              <w:right w:val="nil"/>
            </w:tcBorders>
            <w:shd w:val="clear" w:color="auto" w:fill="auto"/>
            <w:noWrap/>
            <w:vAlign w:val="center"/>
          </w:tcPr>
          <w:p w14:paraId="49F4B1AC" w14:textId="77777777" w:rsidR="00ED24FC" w:rsidRPr="00EE0867" w:rsidRDefault="00626844" w:rsidP="00ED24FC">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15</w:t>
            </w:r>
          </w:p>
        </w:tc>
        <w:tc>
          <w:tcPr>
            <w:tcW w:w="1701" w:type="dxa"/>
            <w:tcBorders>
              <w:top w:val="nil"/>
              <w:left w:val="nil"/>
              <w:bottom w:val="nil"/>
              <w:right w:val="nil"/>
            </w:tcBorders>
            <w:shd w:val="clear" w:color="auto" w:fill="auto"/>
            <w:noWrap/>
            <w:vAlign w:val="center"/>
            <w:hideMark/>
          </w:tcPr>
          <w:p w14:paraId="4B50FB1C" w14:textId="77777777" w:rsidR="00ED24FC" w:rsidRPr="00EE0867" w:rsidRDefault="00ED24FC" w:rsidP="00ED24FC">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10</w:t>
            </w:r>
          </w:p>
        </w:tc>
        <w:tc>
          <w:tcPr>
            <w:tcW w:w="1701" w:type="dxa"/>
            <w:tcBorders>
              <w:top w:val="nil"/>
              <w:left w:val="nil"/>
              <w:bottom w:val="nil"/>
              <w:right w:val="nil"/>
            </w:tcBorders>
            <w:shd w:val="clear" w:color="auto" w:fill="auto"/>
            <w:noWrap/>
            <w:vAlign w:val="center"/>
          </w:tcPr>
          <w:p w14:paraId="7CBE4306" w14:textId="77777777" w:rsidR="00ED24FC" w:rsidRPr="00EE0867" w:rsidRDefault="00626844" w:rsidP="00ED24FC">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15</w:t>
            </w:r>
          </w:p>
        </w:tc>
        <w:tc>
          <w:tcPr>
            <w:tcW w:w="1708" w:type="dxa"/>
            <w:tcBorders>
              <w:top w:val="nil"/>
              <w:left w:val="nil"/>
              <w:bottom w:val="nil"/>
              <w:right w:val="nil"/>
            </w:tcBorders>
            <w:shd w:val="clear" w:color="auto" w:fill="auto"/>
            <w:noWrap/>
            <w:vAlign w:val="center"/>
            <w:hideMark/>
          </w:tcPr>
          <w:p w14:paraId="2A1E45ED" w14:textId="77777777" w:rsidR="00ED24FC" w:rsidRPr="00EE0867" w:rsidRDefault="00ED24FC" w:rsidP="00ED24FC">
            <w:pPr>
              <w:spacing w:after="0" w:line="240" w:lineRule="auto"/>
              <w:jc w:val="right"/>
              <w:rPr>
                <w:rFonts w:ascii="Times New Roman" w:eastAsia="Times New Roman" w:hAnsi="Times New Roman" w:cs="Times New Roman"/>
                <w:sz w:val="20"/>
                <w:szCs w:val="20"/>
                <w:lang w:eastAsia="en-GB"/>
              </w:rPr>
            </w:pPr>
            <w:r>
              <w:rPr>
                <w:rFonts w:ascii="Arial" w:eastAsia="Times New Roman" w:hAnsi="Arial" w:cs="Arial"/>
                <w:sz w:val="20"/>
                <w:szCs w:val="20"/>
                <w:lang w:eastAsia="en-GB"/>
              </w:rPr>
              <w:t>10</w:t>
            </w:r>
          </w:p>
        </w:tc>
        <w:tc>
          <w:tcPr>
            <w:tcW w:w="222" w:type="dxa"/>
            <w:vAlign w:val="center"/>
            <w:hideMark/>
          </w:tcPr>
          <w:p w14:paraId="666D5B9A" w14:textId="77777777" w:rsidR="00ED24FC" w:rsidRPr="00EE0867" w:rsidRDefault="00ED24FC" w:rsidP="00ED24FC">
            <w:pPr>
              <w:spacing w:after="0" w:line="240" w:lineRule="auto"/>
              <w:rPr>
                <w:rFonts w:ascii="Times New Roman" w:eastAsia="Times New Roman" w:hAnsi="Times New Roman" w:cs="Times New Roman"/>
                <w:sz w:val="20"/>
                <w:szCs w:val="20"/>
                <w:lang w:eastAsia="en-GB"/>
              </w:rPr>
            </w:pPr>
          </w:p>
        </w:tc>
        <w:tc>
          <w:tcPr>
            <w:tcW w:w="222" w:type="dxa"/>
            <w:vAlign w:val="center"/>
            <w:hideMark/>
          </w:tcPr>
          <w:p w14:paraId="0C60203B" w14:textId="77777777" w:rsidR="00ED24FC" w:rsidRPr="00EE0867" w:rsidRDefault="00ED24FC" w:rsidP="00ED24FC">
            <w:pPr>
              <w:spacing w:after="0" w:line="240" w:lineRule="auto"/>
              <w:rPr>
                <w:rFonts w:ascii="Times New Roman" w:eastAsia="Times New Roman" w:hAnsi="Times New Roman" w:cs="Times New Roman"/>
                <w:sz w:val="20"/>
                <w:szCs w:val="20"/>
                <w:lang w:eastAsia="en-GB"/>
              </w:rPr>
            </w:pPr>
          </w:p>
        </w:tc>
        <w:tc>
          <w:tcPr>
            <w:tcW w:w="222" w:type="dxa"/>
            <w:vAlign w:val="center"/>
            <w:hideMark/>
          </w:tcPr>
          <w:p w14:paraId="5EC11F85" w14:textId="77777777" w:rsidR="00ED24FC" w:rsidRPr="00EE0867" w:rsidRDefault="00ED24FC" w:rsidP="00ED24FC">
            <w:pPr>
              <w:spacing w:after="0" w:line="240" w:lineRule="auto"/>
              <w:rPr>
                <w:rFonts w:ascii="Times New Roman" w:eastAsia="Times New Roman" w:hAnsi="Times New Roman" w:cs="Times New Roman"/>
                <w:sz w:val="20"/>
                <w:szCs w:val="20"/>
                <w:lang w:eastAsia="en-GB"/>
              </w:rPr>
            </w:pPr>
          </w:p>
        </w:tc>
        <w:tc>
          <w:tcPr>
            <w:tcW w:w="222" w:type="dxa"/>
            <w:vAlign w:val="center"/>
            <w:hideMark/>
          </w:tcPr>
          <w:p w14:paraId="31E311FA" w14:textId="77777777" w:rsidR="00ED24FC" w:rsidRPr="00EE0867" w:rsidRDefault="00ED24FC" w:rsidP="00ED24FC">
            <w:pPr>
              <w:spacing w:after="0" w:line="240" w:lineRule="auto"/>
              <w:rPr>
                <w:rFonts w:ascii="Times New Roman" w:eastAsia="Times New Roman" w:hAnsi="Times New Roman" w:cs="Times New Roman"/>
                <w:sz w:val="20"/>
                <w:szCs w:val="20"/>
                <w:lang w:eastAsia="en-GB"/>
              </w:rPr>
            </w:pPr>
          </w:p>
        </w:tc>
        <w:tc>
          <w:tcPr>
            <w:tcW w:w="222" w:type="dxa"/>
            <w:vAlign w:val="center"/>
            <w:hideMark/>
          </w:tcPr>
          <w:p w14:paraId="6F35636F" w14:textId="77777777" w:rsidR="00ED24FC" w:rsidRPr="00EE0867" w:rsidRDefault="00ED24FC" w:rsidP="00ED24FC">
            <w:pPr>
              <w:spacing w:after="0" w:line="240" w:lineRule="auto"/>
              <w:rPr>
                <w:rFonts w:ascii="Times New Roman" w:eastAsia="Times New Roman" w:hAnsi="Times New Roman" w:cs="Times New Roman"/>
                <w:sz w:val="20"/>
                <w:szCs w:val="20"/>
                <w:lang w:eastAsia="en-GB"/>
              </w:rPr>
            </w:pPr>
          </w:p>
        </w:tc>
        <w:tc>
          <w:tcPr>
            <w:tcW w:w="222" w:type="dxa"/>
            <w:vAlign w:val="center"/>
            <w:hideMark/>
          </w:tcPr>
          <w:p w14:paraId="6E347B54" w14:textId="77777777" w:rsidR="00ED24FC" w:rsidRPr="00EE0867" w:rsidRDefault="00ED24FC" w:rsidP="00ED24FC">
            <w:pPr>
              <w:spacing w:after="0" w:line="240" w:lineRule="auto"/>
              <w:rPr>
                <w:rFonts w:ascii="Times New Roman" w:eastAsia="Times New Roman" w:hAnsi="Times New Roman" w:cs="Times New Roman"/>
                <w:sz w:val="20"/>
                <w:szCs w:val="20"/>
                <w:lang w:eastAsia="en-GB"/>
              </w:rPr>
            </w:pPr>
          </w:p>
        </w:tc>
        <w:tc>
          <w:tcPr>
            <w:tcW w:w="222" w:type="dxa"/>
            <w:vAlign w:val="center"/>
            <w:hideMark/>
          </w:tcPr>
          <w:p w14:paraId="6E6C35D5" w14:textId="77777777" w:rsidR="00ED24FC" w:rsidRPr="00EE0867" w:rsidRDefault="00ED24FC" w:rsidP="00ED24FC">
            <w:pPr>
              <w:spacing w:after="0" w:line="240" w:lineRule="auto"/>
              <w:rPr>
                <w:rFonts w:ascii="Times New Roman" w:eastAsia="Times New Roman" w:hAnsi="Times New Roman" w:cs="Times New Roman"/>
                <w:sz w:val="20"/>
                <w:szCs w:val="20"/>
                <w:lang w:eastAsia="en-GB"/>
              </w:rPr>
            </w:pPr>
          </w:p>
        </w:tc>
        <w:tc>
          <w:tcPr>
            <w:tcW w:w="1556" w:type="dxa"/>
            <w:gridSpan w:val="2"/>
            <w:vAlign w:val="center"/>
            <w:hideMark/>
          </w:tcPr>
          <w:p w14:paraId="485A1102" w14:textId="77777777" w:rsidR="00ED24FC" w:rsidRPr="00EE0867" w:rsidRDefault="00ED24FC" w:rsidP="00ED24FC">
            <w:pPr>
              <w:spacing w:after="0" w:line="240" w:lineRule="auto"/>
              <w:rPr>
                <w:rFonts w:ascii="Times New Roman" w:eastAsia="Times New Roman" w:hAnsi="Times New Roman" w:cs="Times New Roman"/>
                <w:sz w:val="20"/>
                <w:szCs w:val="20"/>
                <w:lang w:eastAsia="en-GB"/>
              </w:rPr>
            </w:pPr>
          </w:p>
        </w:tc>
      </w:tr>
      <w:tr w:rsidR="00ED24FC" w:rsidRPr="00EE0867" w14:paraId="3E2FFB8E" w14:textId="77777777" w:rsidTr="006968BD">
        <w:trPr>
          <w:gridAfter w:val="1"/>
          <w:wAfter w:w="687" w:type="dxa"/>
          <w:trHeight w:val="323"/>
        </w:trPr>
        <w:tc>
          <w:tcPr>
            <w:tcW w:w="2239" w:type="dxa"/>
            <w:tcBorders>
              <w:top w:val="nil"/>
              <w:left w:val="nil"/>
              <w:bottom w:val="nil"/>
              <w:right w:val="nil"/>
            </w:tcBorders>
            <w:shd w:val="clear" w:color="auto" w:fill="auto"/>
            <w:noWrap/>
            <w:vAlign w:val="center"/>
            <w:hideMark/>
          </w:tcPr>
          <w:p w14:paraId="5E8136F8" w14:textId="77777777" w:rsidR="00ED24FC" w:rsidRPr="00EE0867" w:rsidRDefault="00ED24FC" w:rsidP="00ED24FC">
            <w:pPr>
              <w:spacing w:after="0" w:line="240" w:lineRule="auto"/>
              <w:rPr>
                <w:rFonts w:ascii="Arial" w:eastAsia="Times New Roman" w:hAnsi="Arial" w:cs="Arial"/>
                <w:sz w:val="20"/>
                <w:szCs w:val="20"/>
                <w:lang w:eastAsia="en-GB"/>
              </w:rPr>
            </w:pPr>
            <w:r w:rsidRPr="00EE0867">
              <w:rPr>
                <w:rFonts w:ascii="Arial" w:eastAsia="Times New Roman" w:hAnsi="Arial" w:cs="Arial"/>
                <w:sz w:val="20"/>
                <w:szCs w:val="20"/>
                <w:lang w:eastAsia="en-GB"/>
              </w:rPr>
              <w:t>£90,001 - £100,000</w:t>
            </w:r>
          </w:p>
        </w:tc>
        <w:tc>
          <w:tcPr>
            <w:tcW w:w="2014" w:type="dxa"/>
            <w:tcBorders>
              <w:top w:val="nil"/>
              <w:left w:val="nil"/>
              <w:bottom w:val="nil"/>
              <w:right w:val="nil"/>
            </w:tcBorders>
            <w:shd w:val="clear" w:color="auto" w:fill="auto"/>
            <w:noWrap/>
            <w:vAlign w:val="center"/>
          </w:tcPr>
          <w:p w14:paraId="1E26A1C9" w14:textId="77777777" w:rsidR="00ED24FC" w:rsidRPr="00EE0867" w:rsidRDefault="00626844" w:rsidP="00ED24FC">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9</w:t>
            </w:r>
          </w:p>
        </w:tc>
        <w:tc>
          <w:tcPr>
            <w:tcW w:w="1701" w:type="dxa"/>
            <w:tcBorders>
              <w:top w:val="nil"/>
              <w:left w:val="nil"/>
              <w:bottom w:val="nil"/>
              <w:right w:val="nil"/>
            </w:tcBorders>
            <w:shd w:val="clear" w:color="auto" w:fill="auto"/>
            <w:noWrap/>
            <w:vAlign w:val="center"/>
            <w:hideMark/>
          </w:tcPr>
          <w:p w14:paraId="4B195FC1" w14:textId="77777777" w:rsidR="00ED24FC" w:rsidRPr="00EE0867" w:rsidRDefault="00ED24FC" w:rsidP="00ED24FC">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8</w:t>
            </w:r>
          </w:p>
        </w:tc>
        <w:tc>
          <w:tcPr>
            <w:tcW w:w="1701" w:type="dxa"/>
            <w:tcBorders>
              <w:top w:val="nil"/>
              <w:left w:val="nil"/>
              <w:bottom w:val="nil"/>
              <w:right w:val="nil"/>
            </w:tcBorders>
            <w:shd w:val="clear" w:color="auto" w:fill="auto"/>
            <w:noWrap/>
            <w:vAlign w:val="center"/>
          </w:tcPr>
          <w:p w14:paraId="277B50BF" w14:textId="77777777" w:rsidR="00ED24FC" w:rsidRPr="00EE0867" w:rsidRDefault="00626844" w:rsidP="00ED24FC">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9</w:t>
            </w:r>
          </w:p>
        </w:tc>
        <w:tc>
          <w:tcPr>
            <w:tcW w:w="1708" w:type="dxa"/>
            <w:tcBorders>
              <w:top w:val="nil"/>
              <w:left w:val="nil"/>
              <w:bottom w:val="nil"/>
              <w:right w:val="nil"/>
            </w:tcBorders>
            <w:shd w:val="clear" w:color="auto" w:fill="auto"/>
            <w:noWrap/>
            <w:vAlign w:val="center"/>
            <w:hideMark/>
          </w:tcPr>
          <w:p w14:paraId="40D57CDD" w14:textId="77777777" w:rsidR="00ED24FC" w:rsidRPr="00EE0867" w:rsidRDefault="00ED24FC" w:rsidP="00ED24FC">
            <w:pPr>
              <w:spacing w:after="0" w:line="240" w:lineRule="auto"/>
              <w:jc w:val="right"/>
              <w:rPr>
                <w:rFonts w:ascii="Times New Roman" w:eastAsia="Times New Roman" w:hAnsi="Times New Roman" w:cs="Times New Roman"/>
                <w:sz w:val="20"/>
                <w:szCs w:val="20"/>
                <w:lang w:eastAsia="en-GB"/>
              </w:rPr>
            </w:pPr>
            <w:r>
              <w:rPr>
                <w:rFonts w:ascii="Arial" w:eastAsia="Times New Roman" w:hAnsi="Arial" w:cs="Arial"/>
                <w:sz w:val="20"/>
                <w:szCs w:val="20"/>
                <w:lang w:eastAsia="en-GB"/>
              </w:rPr>
              <w:t>8</w:t>
            </w:r>
          </w:p>
        </w:tc>
        <w:tc>
          <w:tcPr>
            <w:tcW w:w="222" w:type="dxa"/>
            <w:vAlign w:val="center"/>
            <w:hideMark/>
          </w:tcPr>
          <w:p w14:paraId="5923FD14" w14:textId="77777777" w:rsidR="00ED24FC" w:rsidRPr="00EE0867" w:rsidRDefault="00ED24FC" w:rsidP="00ED24FC">
            <w:pPr>
              <w:spacing w:after="0" w:line="240" w:lineRule="auto"/>
              <w:rPr>
                <w:rFonts w:ascii="Times New Roman" w:eastAsia="Times New Roman" w:hAnsi="Times New Roman" w:cs="Times New Roman"/>
                <w:sz w:val="20"/>
                <w:szCs w:val="20"/>
                <w:lang w:eastAsia="en-GB"/>
              </w:rPr>
            </w:pPr>
          </w:p>
        </w:tc>
        <w:tc>
          <w:tcPr>
            <w:tcW w:w="222" w:type="dxa"/>
            <w:vAlign w:val="center"/>
            <w:hideMark/>
          </w:tcPr>
          <w:p w14:paraId="54B0DD74" w14:textId="77777777" w:rsidR="00ED24FC" w:rsidRPr="00EE0867" w:rsidRDefault="00ED24FC" w:rsidP="00ED24FC">
            <w:pPr>
              <w:spacing w:after="0" w:line="240" w:lineRule="auto"/>
              <w:rPr>
                <w:rFonts w:ascii="Times New Roman" w:eastAsia="Times New Roman" w:hAnsi="Times New Roman" w:cs="Times New Roman"/>
                <w:sz w:val="20"/>
                <w:szCs w:val="20"/>
                <w:lang w:eastAsia="en-GB"/>
              </w:rPr>
            </w:pPr>
          </w:p>
        </w:tc>
        <w:tc>
          <w:tcPr>
            <w:tcW w:w="222" w:type="dxa"/>
            <w:vAlign w:val="center"/>
            <w:hideMark/>
          </w:tcPr>
          <w:p w14:paraId="202C8847" w14:textId="77777777" w:rsidR="00ED24FC" w:rsidRPr="00EE0867" w:rsidRDefault="00ED24FC" w:rsidP="00ED24FC">
            <w:pPr>
              <w:spacing w:after="0" w:line="240" w:lineRule="auto"/>
              <w:rPr>
                <w:rFonts w:ascii="Times New Roman" w:eastAsia="Times New Roman" w:hAnsi="Times New Roman" w:cs="Times New Roman"/>
                <w:sz w:val="20"/>
                <w:szCs w:val="20"/>
                <w:lang w:eastAsia="en-GB"/>
              </w:rPr>
            </w:pPr>
          </w:p>
        </w:tc>
        <w:tc>
          <w:tcPr>
            <w:tcW w:w="222" w:type="dxa"/>
            <w:vAlign w:val="center"/>
            <w:hideMark/>
          </w:tcPr>
          <w:p w14:paraId="6774DD2A" w14:textId="77777777" w:rsidR="00ED24FC" w:rsidRPr="00EE0867" w:rsidRDefault="00ED24FC" w:rsidP="00ED24FC">
            <w:pPr>
              <w:spacing w:after="0" w:line="240" w:lineRule="auto"/>
              <w:rPr>
                <w:rFonts w:ascii="Times New Roman" w:eastAsia="Times New Roman" w:hAnsi="Times New Roman" w:cs="Times New Roman"/>
                <w:sz w:val="20"/>
                <w:szCs w:val="20"/>
                <w:lang w:eastAsia="en-GB"/>
              </w:rPr>
            </w:pPr>
          </w:p>
        </w:tc>
        <w:tc>
          <w:tcPr>
            <w:tcW w:w="222" w:type="dxa"/>
            <w:vAlign w:val="center"/>
            <w:hideMark/>
          </w:tcPr>
          <w:p w14:paraId="09557824" w14:textId="77777777" w:rsidR="00ED24FC" w:rsidRPr="00EE0867" w:rsidRDefault="00ED24FC" w:rsidP="00ED24FC">
            <w:pPr>
              <w:spacing w:after="0" w:line="240" w:lineRule="auto"/>
              <w:rPr>
                <w:rFonts w:ascii="Times New Roman" w:eastAsia="Times New Roman" w:hAnsi="Times New Roman" w:cs="Times New Roman"/>
                <w:sz w:val="20"/>
                <w:szCs w:val="20"/>
                <w:lang w:eastAsia="en-GB"/>
              </w:rPr>
            </w:pPr>
          </w:p>
        </w:tc>
        <w:tc>
          <w:tcPr>
            <w:tcW w:w="222" w:type="dxa"/>
            <w:vAlign w:val="center"/>
            <w:hideMark/>
          </w:tcPr>
          <w:p w14:paraId="2EEEB56D" w14:textId="77777777" w:rsidR="00ED24FC" w:rsidRPr="00EE0867" w:rsidRDefault="00ED24FC" w:rsidP="00ED24FC">
            <w:pPr>
              <w:spacing w:after="0" w:line="240" w:lineRule="auto"/>
              <w:rPr>
                <w:rFonts w:ascii="Times New Roman" w:eastAsia="Times New Roman" w:hAnsi="Times New Roman" w:cs="Times New Roman"/>
                <w:sz w:val="20"/>
                <w:szCs w:val="20"/>
                <w:lang w:eastAsia="en-GB"/>
              </w:rPr>
            </w:pPr>
          </w:p>
        </w:tc>
        <w:tc>
          <w:tcPr>
            <w:tcW w:w="222" w:type="dxa"/>
            <w:vAlign w:val="center"/>
            <w:hideMark/>
          </w:tcPr>
          <w:p w14:paraId="16B2E0DB" w14:textId="77777777" w:rsidR="00ED24FC" w:rsidRPr="00EE0867" w:rsidRDefault="00ED24FC" w:rsidP="00ED24FC">
            <w:pPr>
              <w:spacing w:after="0" w:line="240" w:lineRule="auto"/>
              <w:rPr>
                <w:rFonts w:ascii="Times New Roman" w:eastAsia="Times New Roman" w:hAnsi="Times New Roman" w:cs="Times New Roman"/>
                <w:sz w:val="20"/>
                <w:szCs w:val="20"/>
                <w:lang w:eastAsia="en-GB"/>
              </w:rPr>
            </w:pPr>
          </w:p>
        </w:tc>
        <w:tc>
          <w:tcPr>
            <w:tcW w:w="1556" w:type="dxa"/>
            <w:gridSpan w:val="2"/>
            <w:vAlign w:val="center"/>
            <w:hideMark/>
          </w:tcPr>
          <w:p w14:paraId="6768E542" w14:textId="77777777" w:rsidR="00ED24FC" w:rsidRPr="00EE0867" w:rsidRDefault="00ED24FC" w:rsidP="00ED24FC">
            <w:pPr>
              <w:spacing w:after="0" w:line="240" w:lineRule="auto"/>
              <w:rPr>
                <w:rFonts w:ascii="Times New Roman" w:eastAsia="Times New Roman" w:hAnsi="Times New Roman" w:cs="Times New Roman"/>
                <w:sz w:val="20"/>
                <w:szCs w:val="20"/>
                <w:lang w:eastAsia="en-GB"/>
              </w:rPr>
            </w:pPr>
          </w:p>
        </w:tc>
      </w:tr>
      <w:tr w:rsidR="00ED24FC" w:rsidRPr="00EE0867" w14:paraId="7BCF3BE3" w14:textId="77777777" w:rsidTr="006968BD">
        <w:trPr>
          <w:gridAfter w:val="1"/>
          <w:wAfter w:w="687" w:type="dxa"/>
          <w:trHeight w:val="323"/>
        </w:trPr>
        <w:tc>
          <w:tcPr>
            <w:tcW w:w="2239" w:type="dxa"/>
            <w:tcBorders>
              <w:top w:val="nil"/>
              <w:left w:val="nil"/>
              <w:bottom w:val="nil"/>
              <w:right w:val="nil"/>
            </w:tcBorders>
            <w:shd w:val="clear" w:color="auto" w:fill="auto"/>
            <w:noWrap/>
            <w:vAlign w:val="center"/>
            <w:hideMark/>
          </w:tcPr>
          <w:p w14:paraId="51D2439D" w14:textId="77777777" w:rsidR="00ED24FC" w:rsidRPr="00EE0867" w:rsidRDefault="00ED24FC" w:rsidP="00ED24FC">
            <w:pPr>
              <w:spacing w:after="0" w:line="240" w:lineRule="auto"/>
              <w:rPr>
                <w:rFonts w:ascii="Arial" w:eastAsia="Times New Roman" w:hAnsi="Arial" w:cs="Arial"/>
                <w:sz w:val="20"/>
                <w:szCs w:val="20"/>
                <w:lang w:eastAsia="en-GB"/>
              </w:rPr>
            </w:pPr>
            <w:r w:rsidRPr="00EE0867">
              <w:rPr>
                <w:rFonts w:ascii="Arial" w:eastAsia="Times New Roman" w:hAnsi="Arial" w:cs="Arial"/>
                <w:sz w:val="20"/>
                <w:szCs w:val="20"/>
                <w:lang w:eastAsia="en-GB"/>
              </w:rPr>
              <w:t>£100,001 - £110,000</w:t>
            </w:r>
          </w:p>
        </w:tc>
        <w:tc>
          <w:tcPr>
            <w:tcW w:w="2014" w:type="dxa"/>
            <w:tcBorders>
              <w:top w:val="nil"/>
              <w:left w:val="nil"/>
              <w:bottom w:val="nil"/>
              <w:right w:val="nil"/>
            </w:tcBorders>
            <w:shd w:val="clear" w:color="auto" w:fill="auto"/>
            <w:noWrap/>
            <w:vAlign w:val="center"/>
          </w:tcPr>
          <w:p w14:paraId="0A78AD63" w14:textId="77777777" w:rsidR="00ED24FC" w:rsidRPr="00EE0867" w:rsidRDefault="00626844" w:rsidP="00ED24FC">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3</w:t>
            </w:r>
          </w:p>
        </w:tc>
        <w:tc>
          <w:tcPr>
            <w:tcW w:w="1701" w:type="dxa"/>
            <w:tcBorders>
              <w:top w:val="nil"/>
              <w:left w:val="nil"/>
              <w:bottom w:val="nil"/>
              <w:right w:val="nil"/>
            </w:tcBorders>
            <w:shd w:val="clear" w:color="auto" w:fill="auto"/>
            <w:noWrap/>
            <w:vAlign w:val="center"/>
            <w:hideMark/>
          </w:tcPr>
          <w:p w14:paraId="52A07027" w14:textId="77777777" w:rsidR="00ED24FC" w:rsidRPr="00EE0867" w:rsidRDefault="00ED24FC" w:rsidP="00ED24FC">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1</w:t>
            </w:r>
          </w:p>
        </w:tc>
        <w:tc>
          <w:tcPr>
            <w:tcW w:w="1701" w:type="dxa"/>
            <w:tcBorders>
              <w:top w:val="nil"/>
              <w:left w:val="nil"/>
              <w:bottom w:val="nil"/>
              <w:right w:val="nil"/>
            </w:tcBorders>
            <w:shd w:val="clear" w:color="auto" w:fill="auto"/>
            <w:noWrap/>
            <w:vAlign w:val="center"/>
          </w:tcPr>
          <w:p w14:paraId="6FFB630E" w14:textId="77777777" w:rsidR="00ED24FC" w:rsidRPr="00EE0867" w:rsidRDefault="00626844" w:rsidP="00ED24FC">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3</w:t>
            </w:r>
          </w:p>
        </w:tc>
        <w:tc>
          <w:tcPr>
            <w:tcW w:w="1708" w:type="dxa"/>
            <w:tcBorders>
              <w:top w:val="nil"/>
              <w:left w:val="nil"/>
              <w:bottom w:val="nil"/>
              <w:right w:val="nil"/>
            </w:tcBorders>
            <w:shd w:val="clear" w:color="auto" w:fill="auto"/>
            <w:noWrap/>
            <w:vAlign w:val="center"/>
            <w:hideMark/>
          </w:tcPr>
          <w:p w14:paraId="1A13F697" w14:textId="77777777" w:rsidR="00ED24FC" w:rsidRPr="00EE0867" w:rsidRDefault="00ED24FC" w:rsidP="00ED24FC">
            <w:pPr>
              <w:spacing w:after="0" w:line="240" w:lineRule="auto"/>
              <w:jc w:val="right"/>
              <w:rPr>
                <w:rFonts w:ascii="Times New Roman" w:eastAsia="Times New Roman" w:hAnsi="Times New Roman" w:cs="Times New Roman"/>
                <w:sz w:val="20"/>
                <w:szCs w:val="20"/>
                <w:lang w:eastAsia="en-GB"/>
              </w:rPr>
            </w:pPr>
            <w:r>
              <w:rPr>
                <w:rFonts w:ascii="Arial" w:eastAsia="Times New Roman" w:hAnsi="Arial" w:cs="Arial"/>
                <w:sz w:val="20"/>
                <w:szCs w:val="20"/>
                <w:lang w:eastAsia="en-GB"/>
              </w:rPr>
              <w:t>1</w:t>
            </w:r>
          </w:p>
        </w:tc>
        <w:tc>
          <w:tcPr>
            <w:tcW w:w="222" w:type="dxa"/>
            <w:vAlign w:val="center"/>
            <w:hideMark/>
          </w:tcPr>
          <w:p w14:paraId="0AE7C4EB" w14:textId="77777777" w:rsidR="00ED24FC" w:rsidRPr="00EE0867" w:rsidRDefault="00ED24FC" w:rsidP="00ED24FC">
            <w:pPr>
              <w:spacing w:after="0" w:line="240" w:lineRule="auto"/>
              <w:rPr>
                <w:rFonts w:ascii="Times New Roman" w:eastAsia="Times New Roman" w:hAnsi="Times New Roman" w:cs="Times New Roman"/>
                <w:sz w:val="20"/>
                <w:szCs w:val="20"/>
                <w:lang w:eastAsia="en-GB"/>
              </w:rPr>
            </w:pPr>
          </w:p>
        </w:tc>
        <w:tc>
          <w:tcPr>
            <w:tcW w:w="222" w:type="dxa"/>
            <w:vAlign w:val="center"/>
            <w:hideMark/>
          </w:tcPr>
          <w:p w14:paraId="787A187A" w14:textId="77777777" w:rsidR="00ED24FC" w:rsidRPr="00EE0867" w:rsidRDefault="00ED24FC" w:rsidP="00ED24FC">
            <w:pPr>
              <w:spacing w:after="0" w:line="240" w:lineRule="auto"/>
              <w:rPr>
                <w:rFonts w:ascii="Times New Roman" w:eastAsia="Times New Roman" w:hAnsi="Times New Roman" w:cs="Times New Roman"/>
                <w:sz w:val="20"/>
                <w:szCs w:val="20"/>
                <w:lang w:eastAsia="en-GB"/>
              </w:rPr>
            </w:pPr>
          </w:p>
        </w:tc>
        <w:tc>
          <w:tcPr>
            <w:tcW w:w="222" w:type="dxa"/>
            <w:vAlign w:val="center"/>
            <w:hideMark/>
          </w:tcPr>
          <w:p w14:paraId="7F09E77E" w14:textId="77777777" w:rsidR="00ED24FC" w:rsidRPr="00EE0867" w:rsidRDefault="00ED24FC" w:rsidP="00ED24FC">
            <w:pPr>
              <w:spacing w:after="0" w:line="240" w:lineRule="auto"/>
              <w:rPr>
                <w:rFonts w:ascii="Times New Roman" w:eastAsia="Times New Roman" w:hAnsi="Times New Roman" w:cs="Times New Roman"/>
                <w:sz w:val="20"/>
                <w:szCs w:val="20"/>
                <w:lang w:eastAsia="en-GB"/>
              </w:rPr>
            </w:pPr>
          </w:p>
        </w:tc>
        <w:tc>
          <w:tcPr>
            <w:tcW w:w="222" w:type="dxa"/>
            <w:vAlign w:val="center"/>
            <w:hideMark/>
          </w:tcPr>
          <w:p w14:paraId="3A02D19F" w14:textId="77777777" w:rsidR="00ED24FC" w:rsidRPr="00EE0867" w:rsidRDefault="00ED24FC" w:rsidP="00ED24FC">
            <w:pPr>
              <w:spacing w:after="0" w:line="240" w:lineRule="auto"/>
              <w:rPr>
                <w:rFonts w:ascii="Times New Roman" w:eastAsia="Times New Roman" w:hAnsi="Times New Roman" w:cs="Times New Roman"/>
                <w:sz w:val="20"/>
                <w:szCs w:val="20"/>
                <w:lang w:eastAsia="en-GB"/>
              </w:rPr>
            </w:pPr>
          </w:p>
        </w:tc>
        <w:tc>
          <w:tcPr>
            <w:tcW w:w="222" w:type="dxa"/>
            <w:vAlign w:val="center"/>
            <w:hideMark/>
          </w:tcPr>
          <w:p w14:paraId="19309C8D" w14:textId="77777777" w:rsidR="00ED24FC" w:rsidRPr="00EE0867" w:rsidRDefault="00ED24FC" w:rsidP="00ED24FC">
            <w:pPr>
              <w:spacing w:after="0" w:line="240" w:lineRule="auto"/>
              <w:rPr>
                <w:rFonts w:ascii="Times New Roman" w:eastAsia="Times New Roman" w:hAnsi="Times New Roman" w:cs="Times New Roman"/>
                <w:sz w:val="20"/>
                <w:szCs w:val="20"/>
                <w:lang w:eastAsia="en-GB"/>
              </w:rPr>
            </w:pPr>
          </w:p>
        </w:tc>
        <w:tc>
          <w:tcPr>
            <w:tcW w:w="222" w:type="dxa"/>
            <w:vAlign w:val="center"/>
            <w:hideMark/>
          </w:tcPr>
          <w:p w14:paraId="78F29440" w14:textId="77777777" w:rsidR="00ED24FC" w:rsidRPr="00EE0867" w:rsidRDefault="00ED24FC" w:rsidP="00ED24FC">
            <w:pPr>
              <w:spacing w:after="0" w:line="240" w:lineRule="auto"/>
              <w:rPr>
                <w:rFonts w:ascii="Times New Roman" w:eastAsia="Times New Roman" w:hAnsi="Times New Roman" w:cs="Times New Roman"/>
                <w:sz w:val="20"/>
                <w:szCs w:val="20"/>
                <w:lang w:eastAsia="en-GB"/>
              </w:rPr>
            </w:pPr>
          </w:p>
        </w:tc>
        <w:tc>
          <w:tcPr>
            <w:tcW w:w="222" w:type="dxa"/>
            <w:vAlign w:val="center"/>
            <w:hideMark/>
          </w:tcPr>
          <w:p w14:paraId="0D2E62F3" w14:textId="77777777" w:rsidR="00ED24FC" w:rsidRPr="00EE0867" w:rsidRDefault="00ED24FC" w:rsidP="00ED24FC">
            <w:pPr>
              <w:spacing w:after="0" w:line="240" w:lineRule="auto"/>
              <w:rPr>
                <w:rFonts w:ascii="Times New Roman" w:eastAsia="Times New Roman" w:hAnsi="Times New Roman" w:cs="Times New Roman"/>
                <w:sz w:val="20"/>
                <w:szCs w:val="20"/>
                <w:lang w:eastAsia="en-GB"/>
              </w:rPr>
            </w:pPr>
          </w:p>
        </w:tc>
        <w:tc>
          <w:tcPr>
            <w:tcW w:w="1556" w:type="dxa"/>
            <w:gridSpan w:val="2"/>
            <w:vAlign w:val="center"/>
            <w:hideMark/>
          </w:tcPr>
          <w:p w14:paraId="4796B5F4" w14:textId="77777777" w:rsidR="00ED24FC" w:rsidRPr="00EE0867" w:rsidRDefault="00ED24FC" w:rsidP="00ED24FC">
            <w:pPr>
              <w:spacing w:after="0" w:line="240" w:lineRule="auto"/>
              <w:rPr>
                <w:rFonts w:ascii="Times New Roman" w:eastAsia="Times New Roman" w:hAnsi="Times New Roman" w:cs="Times New Roman"/>
                <w:sz w:val="20"/>
                <w:szCs w:val="20"/>
                <w:lang w:eastAsia="en-GB"/>
              </w:rPr>
            </w:pPr>
          </w:p>
        </w:tc>
      </w:tr>
      <w:tr w:rsidR="00ED24FC" w:rsidRPr="00EE0867" w14:paraId="599D8288" w14:textId="77777777" w:rsidTr="006968BD">
        <w:trPr>
          <w:gridAfter w:val="1"/>
          <w:wAfter w:w="687" w:type="dxa"/>
          <w:trHeight w:val="323"/>
        </w:trPr>
        <w:tc>
          <w:tcPr>
            <w:tcW w:w="2239" w:type="dxa"/>
            <w:tcBorders>
              <w:top w:val="nil"/>
              <w:left w:val="nil"/>
              <w:bottom w:val="nil"/>
              <w:right w:val="nil"/>
            </w:tcBorders>
            <w:shd w:val="clear" w:color="auto" w:fill="auto"/>
            <w:noWrap/>
            <w:vAlign w:val="center"/>
            <w:hideMark/>
          </w:tcPr>
          <w:p w14:paraId="58396308" w14:textId="77777777" w:rsidR="00ED24FC" w:rsidRPr="00EE0867" w:rsidRDefault="00ED24FC" w:rsidP="00ED24FC">
            <w:pPr>
              <w:spacing w:after="0" w:line="240" w:lineRule="auto"/>
              <w:rPr>
                <w:rFonts w:ascii="Arial" w:eastAsia="Times New Roman" w:hAnsi="Arial" w:cs="Arial"/>
                <w:sz w:val="20"/>
                <w:szCs w:val="20"/>
                <w:lang w:eastAsia="en-GB"/>
              </w:rPr>
            </w:pPr>
            <w:r w:rsidRPr="00EE0867">
              <w:rPr>
                <w:rFonts w:ascii="Arial" w:eastAsia="Times New Roman" w:hAnsi="Arial" w:cs="Arial"/>
                <w:sz w:val="20"/>
                <w:szCs w:val="20"/>
                <w:lang w:eastAsia="en-GB"/>
              </w:rPr>
              <w:t>£110,001 - £120,000</w:t>
            </w:r>
          </w:p>
        </w:tc>
        <w:tc>
          <w:tcPr>
            <w:tcW w:w="2014" w:type="dxa"/>
            <w:tcBorders>
              <w:top w:val="nil"/>
              <w:left w:val="nil"/>
              <w:bottom w:val="nil"/>
              <w:right w:val="nil"/>
            </w:tcBorders>
            <w:shd w:val="clear" w:color="auto" w:fill="auto"/>
            <w:noWrap/>
            <w:vAlign w:val="center"/>
          </w:tcPr>
          <w:p w14:paraId="2C991594" w14:textId="77777777" w:rsidR="00ED24FC" w:rsidRPr="00EE0867" w:rsidRDefault="00F8700E" w:rsidP="00ED24FC">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3</w:t>
            </w:r>
          </w:p>
        </w:tc>
        <w:tc>
          <w:tcPr>
            <w:tcW w:w="1701" w:type="dxa"/>
            <w:tcBorders>
              <w:top w:val="nil"/>
              <w:left w:val="nil"/>
              <w:bottom w:val="nil"/>
              <w:right w:val="nil"/>
            </w:tcBorders>
            <w:shd w:val="clear" w:color="auto" w:fill="auto"/>
            <w:noWrap/>
            <w:vAlign w:val="center"/>
            <w:hideMark/>
          </w:tcPr>
          <w:p w14:paraId="07DDA948" w14:textId="77777777" w:rsidR="00ED24FC" w:rsidRPr="00EE0867" w:rsidRDefault="00ED24FC" w:rsidP="00ED24FC">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5</w:t>
            </w:r>
          </w:p>
        </w:tc>
        <w:tc>
          <w:tcPr>
            <w:tcW w:w="1701" w:type="dxa"/>
            <w:tcBorders>
              <w:top w:val="nil"/>
              <w:left w:val="nil"/>
              <w:bottom w:val="nil"/>
              <w:right w:val="nil"/>
            </w:tcBorders>
            <w:shd w:val="clear" w:color="auto" w:fill="auto"/>
            <w:noWrap/>
            <w:vAlign w:val="center"/>
          </w:tcPr>
          <w:p w14:paraId="5DB3F2D1" w14:textId="77777777" w:rsidR="00ED24FC" w:rsidRPr="00EE0867" w:rsidRDefault="00F8700E" w:rsidP="00ED24FC">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3</w:t>
            </w:r>
          </w:p>
        </w:tc>
        <w:tc>
          <w:tcPr>
            <w:tcW w:w="1708" w:type="dxa"/>
            <w:tcBorders>
              <w:top w:val="nil"/>
              <w:left w:val="nil"/>
              <w:bottom w:val="nil"/>
              <w:right w:val="nil"/>
            </w:tcBorders>
            <w:shd w:val="clear" w:color="auto" w:fill="auto"/>
            <w:noWrap/>
            <w:vAlign w:val="center"/>
            <w:hideMark/>
          </w:tcPr>
          <w:p w14:paraId="5B771696" w14:textId="77777777" w:rsidR="00ED24FC" w:rsidRPr="00EE0867" w:rsidRDefault="00ED24FC" w:rsidP="00ED24FC">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4</w:t>
            </w:r>
          </w:p>
        </w:tc>
        <w:tc>
          <w:tcPr>
            <w:tcW w:w="222" w:type="dxa"/>
            <w:vAlign w:val="center"/>
            <w:hideMark/>
          </w:tcPr>
          <w:p w14:paraId="02AA7075" w14:textId="77777777" w:rsidR="00ED24FC" w:rsidRPr="00EE0867" w:rsidRDefault="00ED24FC" w:rsidP="00ED24FC">
            <w:pPr>
              <w:spacing w:after="0" w:line="240" w:lineRule="auto"/>
              <w:rPr>
                <w:rFonts w:ascii="Times New Roman" w:eastAsia="Times New Roman" w:hAnsi="Times New Roman" w:cs="Times New Roman"/>
                <w:sz w:val="20"/>
                <w:szCs w:val="20"/>
                <w:lang w:eastAsia="en-GB"/>
              </w:rPr>
            </w:pPr>
          </w:p>
        </w:tc>
        <w:tc>
          <w:tcPr>
            <w:tcW w:w="222" w:type="dxa"/>
            <w:vAlign w:val="center"/>
            <w:hideMark/>
          </w:tcPr>
          <w:p w14:paraId="5FA8E48F" w14:textId="77777777" w:rsidR="00ED24FC" w:rsidRPr="00EE0867" w:rsidRDefault="00ED24FC" w:rsidP="00ED24FC">
            <w:pPr>
              <w:spacing w:after="0" w:line="240" w:lineRule="auto"/>
              <w:rPr>
                <w:rFonts w:ascii="Times New Roman" w:eastAsia="Times New Roman" w:hAnsi="Times New Roman" w:cs="Times New Roman"/>
                <w:sz w:val="20"/>
                <w:szCs w:val="20"/>
                <w:lang w:eastAsia="en-GB"/>
              </w:rPr>
            </w:pPr>
          </w:p>
        </w:tc>
        <w:tc>
          <w:tcPr>
            <w:tcW w:w="222" w:type="dxa"/>
            <w:vAlign w:val="center"/>
            <w:hideMark/>
          </w:tcPr>
          <w:p w14:paraId="6D553AA9" w14:textId="77777777" w:rsidR="00ED24FC" w:rsidRPr="00EE0867" w:rsidRDefault="00ED24FC" w:rsidP="00ED24FC">
            <w:pPr>
              <w:spacing w:after="0" w:line="240" w:lineRule="auto"/>
              <w:rPr>
                <w:rFonts w:ascii="Times New Roman" w:eastAsia="Times New Roman" w:hAnsi="Times New Roman" w:cs="Times New Roman"/>
                <w:sz w:val="20"/>
                <w:szCs w:val="20"/>
                <w:lang w:eastAsia="en-GB"/>
              </w:rPr>
            </w:pPr>
          </w:p>
        </w:tc>
        <w:tc>
          <w:tcPr>
            <w:tcW w:w="222" w:type="dxa"/>
            <w:vAlign w:val="center"/>
            <w:hideMark/>
          </w:tcPr>
          <w:p w14:paraId="79B847C6" w14:textId="77777777" w:rsidR="00ED24FC" w:rsidRPr="00EE0867" w:rsidRDefault="00ED24FC" w:rsidP="00ED24FC">
            <w:pPr>
              <w:spacing w:after="0" w:line="240" w:lineRule="auto"/>
              <w:rPr>
                <w:rFonts w:ascii="Times New Roman" w:eastAsia="Times New Roman" w:hAnsi="Times New Roman" w:cs="Times New Roman"/>
                <w:sz w:val="20"/>
                <w:szCs w:val="20"/>
                <w:lang w:eastAsia="en-GB"/>
              </w:rPr>
            </w:pPr>
          </w:p>
        </w:tc>
        <w:tc>
          <w:tcPr>
            <w:tcW w:w="222" w:type="dxa"/>
            <w:vAlign w:val="center"/>
            <w:hideMark/>
          </w:tcPr>
          <w:p w14:paraId="2DA663CD" w14:textId="77777777" w:rsidR="00ED24FC" w:rsidRPr="00EE0867" w:rsidRDefault="00ED24FC" w:rsidP="00ED24FC">
            <w:pPr>
              <w:spacing w:after="0" w:line="240" w:lineRule="auto"/>
              <w:rPr>
                <w:rFonts w:ascii="Times New Roman" w:eastAsia="Times New Roman" w:hAnsi="Times New Roman" w:cs="Times New Roman"/>
                <w:sz w:val="20"/>
                <w:szCs w:val="20"/>
                <w:lang w:eastAsia="en-GB"/>
              </w:rPr>
            </w:pPr>
          </w:p>
        </w:tc>
        <w:tc>
          <w:tcPr>
            <w:tcW w:w="222" w:type="dxa"/>
            <w:vAlign w:val="center"/>
            <w:hideMark/>
          </w:tcPr>
          <w:p w14:paraId="634F8676" w14:textId="77777777" w:rsidR="00ED24FC" w:rsidRPr="00EE0867" w:rsidRDefault="00ED24FC" w:rsidP="00ED24FC">
            <w:pPr>
              <w:spacing w:after="0" w:line="240" w:lineRule="auto"/>
              <w:rPr>
                <w:rFonts w:ascii="Times New Roman" w:eastAsia="Times New Roman" w:hAnsi="Times New Roman" w:cs="Times New Roman"/>
                <w:sz w:val="20"/>
                <w:szCs w:val="20"/>
                <w:lang w:eastAsia="en-GB"/>
              </w:rPr>
            </w:pPr>
          </w:p>
        </w:tc>
        <w:tc>
          <w:tcPr>
            <w:tcW w:w="222" w:type="dxa"/>
            <w:vAlign w:val="center"/>
            <w:hideMark/>
          </w:tcPr>
          <w:p w14:paraId="7CE658A5" w14:textId="77777777" w:rsidR="00ED24FC" w:rsidRPr="00EE0867" w:rsidRDefault="00ED24FC" w:rsidP="00ED24FC">
            <w:pPr>
              <w:spacing w:after="0" w:line="240" w:lineRule="auto"/>
              <w:rPr>
                <w:rFonts w:ascii="Times New Roman" w:eastAsia="Times New Roman" w:hAnsi="Times New Roman" w:cs="Times New Roman"/>
                <w:sz w:val="20"/>
                <w:szCs w:val="20"/>
                <w:lang w:eastAsia="en-GB"/>
              </w:rPr>
            </w:pPr>
          </w:p>
        </w:tc>
        <w:tc>
          <w:tcPr>
            <w:tcW w:w="1556" w:type="dxa"/>
            <w:gridSpan w:val="2"/>
            <w:vAlign w:val="center"/>
            <w:hideMark/>
          </w:tcPr>
          <w:p w14:paraId="2BE3B4D8" w14:textId="77777777" w:rsidR="00ED24FC" w:rsidRPr="00EE0867" w:rsidRDefault="00ED24FC" w:rsidP="00ED24FC">
            <w:pPr>
              <w:spacing w:after="0" w:line="240" w:lineRule="auto"/>
              <w:rPr>
                <w:rFonts w:ascii="Times New Roman" w:eastAsia="Times New Roman" w:hAnsi="Times New Roman" w:cs="Times New Roman"/>
                <w:sz w:val="20"/>
                <w:szCs w:val="20"/>
                <w:lang w:eastAsia="en-GB"/>
              </w:rPr>
            </w:pPr>
          </w:p>
        </w:tc>
      </w:tr>
      <w:tr w:rsidR="00ED24FC" w:rsidRPr="00EE0867" w14:paraId="3835B5E0" w14:textId="77777777" w:rsidTr="006968BD">
        <w:trPr>
          <w:gridAfter w:val="1"/>
          <w:wAfter w:w="687" w:type="dxa"/>
          <w:trHeight w:val="323"/>
        </w:trPr>
        <w:tc>
          <w:tcPr>
            <w:tcW w:w="2239" w:type="dxa"/>
            <w:tcBorders>
              <w:top w:val="nil"/>
              <w:left w:val="nil"/>
              <w:bottom w:val="nil"/>
              <w:right w:val="nil"/>
            </w:tcBorders>
            <w:shd w:val="clear" w:color="auto" w:fill="auto"/>
            <w:noWrap/>
            <w:vAlign w:val="center"/>
            <w:hideMark/>
          </w:tcPr>
          <w:p w14:paraId="0AA580DD" w14:textId="77777777" w:rsidR="00ED24FC" w:rsidRPr="00EE0867" w:rsidRDefault="00ED24FC" w:rsidP="00ED24FC">
            <w:pPr>
              <w:spacing w:after="0" w:line="240" w:lineRule="auto"/>
              <w:rPr>
                <w:rFonts w:ascii="Arial" w:eastAsia="Times New Roman" w:hAnsi="Arial" w:cs="Arial"/>
                <w:sz w:val="20"/>
                <w:szCs w:val="20"/>
                <w:lang w:eastAsia="en-GB"/>
              </w:rPr>
            </w:pPr>
            <w:r w:rsidRPr="00EE0867">
              <w:rPr>
                <w:rFonts w:ascii="Arial" w:eastAsia="Times New Roman" w:hAnsi="Arial" w:cs="Arial"/>
                <w:sz w:val="20"/>
                <w:szCs w:val="20"/>
                <w:lang w:eastAsia="en-GB"/>
              </w:rPr>
              <w:t>£120,001 - £130,000</w:t>
            </w:r>
          </w:p>
        </w:tc>
        <w:tc>
          <w:tcPr>
            <w:tcW w:w="2014" w:type="dxa"/>
            <w:tcBorders>
              <w:top w:val="nil"/>
              <w:left w:val="nil"/>
              <w:bottom w:val="nil"/>
              <w:right w:val="nil"/>
            </w:tcBorders>
            <w:shd w:val="clear" w:color="auto" w:fill="auto"/>
            <w:noWrap/>
            <w:vAlign w:val="center"/>
          </w:tcPr>
          <w:p w14:paraId="0A4D4F84" w14:textId="77777777" w:rsidR="00ED24FC" w:rsidRPr="00EE0867" w:rsidRDefault="00F8700E" w:rsidP="00ED24FC">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2</w:t>
            </w:r>
          </w:p>
        </w:tc>
        <w:tc>
          <w:tcPr>
            <w:tcW w:w="1701" w:type="dxa"/>
            <w:tcBorders>
              <w:top w:val="nil"/>
              <w:left w:val="nil"/>
              <w:bottom w:val="nil"/>
              <w:right w:val="nil"/>
            </w:tcBorders>
            <w:shd w:val="clear" w:color="auto" w:fill="auto"/>
            <w:noWrap/>
            <w:vAlign w:val="center"/>
            <w:hideMark/>
          </w:tcPr>
          <w:p w14:paraId="52F03B64" w14:textId="77777777" w:rsidR="00ED24FC" w:rsidRPr="00EE0867" w:rsidRDefault="00ED24FC" w:rsidP="00ED24FC">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4</w:t>
            </w:r>
          </w:p>
        </w:tc>
        <w:tc>
          <w:tcPr>
            <w:tcW w:w="1701" w:type="dxa"/>
            <w:tcBorders>
              <w:top w:val="nil"/>
              <w:left w:val="nil"/>
              <w:bottom w:val="nil"/>
              <w:right w:val="nil"/>
            </w:tcBorders>
            <w:shd w:val="clear" w:color="auto" w:fill="auto"/>
            <w:noWrap/>
            <w:vAlign w:val="center"/>
          </w:tcPr>
          <w:p w14:paraId="65234D42" w14:textId="77777777" w:rsidR="00ED24FC" w:rsidRPr="00EE0867" w:rsidRDefault="00F8700E" w:rsidP="00ED24FC">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2</w:t>
            </w:r>
          </w:p>
        </w:tc>
        <w:tc>
          <w:tcPr>
            <w:tcW w:w="1708" w:type="dxa"/>
            <w:tcBorders>
              <w:top w:val="nil"/>
              <w:left w:val="nil"/>
              <w:bottom w:val="nil"/>
              <w:right w:val="nil"/>
            </w:tcBorders>
            <w:shd w:val="clear" w:color="auto" w:fill="auto"/>
            <w:noWrap/>
            <w:vAlign w:val="center"/>
            <w:hideMark/>
          </w:tcPr>
          <w:p w14:paraId="1657C654" w14:textId="77777777" w:rsidR="00ED24FC" w:rsidRPr="00EE0867" w:rsidRDefault="00ED24FC" w:rsidP="00ED24FC">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4</w:t>
            </w:r>
          </w:p>
        </w:tc>
        <w:tc>
          <w:tcPr>
            <w:tcW w:w="222" w:type="dxa"/>
            <w:vAlign w:val="center"/>
            <w:hideMark/>
          </w:tcPr>
          <w:p w14:paraId="406046D4" w14:textId="77777777" w:rsidR="00ED24FC" w:rsidRPr="00EE0867" w:rsidRDefault="00ED24FC" w:rsidP="00ED24FC">
            <w:pPr>
              <w:spacing w:after="0" w:line="240" w:lineRule="auto"/>
              <w:rPr>
                <w:rFonts w:ascii="Times New Roman" w:eastAsia="Times New Roman" w:hAnsi="Times New Roman" w:cs="Times New Roman"/>
                <w:sz w:val="20"/>
                <w:szCs w:val="20"/>
                <w:lang w:eastAsia="en-GB"/>
              </w:rPr>
            </w:pPr>
          </w:p>
        </w:tc>
        <w:tc>
          <w:tcPr>
            <w:tcW w:w="222" w:type="dxa"/>
            <w:vAlign w:val="center"/>
            <w:hideMark/>
          </w:tcPr>
          <w:p w14:paraId="488A0357" w14:textId="77777777" w:rsidR="00ED24FC" w:rsidRPr="00EE0867" w:rsidRDefault="00ED24FC" w:rsidP="00ED24FC">
            <w:pPr>
              <w:spacing w:after="0" w:line="240" w:lineRule="auto"/>
              <w:rPr>
                <w:rFonts w:ascii="Times New Roman" w:eastAsia="Times New Roman" w:hAnsi="Times New Roman" w:cs="Times New Roman"/>
                <w:sz w:val="20"/>
                <w:szCs w:val="20"/>
                <w:lang w:eastAsia="en-GB"/>
              </w:rPr>
            </w:pPr>
          </w:p>
        </w:tc>
        <w:tc>
          <w:tcPr>
            <w:tcW w:w="222" w:type="dxa"/>
            <w:vAlign w:val="center"/>
            <w:hideMark/>
          </w:tcPr>
          <w:p w14:paraId="71AEEFA7" w14:textId="77777777" w:rsidR="00ED24FC" w:rsidRPr="00EE0867" w:rsidRDefault="00ED24FC" w:rsidP="00ED24FC">
            <w:pPr>
              <w:spacing w:after="0" w:line="240" w:lineRule="auto"/>
              <w:rPr>
                <w:rFonts w:ascii="Times New Roman" w:eastAsia="Times New Roman" w:hAnsi="Times New Roman" w:cs="Times New Roman"/>
                <w:sz w:val="20"/>
                <w:szCs w:val="20"/>
                <w:lang w:eastAsia="en-GB"/>
              </w:rPr>
            </w:pPr>
          </w:p>
        </w:tc>
        <w:tc>
          <w:tcPr>
            <w:tcW w:w="222" w:type="dxa"/>
            <w:vAlign w:val="center"/>
            <w:hideMark/>
          </w:tcPr>
          <w:p w14:paraId="5F2CCBB5" w14:textId="77777777" w:rsidR="00ED24FC" w:rsidRPr="00EE0867" w:rsidRDefault="00ED24FC" w:rsidP="00ED24FC">
            <w:pPr>
              <w:spacing w:after="0" w:line="240" w:lineRule="auto"/>
              <w:rPr>
                <w:rFonts w:ascii="Times New Roman" w:eastAsia="Times New Roman" w:hAnsi="Times New Roman" w:cs="Times New Roman"/>
                <w:sz w:val="20"/>
                <w:szCs w:val="20"/>
                <w:lang w:eastAsia="en-GB"/>
              </w:rPr>
            </w:pPr>
          </w:p>
        </w:tc>
        <w:tc>
          <w:tcPr>
            <w:tcW w:w="222" w:type="dxa"/>
            <w:vAlign w:val="center"/>
            <w:hideMark/>
          </w:tcPr>
          <w:p w14:paraId="548FCA46" w14:textId="77777777" w:rsidR="00ED24FC" w:rsidRPr="00EE0867" w:rsidRDefault="00ED24FC" w:rsidP="00ED24FC">
            <w:pPr>
              <w:spacing w:after="0" w:line="240" w:lineRule="auto"/>
              <w:rPr>
                <w:rFonts w:ascii="Times New Roman" w:eastAsia="Times New Roman" w:hAnsi="Times New Roman" w:cs="Times New Roman"/>
                <w:sz w:val="20"/>
                <w:szCs w:val="20"/>
                <w:lang w:eastAsia="en-GB"/>
              </w:rPr>
            </w:pPr>
          </w:p>
        </w:tc>
        <w:tc>
          <w:tcPr>
            <w:tcW w:w="222" w:type="dxa"/>
            <w:vAlign w:val="center"/>
            <w:hideMark/>
          </w:tcPr>
          <w:p w14:paraId="2B4FD25F" w14:textId="77777777" w:rsidR="00ED24FC" w:rsidRPr="00EE0867" w:rsidRDefault="00ED24FC" w:rsidP="00ED24FC">
            <w:pPr>
              <w:spacing w:after="0" w:line="240" w:lineRule="auto"/>
              <w:rPr>
                <w:rFonts w:ascii="Times New Roman" w:eastAsia="Times New Roman" w:hAnsi="Times New Roman" w:cs="Times New Roman"/>
                <w:sz w:val="20"/>
                <w:szCs w:val="20"/>
                <w:lang w:eastAsia="en-GB"/>
              </w:rPr>
            </w:pPr>
          </w:p>
        </w:tc>
        <w:tc>
          <w:tcPr>
            <w:tcW w:w="222" w:type="dxa"/>
            <w:vAlign w:val="center"/>
            <w:hideMark/>
          </w:tcPr>
          <w:p w14:paraId="3046526A" w14:textId="77777777" w:rsidR="00ED24FC" w:rsidRPr="00EE0867" w:rsidRDefault="00ED24FC" w:rsidP="00ED24FC">
            <w:pPr>
              <w:spacing w:after="0" w:line="240" w:lineRule="auto"/>
              <w:rPr>
                <w:rFonts w:ascii="Times New Roman" w:eastAsia="Times New Roman" w:hAnsi="Times New Roman" w:cs="Times New Roman"/>
                <w:sz w:val="20"/>
                <w:szCs w:val="20"/>
                <w:lang w:eastAsia="en-GB"/>
              </w:rPr>
            </w:pPr>
          </w:p>
        </w:tc>
        <w:tc>
          <w:tcPr>
            <w:tcW w:w="1556" w:type="dxa"/>
            <w:gridSpan w:val="2"/>
            <w:vAlign w:val="center"/>
            <w:hideMark/>
          </w:tcPr>
          <w:p w14:paraId="14D4866D" w14:textId="77777777" w:rsidR="00ED24FC" w:rsidRPr="00EE0867" w:rsidRDefault="00ED24FC" w:rsidP="00ED24FC">
            <w:pPr>
              <w:spacing w:after="0" w:line="240" w:lineRule="auto"/>
              <w:rPr>
                <w:rFonts w:ascii="Times New Roman" w:eastAsia="Times New Roman" w:hAnsi="Times New Roman" w:cs="Times New Roman"/>
                <w:sz w:val="20"/>
                <w:szCs w:val="20"/>
                <w:lang w:eastAsia="en-GB"/>
              </w:rPr>
            </w:pPr>
          </w:p>
        </w:tc>
      </w:tr>
      <w:tr w:rsidR="00ED24FC" w:rsidRPr="00EE0867" w14:paraId="6E76E8DD" w14:textId="77777777" w:rsidTr="006968BD">
        <w:trPr>
          <w:gridAfter w:val="1"/>
          <w:wAfter w:w="687" w:type="dxa"/>
          <w:trHeight w:val="323"/>
        </w:trPr>
        <w:tc>
          <w:tcPr>
            <w:tcW w:w="2239" w:type="dxa"/>
            <w:tcBorders>
              <w:top w:val="nil"/>
              <w:left w:val="nil"/>
              <w:bottom w:val="nil"/>
              <w:right w:val="nil"/>
            </w:tcBorders>
            <w:shd w:val="clear" w:color="auto" w:fill="auto"/>
            <w:noWrap/>
            <w:vAlign w:val="center"/>
            <w:hideMark/>
          </w:tcPr>
          <w:p w14:paraId="7F8F27A4" w14:textId="77777777" w:rsidR="00ED24FC" w:rsidRPr="00EE0867" w:rsidRDefault="00ED24FC" w:rsidP="00ED24FC">
            <w:pPr>
              <w:spacing w:after="0" w:line="240" w:lineRule="auto"/>
              <w:rPr>
                <w:rFonts w:ascii="Arial" w:eastAsia="Times New Roman" w:hAnsi="Arial" w:cs="Arial"/>
                <w:sz w:val="20"/>
                <w:szCs w:val="20"/>
                <w:lang w:eastAsia="en-GB"/>
              </w:rPr>
            </w:pPr>
            <w:r w:rsidRPr="00EE0867">
              <w:rPr>
                <w:rFonts w:ascii="Arial" w:eastAsia="Times New Roman" w:hAnsi="Arial" w:cs="Arial"/>
                <w:sz w:val="20"/>
                <w:szCs w:val="20"/>
                <w:lang w:eastAsia="en-GB"/>
              </w:rPr>
              <w:t>£130,000 - £140,000</w:t>
            </w:r>
          </w:p>
        </w:tc>
        <w:tc>
          <w:tcPr>
            <w:tcW w:w="2014" w:type="dxa"/>
            <w:tcBorders>
              <w:top w:val="nil"/>
              <w:left w:val="nil"/>
              <w:bottom w:val="nil"/>
              <w:right w:val="nil"/>
            </w:tcBorders>
            <w:shd w:val="clear" w:color="auto" w:fill="auto"/>
            <w:noWrap/>
            <w:vAlign w:val="center"/>
          </w:tcPr>
          <w:p w14:paraId="31F0B38B" w14:textId="77777777" w:rsidR="00ED24FC" w:rsidRPr="00EE0867" w:rsidRDefault="00F8700E" w:rsidP="00ED24FC">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2</w:t>
            </w:r>
          </w:p>
        </w:tc>
        <w:tc>
          <w:tcPr>
            <w:tcW w:w="1701" w:type="dxa"/>
            <w:tcBorders>
              <w:top w:val="nil"/>
              <w:left w:val="nil"/>
              <w:bottom w:val="nil"/>
              <w:right w:val="nil"/>
            </w:tcBorders>
            <w:shd w:val="clear" w:color="auto" w:fill="auto"/>
            <w:noWrap/>
            <w:vAlign w:val="center"/>
            <w:hideMark/>
          </w:tcPr>
          <w:p w14:paraId="7A24A3CC" w14:textId="77777777" w:rsidR="00ED24FC" w:rsidRPr="00EE0867" w:rsidRDefault="00ED24FC" w:rsidP="00ED24FC">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4</w:t>
            </w:r>
          </w:p>
        </w:tc>
        <w:tc>
          <w:tcPr>
            <w:tcW w:w="1701" w:type="dxa"/>
            <w:tcBorders>
              <w:top w:val="nil"/>
              <w:left w:val="nil"/>
              <w:bottom w:val="nil"/>
              <w:right w:val="nil"/>
            </w:tcBorders>
            <w:shd w:val="clear" w:color="auto" w:fill="auto"/>
            <w:noWrap/>
            <w:vAlign w:val="center"/>
          </w:tcPr>
          <w:p w14:paraId="6AACD42D" w14:textId="77777777" w:rsidR="00ED24FC" w:rsidRPr="00EE0867" w:rsidRDefault="00F8700E" w:rsidP="00ED24FC">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2</w:t>
            </w:r>
          </w:p>
        </w:tc>
        <w:tc>
          <w:tcPr>
            <w:tcW w:w="1708" w:type="dxa"/>
            <w:tcBorders>
              <w:top w:val="nil"/>
              <w:left w:val="nil"/>
              <w:bottom w:val="nil"/>
              <w:right w:val="nil"/>
            </w:tcBorders>
            <w:shd w:val="clear" w:color="auto" w:fill="auto"/>
            <w:noWrap/>
            <w:vAlign w:val="center"/>
            <w:hideMark/>
          </w:tcPr>
          <w:p w14:paraId="0354A0FC" w14:textId="77777777" w:rsidR="00ED24FC" w:rsidRPr="00EE0867" w:rsidRDefault="00ED24FC" w:rsidP="00ED24FC">
            <w:pPr>
              <w:spacing w:after="0" w:line="240" w:lineRule="auto"/>
              <w:jc w:val="right"/>
              <w:rPr>
                <w:rFonts w:ascii="Times New Roman" w:eastAsia="Times New Roman" w:hAnsi="Times New Roman" w:cs="Times New Roman"/>
                <w:sz w:val="20"/>
                <w:szCs w:val="20"/>
                <w:lang w:eastAsia="en-GB"/>
              </w:rPr>
            </w:pPr>
            <w:r>
              <w:rPr>
                <w:rFonts w:ascii="Arial" w:eastAsia="Times New Roman" w:hAnsi="Arial" w:cs="Arial"/>
                <w:sz w:val="20"/>
                <w:szCs w:val="20"/>
                <w:lang w:eastAsia="en-GB"/>
              </w:rPr>
              <w:t>4</w:t>
            </w:r>
          </w:p>
        </w:tc>
        <w:tc>
          <w:tcPr>
            <w:tcW w:w="222" w:type="dxa"/>
            <w:vAlign w:val="center"/>
            <w:hideMark/>
          </w:tcPr>
          <w:p w14:paraId="60B0A6D5" w14:textId="77777777" w:rsidR="00ED24FC" w:rsidRPr="00EE0867" w:rsidRDefault="00ED24FC" w:rsidP="00ED24FC">
            <w:pPr>
              <w:spacing w:after="0" w:line="240" w:lineRule="auto"/>
              <w:rPr>
                <w:rFonts w:ascii="Times New Roman" w:eastAsia="Times New Roman" w:hAnsi="Times New Roman" w:cs="Times New Roman"/>
                <w:sz w:val="20"/>
                <w:szCs w:val="20"/>
                <w:lang w:eastAsia="en-GB"/>
              </w:rPr>
            </w:pPr>
          </w:p>
        </w:tc>
        <w:tc>
          <w:tcPr>
            <w:tcW w:w="222" w:type="dxa"/>
            <w:vAlign w:val="center"/>
            <w:hideMark/>
          </w:tcPr>
          <w:p w14:paraId="73FD1790" w14:textId="77777777" w:rsidR="00ED24FC" w:rsidRPr="00EE0867" w:rsidRDefault="00ED24FC" w:rsidP="00ED24FC">
            <w:pPr>
              <w:spacing w:after="0" w:line="240" w:lineRule="auto"/>
              <w:rPr>
                <w:rFonts w:ascii="Times New Roman" w:eastAsia="Times New Roman" w:hAnsi="Times New Roman" w:cs="Times New Roman"/>
                <w:sz w:val="20"/>
                <w:szCs w:val="20"/>
                <w:lang w:eastAsia="en-GB"/>
              </w:rPr>
            </w:pPr>
          </w:p>
        </w:tc>
        <w:tc>
          <w:tcPr>
            <w:tcW w:w="222" w:type="dxa"/>
            <w:vAlign w:val="center"/>
            <w:hideMark/>
          </w:tcPr>
          <w:p w14:paraId="4F7DEC84" w14:textId="77777777" w:rsidR="00ED24FC" w:rsidRPr="00EE0867" w:rsidRDefault="00ED24FC" w:rsidP="00ED24FC">
            <w:pPr>
              <w:spacing w:after="0" w:line="240" w:lineRule="auto"/>
              <w:rPr>
                <w:rFonts w:ascii="Times New Roman" w:eastAsia="Times New Roman" w:hAnsi="Times New Roman" w:cs="Times New Roman"/>
                <w:sz w:val="20"/>
                <w:szCs w:val="20"/>
                <w:lang w:eastAsia="en-GB"/>
              </w:rPr>
            </w:pPr>
          </w:p>
        </w:tc>
        <w:tc>
          <w:tcPr>
            <w:tcW w:w="222" w:type="dxa"/>
            <w:vAlign w:val="center"/>
            <w:hideMark/>
          </w:tcPr>
          <w:p w14:paraId="2CE771E0" w14:textId="77777777" w:rsidR="00ED24FC" w:rsidRPr="00EE0867" w:rsidRDefault="00ED24FC" w:rsidP="00ED24FC">
            <w:pPr>
              <w:spacing w:after="0" w:line="240" w:lineRule="auto"/>
              <w:rPr>
                <w:rFonts w:ascii="Times New Roman" w:eastAsia="Times New Roman" w:hAnsi="Times New Roman" w:cs="Times New Roman"/>
                <w:sz w:val="20"/>
                <w:szCs w:val="20"/>
                <w:lang w:eastAsia="en-GB"/>
              </w:rPr>
            </w:pPr>
          </w:p>
        </w:tc>
        <w:tc>
          <w:tcPr>
            <w:tcW w:w="222" w:type="dxa"/>
            <w:vAlign w:val="center"/>
            <w:hideMark/>
          </w:tcPr>
          <w:p w14:paraId="460863C2" w14:textId="77777777" w:rsidR="00ED24FC" w:rsidRPr="00EE0867" w:rsidRDefault="00ED24FC" w:rsidP="00ED24FC">
            <w:pPr>
              <w:spacing w:after="0" w:line="240" w:lineRule="auto"/>
              <w:rPr>
                <w:rFonts w:ascii="Times New Roman" w:eastAsia="Times New Roman" w:hAnsi="Times New Roman" w:cs="Times New Roman"/>
                <w:sz w:val="20"/>
                <w:szCs w:val="20"/>
                <w:lang w:eastAsia="en-GB"/>
              </w:rPr>
            </w:pPr>
          </w:p>
        </w:tc>
        <w:tc>
          <w:tcPr>
            <w:tcW w:w="222" w:type="dxa"/>
            <w:vAlign w:val="center"/>
            <w:hideMark/>
          </w:tcPr>
          <w:p w14:paraId="4AE7EAF5" w14:textId="77777777" w:rsidR="00ED24FC" w:rsidRPr="00EE0867" w:rsidRDefault="00ED24FC" w:rsidP="00ED24FC">
            <w:pPr>
              <w:spacing w:after="0" w:line="240" w:lineRule="auto"/>
              <w:rPr>
                <w:rFonts w:ascii="Times New Roman" w:eastAsia="Times New Roman" w:hAnsi="Times New Roman" w:cs="Times New Roman"/>
                <w:sz w:val="20"/>
                <w:szCs w:val="20"/>
                <w:lang w:eastAsia="en-GB"/>
              </w:rPr>
            </w:pPr>
          </w:p>
        </w:tc>
        <w:tc>
          <w:tcPr>
            <w:tcW w:w="222" w:type="dxa"/>
            <w:vAlign w:val="center"/>
            <w:hideMark/>
          </w:tcPr>
          <w:p w14:paraId="3E2D9EE8" w14:textId="77777777" w:rsidR="00ED24FC" w:rsidRPr="00EE0867" w:rsidRDefault="00ED24FC" w:rsidP="00ED24FC">
            <w:pPr>
              <w:spacing w:after="0" w:line="240" w:lineRule="auto"/>
              <w:rPr>
                <w:rFonts w:ascii="Times New Roman" w:eastAsia="Times New Roman" w:hAnsi="Times New Roman" w:cs="Times New Roman"/>
                <w:sz w:val="20"/>
                <w:szCs w:val="20"/>
                <w:lang w:eastAsia="en-GB"/>
              </w:rPr>
            </w:pPr>
          </w:p>
        </w:tc>
        <w:tc>
          <w:tcPr>
            <w:tcW w:w="1556" w:type="dxa"/>
            <w:gridSpan w:val="2"/>
            <w:vAlign w:val="center"/>
            <w:hideMark/>
          </w:tcPr>
          <w:p w14:paraId="77360551" w14:textId="77777777" w:rsidR="00ED24FC" w:rsidRPr="00EE0867" w:rsidRDefault="00ED24FC" w:rsidP="00ED24FC">
            <w:pPr>
              <w:spacing w:after="0" w:line="240" w:lineRule="auto"/>
              <w:rPr>
                <w:rFonts w:ascii="Times New Roman" w:eastAsia="Times New Roman" w:hAnsi="Times New Roman" w:cs="Times New Roman"/>
                <w:sz w:val="20"/>
                <w:szCs w:val="20"/>
                <w:lang w:eastAsia="en-GB"/>
              </w:rPr>
            </w:pPr>
          </w:p>
        </w:tc>
      </w:tr>
      <w:tr w:rsidR="00ED24FC" w:rsidRPr="00EE0867" w14:paraId="4280A86A" w14:textId="77777777" w:rsidTr="006968BD">
        <w:trPr>
          <w:gridAfter w:val="1"/>
          <w:wAfter w:w="687" w:type="dxa"/>
          <w:trHeight w:val="323"/>
        </w:trPr>
        <w:tc>
          <w:tcPr>
            <w:tcW w:w="2239" w:type="dxa"/>
            <w:tcBorders>
              <w:top w:val="nil"/>
              <w:left w:val="nil"/>
              <w:bottom w:val="nil"/>
              <w:right w:val="nil"/>
            </w:tcBorders>
            <w:shd w:val="clear" w:color="auto" w:fill="auto"/>
            <w:noWrap/>
            <w:vAlign w:val="center"/>
            <w:hideMark/>
          </w:tcPr>
          <w:p w14:paraId="62D04A9D" w14:textId="77777777" w:rsidR="00ED24FC" w:rsidRPr="00EE0867" w:rsidRDefault="00ED24FC" w:rsidP="00ED24FC">
            <w:pPr>
              <w:spacing w:after="0" w:line="240" w:lineRule="auto"/>
              <w:rPr>
                <w:rFonts w:ascii="Arial" w:eastAsia="Times New Roman" w:hAnsi="Arial" w:cs="Arial"/>
                <w:sz w:val="20"/>
                <w:szCs w:val="20"/>
                <w:lang w:eastAsia="en-GB"/>
              </w:rPr>
            </w:pPr>
            <w:r w:rsidRPr="00EE0867">
              <w:rPr>
                <w:rFonts w:ascii="Arial" w:eastAsia="Times New Roman" w:hAnsi="Arial" w:cs="Arial"/>
                <w:sz w:val="20"/>
                <w:szCs w:val="20"/>
                <w:lang w:eastAsia="en-GB"/>
              </w:rPr>
              <w:t>£140,001 - £150,000</w:t>
            </w:r>
          </w:p>
        </w:tc>
        <w:tc>
          <w:tcPr>
            <w:tcW w:w="2014" w:type="dxa"/>
            <w:tcBorders>
              <w:top w:val="nil"/>
              <w:left w:val="nil"/>
              <w:bottom w:val="nil"/>
              <w:right w:val="nil"/>
            </w:tcBorders>
            <w:shd w:val="clear" w:color="auto" w:fill="auto"/>
            <w:noWrap/>
            <w:vAlign w:val="center"/>
          </w:tcPr>
          <w:p w14:paraId="6BCB4B44" w14:textId="77777777" w:rsidR="00ED24FC" w:rsidRPr="00B921F3" w:rsidRDefault="00F8700E" w:rsidP="00ED24FC">
            <w:pPr>
              <w:spacing w:after="0" w:line="240" w:lineRule="auto"/>
              <w:jc w:val="right"/>
              <w:rPr>
                <w:rFonts w:ascii="Arial" w:eastAsia="Times New Roman" w:hAnsi="Arial" w:cs="Arial"/>
                <w:sz w:val="20"/>
                <w:szCs w:val="20"/>
                <w:lang w:eastAsia="en-GB"/>
              </w:rPr>
            </w:pPr>
            <w:r w:rsidRPr="00B921F3">
              <w:rPr>
                <w:rFonts w:ascii="Arial" w:eastAsia="Times New Roman" w:hAnsi="Arial" w:cs="Arial"/>
                <w:sz w:val="20"/>
                <w:szCs w:val="20"/>
                <w:lang w:eastAsia="en-GB"/>
              </w:rPr>
              <w:t>1</w:t>
            </w:r>
          </w:p>
        </w:tc>
        <w:tc>
          <w:tcPr>
            <w:tcW w:w="1701" w:type="dxa"/>
            <w:tcBorders>
              <w:top w:val="nil"/>
              <w:left w:val="nil"/>
              <w:bottom w:val="nil"/>
              <w:right w:val="nil"/>
            </w:tcBorders>
            <w:shd w:val="clear" w:color="auto" w:fill="auto"/>
            <w:noWrap/>
            <w:vAlign w:val="center"/>
            <w:hideMark/>
          </w:tcPr>
          <w:p w14:paraId="71134E8F" w14:textId="77777777" w:rsidR="00ED24FC" w:rsidRPr="00EE0867" w:rsidRDefault="00ED24FC" w:rsidP="00ED24FC">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w:t>
            </w:r>
          </w:p>
        </w:tc>
        <w:tc>
          <w:tcPr>
            <w:tcW w:w="1701" w:type="dxa"/>
            <w:tcBorders>
              <w:top w:val="nil"/>
              <w:left w:val="nil"/>
              <w:bottom w:val="nil"/>
              <w:right w:val="nil"/>
            </w:tcBorders>
            <w:shd w:val="clear" w:color="auto" w:fill="auto"/>
            <w:noWrap/>
            <w:vAlign w:val="center"/>
          </w:tcPr>
          <w:p w14:paraId="0CB9C2A8" w14:textId="77777777" w:rsidR="00ED24FC" w:rsidRPr="00EE0867" w:rsidRDefault="00F8700E" w:rsidP="00ED24FC">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1</w:t>
            </w:r>
          </w:p>
        </w:tc>
        <w:tc>
          <w:tcPr>
            <w:tcW w:w="1708" w:type="dxa"/>
            <w:tcBorders>
              <w:top w:val="nil"/>
              <w:left w:val="nil"/>
              <w:bottom w:val="nil"/>
              <w:right w:val="nil"/>
            </w:tcBorders>
            <w:shd w:val="clear" w:color="auto" w:fill="auto"/>
            <w:noWrap/>
            <w:vAlign w:val="center"/>
            <w:hideMark/>
          </w:tcPr>
          <w:p w14:paraId="4D6D6080" w14:textId="77777777" w:rsidR="00ED24FC" w:rsidRPr="00EE0867" w:rsidRDefault="00ED24FC" w:rsidP="00ED24FC">
            <w:pPr>
              <w:spacing w:after="0" w:line="240" w:lineRule="auto"/>
              <w:jc w:val="right"/>
              <w:rPr>
                <w:rFonts w:ascii="Times New Roman" w:eastAsia="Times New Roman" w:hAnsi="Times New Roman" w:cs="Times New Roman"/>
                <w:sz w:val="20"/>
                <w:szCs w:val="20"/>
                <w:lang w:eastAsia="en-GB"/>
              </w:rPr>
            </w:pPr>
            <w:r>
              <w:rPr>
                <w:rFonts w:ascii="Arial" w:eastAsia="Times New Roman" w:hAnsi="Arial" w:cs="Arial"/>
                <w:sz w:val="20"/>
                <w:szCs w:val="20"/>
                <w:lang w:eastAsia="en-GB"/>
              </w:rPr>
              <w:t>-</w:t>
            </w:r>
          </w:p>
        </w:tc>
        <w:tc>
          <w:tcPr>
            <w:tcW w:w="222" w:type="dxa"/>
            <w:vAlign w:val="center"/>
            <w:hideMark/>
          </w:tcPr>
          <w:p w14:paraId="781BF48D" w14:textId="77777777" w:rsidR="00ED24FC" w:rsidRPr="00EE0867" w:rsidRDefault="00ED24FC" w:rsidP="00ED24FC">
            <w:pPr>
              <w:spacing w:after="0" w:line="240" w:lineRule="auto"/>
              <w:rPr>
                <w:rFonts w:ascii="Times New Roman" w:eastAsia="Times New Roman" w:hAnsi="Times New Roman" w:cs="Times New Roman"/>
                <w:sz w:val="20"/>
                <w:szCs w:val="20"/>
                <w:lang w:eastAsia="en-GB"/>
              </w:rPr>
            </w:pPr>
          </w:p>
        </w:tc>
        <w:tc>
          <w:tcPr>
            <w:tcW w:w="222" w:type="dxa"/>
            <w:vAlign w:val="center"/>
            <w:hideMark/>
          </w:tcPr>
          <w:p w14:paraId="6381AE32" w14:textId="77777777" w:rsidR="00ED24FC" w:rsidRPr="00EE0867" w:rsidRDefault="00ED24FC" w:rsidP="00ED24FC">
            <w:pPr>
              <w:spacing w:after="0" w:line="240" w:lineRule="auto"/>
              <w:rPr>
                <w:rFonts w:ascii="Times New Roman" w:eastAsia="Times New Roman" w:hAnsi="Times New Roman" w:cs="Times New Roman"/>
                <w:sz w:val="20"/>
                <w:szCs w:val="20"/>
                <w:lang w:eastAsia="en-GB"/>
              </w:rPr>
            </w:pPr>
          </w:p>
        </w:tc>
        <w:tc>
          <w:tcPr>
            <w:tcW w:w="222" w:type="dxa"/>
            <w:vAlign w:val="center"/>
            <w:hideMark/>
          </w:tcPr>
          <w:p w14:paraId="0104A071" w14:textId="77777777" w:rsidR="00ED24FC" w:rsidRPr="00EE0867" w:rsidRDefault="00ED24FC" w:rsidP="00ED24FC">
            <w:pPr>
              <w:spacing w:after="0" w:line="240" w:lineRule="auto"/>
              <w:rPr>
                <w:rFonts w:ascii="Times New Roman" w:eastAsia="Times New Roman" w:hAnsi="Times New Roman" w:cs="Times New Roman"/>
                <w:sz w:val="20"/>
                <w:szCs w:val="20"/>
                <w:lang w:eastAsia="en-GB"/>
              </w:rPr>
            </w:pPr>
          </w:p>
        </w:tc>
        <w:tc>
          <w:tcPr>
            <w:tcW w:w="222" w:type="dxa"/>
            <w:vAlign w:val="center"/>
            <w:hideMark/>
          </w:tcPr>
          <w:p w14:paraId="298BAE39" w14:textId="77777777" w:rsidR="00ED24FC" w:rsidRPr="00EE0867" w:rsidRDefault="00ED24FC" w:rsidP="00ED24FC">
            <w:pPr>
              <w:spacing w:after="0" w:line="240" w:lineRule="auto"/>
              <w:rPr>
                <w:rFonts w:ascii="Times New Roman" w:eastAsia="Times New Roman" w:hAnsi="Times New Roman" w:cs="Times New Roman"/>
                <w:sz w:val="20"/>
                <w:szCs w:val="20"/>
                <w:lang w:eastAsia="en-GB"/>
              </w:rPr>
            </w:pPr>
          </w:p>
        </w:tc>
        <w:tc>
          <w:tcPr>
            <w:tcW w:w="222" w:type="dxa"/>
            <w:vAlign w:val="center"/>
            <w:hideMark/>
          </w:tcPr>
          <w:p w14:paraId="6EA789C3" w14:textId="77777777" w:rsidR="00ED24FC" w:rsidRPr="00EE0867" w:rsidRDefault="00ED24FC" w:rsidP="00ED24FC">
            <w:pPr>
              <w:spacing w:after="0" w:line="240" w:lineRule="auto"/>
              <w:rPr>
                <w:rFonts w:ascii="Times New Roman" w:eastAsia="Times New Roman" w:hAnsi="Times New Roman" w:cs="Times New Roman"/>
                <w:sz w:val="20"/>
                <w:szCs w:val="20"/>
                <w:lang w:eastAsia="en-GB"/>
              </w:rPr>
            </w:pPr>
          </w:p>
        </w:tc>
        <w:tc>
          <w:tcPr>
            <w:tcW w:w="222" w:type="dxa"/>
            <w:vAlign w:val="center"/>
            <w:hideMark/>
          </w:tcPr>
          <w:p w14:paraId="2C5CE701" w14:textId="77777777" w:rsidR="00ED24FC" w:rsidRPr="00EE0867" w:rsidRDefault="00ED24FC" w:rsidP="00ED24FC">
            <w:pPr>
              <w:spacing w:after="0" w:line="240" w:lineRule="auto"/>
              <w:rPr>
                <w:rFonts w:ascii="Times New Roman" w:eastAsia="Times New Roman" w:hAnsi="Times New Roman" w:cs="Times New Roman"/>
                <w:sz w:val="20"/>
                <w:szCs w:val="20"/>
                <w:lang w:eastAsia="en-GB"/>
              </w:rPr>
            </w:pPr>
          </w:p>
        </w:tc>
        <w:tc>
          <w:tcPr>
            <w:tcW w:w="222" w:type="dxa"/>
            <w:vAlign w:val="center"/>
            <w:hideMark/>
          </w:tcPr>
          <w:p w14:paraId="0316D57A" w14:textId="77777777" w:rsidR="00ED24FC" w:rsidRPr="00EE0867" w:rsidRDefault="00ED24FC" w:rsidP="00ED24FC">
            <w:pPr>
              <w:spacing w:after="0" w:line="240" w:lineRule="auto"/>
              <w:rPr>
                <w:rFonts w:ascii="Times New Roman" w:eastAsia="Times New Roman" w:hAnsi="Times New Roman" w:cs="Times New Roman"/>
                <w:sz w:val="20"/>
                <w:szCs w:val="20"/>
                <w:lang w:eastAsia="en-GB"/>
              </w:rPr>
            </w:pPr>
          </w:p>
        </w:tc>
        <w:tc>
          <w:tcPr>
            <w:tcW w:w="1556" w:type="dxa"/>
            <w:gridSpan w:val="2"/>
            <w:vAlign w:val="center"/>
            <w:hideMark/>
          </w:tcPr>
          <w:p w14:paraId="1E086112" w14:textId="77777777" w:rsidR="00ED24FC" w:rsidRPr="00EE0867" w:rsidRDefault="00ED24FC" w:rsidP="00ED24FC">
            <w:pPr>
              <w:spacing w:after="0" w:line="240" w:lineRule="auto"/>
              <w:rPr>
                <w:rFonts w:ascii="Times New Roman" w:eastAsia="Times New Roman" w:hAnsi="Times New Roman" w:cs="Times New Roman"/>
                <w:sz w:val="20"/>
                <w:szCs w:val="20"/>
                <w:lang w:eastAsia="en-GB"/>
              </w:rPr>
            </w:pPr>
          </w:p>
        </w:tc>
      </w:tr>
      <w:tr w:rsidR="00ED24FC" w:rsidRPr="00EE0867" w14:paraId="7F706951" w14:textId="77777777" w:rsidTr="006968BD">
        <w:trPr>
          <w:gridAfter w:val="1"/>
          <w:wAfter w:w="687" w:type="dxa"/>
          <w:trHeight w:val="323"/>
        </w:trPr>
        <w:tc>
          <w:tcPr>
            <w:tcW w:w="2239" w:type="dxa"/>
            <w:tcBorders>
              <w:top w:val="nil"/>
              <w:left w:val="nil"/>
              <w:bottom w:val="nil"/>
              <w:right w:val="nil"/>
            </w:tcBorders>
            <w:shd w:val="clear" w:color="auto" w:fill="auto"/>
            <w:noWrap/>
            <w:vAlign w:val="center"/>
            <w:hideMark/>
          </w:tcPr>
          <w:p w14:paraId="5CC9AFD1" w14:textId="77777777" w:rsidR="00ED24FC" w:rsidRPr="00EE0867" w:rsidRDefault="00ED24FC" w:rsidP="00ED24FC">
            <w:pPr>
              <w:spacing w:after="0" w:line="240" w:lineRule="auto"/>
              <w:rPr>
                <w:rFonts w:ascii="Arial" w:eastAsia="Times New Roman" w:hAnsi="Arial" w:cs="Arial"/>
                <w:sz w:val="20"/>
                <w:szCs w:val="20"/>
                <w:lang w:eastAsia="en-GB"/>
              </w:rPr>
            </w:pPr>
            <w:r w:rsidRPr="00EE0867">
              <w:rPr>
                <w:rFonts w:ascii="Arial" w:eastAsia="Times New Roman" w:hAnsi="Arial" w:cs="Arial"/>
                <w:sz w:val="20"/>
                <w:szCs w:val="20"/>
                <w:lang w:eastAsia="en-GB"/>
              </w:rPr>
              <w:t>£160,001 - £170,000</w:t>
            </w:r>
          </w:p>
        </w:tc>
        <w:tc>
          <w:tcPr>
            <w:tcW w:w="2014" w:type="dxa"/>
            <w:tcBorders>
              <w:top w:val="nil"/>
              <w:left w:val="nil"/>
              <w:bottom w:val="nil"/>
              <w:right w:val="nil"/>
            </w:tcBorders>
            <w:shd w:val="clear" w:color="auto" w:fill="auto"/>
            <w:noWrap/>
            <w:vAlign w:val="center"/>
          </w:tcPr>
          <w:p w14:paraId="406ABF71" w14:textId="77777777" w:rsidR="00ED24FC" w:rsidRPr="00B921F3" w:rsidRDefault="00626844">
            <w:pPr>
              <w:spacing w:after="0" w:line="240" w:lineRule="auto"/>
              <w:jc w:val="right"/>
              <w:rPr>
                <w:rFonts w:ascii="Arial" w:eastAsia="Times New Roman" w:hAnsi="Arial" w:cs="Arial"/>
                <w:sz w:val="20"/>
                <w:szCs w:val="20"/>
                <w:lang w:eastAsia="en-GB"/>
              </w:rPr>
            </w:pPr>
            <w:r w:rsidRPr="00B921F3">
              <w:rPr>
                <w:rFonts w:ascii="Arial" w:eastAsia="Times New Roman" w:hAnsi="Arial" w:cs="Arial"/>
                <w:sz w:val="20"/>
                <w:szCs w:val="20"/>
                <w:lang w:eastAsia="en-GB"/>
              </w:rPr>
              <w:t>2</w:t>
            </w:r>
          </w:p>
        </w:tc>
        <w:tc>
          <w:tcPr>
            <w:tcW w:w="1701" w:type="dxa"/>
            <w:tcBorders>
              <w:top w:val="nil"/>
              <w:left w:val="nil"/>
              <w:bottom w:val="nil"/>
              <w:right w:val="nil"/>
            </w:tcBorders>
            <w:shd w:val="clear" w:color="auto" w:fill="auto"/>
            <w:noWrap/>
            <w:vAlign w:val="center"/>
            <w:hideMark/>
          </w:tcPr>
          <w:p w14:paraId="5A3F15B6" w14:textId="77777777" w:rsidR="00ED24FC" w:rsidRPr="00EE0867" w:rsidRDefault="00ED24FC" w:rsidP="00ED24FC">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3</w:t>
            </w:r>
          </w:p>
        </w:tc>
        <w:tc>
          <w:tcPr>
            <w:tcW w:w="1701" w:type="dxa"/>
            <w:tcBorders>
              <w:top w:val="nil"/>
              <w:left w:val="nil"/>
              <w:bottom w:val="nil"/>
              <w:right w:val="nil"/>
            </w:tcBorders>
            <w:shd w:val="clear" w:color="auto" w:fill="auto"/>
            <w:noWrap/>
            <w:vAlign w:val="center"/>
          </w:tcPr>
          <w:p w14:paraId="4130C1C8" w14:textId="77777777" w:rsidR="00ED24FC" w:rsidRPr="00EE0867" w:rsidRDefault="00626844" w:rsidP="00ED24FC">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2</w:t>
            </w:r>
          </w:p>
        </w:tc>
        <w:tc>
          <w:tcPr>
            <w:tcW w:w="1708" w:type="dxa"/>
            <w:tcBorders>
              <w:top w:val="nil"/>
              <w:left w:val="nil"/>
              <w:bottom w:val="nil"/>
              <w:right w:val="nil"/>
            </w:tcBorders>
            <w:shd w:val="clear" w:color="auto" w:fill="auto"/>
            <w:noWrap/>
            <w:vAlign w:val="center"/>
            <w:hideMark/>
          </w:tcPr>
          <w:p w14:paraId="0686E742" w14:textId="77777777" w:rsidR="00ED24FC" w:rsidRPr="00EE0867" w:rsidRDefault="00ED24FC" w:rsidP="00ED24FC">
            <w:pPr>
              <w:spacing w:after="0" w:line="240" w:lineRule="auto"/>
              <w:jc w:val="right"/>
              <w:rPr>
                <w:rFonts w:ascii="Times New Roman" w:eastAsia="Times New Roman" w:hAnsi="Times New Roman" w:cs="Times New Roman"/>
                <w:sz w:val="20"/>
                <w:szCs w:val="20"/>
                <w:lang w:eastAsia="en-GB"/>
              </w:rPr>
            </w:pPr>
            <w:r>
              <w:rPr>
                <w:rFonts w:ascii="Arial" w:eastAsia="Times New Roman" w:hAnsi="Arial" w:cs="Arial"/>
                <w:sz w:val="20"/>
                <w:szCs w:val="20"/>
                <w:lang w:eastAsia="en-GB"/>
              </w:rPr>
              <w:t>3</w:t>
            </w:r>
          </w:p>
        </w:tc>
        <w:tc>
          <w:tcPr>
            <w:tcW w:w="222" w:type="dxa"/>
            <w:vAlign w:val="center"/>
            <w:hideMark/>
          </w:tcPr>
          <w:p w14:paraId="00627B0A" w14:textId="77777777" w:rsidR="00ED24FC" w:rsidRPr="00EE0867" w:rsidRDefault="00ED24FC" w:rsidP="00ED24FC">
            <w:pPr>
              <w:spacing w:after="0" w:line="240" w:lineRule="auto"/>
              <w:rPr>
                <w:rFonts w:ascii="Times New Roman" w:eastAsia="Times New Roman" w:hAnsi="Times New Roman" w:cs="Times New Roman"/>
                <w:sz w:val="20"/>
                <w:szCs w:val="20"/>
                <w:lang w:eastAsia="en-GB"/>
              </w:rPr>
            </w:pPr>
          </w:p>
        </w:tc>
        <w:tc>
          <w:tcPr>
            <w:tcW w:w="222" w:type="dxa"/>
            <w:vAlign w:val="center"/>
            <w:hideMark/>
          </w:tcPr>
          <w:p w14:paraId="5D16DA9D" w14:textId="77777777" w:rsidR="00ED24FC" w:rsidRPr="00EE0867" w:rsidRDefault="00ED24FC" w:rsidP="00ED24FC">
            <w:pPr>
              <w:spacing w:after="0" w:line="240" w:lineRule="auto"/>
              <w:rPr>
                <w:rFonts w:ascii="Times New Roman" w:eastAsia="Times New Roman" w:hAnsi="Times New Roman" w:cs="Times New Roman"/>
                <w:sz w:val="20"/>
                <w:szCs w:val="20"/>
                <w:lang w:eastAsia="en-GB"/>
              </w:rPr>
            </w:pPr>
          </w:p>
        </w:tc>
        <w:tc>
          <w:tcPr>
            <w:tcW w:w="222" w:type="dxa"/>
            <w:vAlign w:val="center"/>
            <w:hideMark/>
          </w:tcPr>
          <w:p w14:paraId="50CDAAC7" w14:textId="77777777" w:rsidR="00ED24FC" w:rsidRPr="00EE0867" w:rsidRDefault="00ED24FC" w:rsidP="00ED24FC">
            <w:pPr>
              <w:spacing w:after="0" w:line="240" w:lineRule="auto"/>
              <w:rPr>
                <w:rFonts w:ascii="Times New Roman" w:eastAsia="Times New Roman" w:hAnsi="Times New Roman" w:cs="Times New Roman"/>
                <w:sz w:val="20"/>
                <w:szCs w:val="20"/>
                <w:lang w:eastAsia="en-GB"/>
              </w:rPr>
            </w:pPr>
          </w:p>
        </w:tc>
        <w:tc>
          <w:tcPr>
            <w:tcW w:w="222" w:type="dxa"/>
            <w:vAlign w:val="center"/>
            <w:hideMark/>
          </w:tcPr>
          <w:p w14:paraId="7D1D722D" w14:textId="77777777" w:rsidR="00ED24FC" w:rsidRPr="00EE0867" w:rsidRDefault="00ED24FC" w:rsidP="00ED24FC">
            <w:pPr>
              <w:spacing w:after="0" w:line="240" w:lineRule="auto"/>
              <w:rPr>
                <w:rFonts w:ascii="Times New Roman" w:eastAsia="Times New Roman" w:hAnsi="Times New Roman" w:cs="Times New Roman"/>
                <w:sz w:val="20"/>
                <w:szCs w:val="20"/>
                <w:lang w:eastAsia="en-GB"/>
              </w:rPr>
            </w:pPr>
          </w:p>
        </w:tc>
        <w:tc>
          <w:tcPr>
            <w:tcW w:w="222" w:type="dxa"/>
            <w:vAlign w:val="center"/>
            <w:hideMark/>
          </w:tcPr>
          <w:p w14:paraId="6DB2190A" w14:textId="77777777" w:rsidR="00ED24FC" w:rsidRPr="00EE0867" w:rsidRDefault="00ED24FC" w:rsidP="00ED24FC">
            <w:pPr>
              <w:spacing w:after="0" w:line="240" w:lineRule="auto"/>
              <w:rPr>
                <w:rFonts w:ascii="Times New Roman" w:eastAsia="Times New Roman" w:hAnsi="Times New Roman" w:cs="Times New Roman"/>
                <w:sz w:val="20"/>
                <w:szCs w:val="20"/>
                <w:lang w:eastAsia="en-GB"/>
              </w:rPr>
            </w:pPr>
          </w:p>
        </w:tc>
        <w:tc>
          <w:tcPr>
            <w:tcW w:w="222" w:type="dxa"/>
            <w:vAlign w:val="center"/>
            <w:hideMark/>
          </w:tcPr>
          <w:p w14:paraId="647775AA" w14:textId="77777777" w:rsidR="00ED24FC" w:rsidRPr="00EE0867" w:rsidRDefault="00ED24FC" w:rsidP="00ED24FC">
            <w:pPr>
              <w:spacing w:after="0" w:line="240" w:lineRule="auto"/>
              <w:rPr>
                <w:rFonts w:ascii="Times New Roman" w:eastAsia="Times New Roman" w:hAnsi="Times New Roman" w:cs="Times New Roman"/>
                <w:sz w:val="20"/>
                <w:szCs w:val="20"/>
                <w:lang w:eastAsia="en-GB"/>
              </w:rPr>
            </w:pPr>
          </w:p>
        </w:tc>
        <w:tc>
          <w:tcPr>
            <w:tcW w:w="222" w:type="dxa"/>
            <w:vAlign w:val="center"/>
            <w:hideMark/>
          </w:tcPr>
          <w:p w14:paraId="55E9DD4A" w14:textId="77777777" w:rsidR="00ED24FC" w:rsidRPr="00EE0867" w:rsidRDefault="00ED24FC" w:rsidP="00ED24FC">
            <w:pPr>
              <w:spacing w:after="0" w:line="240" w:lineRule="auto"/>
              <w:rPr>
                <w:rFonts w:ascii="Times New Roman" w:eastAsia="Times New Roman" w:hAnsi="Times New Roman" w:cs="Times New Roman"/>
                <w:sz w:val="20"/>
                <w:szCs w:val="20"/>
                <w:lang w:eastAsia="en-GB"/>
              </w:rPr>
            </w:pPr>
          </w:p>
        </w:tc>
        <w:tc>
          <w:tcPr>
            <w:tcW w:w="1556" w:type="dxa"/>
            <w:gridSpan w:val="2"/>
            <w:vAlign w:val="center"/>
            <w:hideMark/>
          </w:tcPr>
          <w:p w14:paraId="07DB3441" w14:textId="77777777" w:rsidR="00ED24FC" w:rsidRPr="00EE0867" w:rsidRDefault="00ED24FC" w:rsidP="00ED24FC">
            <w:pPr>
              <w:spacing w:after="0" w:line="240" w:lineRule="auto"/>
              <w:rPr>
                <w:rFonts w:ascii="Times New Roman" w:eastAsia="Times New Roman" w:hAnsi="Times New Roman" w:cs="Times New Roman"/>
                <w:sz w:val="20"/>
                <w:szCs w:val="20"/>
                <w:lang w:eastAsia="en-GB"/>
              </w:rPr>
            </w:pPr>
          </w:p>
        </w:tc>
      </w:tr>
      <w:tr w:rsidR="00ED24FC" w:rsidRPr="00EE0867" w14:paraId="12A8C67E" w14:textId="77777777" w:rsidTr="006968BD">
        <w:trPr>
          <w:gridAfter w:val="1"/>
          <w:wAfter w:w="687" w:type="dxa"/>
          <w:trHeight w:val="323"/>
        </w:trPr>
        <w:tc>
          <w:tcPr>
            <w:tcW w:w="2239" w:type="dxa"/>
            <w:tcBorders>
              <w:top w:val="nil"/>
              <w:left w:val="nil"/>
              <w:bottom w:val="nil"/>
              <w:right w:val="nil"/>
            </w:tcBorders>
            <w:shd w:val="clear" w:color="auto" w:fill="auto"/>
            <w:noWrap/>
            <w:vAlign w:val="center"/>
            <w:hideMark/>
          </w:tcPr>
          <w:p w14:paraId="1685421D" w14:textId="77777777" w:rsidR="00ED24FC" w:rsidRPr="00EE0867" w:rsidRDefault="00ED24FC" w:rsidP="00ED24FC">
            <w:pPr>
              <w:spacing w:after="0" w:line="240" w:lineRule="auto"/>
              <w:rPr>
                <w:rFonts w:ascii="Arial" w:eastAsia="Times New Roman" w:hAnsi="Arial" w:cs="Arial"/>
                <w:sz w:val="20"/>
                <w:szCs w:val="20"/>
                <w:lang w:eastAsia="en-GB"/>
              </w:rPr>
            </w:pPr>
            <w:r w:rsidRPr="00EE0867">
              <w:rPr>
                <w:rFonts w:ascii="Arial" w:eastAsia="Times New Roman" w:hAnsi="Arial" w:cs="Arial"/>
                <w:sz w:val="20"/>
                <w:szCs w:val="20"/>
                <w:lang w:eastAsia="en-GB"/>
              </w:rPr>
              <w:t>£170,001 - £180,000</w:t>
            </w:r>
          </w:p>
        </w:tc>
        <w:tc>
          <w:tcPr>
            <w:tcW w:w="2014" w:type="dxa"/>
            <w:tcBorders>
              <w:top w:val="nil"/>
              <w:left w:val="nil"/>
              <w:bottom w:val="nil"/>
              <w:right w:val="nil"/>
            </w:tcBorders>
            <w:shd w:val="clear" w:color="auto" w:fill="auto"/>
            <w:noWrap/>
            <w:vAlign w:val="center"/>
          </w:tcPr>
          <w:p w14:paraId="1146056A" w14:textId="77777777" w:rsidR="00ED24FC" w:rsidRPr="00B921F3" w:rsidRDefault="00F8700E" w:rsidP="00ED24FC">
            <w:pPr>
              <w:spacing w:after="0" w:line="240" w:lineRule="auto"/>
              <w:jc w:val="right"/>
              <w:rPr>
                <w:rFonts w:ascii="Arial" w:eastAsia="Times New Roman" w:hAnsi="Arial" w:cs="Arial"/>
                <w:sz w:val="20"/>
                <w:szCs w:val="20"/>
                <w:lang w:eastAsia="en-GB"/>
              </w:rPr>
            </w:pPr>
            <w:r w:rsidRPr="00B921F3">
              <w:rPr>
                <w:rFonts w:ascii="Arial" w:eastAsia="Times New Roman" w:hAnsi="Arial" w:cs="Arial"/>
                <w:sz w:val="20"/>
                <w:szCs w:val="20"/>
                <w:lang w:eastAsia="en-GB"/>
              </w:rPr>
              <w:t>-</w:t>
            </w:r>
          </w:p>
        </w:tc>
        <w:tc>
          <w:tcPr>
            <w:tcW w:w="1701" w:type="dxa"/>
            <w:tcBorders>
              <w:top w:val="nil"/>
              <w:left w:val="nil"/>
              <w:bottom w:val="nil"/>
              <w:right w:val="nil"/>
            </w:tcBorders>
            <w:shd w:val="clear" w:color="auto" w:fill="auto"/>
            <w:noWrap/>
            <w:vAlign w:val="center"/>
            <w:hideMark/>
          </w:tcPr>
          <w:p w14:paraId="464A73CC" w14:textId="77777777" w:rsidR="00ED24FC" w:rsidRPr="00EE0867" w:rsidRDefault="00ED24FC" w:rsidP="00ED24FC">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1</w:t>
            </w:r>
          </w:p>
        </w:tc>
        <w:tc>
          <w:tcPr>
            <w:tcW w:w="1701" w:type="dxa"/>
            <w:tcBorders>
              <w:top w:val="nil"/>
              <w:left w:val="nil"/>
              <w:bottom w:val="nil"/>
              <w:right w:val="nil"/>
            </w:tcBorders>
            <w:shd w:val="clear" w:color="auto" w:fill="auto"/>
            <w:noWrap/>
            <w:vAlign w:val="center"/>
          </w:tcPr>
          <w:p w14:paraId="31492D1B" w14:textId="77777777" w:rsidR="00ED24FC" w:rsidRPr="00EE0867" w:rsidRDefault="00F8700E" w:rsidP="00ED24FC">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w:t>
            </w:r>
          </w:p>
        </w:tc>
        <w:tc>
          <w:tcPr>
            <w:tcW w:w="1708" w:type="dxa"/>
            <w:tcBorders>
              <w:top w:val="nil"/>
              <w:left w:val="nil"/>
              <w:bottom w:val="nil"/>
              <w:right w:val="nil"/>
            </w:tcBorders>
            <w:shd w:val="clear" w:color="auto" w:fill="auto"/>
            <w:noWrap/>
            <w:vAlign w:val="center"/>
            <w:hideMark/>
          </w:tcPr>
          <w:p w14:paraId="5F543009" w14:textId="77777777" w:rsidR="00ED24FC" w:rsidRPr="00EE0867" w:rsidRDefault="00ED24FC" w:rsidP="00ED24FC">
            <w:pPr>
              <w:spacing w:after="0" w:line="240" w:lineRule="auto"/>
              <w:jc w:val="right"/>
              <w:rPr>
                <w:rFonts w:ascii="Times New Roman" w:eastAsia="Times New Roman" w:hAnsi="Times New Roman" w:cs="Times New Roman"/>
                <w:sz w:val="20"/>
                <w:szCs w:val="20"/>
                <w:lang w:eastAsia="en-GB"/>
              </w:rPr>
            </w:pPr>
            <w:r>
              <w:rPr>
                <w:rFonts w:ascii="Arial" w:eastAsia="Times New Roman" w:hAnsi="Arial" w:cs="Arial"/>
                <w:sz w:val="20"/>
                <w:szCs w:val="20"/>
                <w:lang w:eastAsia="en-GB"/>
              </w:rPr>
              <w:t>1</w:t>
            </w:r>
          </w:p>
        </w:tc>
        <w:tc>
          <w:tcPr>
            <w:tcW w:w="222" w:type="dxa"/>
            <w:vAlign w:val="center"/>
            <w:hideMark/>
          </w:tcPr>
          <w:p w14:paraId="3BC3B132" w14:textId="77777777" w:rsidR="00ED24FC" w:rsidRPr="00EE0867" w:rsidRDefault="00ED24FC" w:rsidP="00ED24FC">
            <w:pPr>
              <w:spacing w:after="0" w:line="240" w:lineRule="auto"/>
              <w:rPr>
                <w:rFonts w:ascii="Times New Roman" w:eastAsia="Times New Roman" w:hAnsi="Times New Roman" w:cs="Times New Roman"/>
                <w:sz w:val="20"/>
                <w:szCs w:val="20"/>
                <w:lang w:eastAsia="en-GB"/>
              </w:rPr>
            </w:pPr>
          </w:p>
        </w:tc>
        <w:tc>
          <w:tcPr>
            <w:tcW w:w="222" w:type="dxa"/>
            <w:vAlign w:val="center"/>
            <w:hideMark/>
          </w:tcPr>
          <w:p w14:paraId="5D71A287" w14:textId="77777777" w:rsidR="00ED24FC" w:rsidRPr="00EE0867" w:rsidRDefault="00ED24FC" w:rsidP="00ED24FC">
            <w:pPr>
              <w:spacing w:after="0" w:line="240" w:lineRule="auto"/>
              <w:rPr>
                <w:rFonts w:ascii="Times New Roman" w:eastAsia="Times New Roman" w:hAnsi="Times New Roman" w:cs="Times New Roman"/>
                <w:sz w:val="20"/>
                <w:szCs w:val="20"/>
                <w:lang w:eastAsia="en-GB"/>
              </w:rPr>
            </w:pPr>
          </w:p>
        </w:tc>
        <w:tc>
          <w:tcPr>
            <w:tcW w:w="222" w:type="dxa"/>
            <w:vAlign w:val="center"/>
            <w:hideMark/>
          </w:tcPr>
          <w:p w14:paraId="6B750D4D" w14:textId="77777777" w:rsidR="00ED24FC" w:rsidRPr="00EE0867" w:rsidRDefault="00ED24FC" w:rsidP="00ED24FC">
            <w:pPr>
              <w:spacing w:after="0" w:line="240" w:lineRule="auto"/>
              <w:rPr>
                <w:rFonts w:ascii="Times New Roman" w:eastAsia="Times New Roman" w:hAnsi="Times New Roman" w:cs="Times New Roman"/>
                <w:sz w:val="20"/>
                <w:szCs w:val="20"/>
                <w:lang w:eastAsia="en-GB"/>
              </w:rPr>
            </w:pPr>
          </w:p>
        </w:tc>
        <w:tc>
          <w:tcPr>
            <w:tcW w:w="222" w:type="dxa"/>
            <w:vAlign w:val="center"/>
            <w:hideMark/>
          </w:tcPr>
          <w:p w14:paraId="048C3145" w14:textId="77777777" w:rsidR="00ED24FC" w:rsidRPr="00EE0867" w:rsidRDefault="00ED24FC" w:rsidP="00ED24FC">
            <w:pPr>
              <w:spacing w:after="0" w:line="240" w:lineRule="auto"/>
              <w:rPr>
                <w:rFonts w:ascii="Times New Roman" w:eastAsia="Times New Roman" w:hAnsi="Times New Roman" w:cs="Times New Roman"/>
                <w:sz w:val="20"/>
                <w:szCs w:val="20"/>
                <w:lang w:eastAsia="en-GB"/>
              </w:rPr>
            </w:pPr>
          </w:p>
        </w:tc>
        <w:tc>
          <w:tcPr>
            <w:tcW w:w="222" w:type="dxa"/>
            <w:vAlign w:val="center"/>
            <w:hideMark/>
          </w:tcPr>
          <w:p w14:paraId="114AE5EE" w14:textId="77777777" w:rsidR="00ED24FC" w:rsidRPr="00EE0867" w:rsidRDefault="00ED24FC" w:rsidP="00ED24FC">
            <w:pPr>
              <w:spacing w:after="0" w:line="240" w:lineRule="auto"/>
              <w:rPr>
                <w:rFonts w:ascii="Times New Roman" w:eastAsia="Times New Roman" w:hAnsi="Times New Roman" w:cs="Times New Roman"/>
                <w:sz w:val="20"/>
                <w:szCs w:val="20"/>
                <w:lang w:eastAsia="en-GB"/>
              </w:rPr>
            </w:pPr>
          </w:p>
        </w:tc>
        <w:tc>
          <w:tcPr>
            <w:tcW w:w="222" w:type="dxa"/>
            <w:vAlign w:val="center"/>
            <w:hideMark/>
          </w:tcPr>
          <w:p w14:paraId="0163A857" w14:textId="77777777" w:rsidR="00ED24FC" w:rsidRPr="00EE0867" w:rsidRDefault="00ED24FC" w:rsidP="00ED24FC">
            <w:pPr>
              <w:spacing w:after="0" w:line="240" w:lineRule="auto"/>
              <w:rPr>
                <w:rFonts w:ascii="Times New Roman" w:eastAsia="Times New Roman" w:hAnsi="Times New Roman" w:cs="Times New Roman"/>
                <w:sz w:val="20"/>
                <w:szCs w:val="20"/>
                <w:lang w:eastAsia="en-GB"/>
              </w:rPr>
            </w:pPr>
          </w:p>
        </w:tc>
        <w:tc>
          <w:tcPr>
            <w:tcW w:w="222" w:type="dxa"/>
            <w:vAlign w:val="center"/>
            <w:hideMark/>
          </w:tcPr>
          <w:p w14:paraId="673DD304" w14:textId="77777777" w:rsidR="00ED24FC" w:rsidRPr="00EE0867" w:rsidRDefault="00ED24FC" w:rsidP="00ED24FC">
            <w:pPr>
              <w:spacing w:after="0" w:line="240" w:lineRule="auto"/>
              <w:rPr>
                <w:rFonts w:ascii="Times New Roman" w:eastAsia="Times New Roman" w:hAnsi="Times New Roman" w:cs="Times New Roman"/>
                <w:sz w:val="20"/>
                <w:szCs w:val="20"/>
                <w:lang w:eastAsia="en-GB"/>
              </w:rPr>
            </w:pPr>
          </w:p>
        </w:tc>
        <w:tc>
          <w:tcPr>
            <w:tcW w:w="1556" w:type="dxa"/>
            <w:gridSpan w:val="2"/>
            <w:vAlign w:val="center"/>
            <w:hideMark/>
          </w:tcPr>
          <w:p w14:paraId="49D5303F" w14:textId="77777777" w:rsidR="00ED24FC" w:rsidRPr="00EE0867" w:rsidRDefault="00ED24FC" w:rsidP="00ED24FC">
            <w:pPr>
              <w:spacing w:after="0" w:line="240" w:lineRule="auto"/>
              <w:rPr>
                <w:rFonts w:ascii="Times New Roman" w:eastAsia="Times New Roman" w:hAnsi="Times New Roman" w:cs="Times New Roman"/>
                <w:sz w:val="20"/>
                <w:szCs w:val="20"/>
                <w:lang w:eastAsia="en-GB"/>
              </w:rPr>
            </w:pPr>
          </w:p>
        </w:tc>
      </w:tr>
      <w:tr w:rsidR="00C6472D" w:rsidRPr="00EE0867" w14:paraId="6215F286" w14:textId="77777777" w:rsidTr="006968BD">
        <w:trPr>
          <w:gridAfter w:val="1"/>
          <w:wAfter w:w="687" w:type="dxa"/>
          <w:trHeight w:val="323"/>
        </w:trPr>
        <w:tc>
          <w:tcPr>
            <w:tcW w:w="2239" w:type="dxa"/>
            <w:tcBorders>
              <w:top w:val="nil"/>
              <w:left w:val="nil"/>
              <w:bottom w:val="nil"/>
              <w:right w:val="nil"/>
            </w:tcBorders>
            <w:shd w:val="clear" w:color="auto" w:fill="auto"/>
            <w:noWrap/>
            <w:vAlign w:val="center"/>
          </w:tcPr>
          <w:p w14:paraId="6FD38EEF" w14:textId="77777777" w:rsidR="00C6472D" w:rsidRPr="00EE0867" w:rsidRDefault="00C6472D" w:rsidP="00ED24FC">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£185,001 - £190,000</w:t>
            </w:r>
          </w:p>
        </w:tc>
        <w:tc>
          <w:tcPr>
            <w:tcW w:w="2014" w:type="dxa"/>
            <w:tcBorders>
              <w:top w:val="nil"/>
              <w:left w:val="nil"/>
              <w:bottom w:val="nil"/>
              <w:right w:val="nil"/>
            </w:tcBorders>
            <w:shd w:val="clear" w:color="auto" w:fill="auto"/>
            <w:noWrap/>
            <w:vAlign w:val="center"/>
          </w:tcPr>
          <w:p w14:paraId="221F6BC0" w14:textId="77777777" w:rsidR="00C6472D" w:rsidRPr="00B921F3" w:rsidRDefault="00C6472D" w:rsidP="00ED24FC">
            <w:pPr>
              <w:spacing w:after="0" w:line="240" w:lineRule="auto"/>
              <w:jc w:val="right"/>
              <w:rPr>
                <w:rFonts w:ascii="Arial" w:eastAsia="Times New Roman" w:hAnsi="Arial" w:cs="Arial"/>
                <w:sz w:val="20"/>
                <w:szCs w:val="20"/>
                <w:lang w:eastAsia="en-GB"/>
              </w:rPr>
            </w:pPr>
            <w:r w:rsidRPr="00B921F3">
              <w:rPr>
                <w:rFonts w:ascii="Arial" w:eastAsia="Times New Roman" w:hAnsi="Arial" w:cs="Arial"/>
                <w:sz w:val="20"/>
                <w:szCs w:val="20"/>
                <w:lang w:eastAsia="en-GB"/>
              </w:rPr>
              <w:t>1</w:t>
            </w:r>
          </w:p>
        </w:tc>
        <w:tc>
          <w:tcPr>
            <w:tcW w:w="1701" w:type="dxa"/>
            <w:tcBorders>
              <w:top w:val="nil"/>
              <w:left w:val="nil"/>
              <w:bottom w:val="nil"/>
              <w:right w:val="nil"/>
            </w:tcBorders>
            <w:shd w:val="clear" w:color="auto" w:fill="auto"/>
            <w:noWrap/>
            <w:vAlign w:val="center"/>
          </w:tcPr>
          <w:p w14:paraId="2A756138" w14:textId="77777777" w:rsidR="00C6472D" w:rsidRDefault="00C6472D" w:rsidP="00ED24FC">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w:t>
            </w:r>
          </w:p>
        </w:tc>
        <w:tc>
          <w:tcPr>
            <w:tcW w:w="1701" w:type="dxa"/>
            <w:tcBorders>
              <w:top w:val="nil"/>
              <w:left w:val="nil"/>
              <w:bottom w:val="nil"/>
              <w:right w:val="nil"/>
            </w:tcBorders>
            <w:shd w:val="clear" w:color="auto" w:fill="auto"/>
            <w:noWrap/>
            <w:vAlign w:val="center"/>
          </w:tcPr>
          <w:p w14:paraId="741F6B38" w14:textId="77777777" w:rsidR="00C6472D" w:rsidRDefault="00C6472D" w:rsidP="00ED24FC">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1</w:t>
            </w:r>
          </w:p>
        </w:tc>
        <w:tc>
          <w:tcPr>
            <w:tcW w:w="1708" w:type="dxa"/>
            <w:tcBorders>
              <w:top w:val="nil"/>
              <w:left w:val="nil"/>
              <w:bottom w:val="nil"/>
              <w:right w:val="nil"/>
            </w:tcBorders>
            <w:shd w:val="clear" w:color="auto" w:fill="auto"/>
            <w:noWrap/>
            <w:vAlign w:val="center"/>
          </w:tcPr>
          <w:p w14:paraId="7461474A" w14:textId="77777777" w:rsidR="00C6472D" w:rsidRDefault="00C6472D" w:rsidP="00ED24FC">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w:t>
            </w:r>
          </w:p>
        </w:tc>
        <w:tc>
          <w:tcPr>
            <w:tcW w:w="222" w:type="dxa"/>
            <w:vAlign w:val="center"/>
          </w:tcPr>
          <w:p w14:paraId="52F8DD24" w14:textId="77777777" w:rsidR="00C6472D" w:rsidRPr="00EE0867" w:rsidRDefault="00C6472D" w:rsidP="00ED24FC">
            <w:pPr>
              <w:spacing w:after="0" w:line="240" w:lineRule="auto"/>
              <w:rPr>
                <w:rFonts w:ascii="Times New Roman" w:eastAsia="Times New Roman" w:hAnsi="Times New Roman" w:cs="Times New Roman"/>
                <w:sz w:val="20"/>
                <w:szCs w:val="20"/>
                <w:lang w:eastAsia="en-GB"/>
              </w:rPr>
            </w:pPr>
          </w:p>
        </w:tc>
        <w:tc>
          <w:tcPr>
            <w:tcW w:w="222" w:type="dxa"/>
            <w:vAlign w:val="center"/>
          </w:tcPr>
          <w:p w14:paraId="30488047" w14:textId="77777777" w:rsidR="00C6472D" w:rsidRPr="00EE0867" w:rsidRDefault="00C6472D" w:rsidP="00ED24FC">
            <w:pPr>
              <w:spacing w:after="0" w:line="240" w:lineRule="auto"/>
              <w:rPr>
                <w:rFonts w:ascii="Times New Roman" w:eastAsia="Times New Roman" w:hAnsi="Times New Roman" w:cs="Times New Roman"/>
                <w:sz w:val="20"/>
                <w:szCs w:val="20"/>
                <w:lang w:eastAsia="en-GB"/>
              </w:rPr>
            </w:pPr>
          </w:p>
        </w:tc>
        <w:tc>
          <w:tcPr>
            <w:tcW w:w="222" w:type="dxa"/>
            <w:vAlign w:val="center"/>
          </w:tcPr>
          <w:p w14:paraId="686DE13B" w14:textId="77777777" w:rsidR="00C6472D" w:rsidRPr="00EE0867" w:rsidRDefault="00C6472D" w:rsidP="00ED24FC">
            <w:pPr>
              <w:spacing w:after="0" w:line="240" w:lineRule="auto"/>
              <w:rPr>
                <w:rFonts w:ascii="Times New Roman" w:eastAsia="Times New Roman" w:hAnsi="Times New Roman" w:cs="Times New Roman"/>
                <w:sz w:val="20"/>
                <w:szCs w:val="20"/>
                <w:lang w:eastAsia="en-GB"/>
              </w:rPr>
            </w:pPr>
          </w:p>
        </w:tc>
        <w:tc>
          <w:tcPr>
            <w:tcW w:w="222" w:type="dxa"/>
            <w:vAlign w:val="center"/>
          </w:tcPr>
          <w:p w14:paraId="5A669289" w14:textId="77777777" w:rsidR="00C6472D" w:rsidRPr="00EE0867" w:rsidRDefault="00C6472D" w:rsidP="00ED24FC">
            <w:pPr>
              <w:spacing w:after="0" w:line="240" w:lineRule="auto"/>
              <w:rPr>
                <w:rFonts w:ascii="Times New Roman" w:eastAsia="Times New Roman" w:hAnsi="Times New Roman" w:cs="Times New Roman"/>
                <w:sz w:val="20"/>
                <w:szCs w:val="20"/>
                <w:lang w:eastAsia="en-GB"/>
              </w:rPr>
            </w:pPr>
          </w:p>
        </w:tc>
        <w:tc>
          <w:tcPr>
            <w:tcW w:w="222" w:type="dxa"/>
            <w:vAlign w:val="center"/>
          </w:tcPr>
          <w:p w14:paraId="2C108682" w14:textId="77777777" w:rsidR="00C6472D" w:rsidRPr="00EE0867" w:rsidRDefault="00C6472D" w:rsidP="00ED24FC">
            <w:pPr>
              <w:spacing w:after="0" w:line="240" w:lineRule="auto"/>
              <w:rPr>
                <w:rFonts w:ascii="Times New Roman" w:eastAsia="Times New Roman" w:hAnsi="Times New Roman" w:cs="Times New Roman"/>
                <w:sz w:val="20"/>
                <w:szCs w:val="20"/>
                <w:lang w:eastAsia="en-GB"/>
              </w:rPr>
            </w:pPr>
          </w:p>
        </w:tc>
        <w:tc>
          <w:tcPr>
            <w:tcW w:w="222" w:type="dxa"/>
            <w:vAlign w:val="center"/>
          </w:tcPr>
          <w:p w14:paraId="110502EB" w14:textId="77777777" w:rsidR="00C6472D" w:rsidRPr="00EE0867" w:rsidRDefault="00C6472D" w:rsidP="00ED24FC">
            <w:pPr>
              <w:spacing w:after="0" w:line="240" w:lineRule="auto"/>
              <w:rPr>
                <w:rFonts w:ascii="Times New Roman" w:eastAsia="Times New Roman" w:hAnsi="Times New Roman" w:cs="Times New Roman"/>
                <w:sz w:val="20"/>
                <w:szCs w:val="20"/>
                <w:lang w:eastAsia="en-GB"/>
              </w:rPr>
            </w:pPr>
          </w:p>
        </w:tc>
        <w:tc>
          <w:tcPr>
            <w:tcW w:w="222" w:type="dxa"/>
            <w:vAlign w:val="center"/>
          </w:tcPr>
          <w:p w14:paraId="084DB51C" w14:textId="77777777" w:rsidR="00C6472D" w:rsidRPr="00EE0867" w:rsidRDefault="00C6472D" w:rsidP="00ED24FC">
            <w:pPr>
              <w:spacing w:after="0" w:line="240" w:lineRule="auto"/>
              <w:rPr>
                <w:rFonts w:ascii="Times New Roman" w:eastAsia="Times New Roman" w:hAnsi="Times New Roman" w:cs="Times New Roman"/>
                <w:sz w:val="20"/>
                <w:szCs w:val="20"/>
                <w:lang w:eastAsia="en-GB"/>
              </w:rPr>
            </w:pPr>
          </w:p>
        </w:tc>
        <w:tc>
          <w:tcPr>
            <w:tcW w:w="1556" w:type="dxa"/>
            <w:gridSpan w:val="2"/>
            <w:vAlign w:val="center"/>
          </w:tcPr>
          <w:p w14:paraId="2829AE71" w14:textId="77777777" w:rsidR="00C6472D" w:rsidRPr="00EE0867" w:rsidRDefault="00C6472D" w:rsidP="00ED24FC">
            <w:pPr>
              <w:spacing w:after="0" w:line="240" w:lineRule="auto"/>
              <w:rPr>
                <w:rFonts w:ascii="Times New Roman" w:eastAsia="Times New Roman" w:hAnsi="Times New Roman" w:cs="Times New Roman"/>
                <w:sz w:val="20"/>
                <w:szCs w:val="20"/>
                <w:lang w:eastAsia="en-GB"/>
              </w:rPr>
            </w:pPr>
          </w:p>
        </w:tc>
      </w:tr>
      <w:tr w:rsidR="00ED24FC" w:rsidRPr="00EE0867" w14:paraId="6E3B3A70" w14:textId="77777777" w:rsidTr="006968BD">
        <w:trPr>
          <w:gridAfter w:val="1"/>
          <w:wAfter w:w="687" w:type="dxa"/>
          <w:trHeight w:val="323"/>
        </w:trPr>
        <w:tc>
          <w:tcPr>
            <w:tcW w:w="2239" w:type="dxa"/>
            <w:tcBorders>
              <w:top w:val="nil"/>
              <w:left w:val="nil"/>
              <w:bottom w:val="nil"/>
              <w:right w:val="nil"/>
            </w:tcBorders>
            <w:shd w:val="clear" w:color="auto" w:fill="auto"/>
            <w:noWrap/>
            <w:vAlign w:val="center"/>
            <w:hideMark/>
          </w:tcPr>
          <w:p w14:paraId="7F05F7D6" w14:textId="77777777" w:rsidR="00ED24FC" w:rsidRPr="00EE0867" w:rsidRDefault="00ED24FC" w:rsidP="007A37E6">
            <w:pPr>
              <w:spacing w:after="0" w:line="240" w:lineRule="auto"/>
              <w:rPr>
                <w:rFonts w:ascii="Arial" w:eastAsia="Times New Roman" w:hAnsi="Arial" w:cs="Arial"/>
                <w:sz w:val="20"/>
                <w:szCs w:val="20"/>
                <w:lang w:eastAsia="en-GB"/>
              </w:rPr>
            </w:pPr>
            <w:r w:rsidRPr="00EE0867">
              <w:rPr>
                <w:rFonts w:ascii="Arial" w:eastAsia="Times New Roman" w:hAnsi="Arial" w:cs="Arial"/>
                <w:sz w:val="20"/>
                <w:szCs w:val="20"/>
                <w:lang w:eastAsia="en-GB"/>
              </w:rPr>
              <w:t>£</w:t>
            </w:r>
            <w:r w:rsidR="007A37E6">
              <w:rPr>
                <w:rFonts w:ascii="Arial" w:eastAsia="Times New Roman" w:hAnsi="Arial" w:cs="Arial"/>
                <w:sz w:val="20"/>
                <w:szCs w:val="20"/>
                <w:lang w:eastAsia="en-GB"/>
              </w:rPr>
              <w:t>190,001 - £200,000</w:t>
            </w:r>
          </w:p>
        </w:tc>
        <w:tc>
          <w:tcPr>
            <w:tcW w:w="2014" w:type="dxa"/>
            <w:tcBorders>
              <w:top w:val="nil"/>
              <w:left w:val="nil"/>
              <w:bottom w:val="nil"/>
              <w:right w:val="nil"/>
            </w:tcBorders>
            <w:shd w:val="clear" w:color="auto" w:fill="auto"/>
            <w:noWrap/>
            <w:vAlign w:val="center"/>
          </w:tcPr>
          <w:p w14:paraId="2301C1EF" w14:textId="77777777" w:rsidR="00ED24FC" w:rsidRPr="00B921F3" w:rsidRDefault="007A37E6" w:rsidP="00ED24FC">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1</w:t>
            </w:r>
          </w:p>
        </w:tc>
        <w:tc>
          <w:tcPr>
            <w:tcW w:w="1701" w:type="dxa"/>
            <w:tcBorders>
              <w:top w:val="nil"/>
              <w:left w:val="nil"/>
              <w:bottom w:val="nil"/>
              <w:right w:val="nil"/>
            </w:tcBorders>
            <w:shd w:val="clear" w:color="auto" w:fill="auto"/>
            <w:noWrap/>
            <w:vAlign w:val="center"/>
            <w:hideMark/>
          </w:tcPr>
          <w:p w14:paraId="1579A49A" w14:textId="77777777" w:rsidR="00ED24FC" w:rsidRPr="00EE0867" w:rsidRDefault="00ED24FC" w:rsidP="00ED24FC">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w:t>
            </w:r>
          </w:p>
        </w:tc>
        <w:tc>
          <w:tcPr>
            <w:tcW w:w="1701" w:type="dxa"/>
            <w:tcBorders>
              <w:top w:val="nil"/>
              <w:left w:val="nil"/>
              <w:bottom w:val="nil"/>
              <w:right w:val="nil"/>
            </w:tcBorders>
            <w:shd w:val="clear" w:color="auto" w:fill="auto"/>
            <w:noWrap/>
            <w:vAlign w:val="center"/>
          </w:tcPr>
          <w:p w14:paraId="76AC52F3" w14:textId="77777777" w:rsidR="00ED24FC" w:rsidRPr="00EE0867" w:rsidRDefault="007A37E6" w:rsidP="00ED24FC">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1</w:t>
            </w:r>
          </w:p>
        </w:tc>
        <w:tc>
          <w:tcPr>
            <w:tcW w:w="1708" w:type="dxa"/>
            <w:tcBorders>
              <w:top w:val="nil"/>
              <w:left w:val="nil"/>
              <w:bottom w:val="nil"/>
              <w:right w:val="nil"/>
            </w:tcBorders>
            <w:shd w:val="clear" w:color="auto" w:fill="auto"/>
            <w:noWrap/>
            <w:vAlign w:val="center"/>
            <w:hideMark/>
          </w:tcPr>
          <w:p w14:paraId="4BF73E85" w14:textId="77777777" w:rsidR="00ED24FC" w:rsidRPr="00EE0867" w:rsidRDefault="00ED24FC" w:rsidP="00ED24FC">
            <w:pPr>
              <w:spacing w:after="0" w:line="240" w:lineRule="auto"/>
              <w:jc w:val="right"/>
              <w:rPr>
                <w:rFonts w:ascii="Times New Roman" w:eastAsia="Times New Roman" w:hAnsi="Times New Roman" w:cs="Times New Roman"/>
                <w:sz w:val="20"/>
                <w:szCs w:val="20"/>
                <w:lang w:eastAsia="en-GB"/>
              </w:rPr>
            </w:pPr>
            <w:r>
              <w:rPr>
                <w:rFonts w:ascii="Arial" w:eastAsia="Times New Roman" w:hAnsi="Arial" w:cs="Arial"/>
                <w:sz w:val="20"/>
                <w:szCs w:val="20"/>
                <w:lang w:eastAsia="en-GB"/>
              </w:rPr>
              <w:t>-</w:t>
            </w:r>
          </w:p>
        </w:tc>
        <w:tc>
          <w:tcPr>
            <w:tcW w:w="222" w:type="dxa"/>
            <w:vAlign w:val="center"/>
            <w:hideMark/>
          </w:tcPr>
          <w:p w14:paraId="67265319" w14:textId="77777777" w:rsidR="00ED24FC" w:rsidRPr="00EE0867" w:rsidRDefault="00ED24FC" w:rsidP="00ED24FC">
            <w:pPr>
              <w:spacing w:after="0" w:line="240" w:lineRule="auto"/>
              <w:rPr>
                <w:rFonts w:ascii="Times New Roman" w:eastAsia="Times New Roman" w:hAnsi="Times New Roman" w:cs="Times New Roman"/>
                <w:sz w:val="20"/>
                <w:szCs w:val="20"/>
                <w:lang w:eastAsia="en-GB"/>
              </w:rPr>
            </w:pPr>
          </w:p>
        </w:tc>
        <w:tc>
          <w:tcPr>
            <w:tcW w:w="222" w:type="dxa"/>
            <w:vAlign w:val="center"/>
            <w:hideMark/>
          </w:tcPr>
          <w:p w14:paraId="444EDDAB" w14:textId="77777777" w:rsidR="00ED24FC" w:rsidRPr="00EE0867" w:rsidRDefault="00ED24FC" w:rsidP="00ED24FC">
            <w:pPr>
              <w:spacing w:after="0" w:line="240" w:lineRule="auto"/>
              <w:rPr>
                <w:rFonts w:ascii="Times New Roman" w:eastAsia="Times New Roman" w:hAnsi="Times New Roman" w:cs="Times New Roman"/>
                <w:sz w:val="20"/>
                <w:szCs w:val="20"/>
                <w:lang w:eastAsia="en-GB"/>
              </w:rPr>
            </w:pPr>
          </w:p>
        </w:tc>
        <w:tc>
          <w:tcPr>
            <w:tcW w:w="222" w:type="dxa"/>
            <w:vAlign w:val="center"/>
            <w:hideMark/>
          </w:tcPr>
          <w:p w14:paraId="209ABF11" w14:textId="77777777" w:rsidR="00ED24FC" w:rsidRPr="00EE0867" w:rsidRDefault="00ED24FC" w:rsidP="00ED24FC">
            <w:pPr>
              <w:spacing w:after="0" w:line="240" w:lineRule="auto"/>
              <w:rPr>
                <w:rFonts w:ascii="Times New Roman" w:eastAsia="Times New Roman" w:hAnsi="Times New Roman" w:cs="Times New Roman"/>
                <w:sz w:val="20"/>
                <w:szCs w:val="20"/>
                <w:lang w:eastAsia="en-GB"/>
              </w:rPr>
            </w:pPr>
          </w:p>
        </w:tc>
        <w:tc>
          <w:tcPr>
            <w:tcW w:w="222" w:type="dxa"/>
            <w:vAlign w:val="center"/>
            <w:hideMark/>
          </w:tcPr>
          <w:p w14:paraId="6BA0AFC3" w14:textId="77777777" w:rsidR="00ED24FC" w:rsidRPr="00EE0867" w:rsidRDefault="00ED24FC" w:rsidP="00ED24FC">
            <w:pPr>
              <w:spacing w:after="0" w:line="240" w:lineRule="auto"/>
              <w:rPr>
                <w:rFonts w:ascii="Times New Roman" w:eastAsia="Times New Roman" w:hAnsi="Times New Roman" w:cs="Times New Roman"/>
                <w:sz w:val="20"/>
                <w:szCs w:val="20"/>
                <w:lang w:eastAsia="en-GB"/>
              </w:rPr>
            </w:pPr>
          </w:p>
        </w:tc>
        <w:tc>
          <w:tcPr>
            <w:tcW w:w="222" w:type="dxa"/>
            <w:vAlign w:val="center"/>
            <w:hideMark/>
          </w:tcPr>
          <w:p w14:paraId="0E83BBB6" w14:textId="77777777" w:rsidR="00ED24FC" w:rsidRPr="00EE0867" w:rsidRDefault="00ED24FC" w:rsidP="00ED24FC">
            <w:pPr>
              <w:spacing w:after="0" w:line="240" w:lineRule="auto"/>
              <w:rPr>
                <w:rFonts w:ascii="Times New Roman" w:eastAsia="Times New Roman" w:hAnsi="Times New Roman" w:cs="Times New Roman"/>
                <w:sz w:val="20"/>
                <w:szCs w:val="20"/>
                <w:lang w:eastAsia="en-GB"/>
              </w:rPr>
            </w:pPr>
          </w:p>
        </w:tc>
        <w:tc>
          <w:tcPr>
            <w:tcW w:w="222" w:type="dxa"/>
            <w:vAlign w:val="center"/>
            <w:hideMark/>
          </w:tcPr>
          <w:p w14:paraId="6EC4EFEF" w14:textId="77777777" w:rsidR="00ED24FC" w:rsidRPr="00EE0867" w:rsidRDefault="00ED24FC" w:rsidP="00ED24FC">
            <w:pPr>
              <w:spacing w:after="0" w:line="240" w:lineRule="auto"/>
              <w:rPr>
                <w:rFonts w:ascii="Times New Roman" w:eastAsia="Times New Roman" w:hAnsi="Times New Roman" w:cs="Times New Roman"/>
                <w:sz w:val="20"/>
                <w:szCs w:val="20"/>
                <w:lang w:eastAsia="en-GB"/>
              </w:rPr>
            </w:pPr>
          </w:p>
        </w:tc>
        <w:tc>
          <w:tcPr>
            <w:tcW w:w="222" w:type="dxa"/>
            <w:vAlign w:val="center"/>
            <w:hideMark/>
          </w:tcPr>
          <w:p w14:paraId="14359438" w14:textId="77777777" w:rsidR="00ED24FC" w:rsidRPr="00EE0867" w:rsidRDefault="00ED24FC" w:rsidP="00ED24FC">
            <w:pPr>
              <w:spacing w:after="0" w:line="240" w:lineRule="auto"/>
              <w:rPr>
                <w:rFonts w:ascii="Times New Roman" w:eastAsia="Times New Roman" w:hAnsi="Times New Roman" w:cs="Times New Roman"/>
                <w:sz w:val="20"/>
                <w:szCs w:val="20"/>
                <w:lang w:eastAsia="en-GB"/>
              </w:rPr>
            </w:pPr>
          </w:p>
        </w:tc>
        <w:tc>
          <w:tcPr>
            <w:tcW w:w="1556" w:type="dxa"/>
            <w:gridSpan w:val="2"/>
            <w:vAlign w:val="center"/>
            <w:hideMark/>
          </w:tcPr>
          <w:p w14:paraId="6683ED80" w14:textId="77777777" w:rsidR="00ED24FC" w:rsidRPr="00EE0867" w:rsidRDefault="00ED24FC" w:rsidP="00ED24FC">
            <w:pPr>
              <w:spacing w:after="0" w:line="240" w:lineRule="auto"/>
              <w:rPr>
                <w:rFonts w:ascii="Times New Roman" w:eastAsia="Times New Roman" w:hAnsi="Times New Roman" w:cs="Times New Roman"/>
                <w:sz w:val="20"/>
                <w:szCs w:val="20"/>
                <w:lang w:eastAsia="en-GB"/>
              </w:rPr>
            </w:pPr>
          </w:p>
        </w:tc>
      </w:tr>
      <w:tr w:rsidR="00ED24FC" w:rsidRPr="00EE0867" w14:paraId="0982D9E1" w14:textId="77777777" w:rsidTr="006968BD">
        <w:trPr>
          <w:gridAfter w:val="1"/>
          <w:wAfter w:w="687" w:type="dxa"/>
          <w:trHeight w:val="323"/>
        </w:trPr>
        <w:tc>
          <w:tcPr>
            <w:tcW w:w="2239" w:type="dxa"/>
            <w:tcBorders>
              <w:top w:val="nil"/>
              <w:left w:val="nil"/>
              <w:bottom w:val="nil"/>
              <w:right w:val="nil"/>
            </w:tcBorders>
            <w:shd w:val="clear" w:color="auto" w:fill="auto"/>
            <w:noWrap/>
            <w:vAlign w:val="center"/>
            <w:hideMark/>
          </w:tcPr>
          <w:p w14:paraId="713DCCF3" w14:textId="77777777" w:rsidR="00ED24FC" w:rsidRPr="00EE0867" w:rsidRDefault="00ED24FC" w:rsidP="00ED24FC">
            <w:pPr>
              <w:spacing w:after="0" w:line="240" w:lineRule="auto"/>
              <w:rPr>
                <w:rFonts w:ascii="Arial" w:eastAsia="Times New Roman" w:hAnsi="Arial" w:cs="Arial"/>
                <w:sz w:val="20"/>
                <w:szCs w:val="20"/>
                <w:lang w:eastAsia="en-GB"/>
              </w:rPr>
            </w:pPr>
            <w:r w:rsidRPr="00EE0867">
              <w:rPr>
                <w:rFonts w:ascii="Arial" w:eastAsia="Times New Roman" w:hAnsi="Arial" w:cs="Arial"/>
                <w:sz w:val="20"/>
                <w:szCs w:val="20"/>
                <w:lang w:eastAsia="en-GB"/>
              </w:rPr>
              <w:t>£240,001 - £250,000</w:t>
            </w:r>
          </w:p>
        </w:tc>
        <w:tc>
          <w:tcPr>
            <w:tcW w:w="2014" w:type="dxa"/>
            <w:tcBorders>
              <w:top w:val="nil"/>
              <w:left w:val="nil"/>
              <w:bottom w:val="nil"/>
              <w:right w:val="nil"/>
            </w:tcBorders>
            <w:shd w:val="clear" w:color="auto" w:fill="auto"/>
            <w:noWrap/>
            <w:vAlign w:val="center"/>
          </w:tcPr>
          <w:p w14:paraId="6AEC86A1" w14:textId="77777777" w:rsidR="00ED24FC" w:rsidRPr="00B921F3" w:rsidRDefault="00F8700E" w:rsidP="00ED24FC">
            <w:pPr>
              <w:spacing w:after="0" w:line="240" w:lineRule="auto"/>
              <w:jc w:val="right"/>
              <w:rPr>
                <w:rFonts w:ascii="Arial" w:eastAsia="Times New Roman" w:hAnsi="Arial" w:cs="Arial"/>
                <w:sz w:val="20"/>
                <w:szCs w:val="20"/>
                <w:lang w:eastAsia="en-GB"/>
              </w:rPr>
            </w:pPr>
            <w:r w:rsidRPr="00B921F3">
              <w:rPr>
                <w:rFonts w:ascii="Arial" w:eastAsia="Times New Roman" w:hAnsi="Arial" w:cs="Arial"/>
                <w:sz w:val="20"/>
                <w:szCs w:val="20"/>
                <w:lang w:eastAsia="en-GB"/>
              </w:rPr>
              <w:t>-</w:t>
            </w:r>
          </w:p>
        </w:tc>
        <w:tc>
          <w:tcPr>
            <w:tcW w:w="1701" w:type="dxa"/>
            <w:tcBorders>
              <w:top w:val="nil"/>
              <w:left w:val="nil"/>
              <w:bottom w:val="nil"/>
              <w:right w:val="nil"/>
            </w:tcBorders>
            <w:shd w:val="clear" w:color="auto" w:fill="auto"/>
            <w:noWrap/>
            <w:vAlign w:val="center"/>
            <w:hideMark/>
          </w:tcPr>
          <w:p w14:paraId="0EF5AE2D" w14:textId="77777777" w:rsidR="00ED24FC" w:rsidRPr="00EE0867" w:rsidRDefault="00ED24FC" w:rsidP="00ED24FC">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1</w:t>
            </w:r>
          </w:p>
        </w:tc>
        <w:tc>
          <w:tcPr>
            <w:tcW w:w="1701" w:type="dxa"/>
            <w:tcBorders>
              <w:top w:val="nil"/>
              <w:left w:val="nil"/>
              <w:bottom w:val="nil"/>
              <w:right w:val="nil"/>
            </w:tcBorders>
            <w:shd w:val="clear" w:color="auto" w:fill="auto"/>
            <w:noWrap/>
            <w:vAlign w:val="center"/>
          </w:tcPr>
          <w:p w14:paraId="0227A62E" w14:textId="77777777" w:rsidR="00ED24FC" w:rsidRPr="00EE0867" w:rsidRDefault="00F8700E" w:rsidP="00ED24FC">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w:t>
            </w:r>
          </w:p>
        </w:tc>
        <w:tc>
          <w:tcPr>
            <w:tcW w:w="1708" w:type="dxa"/>
            <w:tcBorders>
              <w:top w:val="nil"/>
              <w:left w:val="nil"/>
              <w:bottom w:val="nil"/>
              <w:right w:val="nil"/>
            </w:tcBorders>
            <w:shd w:val="clear" w:color="auto" w:fill="auto"/>
            <w:noWrap/>
            <w:vAlign w:val="center"/>
            <w:hideMark/>
          </w:tcPr>
          <w:p w14:paraId="461EDE2B" w14:textId="77777777" w:rsidR="00ED24FC" w:rsidRPr="00EE0867" w:rsidRDefault="00ED24FC" w:rsidP="00ED24FC">
            <w:pPr>
              <w:spacing w:after="0" w:line="240" w:lineRule="auto"/>
              <w:jc w:val="right"/>
              <w:rPr>
                <w:rFonts w:ascii="Times New Roman" w:eastAsia="Times New Roman" w:hAnsi="Times New Roman" w:cs="Times New Roman"/>
                <w:sz w:val="20"/>
                <w:szCs w:val="20"/>
                <w:lang w:eastAsia="en-GB"/>
              </w:rPr>
            </w:pPr>
            <w:r>
              <w:rPr>
                <w:rFonts w:ascii="Arial" w:eastAsia="Times New Roman" w:hAnsi="Arial" w:cs="Arial"/>
                <w:sz w:val="20"/>
                <w:szCs w:val="20"/>
                <w:lang w:eastAsia="en-GB"/>
              </w:rPr>
              <w:t>1</w:t>
            </w:r>
          </w:p>
        </w:tc>
        <w:tc>
          <w:tcPr>
            <w:tcW w:w="222" w:type="dxa"/>
            <w:vAlign w:val="center"/>
            <w:hideMark/>
          </w:tcPr>
          <w:p w14:paraId="293DFEF4" w14:textId="77777777" w:rsidR="00ED24FC" w:rsidRPr="00EE0867" w:rsidRDefault="00ED24FC" w:rsidP="00ED24FC">
            <w:pPr>
              <w:spacing w:after="0" w:line="240" w:lineRule="auto"/>
              <w:rPr>
                <w:rFonts w:ascii="Times New Roman" w:eastAsia="Times New Roman" w:hAnsi="Times New Roman" w:cs="Times New Roman"/>
                <w:sz w:val="20"/>
                <w:szCs w:val="20"/>
                <w:lang w:eastAsia="en-GB"/>
              </w:rPr>
            </w:pPr>
          </w:p>
        </w:tc>
        <w:tc>
          <w:tcPr>
            <w:tcW w:w="222" w:type="dxa"/>
            <w:vAlign w:val="center"/>
            <w:hideMark/>
          </w:tcPr>
          <w:p w14:paraId="4A6A8D43" w14:textId="77777777" w:rsidR="00ED24FC" w:rsidRPr="00EE0867" w:rsidRDefault="00ED24FC" w:rsidP="00ED24FC">
            <w:pPr>
              <w:spacing w:after="0" w:line="240" w:lineRule="auto"/>
              <w:rPr>
                <w:rFonts w:ascii="Times New Roman" w:eastAsia="Times New Roman" w:hAnsi="Times New Roman" w:cs="Times New Roman"/>
                <w:sz w:val="20"/>
                <w:szCs w:val="20"/>
                <w:lang w:eastAsia="en-GB"/>
              </w:rPr>
            </w:pPr>
          </w:p>
        </w:tc>
        <w:tc>
          <w:tcPr>
            <w:tcW w:w="222" w:type="dxa"/>
            <w:vAlign w:val="center"/>
            <w:hideMark/>
          </w:tcPr>
          <w:p w14:paraId="74BA2D23" w14:textId="77777777" w:rsidR="00ED24FC" w:rsidRPr="00EE0867" w:rsidRDefault="00ED24FC" w:rsidP="00ED24FC">
            <w:pPr>
              <w:spacing w:after="0" w:line="240" w:lineRule="auto"/>
              <w:rPr>
                <w:rFonts w:ascii="Times New Roman" w:eastAsia="Times New Roman" w:hAnsi="Times New Roman" w:cs="Times New Roman"/>
                <w:sz w:val="20"/>
                <w:szCs w:val="20"/>
                <w:lang w:eastAsia="en-GB"/>
              </w:rPr>
            </w:pPr>
          </w:p>
        </w:tc>
        <w:tc>
          <w:tcPr>
            <w:tcW w:w="222" w:type="dxa"/>
            <w:vAlign w:val="center"/>
            <w:hideMark/>
          </w:tcPr>
          <w:p w14:paraId="256283D7" w14:textId="77777777" w:rsidR="00ED24FC" w:rsidRPr="00EE0867" w:rsidRDefault="00ED24FC" w:rsidP="00ED24FC">
            <w:pPr>
              <w:spacing w:after="0" w:line="240" w:lineRule="auto"/>
              <w:rPr>
                <w:rFonts w:ascii="Times New Roman" w:eastAsia="Times New Roman" w:hAnsi="Times New Roman" w:cs="Times New Roman"/>
                <w:sz w:val="20"/>
                <w:szCs w:val="20"/>
                <w:lang w:eastAsia="en-GB"/>
              </w:rPr>
            </w:pPr>
          </w:p>
        </w:tc>
        <w:tc>
          <w:tcPr>
            <w:tcW w:w="222" w:type="dxa"/>
            <w:vAlign w:val="center"/>
            <w:hideMark/>
          </w:tcPr>
          <w:p w14:paraId="4F6886C7" w14:textId="77777777" w:rsidR="00ED24FC" w:rsidRPr="00EE0867" w:rsidRDefault="00ED24FC" w:rsidP="00ED24FC">
            <w:pPr>
              <w:spacing w:after="0" w:line="240" w:lineRule="auto"/>
              <w:rPr>
                <w:rFonts w:ascii="Times New Roman" w:eastAsia="Times New Roman" w:hAnsi="Times New Roman" w:cs="Times New Roman"/>
                <w:sz w:val="20"/>
                <w:szCs w:val="20"/>
                <w:lang w:eastAsia="en-GB"/>
              </w:rPr>
            </w:pPr>
          </w:p>
        </w:tc>
        <w:tc>
          <w:tcPr>
            <w:tcW w:w="222" w:type="dxa"/>
            <w:vAlign w:val="center"/>
            <w:hideMark/>
          </w:tcPr>
          <w:p w14:paraId="7807588E" w14:textId="77777777" w:rsidR="00ED24FC" w:rsidRPr="00EE0867" w:rsidRDefault="00ED24FC" w:rsidP="00ED24FC">
            <w:pPr>
              <w:spacing w:after="0" w:line="240" w:lineRule="auto"/>
              <w:rPr>
                <w:rFonts w:ascii="Times New Roman" w:eastAsia="Times New Roman" w:hAnsi="Times New Roman" w:cs="Times New Roman"/>
                <w:sz w:val="20"/>
                <w:szCs w:val="20"/>
                <w:lang w:eastAsia="en-GB"/>
              </w:rPr>
            </w:pPr>
          </w:p>
        </w:tc>
        <w:tc>
          <w:tcPr>
            <w:tcW w:w="222" w:type="dxa"/>
            <w:vAlign w:val="center"/>
            <w:hideMark/>
          </w:tcPr>
          <w:p w14:paraId="4CDD3EBD" w14:textId="77777777" w:rsidR="00ED24FC" w:rsidRPr="00EE0867" w:rsidRDefault="00ED24FC" w:rsidP="00ED24FC">
            <w:pPr>
              <w:spacing w:after="0" w:line="240" w:lineRule="auto"/>
              <w:rPr>
                <w:rFonts w:ascii="Times New Roman" w:eastAsia="Times New Roman" w:hAnsi="Times New Roman" w:cs="Times New Roman"/>
                <w:sz w:val="20"/>
                <w:szCs w:val="20"/>
                <w:lang w:eastAsia="en-GB"/>
              </w:rPr>
            </w:pPr>
          </w:p>
        </w:tc>
        <w:tc>
          <w:tcPr>
            <w:tcW w:w="1556" w:type="dxa"/>
            <w:gridSpan w:val="2"/>
            <w:vAlign w:val="center"/>
            <w:hideMark/>
          </w:tcPr>
          <w:p w14:paraId="5EBCBBF0" w14:textId="77777777" w:rsidR="00ED24FC" w:rsidRPr="00EE0867" w:rsidRDefault="00ED24FC" w:rsidP="00ED24FC">
            <w:pPr>
              <w:spacing w:after="0" w:line="240" w:lineRule="auto"/>
              <w:rPr>
                <w:rFonts w:ascii="Times New Roman" w:eastAsia="Times New Roman" w:hAnsi="Times New Roman" w:cs="Times New Roman"/>
                <w:sz w:val="20"/>
                <w:szCs w:val="20"/>
                <w:lang w:eastAsia="en-GB"/>
              </w:rPr>
            </w:pPr>
          </w:p>
        </w:tc>
      </w:tr>
      <w:tr w:rsidR="00ED24FC" w:rsidRPr="00EE0867" w14:paraId="5D773A1E" w14:textId="77777777" w:rsidTr="006968BD">
        <w:trPr>
          <w:gridAfter w:val="1"/>
          <w:wAfter w:w="687" w:type="dxa"/>
          <w:trHeight w:val="323"/>
        </w:trPr>
        <w:tc>
          <w:tcPr>
            <w:tcW w:w="2239" w:type="dxa"/>
            <w:tcBorders>
              <w:top w:val="nil"/>
              <w:left w:val="nil"/>
              <w:bottom w:val="nil"/>
              <w:right w:val="nil"/>
            </w:tcBorders>
            <w:shd w:val="clear" w:color="auto" w:fill="auto"/>
            <w:noWrap/>
            <w:vAlign w:val="center"/>
            <w:hideMark/>
          </w:tcPr>
          <w:p w14:paraId="7BED5198" w14:textId="77777777" w:rsidR="00ED24FC" w:rsidRPr="00EE0867" w:rsidRDefault="00ED24FC" w:rsidP="00ED24FC">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£2</w:t>
            </w:r>
            <w:r w:rsidRPr="00EE0867">
              <w:rPr>
                <w:rFonts w:ascii="Arial" w:eastAsia="Times New Roman" w:hAnsi="Arial" w:cs="Arial"/>
                <w:sz w:val="20"/>
                <w:szCs w:val="20"/>
                <w:lang w:eastAsia="en-GB"/>
              </w:rPr>
              <w:t>50,001 - £</w:t>
            </w:r>
            <w:r>
              <w:rPr>
                <w:rFonts w:ascii="Arial" w:eastAsia="Times New Roman" w:hAnsi="Arial" w:cs="Arial"/>
                <w:sz w:val="20"/>
                <w:szCs w:val="20"/>
                <w:lang w:eastAsia="en-GB"/>
              </w:rPr>
              <w:t>2</w:t>
            </w:r>
            <w:r w:rsidRPr="00EE0867">
              <w:rPr>
                <w:rFonts w:ascii="Arial" w:eastAsia="Times New Roman" w:hAnsi="Arial" w:cs="Arial"/>
                <w:sz w:val="20"/>
                <w:szCs w:val="20"/>
                <w:lang w:eastAsia="en-GB"/>
              </w:rPr>
              <w:t>60,000</w:t>
            </w:r>
          </w:p>
        </w:tc>
        <w:tc>
          <w:tcPr>
            <w:tcW w:w="2014" w:type="dxa"/>
            <w:tcBorders>
              <w:top w:val="nil"/>
              <w:left w:val="nil"/>
              <w:bottom w:val="nil"/>
              <w:right w:val="nil"/>
            </w:tcBorders>
            <w:shd w:val="clear" w:color="auto" w:fill="auto"/>
            <w:noWrap/>
            <w:vAlign w:val="center"/>
          </w:tcPr>
          <w:p w14:paraId="5A6031A6" w14:textId="77777777" w:rsidR="00ED24FC" w:rsidRPr="00B921F3" w:rsidRDefault="00F8700E" w:rsidP="00ED24FC">
            <w:pPr>
              <w:spacing w:after="0" w:line="240" w:lineRule="auto"/>
              <w:jc w:val="right"/>
              <w:rPr>
                <w:rFonts w:ascii="Arial" w:eastAsia="Times New Roman" w:hAnsi="Arial" w:cs="Arial"/>
                <w:sz w:val="20"/>
                <w:szCs w:val="20"/>
                <w:lang w:eastAsia="en-GB"/>
              </w:rPr>
            </w:pPr>
            <w:r w:rsidRPr="00B921F3">
              <w:rPr>
                <w:rFonts w:ascii="Arial" w:eastAsia="Times New Roman" w:hAnsi="Arial" w:cs="Arial"/>
                <w:sz w:val="20"/>
                <w:szCs w:val="20"/>
                <w:lang w:eastAsia="en-GB"/>
              </w:rPr>
              <w:t>-</w:t>
            </w:r>
          </w:p>
        </w:tc>
        <w:tc>
          <w:tcPr>
            <w:tcW w:w="1701" w:type="dxa"/>
            <w:tcBorders>
              <w:top w:val="nil"/>
              <w:left w:val="nil"/>
              <w:bottom w:val="nil"/>
              <w:right w:val="nil"/>
            </w:tcBorders>
            <w:shd w:val="clear" w:color="auto" w:fill="auto"/>
            <w:noWrap/>
            <w:vAlign w:val="center"/>
            <w:hideMark/>
          </w:tcPr>
          <w:p w14:paraId="375D89D8" w14:textId="77777777" w:rsidR="00ED24FC" w:rsidRPr="00EE0867" w:rsidRDefault="00ED24FC" w:rsidP="00ED24FC">
            <w:pPr>
              <w:spacing w:after="0" w:line="240" w:lineRule="auto"/>
              <w:jc w:val="right"/>
              <w:rPr>
                <w:rFonts w:ascii="Times New Roman" w:eastAsia="Times New Roman" w:hAnsi="Times New Roman" w:cs="Times New Roman"/>
                <w:sz w:val="20"/>
                <w:szCs w:val="20"/>
                <w:lang w:eastAsia="en-GB"/>
              </w:rPr>
            </w:pPr>
            <w:r>
              <w:rPr>
                <w:rFonts w:ascii="Arial" w:eastAsia="Times New Roman" w:hAnsi="Arial" w:cs="Arial"/>
                <w:sz w:val="20"/>
                <w:szCs w:val="20"/>
                <w:lang w:eastAsia="en-GB"/>
              </w:rPr>
              <w:t>1</w:t>
            </w:r>
          </w:p>
        </w:tc>
        <w:tc>
          <w:tcPr>
            <w:tcW w:w="1701" w:type="dxa"/>
            <w:tcBorders>
              <w:top w:val="nil"/>
              <w:left w:val="nil"/>
              <w:bottom w:val="nil"/>
              <w:right w:val="nil"/>
            </w:tcBorders>
            <w:shd w:val="clear" w:color="auto" w:fill="auto"/>
            <w:noWrap/>
            <w:vAlign w:val="center"/>
          </w:tcPr>
          <w:p w14:paraId="1A7DE376" w14:textId="77777777" w:rsidR="00ED24FC" w:rsidRPr="00EE0867" w:rsidRDefault="00F8700E" w:rsidP="00ED24FC">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w:t>
            </w:r>
          </w:p>
        </w:tc>
        <w:tc>
          <w:tcPr>
            <w:tcW w:w="1708" w:type="dxa"/>
            <w:tcBorders>
              <w:top w:val="nil"/>
              <w:left w:val="nil"/>
              <w:bottom w:val="nil"/>
              <w:right w:val="nil"/>
            </w:tcBorders>
            <w:shd w:val="clear" w:color="auto" w:fill="auto"/>
            <w:noWrap/>
            <w:vAlign w:val="center"/>
            <w:hideMark/>
          </w:tcPr>
          <w:p w14:paraId="6A8BDDFC" w14:textId="77777777" w:rsidR="00ED24FC" w:rsidRPr="00EE0867" w:rsidRDefault="00ED24FC" w:rsidP="00ED24FC">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1</w:t>
            </w:r>
          </w:p>
        </w:tc>
        <w:tc>
          <w:tcPr>
            <w:tcW w:w="222" w:type="dxa"/>
            <w:vAlign w:val="center"/>
            <w:hideMark/>
          </w:tcPr>
          <w:p w14:paraId="12D00EA0" w14:textId="77777777" w:rsidR="00ED24FC" w:rsidRPr="00EE0867" w:rsidRDefault="00ED24FC" w:rsidP="00ED24FC">
            <w:pPr>
              <w:spacing w:after="0" w:line="240" w:lineRule="auto"/>
              <w:rPr>
                <w:rFonts w:ascii="Times New Roman" w:eastAsia="Times New Roman" w:hAnsi="Times New Roman" w:cs="Times New Roman"/>
                <w:sz w:val="20"/>
                <w:szCs w:val="20"/>
                <w:lang w:eastAsia="en-GB"/>
              </w:rPr>
            </w:pPr>
          </w:p>
        </w:tc>
        <w:tc>
          <w:tcPr>
            <w:tcW w:w="222" w:type="dxa"/>
            <w:vAlign w:val="center"/>
            <w:hideMark/>
          </w:tcPr>
          <w:p w14:paraId="52CDD030" w14:textId="77777777" w:rsidR="00ED24FC" w:rsidRPr="00EE0867" w:rsidRDefault="00ED24FC" w:rsidP="00ED24FC">
            <w:pPr>
              <w:spacing w:after="0" w:line="240" w:lineRule="auto"/>
              <w:rPr>
                <w:rFonts w:ascii="Times New Roman" w:eastAsia="Times New Roman" w:hAnsi="Times New Roman" w:cs="Times New Roman"/>
                <w:sz w:val="20"/>
                <w:szCs w:val="20"/>
                <w:lang w:eastAsia="en-GB"/>
              </w:rPr>
            </w:pPr>
          </w:p>
        </w:tc>
        <w:tc>
          <w:tcPr>
            <w:tcW w:w="222" w:type="dxa"/>
            <w:vAlign w:val="center"/>
            <w:hideMark/>
          </w:tcPr>
          <w:p w14:paraId="3CB8A6E4" w14:textId="77777777" w:rsidR="00ED24FC" w:rsidRPr="00EE0867" w:rsidRDefault="00ED24FC" w:rsidP="00ED24FC">
            <w:pPr>
              <w:spacing w:after="0" w:line="240" w:lineRule="auto"/>
              <w:rPr>
                <w:rFonts w:ascii="Times New Roman" w:eastAsia="Times New Roman" w:hAnsi="Times New Roman" w:cs="Times New Roman"/>
                <w:sz w:val="20"/>
                <w:szCs w:val="20"/>
                <w:lang w:eastAsia="en-GB"/>
              </w:rPr>
            </w:pPr>
          </w:p>
        </w:tc>
        <w:tc>
          <w:tcPr>
            <w:tcW w:w="222" w:type="dxa"/>
            <w:vAlign w:val="center"/>
            <w:hideMark/>
          </w:tcPr>
          <w:p w14:paraId="12E7506C" w14:textId="77777777" w:rsidR="00ED24FC" w:rsidRPr="00EE0867" w:rsidRDefault="00ED24FC" w:rsidP="00ED24FC">
            <w:pPr>
              <w:spacing w:after="0" w:line="240" w:lineRule="auto"/>
              <w:rPr>
                <w:rFonts w:ascii="Times New Roman" w:eastAsia="Times New Roman" w:hAnsi="Times New Roman" w:cs="Times New Roman"/>
                <w:sz w:val="20"/>
                <w:szCs w:val="20"/>
                <w:lang w:eastAsia="en-GB"/>
              </w:rPr>
            </w:pPr>
          </w:p>
        </w:tc>
        <w:tc>
          <w:tcPr>
            <w:tcW w:w="222" w:type="dxa"/>
            <w:vAlign w:val="center"/>
            <w:hideMark/>
          </w:tcPr>
          <w:p w14:paraId="4F04FFAC" w14:textId="77777777" w:rsidR="00ED24FC" w:rsidRPr="00EE0867" w:rsidRDefault="00ED24FC" w:rsidP="00ED24FC">
            <w:pPr>
              <w:spacing w:after="0" w:line="240" w:lineRule="auto"/>
              <w:rPr>
                <w:rFonts w:ascii="Times New Roman" w:eastAsia="Times New Roman" w:hAnsi="Times New Roman" w:cs="Times New Roman"/>
                <w:sz w:val="20"/>
                <w:szCs w:val="20"/>
                <w:lang w:eastAsia="en-GB"/>
              </w:rPr>
            </w:pPr>
          </w:p>
        </w:tc>
        <w:tc>
          <w:tcPr>
            <w:tcW w:w="222" w:type="dxa"/>
            <w:vAlign w:val="center"/>
            <w:hideMark/>
          </w:tcPr>
          <w:p w14:paraId="0DD14B6B" w14:textId="77777777" w:rsidR="00ED24FC" w:rsidRPr="00EE0867" w:rsidRDefault="00ED24FC" w:rsidP="00ED24FC">
            <w:pPr>
              <w:spacing w:after="0" w:line="240" w:lineRule="auto"/>
              <w:rPr>
                <w:rFonts w:ascii="Times New Roman" w:eastAsia="Times New Roman" w:hAnsi="Times New Roman" w:cs="Times New Roman"/>
                <w:sz w:val="20"/>
                <w:szCs w:val="20"/>
                <w:lang w:eastAsia="en-GB"/>
              </w:rPr>
            </w:pPr>
          </w:p>
        </w:tc>
        <w:tc>
          <w:tcPr>
            <w:tcW w:w="222" w:type="dxa"/>
            <w:vAlign w:val="center"/>
            <w:hideMark/>
          </w:tcPr>
          <w:p w14:paraId="31470ADC" w14:textId="77777777" w:rsidR="00ED24FC" w:rsidRPr="00EE0867" w:rsidRDefault="00ED24FC" w:rsidP="00ED24FC">
            <w:pPr>
              <w:spacing w:after="0" w:line="240" w:lineRule="auto"/>
              <w:rPr>
                <w:rFonts w:ascii="Times New Roman" w:eastAsia="Times New Roman" w:hAnsi="Times New Roman" w:cs="Times New Roman"/>
                <w:sz w:val="20"/>
                <w:szCs w:val="20"/>
                <w:lang w:eastAsia="en-GB"/>
              </w:rPr>
            </w:pPr>
          </w:p>
        </w:tc>
        <w:tc>
          <w:tcPr>
            <w:tcW w:w="1556" w:type="dxa"/>
            <w:gridSpan w:val="2"/>
            <w:vAlign w:val="center"/>
            <w:hideMark/>
          </w:tcPr>
          <w:p w14:paraId="0D785C3D" w14:textId="77777777" w:rsidR="00ED24FC" w:rsidRPr="00EE0867" w:rsidRDefault="00ED24FC" w:rsidP="00ED24FC">
            <w:pPr>
              <w:spacing w:after="0" w:line="240" w:lineRule="auto"/>
              <w:rPr>
                <w:rFonts w:ascii="Times New Roman" w:eastAsia="Times New Roman" w:hAnsi="Times New Roman" w:cs="Times New Roman"/>
                <w:sz w:val="20"/>
                <w:szCs w:val="20"/>
                <w:lang w:eastAsia="en-GB"/>
              </w:rPr>
            </w:pPr>
          </w:p>
        </w:tc>
      </w:tr>
      <w:tr w:rsidR="00ED24FC" w:rsidRPr="00EE0867" w14:paraId="1E09EFB9" w14:textId="77777777" w:rsidTr="006968BD">
        <w:trPr>
          <w:gridAfter w:val="1"/>
          <w:wAfter w:w="687" w:type="dxa"/>
          <w:trHeight w:val="323"/>
        </w:trPr>
        <w:tc>
          <w:tcPr>
            <w:tcW w:w="2239" w:type="dxa"/>
            <w:tcBorders>
              <w:top w:val="nil"/>
              <w:left w:val="nil"/>
              <w:bottom w:val="nil"/>
              <w:right w:val="nil"/>
            </w:tcBorders>
            <w:shd w:val="clear" w:color="auto" w:fill="auto"/>
            <w:noWrap/>
            <w:vAlign w:val="center"/>
            <w:hideMark/>
          </w:tcPr>
          <w:p w14:paraId="41FD8650" w14:textId="77777777" w:rsidR="00ED24FC" w:rsidRPr="00EE0867" w:rsidRDefault="00ED24FC" w:rsidP="00ED24FC">
            <w:pPr>
              <w:spacing w:after="0" w:line="240" w:lineRule="auto"/>
              <w:rPr>
                <w:rFonts w:ascii="Times New Roman" w:eastAsia="Times New Roman" w:hAnsi="Times New Roman" w:cs="Times New Roman"/>
                <w:sz w:val="20"/>
                <w:szCs w:val="20"/>
                <w:lang w:eastAsia="en-GB"/>
              </w:rPr>
            </w:pPr>
          </w:p>
        </w:tc>
        <w:tc>
          <w:tcPr>
            <w:tcW w:w="2014" w:type="dxa"/>
            <w:tcBorders>
              <w:top w:val="single" w:sz="4" w:space="0" w:color="auto"/>
              <w:left w:val="nil"/>
              <w:bottom w:val="single" w:sz="4" w:space="0" w:color="auto"/>
              <w:right w:val="nil"/>
            </w:tcBorders>
            <w:shd w:val="clear" w:color="auto" w:fill="auto"/>
            <w:noWrap/>
            <w:vAlign w:val="center"/>
          </w:tcPr>
          <w:p w14:paraId="361676BE" w14:textId="77777777" w:rsidR="00ED24FC" w:rsidRPr="00EE0867" w:rsidRDefault="003670EF" w:rsidP="00ED24FC">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127</w:t>
            </w:r>
          </w:p>
        </w:tc>
        <w:tc>
          <w:tcPr>
            <w:tcW w:w="1701" w:type="dxa"/>
            <w:tcBorders>
              <w:top w:val="single" w:sz="4" w:space="0" w:color="auto"/>
              <w:left w:val="nil"/>
              <w:bottom w:val="single" w:sz="4" w:space="0" w:color="auto"/>
              <w:right w:val="nil"/>
            </w:tcBorders>
            <w:shd w:val="clear" w:color="auto" w:fill="auto"/>
            <w:noWrap/>
            <w:vAlign w:val="center"/>
            <w:hideMark/>
          </w:tcPr>
          <w:p w14:paraId="16D61C09" w14:textId="77777777" w:rsidR="00ED24FC" w:rsidRPr="00EE0867" w:rsidRDefault="00ED24FC" w:rsidP="00ED24FC">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111</w:t>
            </w:r>
          </w:p>
        </w:tc>
        <w:tc>
          <w:tcPr>
            <w:tcW w:w="1701" w:type="dxa"/>
            <w:tcBorders>
              <w:top w:val="single" w:sz="4" w:space="0" w:color="auto"/>
              <w:left w:val="nil"/>
              <w:bottom w:val="single" w:sz="4" w:space="0" w:color="auto"/>
              <w:right w:val="nil"/>
            </w:tcBorders>
            <w:shd w:val="clear" w:color="auto" w:fill="auto"/>
            <w:noWrap/>
            <w:vAlign w:val="center"/>
          </w:tcPr>
          <w:p w14:paraId="2EFE43E9" w14:textId="77777777" w:rsidR="00ED24FC" w:rsidRPr="00EE0867" w:rsidRDefault="003670EF" w:rsidP="00ED24FC">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127</w:t>
            </w:r>
          </w:p>
        </w:tc>
        <w:tc>
          <w:tcPr>
            <w:tcW w:w="1708" w:type="dxa"/>
            <w:tcBorders>
              <w:top w:val="single" w:sz="4" w:space="0" w:color="auto"/>
              <w:left w:val="nil"/>
              <w:bottom w:val="single" w:sz="4" w:space="0" w:color="auto"/>
              <w:right w:val="nil"/>
            </w:tcBorders>
            <w:shd w:val="clear" w:color="auto" w:fill="auto"/>
            <w:noWrap/>
            <w:vAlign w:val="center"/>
            <w:hideMark/>
          </w:tcPr>
          <w:p w14:paraId="6B8015C9" w14:textId="77777777" w:rsidR="00ED24FC" w:rsidRPr="00EE0867" w:rsidRDefault="00ED24FC" w:rsidP="00ED24FC">
            <w:pPr>
              <w:spacing w:after="0" w:line="240" w:lineRule="auto"/>
              <w:jc w:val="right"/>
              <w:rPr>
                <w:rFonts w:ascii="Arial" w:eastAsia="Times New Roman" w:hAnsi="Arial" w:cs="Arial"/>
                <w:sz w:val="20"/>
                <w:szCs w:val="20"/>
                <w:lang w:eastAsia="en-GB"/>
              </w:rPr>
            </w:pPr>
            <w:r>
              <w:rPr>
                <w:rFonts w:ascii="Arial" w:hAnsi="Arial" w:cs="Arial"/>
                <w:b/>
                <w:bCs/>
                <w:sz w:val="20"/>
                <w:szCs w:val="20"/>
              </w:rPr>
              <w:t>110</w:t>
            </w:r>
          </w:p>
        </w:tc>
        <w:tc>
          <w:tcPr>
            <w:tcW w:w="222" w:type="dxa"/>
            <w:vAlign w:val="center"/>
            <w:hideMark/>
          </w:tcPr>
          <w:p w14:paraId="2BD0BF8D" w14:textId="77777777" w:rsidR="00ED24FC" w:rsidRPr="00EE0867" w:rsidRDefault="00ED24FC" w:rsidP="00ED24FC">
            <w:pPr>
              <w:spacing w:after="0" w:line="240" w:lineRule="auto"/>
              <w:rPr>
                <w:rFonts w:ascii="Times New Roman" w:eastAsia="Times New Roman" w:hAnsi="Times New Roman" w:cs="Times New Roman"/>
                <w:sz w:val="20"/>
                <w:szCs w:val="20"/>
                <w:lang w:eastAsia="en-GB"/>
              </w:rPr>
            </w:pPr>
          </w:p>
        </w:tc>
        <w:tc>
          <w:tcPr>
            <w:tcW w:w="222" w:type="dxa"/>
            <w:vAlign w:val="center"/>
            <w:hideMark/>
          </w:tcPr>
          <w:p w14:paraId="02513DB2" w14:textId="77777777" w:rsidR="00ED24FC" w:rsidRPr="00EE0867" w:rsidRDefault="00ED24FC" w:rsidP="00ED24FC">
            <w:pPr>
              <w:spacing w:after="0" w:line="240" w:lineRule="auto"/>
              <w:rPr>
                <w:rFonts w:ascii="Times New Roman" w:eastAsia="Times New Roman" w:hAnsi="Times New Roman" w:cs="Times New Roman"/>
                <w:sz w:val="20"/>
                <w:szCs w:val="20"/>
                <w:lang w:eastAsia="en-GB"/>
              </w:rPr>
            </w:pPr>
          </w:p>
        </w:tc>
        <w:tc>
          <w:tcPr>
            <w:tcW w:w="222" w:type="dxa"/>
            <w:vAlign w:val="center"/>
            <w:hideMark/>
          </w:tcPr>
          <w:p w14:paraId="01B8955B" w14:textId="77777777" w:rsidR="00ED24FC" w:rsidRPr="00EE0867" w:rsidRDefault="00ED24FC" w:rsidP="00ED24FC">
            <w:pPr>
              <w:spacing w:after="0" w:line="240" w:lineRule="auto"/>
              <w:rPr>
                <w:rFonts w:ascii="Times New Roman" w:eastAsia="Times New Roman" w:hAnsi="Times New Roman" w:cs="Times New Roman"/>
                <w:sz w:val="20"/>
                <w:szCs w:val="20"/>
                <w:lang w:eastAsia="en-GB"/>
              </w:rPr>
            </w:pPr>
          </w:p>
        </w:tc>
        <w:tc>
          <w:tcPr>
            <w:tcW w:w="222" w:type="dxa"/>
            <w:vAlign w:val="center"/>
            <w:hideMark/>
          </w:tcPr>
          <w:p w14:paraId="214686AD" w14:textId="77777777" w:rsidR="00ED24FC" w:rsidRPr="00EE0867" w:rsidRDefault="00ED24FC" w:rsidP="00ED24FC">
            <w:pPr>
              <w:spacing w:after="0" w:line="240" w:lineRule="auto"/>
              <w:rPr>
                <w:rFonts w:ascii="Times New Roman" w:eastAsia="Times New Roman" w:hAnsi="Times New Roman" w:cs="Times New Roman"/>
                <w:sz w:val="20"/>
                <w:szCs w:val="20"/>
                <w:lang w:eastAsia="en-GB"/>
              </w:rPr>
            </w:pPr>
          </w:p>
        </w:tc>
        <w:tc>
          <w:tcPr>
            <w:tcW w:w="222" w:type="dxa"/>
            <w:vAlign w:val="center"/>
            <w:hideMark/>
          </w:tcPr>
          <w:p w14:paraId="29A95151" w14:textId="77777777" w:rsidR="00ED24FC" w:rsidRPr="00EE0867" w:rsidRDefault="00ED24FC" w:rsidP="00ED24FC">
            <w:pPr>
              <w:spacing w:after="0" w:line="240" w:lineRule="auto"/>
              <w:rPr>
                <w:rFonts w:ascii="Times New Roman" w:eastAsia="Times New Roman" w:hAnsi="Times New Roman" w:cs="Times New Roman"/>
                <w:sz w:val="20"/>
                <w:szCs w:val="20"/>
                <w:lang w:eastAsia="en-GB"/>
              </w:rPr>
            </w:pPr>
          </w:p>
        </w:tc>
        <w:tc>
          <w:tcPr>
            <w:tcW w:w="222" w:type="dxa"/>
            <w:vAlign w:val="center"/>
            <w:hideMark/>
          </w:tcPr>
          <w:p w14:paraId="5FA164A5" w14:textId="77777777" w:rsidR="00ED24FC" w:rsidRPr="00EE0867" w:rsidRDefault="00ED24FC" w:rsidP="00ED24FC">
            <w:pPr>
              <w:spacing w:after="0" w:line="240" w:lineRule="auto"/>
              <w:rPr>
                <w:rFonts w:ascii="Times New Roman" w:eastAsia="Times New Roman" w:hAnsi="Times New Roman" w:cs="Times New Roman"/>
                <w:sz w:val="20"/>
                <w:szCs w:val="20"/>
                <w:lang w:eastAsia="en-GB"/>
              </w:rPr>
            </w:pPr>
          </w:p>
        </w:tc>
        <w:tc>
          <w:tcPr>
            <w:tcW w:w="222" w:type="dxa"/>
            <w:vAlign w:val="center"/>
            <w:hideMark/>
          </w:tcPr>
          <w:p w14:paraId="4D9EEE13" w14:textId="77777777" w:rsidR="00ED24FC" w:rsidRPr="00EE0867" w:rsidRDefault="00ED24FC" w:rsidP="00ED24FC">
            <w:pPr>
              <w:spacing w:after="0" w:line="240" w:lineRule="auto"/>
              <w:rPr>
                <w:rFonts w:ascii="Times New Roman" w:eastAsia="Times New Roman" w:hAnsi="Times New Roman" w:cs="Times New Roman"/>
                <w:sz w:val="20"/>
                <w:szCs w:val="20"/>
                <w:lang w:eastAsia="en-GB"/>
              </w:rPr>
            </w:pPr>
          </w:p>
        </w:tc>
        <w:tc>
          <w:tcPr>
            <w:tcW w:w="1556" w:type="dxa"/>
            <w:gridSpan w:val="2"/>
            <w:vAlign w:val="center"/>
            <w:hideMark/>
          </w:tcPr>
          <w:p w14:paraId="65202A76" w14:textId="77777777" w:rsidR="00ED24FC" w:rsidRPr="00EE0867" w:rsidRDefault="00ED24FC" w:rsidP="00ED24FC">
            <w:pPr>
              <w:spacing w:after="0" w:line="240" w:lineRule="auto"/>
              <w:rPr>
                <w:rFonts w:ascii="Times New Roman" w:eastAsia="Times New Roman" w:hAnsi="Times New Roman" w:cs="Times New Roman"/>
                <w:sz w:val="20"/>
                <w:szCs w:val="20"/>
                <w:lang w:eastAsia="en-GB"/>
              </w:rPr>
            </w:pPr>
          </w:p>
        </w:tc>
      </w:tr>
    </w:tbl>
    <w:p w14:paraId="7E3E5389" w14:textId="77777777" w:rsidR="002F1E81" w:rsidRDefault="002F1E81" w:rsidP="00190D85">
      <w:pPr>
        <w:ind w:right="-567"/>
        <w:rPr>
          <w:rFonts w:ascii="Arial" w:hAnsi="Arial" w:cs="Arial"/>
          <w:sz w:val="24"/>
          <w:szCs w:val="24"/>
        </w:rPr>
      </w:pPr>
    </w:p>
    <w:p w14:paraId="3817ABFA" w14:textId="77777777" w:rsidR="00190D85" w:rsidRPr="00EA004B" w:rsidRDefault="00190D85" w:rsidP="00190D85">
      <w:pPr>
        <w:ind w:right="-567"/>
        <w:rPr>
          <w:rFonts w:ascii="Arial" w:hAnsi="Arial" w:cs="Arial"/>
          <w:sz w:val="24"/>
          <w:szCs w:val="24"/>
        </w:rPr>
      </w:pPr>
      <w:r w:rsidRPr="00EA004B">
        <w:rPr>
          <w:rFonts w:ascii="Arial" w:hAnsi="Arial" w:cs="Arial"/>
          <w:sz w:val="24"/>
          <w:szCs w:val="24"/>
        </w:rPr>
        <w:t xml:space="preserve">The total pension contributions in respect of the above staff, all of which were made to defined contribution schemes, </w:t>
      </w:r>
      <w:r w:rsidRPr="00D066B8">
        <w:rPr>
          <w:rFonts w:ascii="Arial" w:hAnsi="Arial" w:cs="Arial"/>
          <w:sz w:val="24"/>
          <w:szCs w:val="24"/>
        </w:rPr>
        <w:t xml:space="preserve">were </w:t>
      </w:r>
      <w:r w:rsidR="008725FF">
        <w:rPr>
          <w:rFonts w:ascii="Arial" w:hAnsi="Arial" w:cs="Arial"/>
          <w:sz w:val="24"/>
          <w:szCs w:val="24"/>
        </w:rPr>
        <w:t>£</w:t>
      </w:r>
      <w:r w:rsidR="00920DF1">
        <w:rPr>
          <w:rFonts w:ascii="Arial" w:hAnsi="Arial" w:cs="Arial"/>
          <w:sz w:val="24"/>
          <w:szCs w:val="24"/>
        </w:rPr>
        <w:t>903,291</w:t>
      </w:r>
      <w:r w:rsidR="00EC13F9">
        <w:rPr>
          <w:rFonts w:ascii="Arial" w:hAnsi="Arial" w:cs="Arial"/>
          <w:color w:val="000000" w:themeColor="text1"/>
          <w:sz w:val="24"/>
          <w:szCs w:val="24"/>
        </w:rPr>
        <w:t xml:space="preserve"> </w:t>
      </w:r>
      <w:r w:rsidRPr="00EA004B">
        <w:rPr>
          <w:rFonts w:ascii="Arial" w:hAnsi="Arial" w:cs="Arial"/>
          <w:sz w:val="24"/>
          <w:szCs w:val="24"/>
        </w:rPr>
        <w:t>(</w:t>
      </w:r>
      <w:r w:rsidR="0037645F">
        <w:rPr>
          <w:rFonts w:ascii="Arial" w:hAnsi="Arial" w:cs="Arial"/>
          <w:sz w:val="24"/>
          <w:szCs w:val="24"/>
        </w:rPr>
        <w:t>2019</w:t>
      </w:r>
      <w:r w:rsidRPr="00EA004B">
        <w:rPr>
          <w:rFonts w:ascii="Arial" w:hAnsi="Arial" w:cs="Arial"/>
          <w:sz w:val="24"/>
          <w:szCs w:val="24"/>
        </w:rPr>
        <w:t>: £</w:t>
      </w:r>
      <w:r w:rsidR="00F07478">
        <w:rPr>
          <w:rFonts w:ascii="Arial" w:hAnsi="Arial" w:cs="Arial"/>
          <w:sz w:val="24"/>
          <w:szCs w:val="24"/>
        </w:rPr>
        <w:t>828,317</w:t>
      </w:r>
      <w:r w:rsidRPr="00EA004B">
        <w:rPr>
          <w:rFonts w:ascii="Arial" w:hAnsi="Arial" w:cs="Arial"/>
          <w:sz w:val="24"/>
          <w:szCs w:val="24"/>
        </w:rPr>
        <w:t>).</w:t>
      </w:r>
      <w:r w:rsidRPr="00EA004B">
        <w:rPr>
          <w:rFonts w:ascii="Arial" w:hAnsi="Arial" w:cs="Arial"/>
          <w:sz w:val="24"/>
          <w:szCs w:val="24"/>
        </w:rPr>
        <w:tab/>
      </w:r>
      <w:r w:rsidRPr="00EA004B">
        <w:rPr>
          <w:rFonts w:ascii="Arial" w:hAnsi="Arial" w:cs="Arial"/>
          <w:sz w:val="24"/>
          <w:szCs w:val="24"/>
        </w:rPr>
        <w:tab/>
      </w:r>
      <w:r w:rsidRPr="00EA004B">
        <w:rPr>
          <w:rFonts w:ascii="Arial" w:hAnsi="Arial" w:cs="Arial"/>
          <w:sz w:val="24"/>
          <w:szCs w:val="24"/>
        </w:rPr>
        <w:tab/>
      </w:r>
    </w:p>
    <w:p w14:paraId="7F2D5D60" w14:textId="77777777" w:rsidR="00190D85" w:rsidRPr="00EA004B" w:rsidRDefault="00190D85" w:rsidP="00190D85">
      <w:pPr>
        <w:ind w:right="-567"/>
        <w:rPr>
          <w:rFonts w:ascii="Arial" w:hAnsi="Arial" w:cs="Arial"/>
          <w:sz w:val="24"/>
          <w:szCs w:val="24"/>
        </w:rPr>
        <w:sectPr w:rsidR="00190D85" w:rsidRPr="00EA004B" w:rsidSect="005C26C8">
          <w:type w:val="continuous"/>
          <w:pgSz w:w="11906" w:h="16838"/>
          <w:pgMar w:top="1440" w:right="1274" w:bottom="1440" w:left="1440" w:header="708" w:footer="708" w:gutter="0"/>
          <w:cols w:space="708"/>
          <w:docGrid w:linePitch="360"/>
        </w:sectPr>
      </w:pPr>
    </w:p>
    <w:p w14:paraId="0A6417A0" w14:textId="77777777" w:rsidR="00190D85" w:rsidRDefault="00190D85" w:rsidP="00190D85">
      <w:pPr>
        <w:ind w:right="-567"/>
        <w:rPr>
          <w:rFonts w:ascii="Arial" w:hAnsi="Arial" w:cs="Arial"/>
          <w:sz w:val="24"/>
          <w:szCs w:val="24"/>
        </w:rPr>
      </w:pPr>
      <w:r w:rsidRPr="00EA004B">
        <w:rPr>
          <w:rFonts w:ascii="Arial" w:hAnsi="Arial" w:cs="Arial"/>
          <w:sz w:val="24"/>
          <w:szCs w:val="24"/>
        </w:rPr>
        <w:t>Total emoluments of employees include, where applicable, salary, bonuses, benefits-in-kind, car allowance, payments in lieu of notice and redundancy. Total payments in lieu of notice and redundancy made to those employees who earned more than £60,000 during the year was £</w:t>
      </w:r>
      <w:r w:rsidR="00DB4BC2">
        <w:rPr>
          <w:rFonts w:ascii="Arial" w:hAnsi="Arial" w:cs="Arial"/>
          <w:sz w:val="24"/>
          <w:szCs w:val="24"/>
        </w:rPr>
        <w:t xml:space="preserve">30,000 </w:t>
      </w:r>
      <w:r w:rsidR="00DB4BC2" w:rsidRPr="00EA004B">
        <w:rPr>
          <w:rFonts w:ascii="Arial" w:hAnsi="Arial" w:cs="Arial"/>
          <w:sz w:val="24"/>
          <w:szCs w:val="24"/>
        </w:rPr>
        <w:t>(</w:t>
      </w:r>
      <w:r w:rsidR="0037645F">
        <w:rPr>
          <w:rFonts w:ascii="Arial" w:hAnsi="Arial" w:cs="Arial"/>
          <w:sz w:val="24"/>
          <w:szCs w:val="24"/>
        </w:rPr>
        <w:t>2019</w:t>
      </w:r>
      <w:r w:rsidRPr="00EA004B">
        <w:rPr>
          <w:rFonts w:ascii="Arial" w:hAnsi="Arial" w:cs="Arial"/>
          <w:sz w:val="24"/>
          <w:szCs w:val="24"/>
        </w:rPr>
        <w:t>: £</w:t>
      </w:r>
      <w:r w:rsidR="00F07478" w:rsidRPr="00EA004B">
        <w:rPr>
          <w:rFonts w:ascii="Arial" w:hAnsi="Arial" w:cs="Arial"/>
          <w:sz w:val="24"/>
          <w:szCs w:val="24"/>
        </w:rPr>
        <w:t>117,257</w:t>
      </w:r>
      <w:r w:rsidRPr="00EA004B">
        <w:rPr>
          <w:rFonts w:ascii="Arial" w:hAnsi="Arial" w:cs="Arial"/>
          <w:sz w:val="24"/>
          <w:szCs w:val="24"/>
        </w:rPr>
        <w:t xml:space="preserve">). </w:t>
      </w:r>
      <w:r w:rsidRPr="00EA004B">
        <w:rPr>
          <w:rFonts w:ascii="Arial" w:hAnsi="Arial" w:cs="Arial"/>
          <w:sz w:val="24"/>
          <w:szCs w:val="24"/>
        </w:rPr>
        <w:tab/>
      </w:r>
    </w:p>
    <w:p w14:paraId="3CEB1065" w14:textId="77777777" w:rsidR="002F1E81" w:rsidRDefault="002F1E81" w:rsidP="00190D85">
      <w:pPr>
        <w:ind w:right="-567"/>
        <w:rPr>
          <w:rFonts w:ascii="Arial" w:hAnsi="Arial" w:cs="Arial"/>
          <w:sz w:val="24"/>
          <w:szCs w:val="24"/>
        </w:rPr>
      </w:pPr>
    </w:p>
    <w:p w14:paraId="20E0C02B" w14:textId="77777777" w:rsidR="002F1E81" w:rsidRDefault="002F1E81" w:rsidP="002F1E81">
      <w:pPr>
        <w:tabs>
          <w:tab w:val="left" w:pos="567"/>
        </w:tabs>
        <w:ind w:left="567" w:hanging="567"/>
        <w:rPr>
          <w:rFonts w:ascii="Arial" w:hAnsi="Arial" w:cs="Arial"/>
          <w:b/>
          <w:i/>
          <w:sz w:val="24"/>
          <w:szCs w:val="24"/>
        </w:rPr>
      </w:pPr>
    </w:p>
    <w:p w14:paraId="6939046A" w14:textId="77777777" w:rsidR="002F1E81" w:rsidRDefault="002F1E81" w:rsidP="002F1E81">
      <w:pPr>
        <w:tabs>
          <w:tab w:val="left" w:pos="567"/>
        </w:tabs>
        <w:ind w:left="567" w:hanging="567"/>
        <w:rPr>
          <w:rFonts w:ascii="Arial" w:hAnsi="Arial" w:cs="Arial"/>
          <w:b/>
          <w:i/>
          <w:sz w:val="24"/>
          <w:szCs w:val="24"/>
        </w:rPr>
      </w:pPr>
    </w:p>
    <w:p w14:paraId="4B6B4BB2" w14:textId="7D951F49" w:rsidR="00AE5ACF" w:rsidRDefault="00AE5ACF" w:rsidP="00D85D6F">
      <w:pPr>
        <w:tabs>
          <w:tab w:val="left" w:pos="567"/>
        </w:tabs>
        <w:rPr>
          <w:rFonts w:ascii="Arial" w:hAnsi="Arial" w:cs="Arial"/>
          <w:b/>
          <w:i/>
          <w:sz w:val="24"/>
          <w:szCs w:val="24"/>
        </w:rPr>
      </w:pPr>
    </w:p>
    <w:p w14:paraId="5CDE3811" w14:textId="77777777" w:rsidR="00E6025B" w:rsidRDefault="00E6025B" w:rsidP="00D85D6F">
      <w:pPr>
        <w:tabs>
          <w:tab w:val="left" w:pos="567"/>
        </w:tabs>
        <w:rPr>
          <w:rFonts w:ascii="Arial" w:hAnsi="Arial" w:cs="Arial"/>
          <w:b/>
          <w:i/>
          <w:sz w:val="24"/>
          <w:szCs w:val="24"/>
        </w:rPr>
      </w:pPr>
    </w:p>
    <w:p w14:paraId="6E43C8CC" w14:textId="77777777" w:rsidR="005A2948" w:rsidRDefault="005A2948" w:rsidP="00D85D6F">
      <w:pPr>
        <w:tabs>
          <w:tab w:val="left" w:pos="567"/>
        </w:tabs>
        <w:rPr>
          <w:rFonts w:ascii="Arial" w:hAnsi="Arial" w:cs="Arial"/>
          <w:b/>
          <w:i/>
          <w:sz w:val="24"/>
          <w:szCs w:val="24"/>
        </w:rPr>
      </w:pPr>
    </w:p>
    <w:p w14:paraId="397B31D8" w14:textId="77777777" w:rsidR="006C07DD" w:rsidRDefault="006C07DD" w:rsidP="006C07DD">
      <w:pPr>
        <w:spacing w:after="0" w:line="240" w:lineRule="auto"/>
        <w:rPr>
          <w:rFonts w:ascii="Arial" w:hAnsi="Arial" w:cs="Arial"/>
          <w:b/>
          <w:i/>
          <w:sz w:val="24"/>
          <w:szCs w:val="24"/>
        </w:rPr>
      </w:pPr>
      <w:r w:rsidRPr="0088736E">
        <w:rPr>
          <w:rFonts w:ascii="Arial" w:hAnsi="Arial" w:cs="Arial"/>
          <w:b/>
          <w:i/>
          <w:sz w:val="24"/>
          <w:szCs w:val="24"/>
        </w:rPr>
        <w:lastRenderedPageBreak/>
        <w:t xml:space="preserve">Notes to the financial </w:t>
      </w:r>
      <w:r>
        <w:rPr>
          <w:rFonts w:ascii="Arial" w:hAnsi="Arial" w:cs="Arial"/>
          <w:b/>
          <w:i/>
          <w:sz w:val="24"/>
          <w:szCs w:val="24"/>
        </w:rPr>
        <w:t>statements</w:t>
      </w:r>
      <w:r w:rsidRPr="0088736E">
        <w:rPr>
          <w:rFonts w:ascii="Arial" w:hAnsi="Arial" w:cs="Arial"/>
          <w:b/>
          <w:i/>
          <w:sz w:val="24"/>
          <w:szCs w:val="24"/>
        </w:rPr>
        <w:t xml:space="preserve"> (continued)</w:t>
      </w:r>
    </w:p>
    <w:p w14:paraId="46340F7F" w14:textId="77777777" w:rsidR="00190D85" w:rsidRDefault="00190D85" w:rsidP="00190D85">
      <w:pPr>
        <w:spacing w:after="0" w:line="240" w:lineRule="auto"/>
        <w:rPr>
          <w:rFonts w:ascii="Arial" w:eastAsia="Times New Roman" w:hAnsi="Arial" w:cs="Arial"/>
          <w:b/>
          <w:bCs/>
          <w:sz w:val="24"/>
          <w:szCs w:val="24"/>
          <w:lang w:eastAsia="en-GB"/>
        </w:rPr>
        <w:sectPr w:rsidR="00190D85" w:rsidSect="004D6568">
          <w:type w:val="continuous"/>
          <w:pgSz w:w="11906" w:h="16838"/>
          <w:pgMar w:top="1440" w:right="1440" w:bottom="1440" w:left="1440" w:header="708" w:footer="708" w:gutter="0"/>
          <w:cols w:space="708"/>
          <w:docGrid w:linePitch="360"/>
        </w:sectPr>
      </w:pPr>
    </w:p>
    <w:tbl>
      <w:tblPr>
        <w:tblW w:w="0" w:type="auto"/>
        <w:tblLook w:val="04A0" w:firstRow="1" w:lastRow="0" w:firstColumn="1" w:lastColumn="0" w:noHBand="0" w:noVBand="1"/>
      </w:tblPr>
      <w:tblGrid>
        <w:gridCol w:w="1632"/>
        <w:gridCol w:w="1420"/>
        <w:gridCol w:w="1420"/>
        <w:gridCol w:w="1420"/>
        <w:gridCol w:w="1429"/>
        <w:gridCol w:w="1587"/>
      </w:tblGrid>
      <w:tr w:rsidR="00454D0E" w:rsidRPr="00EE0867" w14:paraId="2DFEA9B9" w14:textId="77777777" w:rsidTr="00692813">
        <w:trPr>
          <w:trHeight w:val="323"/>
        </w:trPr>
        <w:tc>
          <w:tcPr>
            <w:tcW w:w="8908" w:type="dxa"/>
            <w:gridSpan w:val="6"/>
            <w:tcBorders>
              <w:top w:val="nil"/>
              <w:left w:val="nil"/>
              <w:bottom w:val="nil"/>
            </w:tcBorders>
            <w:shd w:val="clear" w:color="auto" w:fill="auto"/>
            <w:noWrap/>
            <w:vAlign w:val="bottom"/>
            <w:hideMark/>
          </w:tcPr>
          <w:p w14:paraId="564367C8" w14:textId="77777777" w:rsidR="00454D0E" w:rsidRDefault="00454D0E" w:rsidP="001F6984">
            <w:pPr>
              <w:spacing w:after="0" w:line="240" w:lineRule="auto"/>
              <w:rPr>
                <w:rFonts w:ascii="Arial" w:eastAsia="Times New Roman" w:hAnsi="Arial" w:cs="Arial"/>
                <w:b/>
                <w:bCs/>
                <w:sz w:val="24"/>
                <w:szCs w:val="24"/>
                <w:lang w:eastAsia="en-GB"/>
              </w:rPr>
            </w:pPr>
          </w:p>
          <w:p w14:paraId="72F14C07" w14:textId="77777777" w:rsidR="00454D0E" w:rsidRPr="00EE0867" w:rsidRDefault="00454D0E" w:rsidP="001F6984">
            <w:pPr>
              <w:spacing w:after="0" w:line="240" w:lineRule="auto"/>
              <w:rPr>
                <w:rFonts w:ascii="Times New Roman" w:eastAsia="Times New Roman" w:hAnsi="Times New Roman" w:cs="Times New Roman"/>
                <w:sz w:val="20"/>
                <w:szCs w:val="20"/>
                <w:lang w:eastAsia="en-GB"/>
              </w:rPr>
            </w:pPr>
            <w:r>
              <w:rPr>
                <w:rFonts w:ascii="Arial" w:eastAsia="Times New Roman" w:hAnsi="Arial" w:cs="Arial"/>
                <w:b/>
                <w:bCs/>
                <w:sz w:val="24"/>
                <w:szCs w:val="24"/>
                <w:lang w:eastAsia="en-GB"/>
              </w:rPr>
              <w:t>6</w:t>
            </w:r>
            <w:r w:rsidRPr="00EE0867">
              <w:rPr>
                <w:rFonts w:ascii="Arial" w:eastAsia="Times New Roman" w:hAnsi="Arial" w:cs="Arial"/>
                <w:b/>
                <w:bCs/>
                <w:sz w:val="24"/>
                <w:szCs w:val="24"/>
                <w:lang w:eastAsia="en-GB"/>
              </w:rPr>
              <w:t>.    Trustees’ and senior executives’ remuneration</w:t>
            </w:r>
          </w:p>
        </w:tc>
      </w:tr>
      <w:tr w:rsidR="00190D85" w:rsidRPr="00EE0867" w14:paraId="7C32BE12" w14:textId="77777777" w:rsidTr="00454D0E">
        <w:trPr>
          <w:trHeight w:val="323"/>
        </w:trPr>
        <w:tc>
          <w:tcPr>
            <w:tcW w:w="1632" w:type="dxa"/>
            <w:tcBorders>
              <w:top w:val="nil"/>
              <w:left w:val="nil"/>
              <w:bottom w:val="nil"/>
              <w:right w:val="nil"/>
            </w:tcBorders>
            <w:shd w:val="clear" w:color="auto" w:fill="auto"/>
            <w:noWrap/>
            <w:vAlign w:val="bottom"/>
            <w:hideMark/>
          </w:tcPr>
          <w:p w14:paraId="1DC1D761" w14:textId="77777777" w:rsidR="00190D85" w:rsidRPr="00EE0867" w:rsidRDefault="00190D85" w:rsidP="001F6984">
            <w:pPr>
              <w:spacing w:after="0" w:line="240" w:lineRule="auto"/>
              <w:rPr>
                <w:rFonts w:ascii="Times New Roman" w:eastAsia="Times New Roman" w:hAnsi="Times New Roman" w:cs="Times New Roman"/>
                <w:sz w:val="20"/>
                <w:szCs w:val="20"/>
                <w:lang w:eastAsia="en-GB"/>
              </w:rPr>
            </w:pPr>
          </w:p>
        </w:tc>
        <w:tc>
          <w:tcPr>
            <w:tcW w:w="1420" w:type="dxa"/>
            <w:tcBorders>
              <w:top w:val="nil"/>
              <w:left w:val="nil"/>
              <w:bottom w:val="nil"/>
              <w:right w:val="nil"/>
            </w:tcBorders>
            <w:shd w:val="clear" w:color="auto" w:fill="auto"/>
            <w:noWrap/>
            <w:vAlign w:val="bottom"/>
            <w:hideMark/>
          </w:tcPr>
          <w:p w14:paraId="30706E6B" w14:textId="77777777" w:rsidR="00190D85" w:rsidRPr="00EE0867" w:rsidRDefault="00190D85" w:rsidP="001F6984">
            <w:pPr>
              <w:spacing w:after="0" w:line="240" w:lineRule="auto"/>
              <w:rPr>
                <w:rFonts w:ascii="Times New Roman" w:eastAsia="Times New Roman" w:hAnsi="Times New Roman" w:cs="Times New Roman"/>
                <w:sz w:val="20"/>
                <w:szCs w:val="20"/>
                <w:lang w:eastAsia="en-GB"/>
              </w:rPr>
            </w:pPr>
          </w:p>
        </w:tc>
        <w:tc>
          <w:tcPr>
            <w:tcW w:w="1420" w:type="dxa"/>
            <w:tcBorders>
              <w:top w:val="nil"/>
              <w:left w:val="nil"/>
              <w:bottom w:val="nil"/>
              <w:right w:val="nil"/>
            </w:tcBorders>
            <w:shd w:val="clear" w:color="auto" w:fill="auto"/>
            <w:noWrap/>
            <w:vAlign w:val="bottom"/>
            <w:hideMark/>
          </w:tcPr>
          <w:p w14:paraId="6448D1F7" w14:textId="77777777" w:rsidR="00190D85" w:rsidRPr="00EE0867" w:rsidRDefault="00190D85" w:rsidP="001F6984">
            <w:pPr>
              <w:spacing w:after="0" w:line="240" w:lineRule="auto"/>
              <w:rPr>
                <w:rFonts w:ascii="Times New Roman" w:eastAsia="Times New Roman" w:hAnsi="Times New Roman" w:cs="Times New Roman"/>
                <w:sz w:val="20"/>
                <w:szCs w:val="20"/>
                <w:lang w:eastAsia="en-GB"/>
              </w:rPr>
            </w:pPr>
          </w:p>
        </w:tc>
        <w:tc>
          <w:tcPr>
            <w:tcW w:w="1420" w:type="dxa"/>
            <w:tcBorders>
              <w:top w:val="nil"/>
              <w:left w:val="nil"/>
              <w:bottom w:val="nil"/>
              <w:right w:val="nil"/>
            </w:tcBorders>
            <w:shd w:val="clear" w:color="auto" w:fill="auto"/>
            <w:noWrap/>
            <w:vAlign w:val="bottom"/>
            <w:hideMark/>
          </w:tcPr>
          <w:p w14:paraId="58ABDB6D" w14:textId="77777777" w:rsidR="00190D85" w:rsidRPr="00EE0867" w:rsidRDefault="00190D85" w:rsidP="001F6984">
            <w:pPr>
              <w:spacing w:after="0" w:line="240" w:lineRule="auto"/>
              <w:rPr>
                <w:rFonts w:ascii="Times New Roman" w:eastAsia="Times New Roman" w:hAnsi="Times New Roman" w:cs="Times New Roman"/>
                <w:sz w:val="20"/>
                <w:szCs w:val="20"/>
                <w:lang w:eastAsia="en-GB"/>
              </w:rPr>
            </w:pPr>
          </w:p>
        </w:tc>
        <w:tc>
          <w:tcPr>
            <w:tcW w:w="1429" w:type="dxa"/>
            <w:tcBorders>
              <w:top w:val="nil"/>
              <w:left w:val="nil"/>
              <w:bottom w:val="nil"/>
              <w:right w:val="nil"/>
            </w:tcBorders>
            <w:shd w:val="clear" w:color="auto" w:fill="auto"/>
            <w:noWrap/>
            <w:vAlign w:val="bottom"/>
            <w:hideMark/>
          </w:tcPr>
          <w:p w14:paraId="540DD79D" w14:textId="77777777" w:rsidR="00190D85" w:rsidRPr="00EE0867" w:rsidRDefault="00190D85" w:rsidP="001F6984">
            <w:pPr>
              <w:spacing w:after="0" w:line="240" w:lineRule="auto"/>
              <w:rPr>
                <w:rFonts w:ascii="Times New Roman" w:eastAsia="Times New Roman" w:hAnsi="Times New Roman" w:cs="Times New Roman"/>
                <w:sz w:val="20"/>
                <w:szCs w:val="20"/>
                <w:lang w:eastAsia="en-GB"/>
              </w:rPr>
            </w:pPr>
          </w:p>
        </w:tc>
        <w:tc>
          <w:tcPr>
            <w:tcW w:w="1587" w:type="dxa"/>
            <w:tcBorders>
              <w:top w:val="nil"/>
              <w:left w:val="nil"/>
              <w:bottom w:val="nil"/>
              <w:right w:val="nil"/>
            </w:tcBorders>
            <w:shd w:val="clear" w:color="auto" w:fill="auto"/>
            <w:noWrap/>
            <w:vAlign w:val="bottom"/>
            <w:hideMark/>
          </w:tcPr>
          <w:p w14:paraId="321574E8" w14:textId="77777777" w:rsidR="00190D85" w:rsidRPr="00EE0867" w:rsidRDefault="00190D85" w:rsidP="001F6984">
            <w:pPr>
              <w:spacing w:after="0" w:line="240" w:lineRule="auto"/>
              <w:rPr>
                <w:rFonts w:ascii="Times New Roman" w:eastAsia="Times New Roman" w:hAnsi="Times New Roman" w:cs="Times New Roman"/>
                <w:sz w:val="20"/>
                <w:szCs w:val="20"/>
                <w:lang w:eastAsia="en-GB"/>
              </w:rPr>
            </w:pPr>
          </w:p>
        </w:tc>
      </w:tr>
      <w:tr w:rsidR="00190D85" w:rsidRPr="00EE0867" w14:paraId="0046841F" w14:textId="77777777" w:rsidTr="00454D0E">
        <w:trPr>
          <w:trHeight w:val="645"/>
        </w:trPr>
        <w:tc>
          <w:tcPr>
            <w:tcW w:w="8908" w:type="dxa"/>
            <w:gridSpan w:val="6"/>
            <w:tcBorders>
              <w:top w:val="nil"/>
              <w:left w:val="nil"/>
              <w:bottom w:val="nil"/>
              <w:right w:val="nil"/>
            </w:tcBorders>
            <w:shd w:val="clear" w:color="auto" w:fill="auto"/>
            <w:hideMark/>
          </w:tcPr>
          <w:p w14:paraId="41B2B7EB" w14:textId="77777777" w:rsidR="00190D85" w:rsidRPr="00EA004B" w:rsidRDefault="00190D85" w:rsidP="004A10B6">
            <w:pPr>
              <w:pStyle w:val="ListParagraph"/>
              <w:numPr>
                <w:ilvl w:val="0"/>
                <w:numId w:val="9"/>
              </w:numPr>
              <w:jc w:val="both"/>
              <w:rPr>
                <w:rFonts w:ascii="Arial" w:hAnsi="Arial" w:cs="Arial"/>
                <w:sz w:val="24"/>
                <w:szCs w:val="24"/>
              </w:rPr>
            </w:pPr>
            <w:r w:rsidRPr="00EA004B">
              <w:rPr>
                <w:rFonts w:ascii="Arial" w:hAnsi="Arial" w:cs="Arial"/>
                <w:sz w:val="24"/>
                <w:szCs w:val="24"/>
              </w:rPr>
              <w:t xml:space="preserve">During </w:t>
            </w:r>
            <w:r w:rsidR="0037645F">
              <w:rPr>
                <w:rFonts w:ascii="Arial" w:hAnsi="Arial" w:cs="Arial"/>
                <w:sz w:val="24"/>
                <w:szCs w:val="24"/>
              </w:rPr>
              <w:t>2020</w:t>
            </w:r>
            <w:r w:rsidRPr="00EA004B">
              <w:rPr>
                <w:rFonts w:ascii="Arial" w:hAnsi="Arial" w:cs="Arial"/>
                <w:sz w:val="24"/>
                <w:szCs w:val="24"/>
              </w:rPr>
              <w:t xml:space="preserve"> and </w:t>
            </w:r>
            <w:r w:rsidR="0037645F">
              <w:rPr>
                <w:rFonts w:ascii="Arial" w:hAnsi="Arial" w:cs="Arial"/>
                <w:sz w:val="24"/>
                <w:szCs w:val="24"/>
              </w:rPr>
              <w:t>2019</w:t>
            </w:r>
            <w:r w:rsidRPr="00EA004B">
              <w:rPr>
                <w:rFonts w:ascii="Arial" w:hAnsi="Arial" w:cs="Arial"/>
                <w:sz w:val="24"/>
                <w:szCs w:val="24"/>
              </w:rPr>
              <w:t xml:space="preserve">, no Trustee received any emoluments from the Trust.  Incidental travelling costs of </w:t>
            </w:r>
            <w:r w:rsidRPr="00327868">
              <w:rPr>
                <w:rFonts w:ascii="Arial" w:hAnsi="Arial" w:cs="Arial"/>
                <w:sz w:val="24"/>
                <w:szCs w:val="24"/>
              </w:rPr>
              <w:t>£</w:t>
            </w:r>
            <w:r w:rsidR="00327868" w:rsidRPr="00327868">
              <w:rPr>
                <w:rFonts w:ascii="Arial" w:hAnsi="Arial" w:cs="Arial"/>
                <w:sz w:val="24"/>
                <w:szCs w:val="24"/>
              </w:rPr>
              <w:t>964</w:t>
            </w:r>
            <w:r w:rsidRPr="00EA004B">
              <w:rPr>
                <w:rFonts w:ascii="Arial" w:hAnsi="Arial" w:cs="Arial"/>
                <w:sz w:val="24"/>
                <w:szCs w:val="24"/>
              </w:rPr>
              <w:t xml:space="preserve"> (</w:t>
            </w:r>
            <w:r w:rsidR="0037645F">
              <w:rPr>
                <w:rFonts w:ascii="Arial" w:hAnsi="Arial" w:cs="Arial"/>
                <w:sz w:val="24"/>
                <w:szCs w:val="24"/>
              </w:rPr>
              <w:t>2019</w:t>
            </w:r>
            <w:r w:rsidRPr="00EA004B">
              <w:rPr>
                <w:rFonts w:ascii="Arial" w:hAnsi="Arial" w:cs="Arial"/>
                <w:sz w:val="24"/>
                <w:szCs w:val="24"/>
              </w:rPr>
              <w:t>: £</w:t>
            </w:r>
            <w:r w:rsidR="00F07478" w:rsidRPr="00EA004B">
              <w:rPr>
                <w:rFonts w:ascii="Arial" w:hAnsi="Arial" w:cs="Arial"/>
                <w:sz w:val="24"/>
                <w:szCs w:val="24"/>
              </w:rPr>
              <w:t>8,084</w:t>
            </w:r>
            <w:r w:rsidRPr="00EA004B">
              <w:rPr>
                <w:rFonts w:ascii="Arial" w:hAnsi="Arial" w:cs="Arial"/>
                <w:sz w:val="24"/>
                <w:szCs w:val="24"/>
              </w:rPr>
              <w:t xml:space="preserve">) were reimbursed, or paid on behalf of </w:t>
            </w:r>
            <w:r w:rsidRPr="00327868">
              <w:rPr>
                <w:rFonts w:ascii="Arial" w:hAnsi="Arial" w:cs="Arial"/>
                <w:sz w:val="24"/>
                <w:szCs w:val="24"/>
              </w:rPr>
              <w:t>9</w:t>
            </w:r>
            <w:r w:rsidRPr="00EA004B">
              <w:rPr>
                <w:rFonts w:ascii="Arial" w:hAnsi="Arial" w:cs="Arial"/>
                <w:sz w:val="24"/>
                <w:szCs w:val="24"/>
              </w:rPr>
              <w:t xml:space="preserve"> (</w:t>
            </w:r>
            <w:r w:rsidR="0037645F">
              <w:rPr>
                <w:rFonts w:ascii="Arial" w:hAnsi="Arial" w:cs="Arial"/>
                <w:sz w:val="24"/>
                <w:szCs w:val="24"/>
              </w:rPr>
              <w:t>2019</w:t>
            </w:r>
            <w:r w:rsidRPr="00EA004B">
              <w:rPr>
                <w:rFonts w:ascii="Arial" w:hAnsi="Arial" w:cs="Arial"/>
                <w:sz w:val="24"/>
                <w:szCs w:val="24"/>
              </w:rPr>
              <w:t>: 9) Trustees by the Trust.</w:t>
            </w:r>
          </w:p>
        </w:tc>
      </w:tr>
      <w:tr w:rsidR="00190D85" w:rsidRPr="00EE0867" w14:paraId="4751D515" w14:textId="77777777" w:rsidTr="00454D0E">
        <w:trPr>
          <w:trHeight w:val="645"/>
        </w:trPr>
        <w:tc>
          <w:tcPr>
            <w:tcW w:w="8908" w:type="dxa"/>
            <w:gridSpan w:val="6"/>
            <w:tcBorders>
              <w:top w:val="nil"/>
              <w:left w:val="nil"/>
              <w:bottom w:val="nil"/>
              <w:right w:val="nil"/>
            </w:tcBorders>
            <w:shd w:val="clear" w:color="auto" w:fill="auto"/>
            <w:hideMark/>
          </w:tcPr>
          <w:p w14:paraId="2C475342" w14:textId="77777777" w:rsidR="00190D85" w:rsidRPr="00EA004B" w:rsidRDefault="006674F4" w:rsidP="00230F0E">
            <w:pPr>
              <w:pStyle w:val="ListParagraph"/>
              <w:numPr>
                <w:ilvl w:val="0"/>
                <w:numId w:val="9"/>
              </w:numPr>
              <w:jc w:val="both"/>
              <w:rPr>
                <w:rFonts w:ascii="Arial" w:hAnsi="Arial" w:cs="Arial"/>
                <w:sz w:val="24"/>
                <w:szCs w:val="24"/>
              </w:rPr>
            </w:pPr>
            <w:r w:rsidRPr="00EA004B">
              <w:rPr>
                <w:rFonts w:ascii="Arial" w:hAnsi="Arial" w:cs="Arial"/>
                <w:sz w:val="24"/>
                <w:szCs w:val="24"/>
              </w:rPr>
              <w:t>T</w:t>
            </w:r>
            <w:r w:rsidR="00190D85" w:rsidRPr="00EA004B">
              <w:rPr>
                <w:rFonts w:ascii="Arial" w:hAnsi="Arial" w:cs="Arial"/>
                <w:sz w:val="24"/>
                <w:szCs w:val="24"/>
              </w:rPr>
              <w:t>he ‘d</w:t>
            </w:r>
            <w:r w:rsidR="000F1649">
              <w:rPr>
                <w:rFonts w:ascii="Arial" w:hAnsi="Arial" w:cs="Arial"/>
                <w:sz w:val="24"/>
                <w:szCs w:val="24"/>
              </w:rPr>
              <w:t>irectorships’ outlined on page 2</w:t>
            </w:r>
            <w:r w:rsidR="00230F0E">
              <w:rPr>
                <w:rFonts w:ascii="Arial" w:hAnsi="Arial" w:cs="Arial"/>
                <w:sz w:val="24"/>
                <w:szCs w:val="24"/>
              </w:rPr>
              <w:t>6</w:t>
            </w:r>
            <w:r w:rsidR="00190D85" w:rsidRPr="00EA004B">
              <w:rPr>
                <w:rFonts w:ascii="Arial" w:hAnsi="Arial" w:cs="Arial"/>
                <w:sz w:val="24"/>
                <w:szCs w:val="24"/>
              </w:rPr>
              <w:t xml:space="preserve"> of these financial statements in respect of senior executives are nominal titles and accordingly no disclosure of ‘directors’ emoluments are included in these financial statements.</w:t>
            </w:r>
          </w:p>
        </w:tc>
      </w:tr>
      <w:tr w:rsidR="00190D85" w:rsidRPr="00EE0867" w14:paraId="24638C1B" w14:textId="77777777" w:rsidTr="00454D0E">
        <w:trPr>
          <w:trHeight w:val="840"/>
        </w:trPr>
        <w:tc>
          <w:tcPr>
            <w:tcW w:w="8908" w:type="dxa"/>
            <w:gridSpan w:val="6"/>
            <w:tcBorders>
              <w:top w:val="nil"/>
              <w:left w:val="nil"/>
              <w:bottom w:val="nil"/>
              <w:right w:val="nil"/>
            </w:tcBorders>
            <w:shd w:val="clear" w:color="auto" w:fill="auto"/>
            <w:hideMark/>
          </w:tcPr>
          <w:p w14:paraId="29686125" w14:textId="77777777" w:rsidR="00190D85" w:rsidRPr="00EA004B" w:rsidRDefault="006674F4" w:rsidP="004A10B6">
            <w:pPr>
              <w:pStyle w:val="ListParagraph"/>
              <w:numPr>
                <w:ilvl w:val="0"/>
                <w:numId w:val="9"/>
              </w:numPr>
              <w:jc w:val="both"/>
              <w:rPr>
                <w:rFonts w:ascii="Arial" w:hAnsi="Arial" w:cs="Arial"/>
                <w:sz w:val="24"/>
                <w:szCs w:val="24"/>
              </w:rPr>
            </w:pPr>
            <w:r w:rsidRPr="00EA004B">
              <w:rPr>
                <w:rFonts w:ascii="Arial" w:hAnsi="Arial" w:cs="Arial"/>
                <w:sz w:val="24"/>
                <w:szCs w:val="24"/>
              </w:rPr>
              <w:t>I</w:t>
            </w:r>
            <w:r w:rsidR="00190D85" w:rsidRPr="00EA004B">
              <w:rPr>
                <w:rFonts w:ascii="Arial" w:hAnsi="Arial" w:cs="Arial"/>
                <w:sz w:val="24"/>
                <w:szCs w:val="24"/>
              </w:rPr>
              <w:t>ncluded within the support costs is the amount of £</w:t>
            </w:r>
            <w:r w:rsidR="00327868">
              <w:rPr>
                <w:rFonts w:ascii="Arial" w:hAnsi="Arial" w:cs="Arial"/>
                <w:sz w:val="24"/>
                <w:szCs w:val="24"/>
              </w:rPr>
              <w:t>9,385</w:t>
            </w:r>
            <w:r w:rsidR="00004D5F">
              <w:rPr>
                <w:rFonts w:ascii="Arial" w:hAnsi="Arial" w:cs="Arial"/>
                <w:sz w:val="24"/>
                <w:szCs w:val="24"/>
              </w:rPr>
              <w:t xml:space="preserve"> </w:t>
            </w:r>
            <w:r w:rsidR="00190D85" w:rsidRPr="00EA004B">
              <w:rPr>
                <w:rFonts w:ascii="Arial" w:hAnsi="Arial" w:cs="Arial"/>
                <w:sz w:val="24"/>
                <w:szCs w:val="24"/>
              </w:rPr>
              <w:t xml:space="preserve"> (</w:t>
            </w:r>
            <w:r w:rsidR="0037645F">
              <w:rPr>
                <w:rFonts w:ascii="Arial" w:hAnsi="Arial" w:cs="Arial"/>
                <w:sz w:val="24"/>
                <w:szCs w:val="24"/>
              </w:rPr>
              <w:t>2019</w:t>
            </w:r>
            <w:r w:rsidR="00190D85" w:rsidRPr="00EA004B">
              <w:rPr>
                <w:rFonts w:ascii="Arial" w:hAnsi="Arial" w:cs="Arial"/>
                <w:sz w:val="24"/>
                <w:szCs w:val="24"/>
              </w:rPr>
              <w:t>: £</w:t>
            </w:r>
            <w:r w:rsidR="00F07478" w:rsidRPr="00EA004B">
              <w:rPr>
                <w:rFonts w:ascii="Arial" w:hAnsi="Arial" w:cs="Arial"/>
                <w:sz w:val="24"/>
                <w:szCs w:val="24"/>
              </w:rPr>
              <w:t>10,000</w:t>
            </w:r>
            <w:r w:rsidR="00190D85" w:rsidRPr="00EA004B">
              <w:rPr>
                <w:rFonts w:ascii="Arial" w:hAnsi="Arial" w:cs="Arial"/>
                <w:sz w:val="24"/>
                <w:szCs w:val="24"/>
              </w:rPr>
              <w:t>) in respect of indemnity insurance which protects the Trust, up to an agreed limit, against loss arising from defaults of or neglect by its Trustees and officers.</w:t>
            </w:r>
          </w:p>
        </w:tc>
      </w:tr>
      <w:tr w:rsidR="00190D85" w:rsidRPr="00EE0867" w14:paraId="3402EAFD" w14:textId="77777777" w:rsidTr="00454D0E">
        <w:trPr>
          <w:trHeight w:val="645"/>
        </w:trPr>
        <w:tc>
          <w:tcPr>
            <w:tcW w:w="8908" w:type="dxa"/>
            <w:gridSpan w:val="6"/>
            <w:tcBorders>
              <w:top w:val="nil"/>
              <w:left w:val="nil"/>
              <w:bottom w:val="nil"/>
              <w:right w:val="nil"/>
            </w:tcBorders>
            <w:shd w:val="clear" w:color="auto" w:fill="auto"/>
            <w:hideMark/>
          </w:tcPr>
          <w:p w14:paraId="1A029C1C" w14:textId="77777777" w:rsidR="003D6479" w:rsidRPr="00161381" w:rsidRDefault="003D6479" w:rsidP="00161381">
            <w:pPr>
              <w:pStyle w:val="ListParagraph"/>
              <w:numPr>
                <w:ilvl w:val="0"/>
                <w:numId w:val="9"/>
              </w:numPr>
              <w:jc w:val="both"/>
              <w:rPr>
                <w:rFonts w:ascii="Arial" w:hAnsi="Arial" w:cs="Arial"/>
                <w:color w:val="000000"/>
                <w:sz w:val="24"/>
                <w:szCs w:val="24"/>
              </w:rPr>
            </w:pPr>
            <w:r w:rsidRPr="00161381">
              <w:rPr>
                <w:rFonts w:ascii="Arial" w:hAnsi="Arial" w:cs="Arial"/>
                <w:color w:val="000000"/>
                <w:sz w:val="24"/>
                <w:szCs w:val="24"/>
              </w:rPr>
              <w:t xml:space="preserve">The Key Management Personnel of the Group comprise the Trustees and the Executive Management Team as listed on page 13. The total amount of employee benefits (including employer pension contributions) received by key management personnel for their services to the Group was £1,509,478 (2018: £1,661,613) for the year </w:t>
            </w:r>
          </w:p>
          <w:p w14:paraId="712BAFC4" w14:textId="77777777" w:rsidR="00190D85" w:rsidRPr="00161381" w:rsidRDefault="00190D85" w:rsidP="00161381">
            <w:pPr>
              <w:jc w:val="both"/>
              <w:rPr>
                <w:rFonts w:ascii="Arial" w:hAnsi="Arial" w:cs="Arial"/>
                <w:sz w:val="24"/>
                <w:szCs w:val="24"/>
              </w:rPr>
            </w:pPr>
          </w:p>
        </w:tc>
      </w:tr>
    </w:tbl>
    <w:p w14:paraId="6EFDBE41" w14:textId="77777777" w:rsidR="00F04499" w:rsidRDefault="00F04499">
      <w:r>
        <w:br w:type="page"/>
      </w:r>
    </w:p>
    <w:tbl>
      <w:tblPr>
        <w:tblW w:w="9751" w:type="dxa"/>
        <w:tblLook w:val="04A0" w:firstRow="1" w:lastRow="0" w:firstColumn="1" w:lastColumn="0" w:noHBand="0" w:noVBand="1"/>
      </w:tblPr>
      <w:tblGrid>
        <w:gridCol w:w="9751"/>
      </w:tblGrid>
      <w:tr w:rsidR="00543D10" w:rsidRPr="00543D10" w14:paraId="3A8A1C75" w14:textId="77777777" w:rsidTr="00230F0E">
        <w:trPr>
          <w:trHeight w:val="840"/>
        </w:trPr>
        <w:tc>
          <w:tcPr>
            <w:tcW w:w="9751" w:type="dxa"/>
            <w:tcBorders>
              <w:top w:val="nil"/>
              <w:left w:val="nil"/>
              <w:bottom w:val="nil"/>
              <w:right w:val="nil"/>
            </w:tcBorders>
            <w:shd w:val="clear" w:color="auto" w:fill="auto"/>
            <w:hideMark/>
          </w:tcPr>
          <w:tbl>
            <w:tblPr>
              <w:tblW w:w="9272" w:type="dxa"/>
              <w:jc w:val="center"/>
              <w:tblLook w:val="04A0" w:firstRow="1" w:lastRow="0" w:firstColumn="1" w:lastColumn="0" w:noHBand="0" w:noVBand="1"/>
            </w:tblPr>
            <w:tblGrid>
              <w:gridCol w:w="3781"/>
              <w:gridCol w:w="287"/>
              <w:gridCol w:w="224"/>
              <w:gridCol w:w="229"/>
              <w:gridCol w:w="652"/>
              <w:gridCol w:w="398"/>
              <w:gridCol w:w="1082"/>
              <w:gridCol w:w="289"/>
              <w:gridCol w:w="983"/>
              <w:gridCol w:w="307"/>
              <w:gridCol w:w="764"/>
              <w:gridCol w:w="276"/>
            </w:tblGrid>
            <w:tr w:rsidR="00543D10" w:rsidRPr="00047E5C" w14:paraId="771683D0" w14:textId="77777777" w:rsidTr="0021571F">
              <w:trPr>
                <w:trHeight w:val="325"/>
                <w:jc w:val="center"/>
              </w:trPr>
              <w:tc>
                <w:tcPr>
                  <w:tcW w:w="9272" w:type="dxa"/>
                  <w:gridSpan w:val="12"/>
                  <w:tcBorders>
                    <w:top w:val="nil"/>
                    <w:left w:val="nil"/>
                    <w:bottom w:val="nil"/>
                  </w:tcBorders>
                  <w:shd w:val="clear" w:color="auto" w:fill="auto"/>
                  <w:noWrap/>
                  <w:vAlign w:val="center"/>
                </w:tcPr>
                <w:p w14:paraId="1778B55B" w14:textId="77777777" w:rsidR="006C07DD" w:rsidRDefault="006C07DD" w:rsidP="006C07DD">
                  <w:pPr>
                    <w:spacing w:after="0" w:line="240" w:lineRule="auto"/>
                    <w:rPr>
                      <w:rFonts w:ascii="Arial" w:hAnsi="Arial" w:cs="Arial"/>
                      <w:b/>
                      <w:i/>
                      <w:sz w:val="24"/>
                      <w:szCs w:val="24"/>
                    </w:rPr>
                  </w:pPr>
                  <w:r w:rsidRPr="0088736E">
                    <w:rPr>
                      <w:rFonts w:ascii="Arial" w:hAnsi="Arial" w:cs="Arial"/>
                      <w:b/>
                      <w:i/>
                      <w:sz w:val="24"/>
                      <w:szCs w:val="24"/>
                    </w:rPr>
                    <w:lastRenderedPageBreak/>
                    <w:t xml:space="preserve">Notes to the financial </w:t>
                  </w:r>
                  <w:r>
                    <w:rPr>
                      <w:rFonts w:ascii="Arial" w:hAnsi="Arial" w:cs="Arial"/>
                      <w:b/>
                      <w:i/>
                      <w:sz w:val="24"/>
                      <w:szCs w:val="24"/>
                    </w:rPr>
                    <w:t>statements</w:t>
                  </w:r>
                  <w:r w:rsidRPr="0088736E">
                    <w:rPr>
                      <w:rFonts w:ascii="Arial" w:hAnsi="Arial" w:cs="Arial"/>
                      <w:b/>
                      <w:i/>
                      <w:sz w:val="24"/>
                      <w:szCs w:val="24"/>
                    </w:rPr>
                    <w:t xml:space="preserve"> (continued)</w:t>
                  </w:r>
                </w:p>
                <w:p w14:paraId="0CD233B6" w14:textId="77777777" w:rsidR="004B18B9" w:rsidRPr="00047E5C" w:rsidRDefault="00665BC7" w:rsidP="00665BC7">
                  <w:pPr>
                    <w:spacing w:after="0" w:line="240" w:lineRule="auto"/>
                    <w:rPr>
                      <w:rFonts w:ascii="Arial" w:eastAsia="Times New Roman" w:hAnsi="Arial" w:cs="Arial"/>
                      <w:lang w:eastAsia="en-GB"/>
                    </w:rPr>
                  </w:pPr>
                  <w:r w:rsidRPr="00047E5C">
                    <w:rPr>
                      <w:rFonts w:ascii="Arial" w:eastAsia="Times New Roman" w:hAnsi="Arial" w:cs="Arial"/>
                      <w:lang w:eastAsia="en-GB"/>
                    </w:rPr>
                    <w:t xml:space="preserve"> </w:t>
                  </w:r>
                </w:p>
              </w:tc>
            </w:tr>
            <w:tr w:rsidR="00543D10" w:rsidRPr="00047E5C" w14:paraId="187FF07A" w14:textId="77777777" w:rsidTr="0021571F">
              <w:trPr>
                <w:trHeight w:val="325"/>
                <w:jc w:val="center"/>
              </w:trPr>
              <w:tc>
                <w:tcPr>
                  <w:tcW w:w="4292" w:type="dxa"/>
                  <w:gridSpan w:val="3"/>
                  <w:tcBorders>
                    <w:top w:val="nil"/>
                    <w:left w:val="nil"/>
                    <w:bottom w:val="nil"/>
                    <w:right w:val="nil"/>
                  </w:tcBorders>
                  <w:shd w:val="clear" w:color="auto" w:fill="auto"/>
                  <w:noWrap/>
                  <w:vAlign w:val="center"/>
                  <w:hideMark/>
                </w:tcPr>
                <w:p w14:paraId="35CBB355" w14:textId="77777777" w:rsidR="00190D85" w:rsidRPr="00047E5C" w:rsidRDefault="00BE0959" w:rsidP="001F6984">
                  <w:pPr>
                    <w:spacing w:after="0" w:line="240" w:lineRule="auto"/>
                    <w:rPr>
                      <w:rFonts w:ascii="Arial" w:eastAsia="Times New Roman" w:hAnsi="Arial" w:cs="Arial"/>
                      <w:b/>
                      <w:bCs/>
                      <w:lang w:eastAsia="en-GB"/>
                    </w:rPr>
                  </w:pPr>
                  <w:r w:rsidRPr="00047E5C">
                    <w:rPr>
                      <w:rFonts w:ascii="Arial" w:eastAsia="Times New Roman" w:hAnsi="Arial" w:cs="Arial"/>
                      <w:b/>
                      <w:bCs/>
                      <w:lang w:eastAsia="en-GB"/>
                    </w:rPr>
                    <w:t>7</w:t>
                  </w:r>
                  <w:r w:rsidR="00190D85" w:rsidRPr="00047E5C">
                    <w:rPr>
                      <w:rFonts w:ascii="Arial" w:eastAsia="Times New Roman" w:hAnsi="Arial" w:cs="Arial"/>
                      <w:b/>
                      <w:bCs/>
                      <w:lang w:eastAsia="en-GB"/>
                    </w:rPr>
                    <w:t>. Intangible Assets</w:t>
                  </w:r>
                </w:p>
              </w:tc>
              <w:tc>
                <w:tcPr>
                  <w:tcW w:w="229" w:type="dxa"/>
                  <w:tcBorders>
                    <w:top w:val="nil"/>
                    <w:left w:val="nil"/>
                    <w:bottom w:val="nil"/>
                    <w:right w:val="nil"/>
                  </w:tcBorders>
                  <w:shd w:val="clear" w:color="auto" w:fill="auto"/>
                  <w:noWrap/>
                  <w:vAlign w:val="bottom"/>
                  <w:hideMark/>
                </w:tcPr>
                <w:p w14:paraId="62AB8597" w14:textId="77777777" w:rsidR="00190D85" w:rsidRPr="00047E5C" w:rsidRDefault="00190D85" w:rsidP="001F6984">
                  <w:pPr>
                    <w:spacing w:after="0" w:line="240" w:lineRule="auto"/>
                    <w:rPr>
                      <w:rFonts w:ascii="Arial" w:eastAsia="Times New Roman" w:hAnsi="Arial" w:cs="Arial"/>
                      <w:b/>
                      <w:bCs/>
                      <w:lang w:eastAsia="en-GB"/>
                    </w:rPr>
                  </w:pPr>
                </w:p>
              </w:tc>
              <w:tc>
                <w:tcPr>
                  <w:tcW w:w="1050" w:type="dxa"/>
                  <w:gridSpan w:val="2"/>
                  <w:tcBorders>
                    <w:top w:val="nil"/>
                    <w:left w:val="nil"/>
                    <w:bottom w:val="nil"/>
                    <w:right w:val="nil"/>
                  </w:tcBorders>
                  <w:shd w:val="clear" w:color="auto" w:fill="auto"/>
                  <w:noWrap/>
                  <w:vAlign w:val="bottom"/>
                  <w:hideMark/>
                </w:tcPr>
                <w:p w14:paraId="6930D728" w14:textId="77777777" w:rsidR="00190D85" w:rsidRPr="00047E5C" w:rsidRDefault="00190D85" w:rsidP="001F6984">
                  <w:pPr>
                    <w:spacing w:after="0" w:line="240" w:lineRule="auto"/>
                    <w:rPr>
                      <w:rFonts w:ascii="Arial" w:eastAsia="Times New Roman" w:hAnsi="Arial" w:cs="Arial"/>
                      <w:lang w:eastAsia="en-GB"/>
                    </w:rPr>
                  </w:pPr>
                </w:p>
              </w:tc>
              <w:tc>
                <w:tcPr>
                  <w:tcW w:w="1371" w:type="dxa"/>
                  <w:gridSpan w:val="2"/>
                  <w:tcBorders>
                    <w:top w:val="nil"/>
                    <w:left w:val="nil"/>
                    <w:bottom w:val="nil"/>
                    <w:right w:val="nil"/>
                  </w:tcBorders>
                  <w:shd w:val="clear" w:color="auto" w:fill="auto"/>
                  <w:noWrap/>
                  <w:vAlign w:val="bottom"/>
                  <w:hideMark/>
                </w:tcPr>
                <w:p w14:paraId="11BB098D" w14:textId="77777777" w:rsidR="00190D85" w:rsidRPr="00047E5C" w:rsidRDefault="00190D85" w:rsidP="001F6984">
                  <w:pPr>
                    <w:spacing w:after="0" w:line="240" w:lineRule="auto"/>
                    <w:rPr>
                      <w:rFonts w:ascii="Arial" w:eastAsia="Times New Roman" w:hAnsi="Arial" w:cs="Arial"/>
                      <w:lang w:eastAsia="en-GB"/>
                    </w:rPr>
                  </w:pPr>
                </w:p>
              </w:tc>
              <w:tc>
                <w:tcPr>
                  <w:tcW w:w="1290" w:type="dxa"/>
                  <w:gridSpan w:val="2"/>
                  <w:tcBorders>
                    <w:top w:val="nil"/>
                    <w:left w:val="nil"/>
                    <w:bottom w:val="nil"/>
                    <w:right w:val="nil"/>
                  </w:tcBorders>
                  <w:shd w:val="clear" w:color="auto" w:fill="auto"/>
                  <w:noWrap/>
                  <w:vAlign w:val="bottom"/>
                  <w:hideMark/>
                </w:tcPr>
                <w:p w14:paraId="4F6A2EE7" w14:textId="77777777" w:rsidR="00190D85" w:rsidRPr="00047E5C" w:rsidRDefault="00190D85" w:rsidP="001F6984">
                  <w:pPr>
                    <w:spacing w:after="0" w:line="240" w:lineRule="auto"/>
                    <w:rPr>
                      <w:rFonts w:ascii="Arial" w:eastAsia="Times New Roman" w:hAnsi="Arial" w:cs="Arial"/>
                      <w:lang w:eastAsia="en-GB"/>
                    </w:rPr>
                  </w:pPr>
                </w:p>
              </w:tc>
              <w:tc>
                <w:tcPr>
                  <w:tcW w:w="1037" w:type="dxa"/>
                  <w:gridSpan w:val="2"/>
                  <w:tcBorders>
                    <w:top w:val="nil"/>
                    <w:left w:val="nil"/>
                    <w:bottom w:val="nil"/>
                    <w:right w:val="nil"/>
                  </w:tcBorders>
                  <w:shd w:val="clear" w:color="auto" w:fill="auto"/>
                  <w:noWrap/>
                  <w:vAlign w:val="bottom"/>
                  <w:hideMark/>
                </w:tcPr>
                <w:p w14:paraId="3796351A" w14:textId="77777777" w:rsidR="00190D85" w:rsidRPr="00047E5C" w:rsidRDefault="00190D85" w:rsidP="001F6984">
                  <w:pPr>
                    <w:spacing w:after="0" w:line="240" w:lineRule="auto"/>
                    <w:rPr>
                      <w:rFonts w:ascii="Arial" w:eastAsia="Times New Roman" w:hAnsi="Arial" w:cs="Arial"/>
                      <w:lang w:eastAsia="en-GB"/>
                    </w:rPr>
                  </w:pPr>
                </w:p>
              </w:tc>
            </w:tr>
            <w:tr w:rsidR="00543D10" w:rsidRPr="00047E5C" w14:paraId="615CE25B" w14:textId="77777777" w:rsidTr="0021571F">
              <w:trPr>
                <w:trHeight w:val="325"/>
                <w:jc w:val="center"/>
              </w:trPr>
              <w:tc>
                <w:tcPr>
                  <w:tcW w:w="4292" w:type="dxa"/>
                  <w:gridSpan w:val="3"/>
                  <w:tcBorders>
                    <w:top w:val="nil"/>
                    <w:left w:val="nil"/>
                    <w:bottom w:val="nil"/>
                    <w:right w:val="nil"/>
                  </w:tcBorders>
                  <w:shd w:val="clear" w:color="auto" w:fill="auto"/>
                  <w:noWrap/>
                  <w:vAlign w:val="bottom"/>
                  <w:hideMark/>
                </w:tcPr>
                <w:p w14:paraId="7F393D7A" w14:textId="77777777" w:rsidR="00190D85" w:rsidRPr="00047E5C" w:rsidRDefault="00190D85" w:rsidP="001F6984">
                  <w:pPr>
                    <w:spacing w:after="0" w:line="240" w:lineRule="auto"/>
                    <w:rPr>
                      <w:rFonts w:ascii="Arial" w:eastAsia="Times New Roman" w:hAnsi="Arial" w:cs="Arial"/>
                      <w:lang w:eastAsia="en-GB"/>
                    </w:rPr>
                  </w:pPr>
                </w:p>
              </w:tc>
              <w:tc>
                <w:tcPr>
                  <w:tcW w:w="229" w:type="dxa"/>
                  <w:tcBorders>
                    <w:top w:val="nil"/>
                    <w:left w:val="nil"/>
                    <w:bottom w:val="nil"/>
                    <w:right w:val="nil"/>
                  </w:tcBorders>
                  <w:shd w:val="clear" w:color="auto" w:fill="auto"/>
                  <w:noWrap/>
                  <w:vAlign w:val="bottom"/>
                  <w:hideMark/>
                </w:tcPr>
                <w:p w14:paraId="51F86442" w14:textId="77777777" w:rsidR="00190D85" w:rsidRPr="00047E5C" w:rsidRDefault="00190D85" w:rsidP="001F6984">
                  <w:pPr>
                    <w:spacing w:after="0" w:line="240" w:lineRule="auto"/>
                    <w:rPr>
                      <w:rFonts w:ascii="Arial" w:eastAsia="Times New Roman" w:hAnsi="Arial" w:cs="Arial"/>
                      <w:lang w:eastAsia="en-GB"/>
                    </w:rPr>
                  </w:pPr>
                </w:p>
              </w:tc>
              <w:tc>
                <w:tcPr>
                  <w:tcW w:w="1050" w:type="dxa"/>
                  <w:gridSpan w:val="2"/>
                  <w:tcBorders>
                    <w:top w:val="nil"/>
                    <w:left w:val="nil"/>
                    <w:bottom w:val="nil"/>
                    <w:right w:val="nil"/>
                  </w:tcBorders>
                  <w:shd w:val="clear" w:color="auto" w:fill="auto"/>
                  <w:noWrap/>
                  <w:vAlign w:val="bottom"/>
                  <w:hideMark/>
                </w:tcPr>
                <w:p w14:paraId="412B2A64" w14:textId="77777777" w:rsidR="00190D85" w:rsidRPr="00047E5C" w:rsidRDefault="00190D85" w:rsidP="001F6984">
                  <w:pPr>
                    <w:spacing w:after="0" w:line="240" w:lineRule="auto"/>
                    <w:rPr>
                      <w:rFonts w:ascii="Arial" w:eastAsia="Times New Roman" w:hAnsi="Arial" w:cs="Arial"/>
                      <w:lang w:eastAsia="en-GB"/>
                    </w:rPr>
                  </w:pPr>
                </w:p>
              </w:tc>
              <w:tc>
                <w:tcPr>
                  <w:tcW w:w="1371" w:type="dxa"/>
                  <w:gridSpan w:val="2"/>
                  <w:tcBorders>
                    <w:top w:val="nil"/>
                    <w:left w:val="nil"/>
                    <w:bottom w:val="nil"/>
                    <w:right w:val="nil"/>
                  </w:tcBorders>
                  <w:shd w:val="clear" w:color="auto" w:fill="auto"/>
                  <w:noWrap/>
                  <w:vAlign w:val="bottom"/>
                  <w:hideMark/>
                </w:tcPr>
                <w:p w14:paraId="3006262E" w14:textId="77777777" w:rsidR="00190D85" w:rsidRPr="00047E5C" w:rsidRDefault="00190D85" w:rsidP="001F6984">
                  <w:pPr>
                    <w:spacing w:after="0" w:line="240" w:lineRule="auto"/>
                    <w:rPr>
                      <w:rFonts w:ascii="Arial" w:eastAsia="Times New Roman" w:hAnsi="Arial" w:cs="Arial"/>
                      <w:lang w:eastAsia="en-GB"/>
                    </w:rPr>
                  </w:pPr>
                </w:p>
              </w:tc>
              <w:tc>
                <w:tcPr>
                  <w:tcW w:w="1290" w:type="dxa"/>
                  <w:gridSpan w:val="2"/>
                  <w:tcBorders>
                    <w:top w:val="nil"/>
                    <w:left w:val="nil"/>
                    <w:bottom w:val="nil"/>
                    <w:right w:val="nil"/>
                  </w:tcBorders>
                  <w:shd w:val="clear" w:color="auto" w:fill="auto"/>
                  <w:noWrap/>
                  <w:vAlign w:val="bottom"/>
                  <w:hideMark/>
                </w:tcPr>
                <w:p w14:paraId="76F3831B" w14:textId="77777777" w:rsidR="00190D85" w:rsidRPr="00047E5C" w:rsidRDefault="00190D85" w:rsidP="001F6984">
                  <w:pPr>
                    <w:spacing w:after="0" w:line="240" w:lineRule="auto"/>
                    <w:rPr>
                      <w:rFonts w:ascii="Arial" w:eastAsia="Times New Roman" w:hAnsi="Arial" w:cs="Arial"/>
                      <w:lang w:eastAsia="en-GB"/>
                    </w:rPr>
                  </w:pPr>
                </w:p>
              </w:tc>
              <w:tc>
                <w:tcPr>
                  <w:tcW w:w="1037" w:type="dxa"/>
                  <w:gridSpan w:val="2"/>
                  <w:tcBorders>
                    <w:top w:val="nil"/>
                    <w:left w:val="nil"/>
                    <w:bottom w:val="nil"/>
                    <w:right w:val="nil"/>
                  </w:tcBorders>
                  <w:shd w:val="clear" w:color="auto" w:fill="auto"/>
                  <w:noWrap/>
                  <w:vAlign w:val="bottom"/>
                  <w:hideMark/>
                </w:tcPr>
                <w:p w14:paraId="76F99F30" w14:textId="77777777" w:rsidR="00190D85" w:rsidRPr="00047E5C" w:rsidRDefault="00190D85" w:rsidP="001F6984">
                  <w:pPr>
                    <w:spacing w:after="0" w:line="240" w:lineRule="auto"/>
                    <w:rPr>
                      <w:rFonts w:ascii="Arial" w:eastAsia="Times New Roman" w:hAnsi="Arial" w:cs="Arial"/>
                      <w:lang w:eastAsia="en-GB"/>
                    </w:rPr>
                  </w:pPr>
                </w:p>
              </w:tc>
            </w:tr>
            <w:tr w:rsidR="00543D10" w:rsidRPr="00047E5C" w14:paraId="0C35A9A6" w14:textId="77777777" w:rsidTr="0021571F">
              <w:trPr>
                <w:gridAfter w:val="1"/>
                <w:wAfter w:w="276" w:type="dxa"/>
                <w:trHeight w:val="770"/>
                <w:jc w:val="center"/>
              </w:trPr>
              <w:tc>
                <w:tcPr>
                  <w:tcW w:w="3781" w:type="dxa"/>
                  <w:tcBorders>
                    <w:top w:val="single" w:sz="4" w:space="0" w:color="auto"/>
                    <w:left w:val="nil"/>
                    <w:bottom w:val="nil"/>
                    <w:right w:val="nil"/>
                  </w:tcBorders>
                  <w:shd w:val="clear" w:color="auto" w:fill="auto"/>
                  <w:hideMark/>
                </w:tcPr>
                <w:p w14:paraId="4364A8E1" w14:textId="77777777" w:rsidR="00190D85" w:rsidRPr="00047E5C" w:rsidRDefault="00190D85" w:rsidP="001F6984">
                  <w:pPr>
                    <w:spacing w:after="0" w:line="240" w:lineRule="auto"/>
                    <w:rPr>
                      <w:rFonts w:ascii="Arial" w:eastAsia="Times New Roman" w:hAnsi="Arial" w:cs="Arial"/>
                      <w:b/>
                      <w:bCs/>
                      <w:lang w:eastAsia="en-GB"/>
                    </w:rPr>
                  </w:pPr>
                  <w:r w:rsidRPr="00047E5C">
                    <w:rPr>
                      <w:rFonts w:ascii="Arial" w:eastAsia="Times New Roman" w:hAnsi="Arial" w:cs="Arial"/>
                      <w:b/>
                      <w:bCs/>
                      <w:lang w:eastAsia="en-GB"/>
                    </w:rPr>
                    <w:t>Group</w:t>
                  </w:r>
                </w:p>
              </w:tc>
              <w:tc>
                <w:tcPr>
                  <w:tcW w:w="287" w:type="dxa"/>
                  <w:tcBorders>
                    <w:top w:val="single" w:sz="4" w:space="0" w:color="auto"/>
                    <w:left w:val="nil"/>
                    <w:bottom w:val="nil"/>
                    <w:right w:val="nil"/>
                  </w:tcBorders>
                  <w:shd w:val="clear" w:color="auto" w:fill="auto"/>
                  <w:noWrap/>
                  <w:vAlign w:val="bottom"/>
                  <w:hideMark/>
                </w:tcPr>
                <w:p w14:paraId="07AFA831" w14:textId="77777777" w:rsidR="00190D85" w:rsidRPr="00047E5C" w:rsidRDefault="00190D85" w:rsidP="001F6984">
                  <w:pPr>
                    <w:spacing w:after="0" w:line="240" w:lineRule="auto"/>
                    <w:rPr>
                      <w:rFonts w:ascii="Arial" w:eastAsia="Times New Roman" w:hAnsi="Arial" w:cs="Arial"/>
                      <w:lang w:eastAsia="en-GB"/>
                    </w:rPr>
                  </w:pPr>
                  <w:r w:rsidRPr="00047E5C">
                    <w:rPr>
                      <w:rFonts w:ascii="Arial" w:eastAsia="Times New Roman" w:hAnsi="Arial" w:cs="Arial"/>
                      <w:lang w:eastAsia="en-GB"/>
                    </w:rPr>
                    <w:t> </w:t>
                  </w:r>
                </w:p>
              </w:tc>
              <w:tc>
                <w:tcPr>
                  <w:tcW w:w="1105" w:type="dxa"/>
                  <w:gridSpan w:val="3"/>
                  <w:tcBorders>
                    <w:top w:val="single" w:sz="4" w:space="0" w:color="auto"/>
                    <w:left w:val="nil"/>
                    <w:bottom w:val="nil"/>
                    <w:right w:val="nil"/>
                  </w:tcBorders>
                  <w:shd w:val="clear" w:color="auto" w:fill="auto"/>
                  <w:vAlign w:val="bottom"/>
                </w:tcPr>
                <w:p w14:paraId="78D41B37" w14:textId="77777777" w:rsidR="00190D85" w:rsidRPr="00047E5C" w:rsidRDefault="00190D85" w:rsidP="005B39D0">
                  <w:pPr>
                    <w:spacing w:after="0" w:line="240" w:lineRule="auto"/>
                    <w:jc w:val="right"/>
                    <w:rPr>
                      <w:rFonts w:ascii="Arial" w:eastAsia="Times New Roman" w:hAnsi="Arial" w:cs="Arial"/>
                      <w:lang w:eastAsia="en-GB"/>
                    </w:rPr>
                  </w:pPr>
                </w:p>
              </w:tc>
              <w:tc>
                <w:tcPr>
                  <w:tcW w:w="1480" w:type="dxa"/>
                  <w:gridSpan w:val="2"/>
                  <w:tcBorders>
                    <w:top w:val="single" w:sz="4" w:space="0" w:color="auto"/>
                    <w:left w:val="nil"/>
                    <w:bottom w:val="nil"/>
                    <w:right w:val="nil"/>
                  </w:tcBorders>
                  <w:shd w:val="clear" w:color="auto" w:fill="auto"/>
                  <w:hideMark/>
                </w:tcPr>
                <w:p w14:paraId="7C250EC1" w14:textId="77777777" w:rsidR="00190D85" w:rsidRPr="00047E5C" w:rsidRDefault="005A69DA" w:rsidP="005B39D0">
                  <w:pPr>
                    <w:spacing w:after="0" w:line="240" w:lineRule="auto"/>
                    <w:jc w:val="right"/>
                    <w:rPr>
                      <w:rFonts w:ascii="Arial" w:eastAsia="Times New Roman" w:hAnsi="Arial" w:cs="Arial"/>
                      <w:lang w:eastAsia="en-GB"/>
                    </w:rPr>
                  </w:pPr>
                  <w:r w:rsidRPr="00047E5C">
                    <w:rPr>
                      <w:rFonts w:ascii="Arial" w:eastAsia="Times New Roman" w:hAnsi="Arial" w:cs="Arial"/>
                      <w:lang w:eastAsia="en-GB"/>
                    </w:rPr>
                    <w:t>Goodwill</w:t>
                  </w:r>
                </w:p>
              </w:tc>
              <w:tc>
                <w:tcPr>
                  <w:tcW w:w="1272" w:type="dxa"/>
                  <w:gridSpan w:val="2"/>
                  <w:tcBorders>
                    <w:top w:val="single" w:sz="4" w:space="0" w:color="auto"/>
                    <w:left w:val="nil"/>
                    <w:bottom w:val="nil"/>
                    <w:right w:val="nil"/>
                  </w:tcBorders>
                  <w:shd w:val="clear" w:color="auto" w:fill="auto"/>
                  <w:hideMark/>
                </w:tcPr>
                <w:p w14:paraId="34B3F308" w14:textId="77777777" w:rsidR="00190D85" w:rsidRPr="00047E5C" w:rsidRDefault="00190D85" w:rsidP="005B39D0">
                  <w:pPr>
                    <w:spacing w:after="0" w:line="240" w:lineRule="auto"/>
                    <w:jc w:val="right"/>
                    <w:rPr>
                      <w:rFonts w:ascii="Arial" w:eastAsia="Times New Roman" w:hAnsi="Arial" w:cs="Arial"/>
                      <w:lang w:eastAsia="en-GB"/>
                    </w:rPr>
                  </w:pPr>
                  <w:r w:rsidRPr="00047E5C">
                    <w:rPr>
                      <w:rFonts w:ascii="Arial" w:eastAsia="Times New Roman" w:hAnsi="Arial" w:cs="Arial"/>
                      <w:lang w:eastAsia="en-GB"/>
                    </w:rPr>
                    <w:t>Computer software</w:t>
                  </w:r>
                </w:p>
              </w:tc>
              <w:tc>
                <w:tcPr>
                  <w:tcW w:w="1071" w:type="dxa"/>
                  <w:gridSpan w:val="2"/>
                  <w:tcBorders>
                    <w:top w:val="single" w:sz="4" w:space="0" w:color="auto"/>
                    <w:left w:val="nil"/>
                    <w:bottom w:val="nil"/>
                    <w:right w:val="nil"/>
                  </w:tcBorders>
                  <w:shd w:val="clear" w:color="auto" w:fill="auto"/>
                  <w:hideMark/>
                </w:tcPr>
                <w:p w14:paraId="767F498D" w14:textId="77777777" w:rsidR="00190D85" w:rsidRPr="00047E5C" w:rsidRDefault="00190D85" w:rsidP="005B39D0">
                  <w:pPr>
                    <w:spacing w:after="0" w:line="240" w:lineRule="auto"/>
                    <w:jc w:val="right"/>
                    <w:rPr>
                      <w:rFonts w:ascii="Arial" w:eastAsia="Times New Roman" w:hAnsi="Arial" w:cs="Arial"/>
                      <w:lang w:eastAsia="en-GB"/>
                    </w:rPr>
                  </w:pPr>
                  <w:r w:rsidRPr="00047E5C">
                    <w:rPr>
                      <w:rFonts w:ascii="Arial" w:eastAsia="Times New Roman" w:hAnsi="Arial" w:cs="Arial"/>
                      <w:lang w:eastAsia="en-GB"/>
                    </w:rPr>
                    <w:t>Total</w:t>
                  </w:r>
                </w:p>
              </w:tc>
            </w:tr>
            <w:tr w:rsidR="00543D10" w:rsidRPr="00047E5C" w14:paraId="1A82319A" w14:textId="77777777" w:rsidTr="0021571F">
              <w:trPr>
                <w:gridAfter w:val="1"/>
                <w:wAfter w:w="276" w:type="dxa"/>
                <w:trHeight w:val="325"/>
                <w:jc w:val="center"/>
              </w:trPr>
              <w:tc>
                <w:tcPr>
                  <w:tcW w:w="3781" w:type="dxa"/>
                  <w:tcBorders>
                    <w:top w:val="nil"/>
                    <w:left w:val="nil"/>
                    <w:bottom w:val="single" w:sz="4" w:space="0" w:color="auto"/>
                    <w:right w:val="nil"/>
                  </w:tcBorders>
                  <w:shd w:val="clear" w:color="auto" w:fill="auto"/>
                  <w:noWrap/>
                  <w:vAlign w:val="bottom"/>
                  <w:hideMark/>
                </w:tcPr>
                <w:p w14:paraId="01BA0FDD" w14:textId="77777777" w:rsidR="00190D85" w:rsidRPr="00047E5C" w:rsidRDefault="00190D85" w:rsidP="001F6984">
                  <w:pPr>
                    <w:spacing w:after="0" w:line="240" w:lineRule="auto"/>
                    <w:rPr>
                      <w:rFonts w:ascii="Arial" w:eastAsia="Times New Roman" w:hAnsi="Arial" w:cs="Arial"/>
                      <w:lang w:eastAsia="en-GB"/>
                    </w:rPr>
                  </w:pPr>
                  <w:r w:rsidRPr="00047E5C">
                    <w:rPr>
                      <w:rFonts w:ascii="Arial" w:eastAsia="Times New Roman" w:hAnsi="Arial" w:cs="Arial"/>
                      <w:lang w:eastAsia="en-GB"/>
                    </w:rPr>
                    <w:t> </w:t>
                  </w:r>
                </w:p>
              </w:tc>
              <w:tc>
                <w:tcPr>
                  <w:tcW w:w="287" w:type="dxa"/>
                  <w:tcBorders>
                    <w:top w:val="nil"/>
                    <w:left w:val="nil"/>
                    <w:bottom w:val="single" w:sz="4" w:space="0" w:color="auto"/>
                    <w:right w:val="nil"/>
                  </w:tcBorders>
                  <w:shd w:val="clear" w:color="auto" w:fill="auto"/>
                  <w:noWrap/>
                  <w:vAlign w:val="bottom"/>
                  <w:hideMark/>
                </w:tcPr>
                <w:p w14:paraId="59FF3A7F" w14:textId="77777777" w:rsidR="00190D85" w:rsidRPr="00047E5C" w:rsidRDefault="00190D85" w:rsidP="001F6984">
                  <w:pPr>
                    <w:spacing w:after="0" w:line="240" w:lineRule="auto"/>
                    <w:rPr>
                      <w:rFonts w:ascii="Arial" w:eastAsia="Times New Roman" w:hAnsi="Arial" w:cs="Arial"/>
                      <w:lang w:eastAsia="en-GB"/>
                    </w:rPr>
                  </w:pPr>
                  <w:r w:rsidRPr="00047E5C">
                    <w:rPr>
                      <w:rFonts w:ascii="Arial" w:eastAsia="Times New Roman" w:hAnsi="Arial" w:cs="Arial"/>
                      <w:lang w:eastAsia="en-GB"/>
                    </w:rPr>
                    <w:t> </w:t>
                  </w:r>
                </w:p>
              </w:tc>
              <w:tc>
                <w:tcPr>
                  <w:tcW w:w="1105" w:type="dxa"/>
                  <w:gridSpan w:val="3"/>
                  <w:tcBorders>
                    <w:top w:val="nil"/>
                    <w:left w:val="nil"/>
                    <w:bottom w:val="single" w:sz="4" w:space="0" w:color="auto"/>
                    <w:right w:val="nil"/>
                  </w:tcBorders>
                  <w:shd w:val="clear" w:color="auto" w:fill="auto"/>
                  <w:noWrap/>
                  <w:vAlign w:val="bottom"/>
                </w:tcPr>
                <w:p w14:paraId="2F73F03C" w14:textId="77777777" w:rsidR="00190D85" w:rsidRPr="00047E5C" w:rsidRDefault="00190D85" w:rsidP="005B39D0">
                  <w:pPr>
                    <w:spacing w:after="0" w:line="240" w:lineRule="auto"/>
                    <w:jc w:val="right"/>
                    <w:rPr>
                      <w:rFonts w:ascii="Arial" w:eastAsia="Times New Roman" w:hAnsi="Arial" w:cs="Arial"/>
                      <w:lang w:eastAsia="en-GB"/>
                    </w:rPr>
                  </w:pPr>
                </w:p>
              </w:tc>
              <w:tc>
                <w:tcPr>
                  <w:tcW w:w="1480" w:type="dxa"/>
                  <w:gridSpan w:val="2"/>
                  <w:tcBorders>
                    <w:top w:val="nil"/>
                    <w:left w:val="nil"/>
                    <w:bottom w:val="single" w:sz="4" w:space="0" w:color="auto"/>
                    <w:right w:val="nil"/>
                  </w:tcBorders>
                  <w:shd w:val="clear" w:color="auto" w:fill="auto"/>
                  <w:vAlign w:val="center"/>
                  <w:hideMark/>
                </w:tcPr>
                <w:p w14:paraId="0DD3ECF7" w14:textId="77777777" w:rsidR="00190D85" w:rsidRPr="00047E5C" w:rsidRDefault="00190D85" w:rsidP="005B39D0">
                  <w:pPr>
                    <w:spacing w:after="0" w:line="240" w:lineRule="auto"/>
                    <w:jc w:val="right"/>
                    <w:rPr>
                      <w:rFonts w:ascii="Arial" w:eastAsia="Times New Roman" w:hAnsi="Arial" w:cs="Arial"/>
                      <w:lang w:eastAsia="en-GB"/>
                    </w:rPr>
                  </w:pPr>
                  <w:r w:rsidRPr="00047E5C">
                    <w:rPr>
                      <w:rFonts w:ascii="Arial" w:eastAsia="Times New Roman" w:hAnsi="Arial" w:cs="Arial"/>
                      <w:lang w:eastAsia="en-GB"/>
                    </w:rPr>
                    <w:t>£'000</w:t>
                  </w:r>
                </w:p>
              </w:tc>
              <w:tc>
                <w:tcPr>
                  <w:tcW w:w="1272" w:type="dxa"/>
                  <w:gridSpan w:val="2"/>
                  <w:tcBorders>
                    <w:top w:val="nil"/>
                    <w:left w:val="nil"/>
                    <w:bottom w:val="single" w:sz="4" w:space="0" w:color="auto"/>
                    <w:right w:val="nil"/>
                  </w:tcBorders>
                  <w:shd w:val="clear" w:color="auto" w:fill="auto"/>
                  <w:vAlign w:val="center"/>
                  <w:hideMark/>
                </w:tcPr>
                <w:p w14:paraId="163677EE" w14:textId="77777777" w:rsidR="00190D85" w:rsidRPr="00047E5C" w:rsidRDefault="00190D85" w:rsidP="005B39D0">
                  <w:pPr>
                    <w:spacing w:after="0" w:line="240" w:lineRule="auto"/>
                    <w:jc w:val="right"/>
                    <w:rPr>
                      <w:rFonts w:ascii="Arial" w:eastAsia="Times New Roman" w:hAnsi="Arial" w:cs="Arial"/>
                      <w:lang w:eastAsia="en-GB"/>
                    </w:rPr>
                  </w:pPr>
                  <w:r w:rsidRPr="00047E5C">
                    <w:rPr>
                      <w:rFonts w:ascii="Arial" w:eastAsia="Times New Roman" w:hAnsi="Arial" w:cs="Arial"/>
                      <w:lang w:eastAsia="en-GB"/>
                    </w:rPr>
                    <w:t>£'000</w:t>
                  </w:r>
                </w:p>
              </w:tc>
              <w:tc>
                <w:tcPr>
                  <w:tcW w:w="1071" w:type="dxa"/>
                  <w:gridSpan w:val="2"/>
                  <w:tcBorders>
                    <w:top w:val="nil"/>
                    <w:left w:val="nil"/>
                    <w:bottom w:val="single" w:sz="4" w:space="0" w:color="auto"/>
                    <w:right w:val="nil"/>
                  </w:tcBorders>
                  <w:shd w:val="clear" w:color="auto" w:fill="auto"/>
                  <w:vAlign w:val="center"/>
                  <w:hideMark/>
                </w:tcPr>
                <w:p w14:paraId="42A3A1C7" w14:textId="77777777" w:rsidR="00190D85" w:rsidRPr="00047E5C" w:rsidRDefault="00190D85" w:rsidP="005B39D0">
                  <w:pPr>
                    <w:spacing w:after="0" w:line="240" w:lineRule="auto"/>
                    <w:jc w:val="right"/>
                    <w:rPr>
                      <w:rFonts w:ascii="Arial" w:eastAsia="Times New Roman" w:hAnsi="Arial" w:cs="Arial"/>
                      <w:lang w:eastAsia="en-GB"/>
                    </w:rPr>
                  </w:pPr>
                  <w:r w:rsidRPr="00047E5C">
                    <w:rPr>
                      <w:rFonts w:ascii="Arial" w:eastAsia="Times New Roman" w:hAnsi="Arial" w:cs="Arial"/>
                      <w:lang w:eastAsia="en-GB"/>
                    </w:rPr>
                    <w:t>£'000</w:t>
                  </w:r>
                </w:p>
              </w:tc>
            </w:tr>
            <w:tr w:rsidR="00543D10" w:rsidRPr="00047E5C" w14:paraId="563D3F60" w14:textId="77777777" w:rsidTr="0021571F">
              <w:trPr>
                <w:gridAfter w:val="1"/>
                <w:wAfter w:w="276" w:type="dxa"/>
                <w:trHeight w:val="325"/>
                <w:jc w:val="center"/>
              </w:trPr>
              <w:tc>
                <w:tcPr>
                  <w:tcW w:w="3781" w:type="dxa"/>
                  <w:tcBorders>
                    <w:top w:val="nil"/>
                    <w:left w:val="nil"/>
                    <w:bottom w:val="nil"/>
                    <w:right w:val="nil"/>
                  </w:tcBorders>
                  <w:shd w:val="clear" w:color="auto" w:fill="auto"/>
                  <w:noWrap/>
                  <w:vAlign w:val="center"/>
                  <w:hideMark/>
                </w:tcPr>
                <w:p w14:paraId="0FB5A06A" w14:textId="77777777" w:rsidR="00190D85" w:rsidRPr="00047E5C" w:rsidRDefault="00190D85" w:rsidP="001F6984">
                  <w:pPr>
                    <w:spacing w:after="0" w:line="240" w:lineRule="auto"/>
                    <w:rPr>
                      <w:rFonts w:ascii="Arial" w:eastAsia="Times New Roman" w:hAnsi="Arial" w:cs="Arial"/>
                      <w:b/>
                      <w:bCs/>
                      <w:lang w:eastAsia="en-GB"/>
                    </w:rPr>
                  </w:pPr>
                  <w:r w:rsidRPr="00047E5C">
                    <w:rPr>
                      <w:rFonts w:ascii="Arial" w:eastAsia="Times New Roman" w:hAnsi="Arial" w:cs="Arial"/>
                      <w:b/>
                      <w:bCs/>
                      <w:lang w:eastAsia="en-GB"/>
                    </w:rPr>
                    <w:t>Cost</w:t>
                  </w:r>
                </w:p>
              </w:tc>
              <w:tc>
                <w:tcPr>
                  <w:tcW w:w="287" w:type="dxa"/>
                  <w:tcBorders>
                    <w:top w:val="nil"/>
                    <w:left w:val="nil"/>
                    <w:bottom w:val="nil"/>
                    <w:right w:val="nil"/>
                  </w:tcBorders>
                  <w:shd w:val="clear" w:color="auto" w:fill="auto"/>
                  <w:noWrap/>
                  <w:vAlign w:val="bottom"/>
                  <w:hideMark/>
                </w:tcPr>
                <w:p w14:paraId="45D7B037" w14:textId="77777777" w:rsidR="00190D85" w:rsidRPr="00047E5C" w:rsidRDefault="00190D85" w:rsidP="001F6984">
                  <w:pPr>
                    <w:spacing w:after="0" w:line="240" w:lineRule="auto"/>
                    <w:rPr>
                      <w:rFonts w:ascii="Arial" w:eastAsia="Times New Roman" w:hAnsi="Arial" w:cs="Arial"/>
                      <w:b/>
                      <w:bCs/>
                      <w:lang w:eastAsia="en-GB"/>
                    </w:rPr>
                  </w:pPr>
                </w:p>
              </w:tc>
              <w:tc>
                <w:tcPr>
                  <w:tcW w:w="1105" w:type="dxa"/>
                  <w:gridSpan w:val="3"/>
                  <w:tcBorders>
                    <w:top w:val="nil"/>
                    <w:left w:val="nil"/>
                    <w:bottom w:val="nil"/>
                    <w:right w:val="nil"/>
                  </w:tcBorders>
                  <w:shd w:val="clear" w:color="auto" w:fill="auto"/>
                  <w:noWrap/>
                  <w:vAlign w:val="bottom"/>
                </w:tcPr>
                <w:p w14:paraId="7E90002C" w14:textId="77777777" w:rsidR="00190D85" w:rsidRPr="00047E5C" w:rsidRDefault="00190D85" w:rsidP="005B39D0">
                  <w:pPr>
                    <w:spacing w:after="0" w:line="240" w:lineRule="auto"/>
                    <w:jc w:val="right"/>
                    <w:rPr>
                      <w:rFonts w:ascii="Arial" w:eastAsia="Times New Roman" w:hAnsi="Arial" w:cs="Arial"/>
                      <w:lang w:eastAsia="en-GB"/>
                    </w:rPr>
                  </w:pPr>
                </w:p>
              </w:tc>
              <w:tc>
                <w:tcPr>
                  <w:tcW w:w="1480" w:type="dxa"/>
                  <w:gridSpan w:val="2"/>
                  <w:tcBorders>
                    <w:top w:val="nil"/>
                    <w:left w:val="nil"/>
                    <w:right w:val="nil"/>
                  </w:tcBorders>
                  <w:shd w:val="clear" w:color="auto" w:fill="auto"/>
                  <w:noWrap/>
                  <w:vAlign w:val="bottom"/>
                  <w:hideMark/>
                </w:tcPr>
                <w:p w14:paraId="7563A226" w14:textId="77777777" w:rsidR="00190D85" w:rsidRPr="00047E5C" w:rsidRDefault="00190D85" w:rsidP="005B39D0">
                  <w:pPr>
                    <w:spacing w:after="0" w:line="240" w:lineRule="auto"/>
                    <w:jc w:val="right"/>
                    <w:rPr>
                      <w:rFonts w:ascii="Arial" w:eastAsia="Times New Roman" w:hAnsi="Arial" w:cs="Arial"/>
                      <w:lang w:eastAsia="en-GB"/>
                    </w:rPr>
                  </w:pPr>
                </w:p>
              </w:tc>
              <w:tc>
                <w:tcPr>
                  <w:tcW w:w="1272" w:type="dxa"/>
                  <w:gridSpan w:val="2"/>
                  <w:tcBorders>
                    <w:top w:val="nil"/>
                    <w:left w:val="nil"/>
                    <w:right w:val="nil"/>
                  </w:tcBorders>
                  <w:shd w:val="clear" w:color="auto" w:fill="auto"/>
                  <w:noWrap/>
                  <w:vAlign w:val="bottom"/>
                  <w:hideMark/>
                </w:tcPr>
                <w:p w14:paraId="0A5089EA" w14:textId="77777777" w:rsidR="00190D85" w:rsidRPr="00047E5C" w:rsidRDefault="00190D85" w:rsidP="005B39D0">
                  <w:pPr>
                    <w:spacing w:after="0" w:line="240" w:lineRule="auto"/>
                    <w:jc w:val="right"/>
                    <w:rPr>
                      <w:rFonts w:ascii="Arial" w:eastAsia="Times New Roman" w:hAnsi="Arial" w:cs="Arial"/>
                      <w:lang w:eastAsia="en-GB"/>
                    </w:rPr>
                  </w:pPr>
                </w:p>
              </w:tc>
              <w:tc>
                <w:tcPr>
                  <w:tcW w:w="1071" w:type="dxa"/>
                  <w:gridSpan w:val="2"/>
                  <w:tcBorders>
                    <w:top w:val="nil"/>
                    <w:left w:val="nil"/>
                    <w:right w:val="nil"/>
                  </w:tcBorders>
                  <w:shd w:val="clear" w:color="auto" w:fill="auto"/>
                  <w:noWrap/>
                  <w:vAlign w:val="bottom"/>
                  <w:hideMark/>
                </w:tcPr>
                <w:p w14:paraId="4EC77E18" w14:textId="77777777" w:rsidR="00190D85" w:rsidRPr="00047E5C" w:rsidRDefault="00190D85" w:rsidP="005B39D0">
                  <w:pPr>
                    <w:spacing w:after="0" w:line="240" w:lineRule="auto"/>
                    <w:jc w:val="right"/>
                    <w:rPr>
                      <w:rFonts w:ascii="Arial" w:eastAsia="Times New Roman" w:hAnsi="Arial" w:cs="Arial"/>
                      <w:lang w:eastAsia="en-GB"/>
                    </w:rPr>
                  </w:pPr>
                </w:p>
              </w:tc>
            </w:tr>
            <w:tr w:rsidR="00F07478" w:rsidRPr="00047E5C" w14:paraId="31C8BA58" w14:textId="77777777" w:rsidTr="0021571F">
              <w:trPr>
                <w:gridAfter w:val="1"/>
                <w:wAfter w:w="276" w:type="dxa"/>
                <w:trHeight w:val="325"/>
                <w:jc w:val="center"/>
              </w:trPr>
              <w:tc>
                <w:tcPr>
                  <w:tcW w:w="3781" w:type="dxa"/>
                  <w:tcBorders>
                    <w:top w:val="nil"/>
                    <w:left w:val="nil"/>
                    <w:bottom w:val="nil"/>
                    <w:right w:val="nil"/>
                  </w:tcBorders>
                  <w:shd w:val="clear" w:color="auto" w:fill="auto"/>
                  <w:noWrap/>
                  <w:vAlign w:val="center"/>
                  <w:hideMark/>
                </w:tcPr>
                <w:p w14:paraId="06B52BDB" w14:textId="77777777" w:rsidR="00F07478" w:rsidRPr="00047E5C" w:rsidRDefault="00F07478" w:rsidP="00F07478">
                  <w:pPr>
                    <w:spacing w:after="0" w:line="240" w:lineRule="auto"/>
                    <w:rPr>
                      <w:rFonts w:ascii="Arial" w:eastAsia="Times New Roman" w:hAnsi="Arial" w:cs="Arial"/>
                      <w:lang w:eastAsia="en-GB"/>
                    </w:rPr>
                  </w:pPr>
                  <w:r w:rsidRPr="00047E5C">
                    <w:rPr>
                      <w:rFonts w:ascii="Arial" w:eastAsia="Times New Roman" w:hAnsi="Arial" w:cs="Arial"/>
                      <w:lang w:eastAsia="en-GB"/>
                    </w:rPr>
                    <w:t>At 1 September 2019</w:t>
                  </w:r>
                </w:p>
              </w:tc>
              <w:tc>
                <w:tcPr>
                  <w:tcW w:w="287" w:type="dxa"/>
                  <w:tcBorders>
                    <w:top w:val="nil"/>
                    <w:left w:val="nil"/>
                    <w:bottom w:val="nil"/>
                    <w:right w:val="nil"/>
                  </w:tcBorders>
                  <w:shd w:val="clear" w:color="auto" w:fill="auto"/>
                  <w:noWrap/>
                  <w:vAlign w:val="bottom"/>
                  <w:hideMark/>
                </w:tcPr>
                <w:p w14:paraId="6F602C33" w14:textId="77777777" w:rsidR="00F07478" w:rsidRPr="00047E5C" w:rsidRDefault="00F07478" w:rsidP="00F07478">
                  <w:pPr>
                    <w:spacing w:after="0" w:line="240" w:lineRule="auto"/>
                    <w:rPr>
                      <w:rFonts w:ascii="Arial" w:eastAsia="Times New Roman" w:hAnsi="Arial" w:cs="Arial"/>
                      <w:lang w:eastAsia="en-GB"/>
                    </w:rPr>
                  </w:pPr>
                </w:p>
              </w:tc>
              <w:tc>
                <w:tcPr>
                  <w:tcW w:w="1105" w:type="dxa"/>
                  <w:gridSpan w:val="3"/>
                  <w:tcBorders>
                    <w:top w:val="nil"/>
                    <w:left w:val="nil"/>
                    <w:bottom w:val="nil"/>
                    <w:right w:val="nil"/>
                  </w:tcBorders>
                  <w:shd w:val="clear" w:color="auto" w:fill="auto"/>
                  <w:noWrap/>
                  <w:vAlign w:val="center"/>
                </w:tcPr>
                <w:p w14:paraId="578C90D8" w14:textId="77777777" w:rsidR="00F07478" w:rsidRPr="00047E5C" w:rsidRDefault="00F07478" w:rsidP="00F07478">
                  <w:pPr>
                    <w:spacing w:after="0" w:line="240" w:lineRule="auto"/>
                    <w:jc w:val="right"/>
                    <w:rPr>
                      <w:rFonts w:ascii="Arial" w:eastAsia="Times New Roman" w:hAnsi="Arial" w:cs="Arial"/>
                      <w:lang w:eastAsia="en-GB"/>
                    </w:rPr>
                  </w:pPr>
                </w:p>
              </w:tc>
              <w:tc>
                <w:tcPr>
                  <w:tcW w:w="1480" w:type="dxa"/>
                  <w:gridSpan w:val="2"/>
                  <w:tcBorders>
                    <w:left w:val="nil"/>
                    <w:right w:val="nil"/>
                  </w:tcBorders>
                  <w:shd w:val="clear" w:color="auto" w:fill="auto"/>
                  <w:noWrap/>
                  <w:vAlign w:val="center"/>
                  <w:hideMark/>
                </w:tcPr>
                <w:p w14:paraId="469D9319" w14:textId="77777777" w:rsidR="00F07478" w:rsidRPr="00047E5C" w:rsidRDefault="00F07478" w:rsidP="00F07478">
                  <w:pPr>
                    <w:spacing w:after="0" w:line="240" w:lineRule="auto"/>
                    <w:jc w:val="right"/>
                    <w:rPr>
                      <w:rFonts w:ascii="Arial" w:eastAsia="Times New Roman" w:hAnsi="Arial" w:cs="Arial"/>
                      <w:lang w:eastAsia="en-GB"/>
                    </w:rPr>
                  </w:pPr>
                  <w:r w:rsidRPr="00047E5C">
                    <w:rPr>
                      <w:rFonts w:ascii="Arial" w:eastAsia="Times New Roman" w:hAnsi="Arial" w:cs="Arial"/>
                      <w:bCs/>
                      <w:lang w:eastAsia="en-GB"/>
                    </w:rPr>
                    <w:t>56,57</w:t>
                  </w:r>
                  <w:r w:rsidR="00211F2A" w:rsidRPr="00047E5C">
                    <w:rPr>
                      <w:rFonts w:ascii="Arial" w:eastAsia="Times New Roman" w:hAnsi="Arial" w:cs="Arial"/>
                      <w:bCs/>
                      <w:lang w:eastAsia="en-GB"/>
                    </w:rPr>
                    <w:t>5</w:t>
                  </w:r>
                </w:p>
              </w:tc>
              <w:tc>
                <w:tcPr>
                  <w:tcW w:w="1272" w:type="dxa"/>
                  <w:gridSpan w:val="2"/>
                  <w:tcBorders>
                    <w:left w:val="nil"/>
                    <w:right w:val="nil"/>
                  </w:tcBorders>
                  <w:shd w:val="clear" w:color="auto" w:fill="auto"/>
                  <w:noWrap/>
                  <w:vAlign w:val="center"/>
                  <w:hideMark/>
                </w:tcPr>
                <w:p w14:paraId="2620FDC0" w14:textId="77777777" w:rsidR="00F07478" w:rsidRPr="00047E5C" w:rsidRDefault="00F07478" w:rsidP="00F07478">
                  <w:pPr>
                    <w:spacing w:after="0" w:line="240" w:lineRule="auto"/>
                    <w:jc w:val="right"/>
                    <w:rPr>
                      <w:rFonts w:ascii="Arial" w:eastAsia="Times New Roman" w:hAnsi="Arial" w:cs="Arial"/>
                      <w:lang w:eastAsia="en-GB"/>
                    </w:rPr>
                  </w:pPr>
                  <w:r w:rsidRPr="00047E5C">
                    <w:rPr>
                      <w:rFonts w:ascii="Arial" w:eastAsia="Times New Roman" w:hAnsi="Arial" w:cs="Arial"/>
                      <w:bCs/>
                      <w:lang w:eastAsia="en-GB"/>
                    </w:rPr>
                    <w:t>8,031</w:t>
                  </w:r>
                </w:p>
              </w:tc>
              <w:tc>
                <w:tcPr>
                  <w:tcW w:w="1071" w:type="dxa"/>
                  <w:gridSpan w:val="2"/>
                  <w:tcBorders>
                    <w:left w:val="nil"/>
                    <w:right w:val="nil"/>
                  </w:tcBorders>
                  <w:shd w:val="clear" w:color="auto" w:fill="auto"/>
                  <w:noWrap/>
                  <w:vAlign w:val="center"/>
                  <w:hideMark/>
                </w:tcPr>
                <w:p w14:paraId="5AB37628" w14:textId="77777777" w:rsidR="00F07478" w:rsidRPr="00047E5C" w:rsidRDefault="00F07478" w:rsidP="00F07478">
                  <w:pPr>
                    <w:spacing w:after="0" w:line="240" w:lineRule="auto"/>
                    <w:jc w:val="right"/>
                    <w:rPr>
                      <w:rFonts w:ascii="Arial" w:eastAsia="Times New Roman" w:hAnsi="Arial" w:cs="Arial"/>
                      <w:lang w:eastAsia="en-GB"/>
                    </w:rPr>
                  </w:pPr>
                  <w:r w:rsidRPr="00047E5C">
                    <w:rPr>
                      <w:rFonts w:ascii="Arial" w:eastAsia="Times New Roman" w:hAnsi="Arial" w:cs="Arial"/>
                      <w:bCs/>
                      <w:lang w:eastAsia="en-GB"/>
                    </w:rPr>
                    <w:t>64,60</w:t>
                  </w:r>
                  <w:r w:rsidR="00211F2A" w:rsidRPr="00047E5C">
                    <w:rPr>
                      <w:rFonts w:ascii="Arial" w:eastAsia="Times New Roman" w:hAnsi="Arial" w:cs="Arial"/>
                      <w:bCs/>
                      <w:lang w:eastAsia="en-GB"/>
                    </w:rPr>
                    <w:t>6</w:t>
                  </w:r>
                </w:p>
              </w:tc>
            </w:tr>
            <w:tr w:rsidR="00543D10" w:rsidRPr="00047E5C" w14:paraId="5DAEEFDC" w14:textId="77777777" w:rsidTr="0021571F">
              <w:trPr>
                <w:gridAfter w:val="1"/>
                <w:wAfter w:w="276" w:type="dxa"/>
                <w:trHeight w:val="325"/>
                <w:jc w:val="center"/>
              </w:trPr>
              <w:tc>
                <w:tcPr>
                  <w:tcW w:w="3781" w:type="dxa"/>
                  <w:tcBorders>
                    <w:top w:val="nil"/>
                    <w:left w:val="nil"/>
                    <w:bottom w:val="nil"/>
                    <w:right w:val="nil"/>
                  </w:tcBorders>
                  <w:shd w:val="clear" w:color="auto" w:fill="auto"/>
                  <w:noWrap/>
                  <w:vAlign w:val="center"/>
                  <w:hideMark/>
                </w:tcPr>
                <w:p w14:paraId="7CA18553" w14:textId="77777777" w:rsidR="00190D85" w:rsidRPr="00047E5C" w:rsidRDefault="00190D85" w:rsidP="001F6984">
                  <w:pPr>
                    <w:spacing w:after="0" w:line="240" w:lineRule="auto"/>
                    <w:rPr>
                      <w:rFonts w:ascii="Arial" w:eastAsia="Times New Roman" w:hAnsi="Arial" w:cs="Arial"/>
                      <w:lang w:eastAsia="en-GB"/>
                    </w:rPr>
                  </w:pPr>
                  <w:r w:rsidRPr="00047E5C">
                    <w:rPr>
                      <w:rFonts w:ascii="Arial" w:eastAsia="Times New Roman" w:hAnsi="Arial" w:cs="Arial"/>
                      <w:lang w:eastAsia="en-GB"/>
                    </w:rPr>
                    <w:t>Additions</w:t>
                  </w:r>
                </w:p>
              </w:tc>
              <w:tc>
                <w:tcPr>
                  <w:tcW w:w="287" w:type="dxa"/>
                  <w:tcBorders>
                    <w:top w:val="nil"/>
                    <w:left w:val="nil"/>
                    <w:bottom w:val="nil"/>
                    <w:right w:val="nil"/>
                  </w:tcBorders>
                  <w:shd w:val="clear" w:color="auto" w:fill="auto"/>
                  <w:noWrap/>
                  <w:vAlign w:val="bottom"/>
                  <w:hideMark/>
                </w:tcPr>
                <w:p w14:paraId="5B84CCAB" w14:textId="77777777" w:rsidR="00190D85" w:rsidRPr="00047E5C" w:rsidRDefault="00190D85" w:rsidP="001F6984">
                  <w:pPr>
                    <w:spacing w:after="0" w:line="240" w:lineRule="auto"/>
                    <w:rPr>
                      <w:rFonts w:ascii="Arial" w:eastAsia="Times New Roman" w:hAnsi="Arial" w:cs="Arial"/>
                      <w:lang w:eastAsia="en-GB"/>
                    </w:rPr>
                  </w:pPr>
                </w:p>
              </w:tc>
              <w:tc>
                <w:tcPr>
                  <w:tcW w:w="1105" w:type="dxa"/>
                  <w:gridSpan w:val="3"/>
                  <w:tcBorders>
                    <w:top w:val="nil"/>
                    <w:left w:val="nil"/>
                    <w:bottom w:val="nil"/>
                    <w:right w:val="nil"/>
                  </w:tcBorders>
                  <w:shd w:val="clear" w:color="auto" w:fill="auto"/>
                  <w:noWrap/>
                  <w:vAlign w:val="bottom"/>
                </w:tcPr>
                <w:p w14:paraId="10AC9E5B" w14:textId="77777777" w:rsidR="00190D85" w:rsidRPr="00047E5C" w:rsidRDefault="00190D85" w:rsidP="005B39D0">
                  <w:pPr>
                    <w:spacing w:after="0" w:line="240" w:lineRule="auto"/>
                    <w:jc w:val="right"/>
                    <w:rPr>
                      <w:rFonts w:ascii="Arial" w:eastAsia="Times New Roman" w:hAnsi="Arial" w:cs="Arial"/>
                      <w:lang w:eastAsia="en-GB"/>
                    </w:rPr>
                  </w:pPr>
                </w:p>
              </w:tc>
              <w:tc>
                <w:tcPr>
                  <w:tcW w:w="1480" w:type="dxa"/>
                  <w:gridSpan w:val="2"/>
                  <w:tcBorders>
                    <w:left w:val="nil"/>
                    <w:bottom w:val="nil"/>
                    <w:right w:val="nil"/>
                  </w:tcBorders>
                  <w:shd w:val="clear" w:color="auto" w:fill="auto"/>
                  <w:noWrap/>
                  <w:vAlign w:val="center"/>
                </w:tcPr>
                <w:p w14:paraId="4943C18E" w14:textId="77777777" w:rsidR="00190D85" w:rsidRPr="00047E5C" w:rsidRDefault="00F8700E" w:rsidP="005B39D0">
                  <w:pPr>
                    <w:spacing w:after="0" w:line="240" w:lineRule="auto"/>
                    <w:jc w:val="right"/>
                    <w:rPr>
                      <w:rFonts w:ascii="Arial" w:eastAsia="Times New Roman" w:hAnsi="Arial" w:cs="Arial"/>
                      <w:lang w:eastAsia="en-GB"/>
                    </w:rPr>
                  </w:pPr>
                  <w:r w:rsidRPr="00047E5C">
                    <w:rPr>
                      <w:rFonts w:ascii="Arial" w:eastAsia="Times New Roman" w:hAnsi="Arial" w:cs="Arial"/>
                      <w:lang w:eastAsia="en-GB"/>
                    </w:rPr>
                    <w:t>-</w:t>
                  </w:r>
                </w:p>
              </w:tc>
              <w:tc>
                <w:tcPr>
                  <w:tcW w:w="1272" w:type="dxa"/>
                  <w:gridSpan w:val="2"/>
                  <w:tcBorders>
                    <w:left w:val="nil"/>
                    <w:bottom w:val="nil"/>
                    <w:right w:val="nil"/>
                  </w:tcBorders>
                  <w:shd w:val="clear" w:color="auto" w:fill="auto"/>
                  <w:noWrap/>
                  <w:vAlign w:val="center"/>
                </w:tcPr>
                <w:p w14:paraId="47653CC7" w14:textId="77777777" w:rsidR="00190D85" w:rsidRPr="00047E5C" w:rsidRDefault="00F8700E" w:rsidP="005B39D0">
                  <w:pPr>
                    <w:spacing w:after="0" w:line="240" w:lineRule="auto"/>
                    <w:jc w:val="right"/>
                    <w:rPr>
                      <w:rFonts w:ascii="Arial" w:eastAsia="Times New Roman" w:hAnsi="Arial" w:cs="Arial"/>
                      <w:lang w:eastAsia="en-GB"/>
                    </w:rPr>
                  </w:pPr>
                  <w:r w:rsidRPr="00047E5C">
                    <w:rPr>
                      <w:rFonts w:ascii="Arial" w:eastAsia="Times New Roman" w:hAnsi="Arial" w:cs="Arial"/>
                      <w:lang w:eastAsia="en-GB"/>
                    </w:rPr>
                    <w:t>255</w:t>
                  </w:r>
                </w:p>
              </w:tc>
              <w:tc>
                <w:tcPr>
                  <w:tcW w:w="1071" w:type="dxa"/>
                  <w:gridSpan w:val="2"/>
                  <w:tcBorders>
                    <w:left w:val="nil"/>
                    <w:bottom w:val="nil"/>
                    <w:right w:val="nil"/>
                  </w:tcBorders>
                  <w:shd w:val="clear" w:color="auto" w:fill="auto"/>
                  <w:noWrap/>
                  <w:vAlign w:val="center"/>
                </w:tcPr>
                <w:p w14:paraId="11D9701E" w14:textId="77777777" w:rsidR="00190D85" w:rsidRPr="00047E5C" w:rsidRDefault="00211F2A" w:rsidP="005B39D0">
                  <w:pPr>
                    <w:spacing w:after="0" w:line="240" w:lineRule="auto"/>
                    <w:jc w:val="right"/>
                    <w:rPr>
                      <w:rFonts w:ascii="Arial" w:eastAsia="Times New Roman" w:hAnsi="Arial" w:cs="Arial"/>
                      <w:lang w:eastAsia="en-GB"/>
                    </w:rPr>
                  </w:pPr>
                  <w:r w:rsidRPr="00047E5C">
                    <w:rPr>
                      <w:rFonts w:ascii="Arial" w:eastAsia="Times New Roman" w:hAnsi="Arial" w:cs="Arial"/>
                      <w:lang w:eastAsia="en-GB"/>
                    </w:rPr>
                    <w:t>255</w:t>
                  </w:r>
                </w:p>
              </w:tc>
            </w:tr>
            <w:tr w:rsidR="00543D10" w:rsidRPr="00047E5C" w14:paraId="5829F570" w14:textId="77777777" w:rsidTr="0021571F">
              <w:trPr>
                <w:gridAfter w:val="1"/>
                <w:wAfter w:w="276" w:type="dxa"/>
                <w:trHeight w:val="325"/>
                <w:jc w:val="center"/>
              </w:trPr>
              <w:tc>
                <w:tcPr>
                  <w:tcW w:w="3781" w:type="dxa"/>
                  <w:tcBorders>
                    <w:top w:val="nil"/>
                    <w:left w:val="nil"/>
                    <w:bottom w:val="nil"/>
                    <w:right w:val="nil"/>
                  </w:tcBorders>
                  <w:shd w:val="clear" w:color="auto" w:fill="auto"/>
                  <w:noWrap/>
                  <w:vAlign w:val="center"/>
                </w:tcPr>
                <w:p w14:paraId="1B34B745" w14:textId="77777777" w:rsidR="00190D85" w:rsidRPr="00047E5C" w:rsidRDefault="00190D85" w:rsidP="001F6984">
                  <w:pPr>
                    <w:spacing w:after="0" w:line="240" w:lineRule="auto"/>
                    <w:rPr>
                      <w:rFonts w:ascii="Arial" w:eastAsia="Times New Roman" w:hAnsi="Arial" w:cs="Arial"/>
                      <w:lang w:eastAsia="en-GB"/>
                    </w:rPr>
                  </w:pPr>
                  <w:r w:rsidRPr="00047E5C">
                    <w:rPr>
                      <w:rFonts w:ascii="Arial" w:eastAsia="Times New Roman" w:hAnsi="Arial" w:cs="Arial"/>
                      <w:lang w:eastAsia="en-GB"/>
                    </w:rPr>
                    <w:t>Transfers</w:t>
                  </w:r>
                </w:p>
              </w:tc>
              <w:tc>
                <w:tcPr>
                  <w:tcW w:w="287" w:type="dxa"/>
                  <w:tcBorders>
                    <w:top w:val="nil"/>
                    <w:left w:val="nil"/>
                    <w:bottom w:val="nil"/>
                    <w:right w:val="nil"/>
                  </w:tcBorders>
                  <w:shd w:val="clear" w:color="auto" w:fill="auto"/>
                  <w:noWrap/>
                  <w:vAlign w:val="bottom"/>
                </w:tcPr>
                <w:p w14:paraId="50679E91" w14:textId="77777777" w:rsidR="00190D85" w:rsidRPr="00047E5C" w:rsidRDefault="00190D85" w:rsidP="001F6984">
                  <w:pPr>
                    <w:spacing w:after="0" w:line="240" w:lineRule="auto"/>
                    <w:rPr>
                      <w:rFonts w:ascii="Arial" w:eastAsia="Times New Roman" w:hAnsi="Arial" w:cs="Arial"/>
                      <w:lang w:eastAsia="en-GB"/>
                    </w:rPr>
                  </w:pPr>
                </w:p>
              </w:tc>
              <w:tc>
                <w:tcPr>
                  <w:tcW w:w="1105" w:type="dxa"/>
                  <w:gridSpan w:val="3"/>
                  <w:tcBorders>
                    <w:top w:val="nil"/>
                    <w:left w:val="nil"/>
                    <w:bottom w:val="nil"/>
                    <w:right w:val="nil"/>
                  </w:tcBorders>
                  <w:shd w:val="clear" w:color="auto" w:fill="auto"/>
                  <w:noWrap/>
                  <w:vAlign w:val="bottom"/>
                </w:tcPr>
                <w:p w14:paraId="323B0BF9" w14:textId="77777777" w:rsidR="00190D85" w:rsidRPr="00047E5C" w:rsidRDefault="00190D85" w:rsidP="005B39D0">
                  <w:pPr>
                    <w:spacing w:after="0" w:line="240" w:lineRule="auto"/>
                    <w:jc w:val="right"/>
                    <w:rPr>
                      <w:rFonts w:ascii="Arial" w:eastAsia="Times New Roman" w:hAnsi="Arial" w:cs="Arial"/>
                      <w:lang w:eastAsia="en-GB"/>
                    </w:rPr>
                  </w:pPr>
                </w:p>
              </w:tc>
              <w:tc>
                <w:tcPr>
                  <w:tcW w:w="1480" w:type="dxa"/>
                  <w:gridSpan w:val="2"/>
                  <w:tcBorders>
                    <w:top w:val="nil"/>
                    <w:left w:val="nil"/>
                    <w:bottom w:val="nil"/>
                    <w:right w:val="nil"/>
                  </w:tcBorders>
                  <w:shd w:val="clear" w:color="auto" w:fill="auto"/>
                  <w:noWrap/>
                  <w:vAlign w:val="bottom"/>
                </w:tcPr>
                <w:p w14:paraId="1E472D7F" w14:textId="77777777" w:rsidR="00190D85" w:rsidRPr="00047E5C" w:rsidRDefault="00F8700E" w:rsidP="005B39D0">
                  <w:pPr>
                    <w:spacing w:after="0" w:line="240" w:lineRule="auto"/>
                    <w:jc w:val="right"/>
                    <w:rPr>
                      <w:rFonts w:ascii="Arial" w:eastAsia="Times New Roman" w:hAnsi="Arial" w:cs="Arial"/>
                      <w:lang w:eastAsia="en-GB"/>
                    </w:rPr>
                  </w:pPr>
                  <w:r w:rsidRPr="00047E5C">
                    <w:rPr>
                      <w:rFonts w:ascii="Arial" w:eastAsia="Times New Roman" w:hAnsi="Arial" w:cs="Arial"/>
                      <w:lang w:eastAsia="en-GB"/>
                    </w:rPr>
                    <w:t>-</w:t>
                  </w:r>
                </w:p>
              </w:tc>
              <w:tc>
                <w:tcPr>
                  <w:tcW w:w="1272" w:type="dxa"/>
                  <w:gridSpan w:val="2"/>
                  <w:tcBorders>
                    <w:top w:val="nil"/>
                    <w:left w:val="nil"/>
                    <w:bottom w:val="nil"/>
                    <w:right w:val="nil"/>
                  </w:tcBorders>
                  <w:shd w:val="clear" w:color="auto" w:fill="auto"/>
                  <w:noWrap/>
                  <w:vAlign w:val="center"/>
                </w:tcPr>
                <w:p w14:paraId="2BA9130A" w14:textId="77777777" w:rsidR="00190D85" w:rsidRPr="00047E5C" w:rsidRDefault="00F8700E" w:rsidP="005B39D0">
                  <w:pPr>
                    <w:spacing w:after="0" w:line="240" w:lineRule="auto"/>
                    <w:jc w:val="right"/>
                    <w:rPr>
                      <w:rFonts w:ascii="Arial" w:eastAsia="Times New Roman" w:hAnsi="Arial" w:cs="Arial"/>
                      <w:lang w:eastAsia="en-GB"/>
                    </w:rPr>
                  </w:pPr>
                  <w:r w:rsidRPr="00047E5C">
                    <w:rPr>
                      <w:rFonts w:ascii="Arial" w:eastAsia="Times New Roman" w:hAnsi="Arial" w:cs="Arial"/>
                      <w:lang w:eastAsia="en-GB"/>
                    </w:rPr>
                    <w:t>(2)</w:t>
                  </w:r>
                </w:p>
              </w:tc>
              <w:tc>
                <w:tcPr>
                  <w:tcW w:w="1071" w:type="dxa"/>
                  <w:gridSpan w:val="2"/>
                  <w:tcBorders>
                    <w:top w:val="nil"/>
                    <w:left w:val="nil"/>
                    <w:bottom w:val="nil"/>
                    <w:right w:val="nil"/>
                  </w:tcBorders>
                  <w:shd w:val="clear" w:color="auto" w:fill="auto"/>
                  <w:noWrap/>
                  <w:vAlign w:val="center"/>
                </w:tcPr>
                <w:p w14:paraId="104C3F6D" w14:textId="77777777" w:rsidR="00190D85" w:rsidRPr="00047E5C" w:rsidRDefault="00211F2A" w:rsidP="005B39D0">
                  <w:pPr>
                    <w:spacing w:after="0" w:line="240" w:lineRule="auto"/>
                    <w:jc w:val="right"/>
                    <w:rPr>
                      <w:rFonts w:ascii="Arial" w:eastAsia="Times New Roman" w:hAnsi="Arial" w:cs="Arial"/>
                      <w:lang w:eastAsia="en-GB"/>
                    </w:rPr>
                  </w:pPr>
                  <w:r w:rsidRPr="00047E5C">
                    <w:rPr>
                      <w:rFonts w:ascii="Arial" w:eastAsia="Times New Roman" w:hAnsi="Arial" w:cs="Arial"/>
                      <w:lang w:eastAsia="en-GB"/>
                    </w:rPr>
                    <w:t>(2)</w:t>
                  </w:r>
                </w:p>
              </w:tc>
            </w:tr>
            <w:tr w:rsidR="00594D0D" w:rsidRPr="00047E5C" w14:paraId="4061D75A" w14:textId="77777777" w:rsidTr="0021571F">
              <w:trPr>
                <w:gridAfter w:val="1"/>
                <w:wAfter w:w="276" w:type="dxa"/>
                <w:trHeight w:val="325"/>
                <w:jc w:val="center"/>
              </w:trPr>
              <w:tc>
                <w:tcPr>
                  <w:tcW w:w="3781" w:type="dxa"/>
                  <w:tcBorders>
                    <w:top w:val="nil"/>
                    <w:left w:val="nil"/>
                    <w:bottom w:val="nil"/>
                    <w:right w:val="nil"/>
                  </w:tcBorders>
                  <w:shd w:val="clear" w:color="auto" w:fill="auto"/>
                  <w:noWrap/>
                  <w:vAlign w:val="center"/>
                </w:tcPr>
                <w:p w14:paraId="5CB9B668" w14:textId="77777777" w:rsidR="00594D0D" w:rsidRPr="00047E5C" w:rsidRDefault="00594D0D" w:rsidP="00594D0D">
                  <w:pPr>
                    <w:spacing w:after="0" w:line="240" w:lineRule="auto"/>
                    <w:rPr>
                      <w:rFonts w:ascii="Arial" w:eastAsia="Times New Roman" w:hAnsi="Arial" w:cs="Arial"/>
                      <w:lang w:eastAsia="en-GB"/>
                    </w:rPr>
                  </w:pPr>
                  <w:r w:rsidRPr="00047E5C">
                    <w:rPr>
                      <w:rFonts w:ascii="Arial" w:eastAsia="Times New Roman" w:hAnsi="Arial" w:cs="Arial"/>
                      <w:lang w:eastAsia="en-GB"/>
                    </w:rPr>
                    <w:t>Disposal of subsidiary</w:t>
                  </w:r>
                </w:p>
              </w:tc>
              <w:tc>
                <w:tcPr>
                  <w:tcW w:w="287" w:type="dxa"/>
                  <w:tcBorders>
                    <w:top w:val="nil"/>
                    <w:left w:val="nil"/>
                    <w:bottom w:val="nil"/>
                    <w:right w:val="nil"/>
                  </w:tcBorders>
                  <w:shd w:val="clear" w:color="auto" w:fill="auto"/>
                  <w:noWrap/>
                  <w:vAlign w:val="bottom"/>
                </w:tcPr>
                <w:p w14:paraId="5B97A320" w14:textId="77777777" w:rsidR="00594D0D" w:rsidRPr="00047E5C" w:rsidRDefault="00594D0D" w:rsidP="001F6984">
                  <w:pPr>
                    <w:spacing w:after="0" w:line="240" w:lineRule="auto"/>
                    <w:rPr>
                      <w:rFonts w:ascii="Arial" w:eastAsia="Times New Roman" w:hAnsi="Arial" w:cs="Arial"/>
                      <w:lang w:eastAsia="en-GB"/>
                    </w:rPr>
                  </w:pPr>
                </w:p>
              </w:tc>
              <w:tc>
                <w:tcPr>
                  <w:tcW w:w="1105" w:type="dxa"/>
                  <w:gridSpan w:val="3"/>
                  <w:tcBorders>
                    <w:top w:val="nil"/>
                    <w:left w:val="nil"/>
                    <w:bottom w:val="nil"/>
                    <w:right w:val="nil"/>
                  </w:tcBorders>
                  <w:shd w:val="clear" w:color="auto" w:fill="auto"/>
                  <w:noWrap/>
                  <w:vAlign w:val="bottom"/>
                </w:tcPr>
                <w:p w14:paraId="6359D951" w14:textId="77777777" w:rsidR="00594D0D" w:rsidRPr="00047E5C" w:rsidRDefault="00594D0D" w:rsidP="005B39D0">
                  <w:pPr>
                    <w:spacing w:after="0" w:line="240" w:lineRule="auto"/>
                    <w:jc w:val="right"/>
                    <w:rPr>
                      <w:rFonts w:ascii="Arial" w:eastAsia="Times New Roman" w:hAnsi="Arial" w:cs="Arial"/>
                      <w:lang w:eastAsia="en-GB"/>
                    </w:rPr>
                  </w:pPr>
                </w:p>
              </w:tc>
              <w:tc>
                <w:tcPr>
                  <w:tcW w:w="1480" w:type="dxa"/>
                  <w:gridSpan w:val="2"/>
                  <w:tcBorders>
                    <w:top w:val="nil"/>
                    <w:left w:val="nil"/>
                    <w:bottom w:val="nil"/>
                    <w:right w:val="nil"/>
                  </w:tcBorders>
                  <w:shd w:val="clear" w:color="auto" w:fill="auto"/>
                  <w:noWrap/>
                  <w:vAlign w:val="center"/>
                </w:tcPr>
                <w:p w14:paraId="08F2D856" w14:textId="77777777" w:rsidR="00594D0D" w:rsidRPr="00047E5C" w:rsidRDefault="00594D0D" w:rsidP="005B39D0">
                  <w:pPr>
                    <w:spacing w:after="0" w:line="240" w:lineRule="auto"/>
                    <w:jc w:val="right"/>
                    <w:rPr>
                      <w:rFonts w:ascii="Arial" w:eastAsia="Times New Roman" w:hAnsi="Arial" w:cs="Arial"/>
                      <w:lang w:eastAsia="en-GB"/>
                    </w:rPr>
                  </w:pPr>
                  <w:r w:rsidRPr="00047E5C">
                    <w:rPr>
                      <w:rFonts w:ascii="Arial" w:eastAsia="Times New Roman" w:hAnsi="Arial" w:cs="Arial"/>
                      <w:lang w:eastAsia="en-GB"/>
                    </w:rPr>
                    <w:t>(3,040)</w:t>
                  </w:r>
                </w:p>
              </w:tc>
              <w:tc>
                <w:tcPr>
                  <w:tcW w:w="1272" w:type="dxa"/>
                  <w:gridSpan w:val="2"/>
                  <w:tcBorders>
                    <w:top w:val="nil"/>
                    <w:left w:val="nil"/>
                    <w:bottom w:val="nil"/>
                    <w:right w:val="nil"/>
                  </w:tcBorders>
                  <w:shd w:val="clear" w:color="auto" w:fill="auto"/>
                  <w:noWrap/>
                  <w:vAlign w:val="center"/>
                </w:tcPr>
                <w:p w14:paraId="676221E6" w14:textId="77777777" w:rsidR="00594D0D" w:rsidRPr="00047E5C" w:rsidRDefault="00594D0D" w:rsidP="005B39D0">
                  <w:pPr>
                    <w:spacing w:after="0" w:line="240" w:lineRule="auto"/>
                    <w:jc w:val="right"/>
                    <w:rPr>
                      <w:rFonts w:ascii="Arial" w:eastAsia="Times New Roman" w:hAnsi="Arial" w:cs="Arial"/>
                      <w:lang w:eastAsia="en-GB"/>
                    </w:rPr>
                  </w:pPr>
                  <w:r w:rsidRPr="00047E5C">
                    <w:rPr>
                      <w:rFonts w:ascii="Arial" w:eastAsia="Times New Roman" w:hAnsi="Arial" w:cs="Arial"/>
                      <w:lang w:eastAsia="en-GB"/>
                    </w:rPr>
                    <w:t>-</w:t>
                  </w:r>
                </w:p>
              </w:tc>
              <w:tc>
                <w:tcPr>
                  <w:tcW w:w="1071" w:type="dxa"/>
                  <w:gridSpan w:val="2"/>
                  <w:tcBorders>
                    <w:top w:val="nil"/>
                    <w:left w:val="nil"/>
                    <w:bottom w:val="nil"/>
                    <w:right w:val="nil"/>
                  </w:tcBorders>
                  <w:shd w:val="clear" w:color="auto" w:fill="auto"/>
                  <w:noWrap/>
                  <w:vAlign w:val="center"/>
                </w:tcPr>
                <w:p w14:paraId="3ABB5969" w14:textId="77777777" w:rsidR="00594D0D" w:rsidRPr="00047E5C" w:rsidRDefault="00594D0D" w:rsidP="005B39D0">
                  <w:pPr>
                    <w:spacing w:after="0" w:line="240" w:lineRule="auto"/>
                    <w:jc w:val="right"/>
                    <w:rPr>
                      <w:rFonts w:ascii="Arial" w:eastAsia="Times New Roman" w:hAnsi="Arial" w:cs="Arial"/>
                      <w:lang w:eastAsia="en-GB"/>
                    </w:rPr>
                  </w:pPr>
                  <w:r w:rsidRPr="00047E5C">
                    <w:rPr>
                      <w:rFonts w:ascii="Arial" w:eastAsia="Times New Roman" w:hAnsi="Arial" w:cs="Arial"/>
                      <w:lang w:eastAsia="en-GB"/>
                    </w:rPr>
                    <w:t>(3,040)</w:t>
                  </w:r>
                </w:p>
              </w:tc>
            </w:tr>
            <w:tr w:rsidR="00543D10" w:rsidRPr="00047E5C" w14:paraId="61713E4C" w14:textId="77777777" w:rsidTr="0021571F">
              <w:trPr>
                <w:gridAfter w:val="1"/>
                <w:wAfter w:w="276" w:type="dxa"/>
                <w:trHeight w:val="325"/>
                <w:jc w:val="center"/>
              </w:trPr>
              <w:tc>
                <w:tcPr>
                  <w:tcW w:w="3781" w:type="dxa"/>
                  <w:tcBorders>
                    <w:top w:val="nil"/>
                    <w:left w:val="nil"/>
                    <w:bottom w:val="nil"/>
                    <w:right w:val="nil"/>
                  </w:tcBorders>
                  <w:shd w:val="clear" w:color="auto" w:fill="auto"/>
                  <w:noWrap/>
                  <w:vAlign w:val="center"/>
                </w:tcPr>
                <w:p w14:paraId="048F791B" w14:textId="77777777" w:rsidR="00190D85" w:rsidRPr="00047E5C" w:rsidRDefault="00190D85" w:rsidP="001F6984">
                  <w:pPr>
                    <w:spacing w:after="0" w:line="240" w:lineRule="auto"/>
                    <w:rPr>
                      <w:rFonts w:ascii="Arial" w:eastAsia="Times New Roman" w:hAnsi="Arial" w:cs="Arial"/>
                      <w:lang w:eastAsia="en-GB"/>
                    </w:rPr>
                  </w:pPr>
                  <w:r w:rsidRPr="00047E5C">
                    <w:rPr>
                      <w:rFonts w:ascii="Arial" w:eastAsia="Times New Roman" w:hAnsi="Arial" w:cs="Arial"/>
                      <w:lang w:eastAsia="en-GB"/>
                    </w:rPr>
                    <w:t>Disposals</w:t>
                  </w:r>
                </w:p>
              </w:tc>
              <w:tc>
                <w:tcPr>
                  <w:tcW w:w="287" w:type="dxa"/>
                  <w:tcBorders>
                    <w:top w:val="nil"/>
                    <w:left w:val="nil"/>
                    <w:bottom w:val="nil"/>
                    <w:right w:val="nil"/>
                  </w:tcBorders>
                  <w:shd w:val="clear" w:color="auto" w:fill="auto"/>
                  <w:noWrap/>
                  <w:vAlign w:val="bottom"/>
                </w:tcPr>
                <w:p w14:paraId="0F25B962" w14:textId="77777777" w:rsidR="00190D85" w:rsidRPr="00047E5C" w:rsidRDefault="00190D85" w:rsidP="001F6984">
                  <w:pPr>
                    <w:spacing w:after="0" w:line="240" w:lineRule="auto"/>
                    <w:rPr>
                      <w:rFonts w:ascii="Arial" w:eastAsia="Times New Roman" w:hAnsi="Arial" w:cs="Arial"/>
                      <w:lang w:eastAsia="en-GB"/>
                    </w:rPr>
                  </w:pPr>
                </w:p>
              </w:tc>
              <w:tc>
                <w:tcPr>
                  <w:tcW w:w="1105" w:type="dxa"/>
                  <w:gridSpan w:val="3"/>
                  <w:tcBorders>
                    <w:top w:val="nil"/>
                    <w:left w:val="nil"/>
                    <w:bottom w:val="nil"/>
                    <w:right w:val="nil"/>
                  </w:tcBorders>
                  <w:shd w:val="clear" w:color="auto" w:fill="auto"/>
                  <w:noWrap/>
                  <w:vAlign w:val="bottom"/>
                </w:tcPr>
                <w:p w14:paraId="35459D66" w14:textId="77777777" w:rsidR="00190D85" w:rsidRPr="00047E5C" w:rsidRDefault="00190D85" w:rsidP="005B39D0">
                  <w:pPr>
                    <w:spacing w:after="0" w:line="240" w:lineRule="auto"/>
                    <w:jc w:val="right"/>
                    <w:rPr>
                      <w:rFonts w:ascii="Arial" w:eastAsia="Times New Roman" w:hAnsi="Arial" w:cs="Arial"/>
                      <w:lang w:eastAsia="en-GB"/>
                    </w:rPr>
                  </w:pPr>
                </w:p>
              </w:tc>
              <w:tc>
                <w:tcPr>
                  <w:tcW w:w="1480" w:type="dxa"/>
                  <w:gridSpan w:val="2"/>
                  <w:tcBorders>
                    <w:top w:val="nil"/>
                    <w:left w:val="nil"/>
                    <w:bottom w:val="nil"/>
                    <w:right w:val="nil"/>
                  </w:tcBorders>
                  <w:shd w:val="clear" w:color="auto" w:fill="auto"/>
                  <w:noWrap/>
                  <w:vAlign w:val="center"/>
                </w:tcPr>
                <w:p w14:paraId="4AB41FC1" w14:textId="77777777" w:rsidR="00190D85" w:rsidRPr="00047E5C" w:rsidRDefault="00594D0D" w:rsidP="005B39D0">
                  <w:pPr>
                    <w:spacing w:after="0" w:line="240" w:lineRule="auto"/>
                    <w:jc w:val="right"/>
                    <w:rPr>
                      <w:rFonts w:ascii="Arial" w:eastAsia="Times New Roman" w:hAnsi="Arial" w:cs="Arial"/>
                      <w:lang w:eastAsia="en-GB"/>
                    </w:rPr>
                  </w:pPr>
                  <w:r w:rsidRPr="00047E5C">
                    <w:rPr>
                      <w:rFonts w:ascii="Arial" w:eastAsia="Times New Roman" w:hAnsi="Arial" w:cs="Arial"/>
                      <w:lang w:eastAsia="en-GB"/>
                    </w:rPr>
                    <w:t>-</w:t>
                  </w:r>
                </w:p>
              </w:tc>
              <w:tc>
                <w:tcPr>
                  <w:tcW w:w="1272" w:type="dxa"/>
                  <w:gridSpan w:val="2"/>
                  <w:tcBorders>
                    <w:top w:val="nil"/>
                    <w:left w:val="nil"/>
                    <w:bottom w:val="nil"/>
                    <w:right w:val="nil"/>
                  </w:tcBorders>
                  <w:shd w:val="clear" w:color="auto" w:fill="auto"/>
                  <w:noWrap/>
                  <w:vAlign w:val="center"/>
                </w:tcPr>
                <w:p w14:paraId="7B3316D0" w14:textId="77777777" w:rsidR="00190D85" w:rsidRPr="00047E5C" w:rsidRDefault="00F8700E" w:rsidP="005B39D0">
                  <w:pPr>
                    <w:spacing w:after="0" w:line="240" w:lineRule="auto"/>
                    <w:jc w:val="right"/>
                    <w:rPr>
                      <w:rFonts w:ascii="Arial" w:eastAsia="Times New Roman" w:hAnsi="Arial" w:cs="Arial"/>
                      <w:lang w:eastAsia="en-GB"/>
                    </w:rPr>
                  </w:pPr>
                  <w:r w:rsidRPr="00047E5C">
                    <w:rPr>
                      <w:rFonts w:ascii="Arial" w:eastAsia="Times New Roman" w:hAnsi="Arial" w:cs="Arial"/>
                      <w:lang w:eastAsia="en-GB"/>
                    </w:rPr>
                    <w:t>(</w:t>
                  </w:r>
                  <w:r w:rsidR="00211F2A" w:rsidRPr="00047E5C">
                    <w:rPr>
                      <w:rFonts w:ascii="Arial" w:eastAsia="Times New Roman" w:hAnsi="Arial" w:cs="Arial"/>
                      <w:lang w:eastAsia="en-GB"/>
                    </w:rPr>
                    <w:t>1,26</w:t>
                  </w:r>
                  <w:r w:rsidR="005E5C6E" w:rsidRPr="00047E5C">
                    <w:rPr>
                      <w:rFonts w:ascii="Arial" w:eastAsia="Times New Roman" w:hAnsi="Arial" w:cs="Arial"/>
                      <w:lang w:eastAsia="en-GB"/>
                    </w:rPr>
                    <w:t>2</w:t>
                  </w:r>
                  <w:r w:rsidR="00211F2A" w:rsidRPr="00047E5C">
                    <w:rPr>
                      <w:rFonts w:ascii="Arial" w:eastAsia="Times New Roman" w:hAnsi="Arial" w:cs="Arial"/>
                      <w:lang w:eastAsia="en-GB"/>
                    </w:rPr>
                    <w:t>)</w:t>
                  </w:r>
                </w:p>
              </w:tc>
              <w:tc>
                <w:tcPr>
                  <w:tcW w:w="1071" w:type="dxa"/>
                  <w:gridSpan w:val="2"/>
                  <w:tcBorders>
                    <w:top w:val="nil"/>
                    <w:left w:val="nil"/>
                    <w:bottom w:val="nil"/>
                    <w:right w:val="nil"/>
                  </w:tcBorders>
                  <w:shd w:val="clear" w:color="auto" w:fill="auto"/>
                  <w:noWrap/>
                  <w:vAlign w:val="center"/>
                </w:tcPr>
                <w:p w14:paraId="71FF1262" w14:textId="77777777" w:rsidR="00190D85" w:rsidRPr="00047E5C" w:rsidRDefault="00594D0D" w:rsidP="005B39D0">
                  <w:pPr>
                    <w:spacing w:after="0" w:line="240" w:lineRule="auto"/>
                    <w:jc w:val="right"/>
                    <w:rPr>
                      <w:rFonts w:ascii="Arial" w:eastAsia="Times New Roman" w:hAnsi="Arial" w:cs="Arial"/>
                      <w:lang w:eastAsia="en-GB"/>
                    </w:rPr>
                  </w:pPr>
                  <w:r w:rsidRPr="00047E5C">
                    <w:rPr>
                      <w:rFonts w:ascii="Arial" w:eastAsia="Times New Roman" w:hAnsi="Arial" w:cs="Arial"/>
                      <w:lang w:eastAsia="en-GB"/>
                    </w:rPr>
                    <w:t>(1,26</w:t>
                  </w:r>
                  <w:r w:rsidR="005E5C6E" w:rsidRPr="00047E5C">
                    <w:rPr>
                      <w:rFonts w:ascii="Arial" w:eastAsia="Times New Roman" w:hAnsi="Arial" w:cs="Arial"/>
                      <w:lang w:eastAsia="en-GB"/>
                    </w:rPr>
                    <w:t>2</w:t>
                  </w:r>
                  <w:r w:rsidR="00211F2A" w:rsidRPr="00047E5C">
                    <w:rPr>
                      <w:rFonts w:ascii="Arial" w:eastAsia="Times New Roman" w:hAnsi="Arial" w:cs="Arial"/>
                      <w:lang w:eastAsia="en-GB"/>
                    </w:rPr>
                    <w:t>)</w:t>
                  </w:r>
                </w:p>
              </w:tc>
            </w:tr>
            <w:tr w:rsidR="00543D10" w:rsidRPr="00047E5C" w14:paraId="441E150C" w14:textId="77777777" w:rsidTr="0021571F">
              <w:trPr>
                <w:gridAfter w:val="1"/>
                <w:wAfter w:w="276" w:type="dxa"/>
                <w:trHeight w:val="325"/>
                <w:jc w:val="center"/>
              </w:trPr>
              <w:tc>
                <w:tcPr>
                  <w:tcW w:w="3781" w:type="dxa"/>
                  <w:tcBorders>
                    <w:top w:val="single" w:sz="4" w:space="0" w:color="auto"/>
                    <w:left w:val="nil"/>
                    <w:bottom w:val="single" w:sz="4" w:space="0" w:color="auto"/>
                    <w:right w:val="nil"/>
                  </w:tcBorders>
                  <w:shd w:val="clear" w:color="auto" w:fill="auto"/>
                  <w:noWrap/>
                  <w:vAlign w:val="center"/>
                  <w:hideMark/>
                </w:tcPr>
                <w:p w14:paraId="506FDDD3" w14:textId="77777777" w:rsidR="00190D85" w:rsidRPr="00047E5C" w:rsidRDefault="00190D85" w:rsidP="001F6984">
                  <w:pPr>
                    <w:spacing w:after="0" w:line="240" w:lineRule="auto"/>
                    <w:rPr>
                      <w:rFonts w:ascii="Arial" w:eastAsia="Times New Roman" w:hAnsi="Arial" w:cs="Arial"/>
                      <w:b/>
                      <w:bCs/>
                      <w:lang w:eastAsia="en-GB"/>
                    </w:rPr>
                  </w:pPr>
                  <w:r w:rsidRPr="00047E5C">
                    <w:rPr>
                      <w:rFonts w:ascii="Arial" w:eastAsia="Times New Roman" w:hAnsi="Arial" w:cs="Arial"/>
                      <w:b/>
                      <w:bCs/>
                      <w:lang w:eastAsia="en-GB"/>
                    </w:rPr>
                    <w:t xml:space="preserve">At 31 August </w:t>
                  </w:r>
                  <w:r w:rsidR="0037645F" w:rsidRPr="00047E5C">
                    <w:rPr>
                      <w:rFonts w:ascii="Arial" w:eastAsia="Times New Roman" w:hAnsi="Arial" w:cs="Arial"/>
                      <w:b/>
                      <w:bCs/>
                      <w:lang w:eastAsia="en-GB"/>
                    </w:rPr>
                    <w:t>2020</w:t>
                  </w:r>
                </w:p>
              </w:tc>
              <w:tc>
                <w:tcPr>
                  <w:tcW w:w="287" w:type="dxa"/>
                  <w:tcBorders>
                    <w:top w:val="single" w:sz="4" w:space="0" w:color="auto"/>
                    <w:left w:val="nil"/>
                    <w:bottom w:val="single" w:sz="4" w:space="0" w:color="auto"/>
                    <w:right w:val="nil"/>
                  </w:tcBorders>
                  <w:shd w:val="clear" w:color="auto" w:fill="auto"/>
                  <w:noWrap/>
                  <w:vAlign w:val="bottom"/>
                  <w:hideMark/>
                </w:tcPr>
                <w:p w14:paraId="6E9DB6ED" w14:textId="77777777" w:rsidR="00190D85" w:rsidRPr="00047E5C" w:rsidRDefault="00190D85" w:rsidP="001F6984">
                  <w:pPr>
                    <w:spacing w:after="0" w:line="240" w:lineRule="auto"/>
                    <w:rPr>
                      <w:rFonts w:ascii="Arial" w:eastAsia="Times New Roman" w:hAnsi="Arial" w:cs="Arial"/>
                      <w:lang w:eastAsia="en-GB"/>
                    </w:rPr>
                  </w:pPr>
                  <w:r w:rsidRPr="00047E5C">
                    <w:rPr>
                      <w:rFonts w:ascii="Arial" w:eastAsia="Times New Roman" w:hAnsi="Arial" w:cs="Arial"/>
                      <w:lang w:eastAsia="en-GB"/>
                    </w:rPr>
                    <w:t> </w:t>
                  </w:r>
                </w:p>
              </w:tc>
              <w:tc>
                <w:tcPr>
                  <w:tcW w:w="1105" w:type="dxa"/>
                  <w:gridSpan w:val="3"/>
                  <w:tcBorders>
                    <w:top w:val="single" w:sz="4" w:space="0" w:color="auto"/>
                    <w:left w:val="nil"/>
                    <w:bottom w:val="single" w:sz="4" w:space="0" w:color="auto"/>
                    <w:right w:val="nil"/>
                  </w:tcBorders>
                  <w:shd w:val="clear" w:color="auto" w:fill="auto"/>
                  <w:noWrap/>
                  <w:vAlign w:val="center"/>
                </w:tcPr>
                <w:p w14:paraId="337F82AE" w14:textId="77777777" w:rsidR="00190D85" w:rsidRPr="00047E5C" w:rsidRDefault="00190D85" w:rsidP="005B39D0">
                  <w:pPr>
                    <w:spacing w:after="0" w:line="240" w:lineRule="auto"/>
                    <w:jc w:val="right"/>
                    <w:rPr>
                      <w:rFonts w:ascii="Arial" w:eastAsia="Times New Roman" w:hAnsi="Arial" w:cs="Arial"/>
                      <w:b/>
                      <w:bCs/>
                      <w:lang w:eastAsia="en-GB"/>
                    </w:rPr>
                  </w:pPr>
                </w:p>
              </w:tc>
              <w:tc>
                <w:tcPr>
                  <w:tcW w:w="1480" w:type="dxa"/>
                  <w:gridSpan w:val="2"/>
                  <w:tcBorders>
                    <w:top w:val="single" w:sz="4" w:space="0" w:color="auto"/>
                    <w:left w:val="nil"/>
                    <w:bottom w:val="single" w:sz="4" w:space="0" w:color="auto"/>
                    <w:right w:val="nil"/>
                  </w:tcBorders>
                  <w:shd w:val="clear" w:color="auto" w:fill="auto"/>
                  <w:noWrap/>
                  <w:vAlign w:val="center"/>
                </w:tcPr>
                <w:p w14:paraId="3DC52C4C" w14:textId="77777777" w:rsidR="00190D85" w:rsidRPr="00047E5C" w:rsidRDefault="00F8700E" w:rsidP="005B39D0">
                  <w:pPr>
                    <w:spacing w:after="0" w:line="240" w:lineRule="auto"/>
                    <w:jc w:val="right"/>
                    <w:rPr>
                      <w:rFonts w:ascii="Arial" w:eastAsia="Times New Roman" w:hAnsi="Arial" w:cs="Arial"/>
                      <w:b/>
                      <w:bCs/>
                      <w:lang w:eastAsia="en-GB"/>
                    </w:rPr>
                  </w:pPr>
                  <w:r w:rsidRPr="00047E5C">
                    <w:rPr>
                      <w:rFonts w:ascii="Arial" w:eastAsia="Times New Roman" w:hAnsi="Arial" w:cs="Arial"/>
                      <w:b/>
                      <w:bCs/>
                      <w:lang w:eastAsia="en-GB"/>
                    </w:rPr>
                    <w:t>5</w:t>
                  </w:r>
                  <w:r w:rsidR="004F3A06" w:rsidRPr="00047E5C">
                    <w:rPr>
                      <w:rFonts w:ascii="Arial" w:eastAsia="Times New Roman" w:hAnsi="Arial" w:cs="Arial"/>
                      <w:b/>
                      <w:bCs/>
                      <w:lang w:eastAsia="en-GB"/>
                    </w:rPr>
                    <w:t>3,535</w:t>
                  </w:r>
                </w:p>
              </w:tc>
              <w:tc>
                <w:tcPr>
                  <w:tcW w:w="1272" w:type="dxa"/>
                  <w:gridSpan w:val="2"/>
                  <w:tcBorders>
                    <w:top w:val="single" w:sz="4" w:space="0" w:color="auto"/>
                    <w:left w:val="nil"/>
                    <w:bottom w:val="single" w:sz="4" w:space="0" w:color="auto"/>
                    <w:right w:val="nil"/>
                  </w:tcBorders>
                  <w:shd w:val="clear" w:color="auto" w:fill="auto"/>
                  <w:noWrap/>
                  <w:vAlign w:val="center"/>
                </w:tcPr>
                <w:p w14:paraId="50412657" w14:textId="77777777" w:rsidR="00190D85" w:rsidRPr="00047E5C" w:rsidRDefault="00F8700E" w:rsidP="005B39D0">
                  <w:pPr>
                    <w:spacing w:after="0" w:line="240" w:lineRule="auto"/>
                    <w:jc w:val="right"/>
                    <w:rPr>
                      <w:rFonts w:ascii="Arial" w:eastAsia="Times New Roman" w:hAnsi="Arial" w:cs="Arial"/>
                      <w:b/>
                      <w:bCs/>
                      <w:lang w:eastAsia="en-GB"/>
                    </w:rPr>
                  </w:pPr>
                  <w:r w:rsidRPr="00047E5C">
                    <w:rPr>
                      <w:rFonts w:ascii="Arial" w:eastAsia="Times New Roman" w:hAnsi="Arial" w:cs="Arial"/>
                      <w:b/>
                      <w:bCs/>
                      <w:lang w:eastAsia="en-GB"/>
                    </w:rPr>
                    <w:t>7,02</w:t>
                  </w:r>
                  <w:r w:rsidR="00D21E4C" w:rsidRPr="00047E5C">
                    <w:rPr>
                      <w:rFonts w:ascii="Arial" w:eastAsia="Times New Roman" w:hAnsi="Arial" w:cs="Arial"/>
                      <w:b/>
                      <w:bCs/>
                      <w:lang w:eastAsia="en-GB"/>
                    </w:rPr>
                    <w:t>2</w:t>
                  </w:r>
                </w:p>
              </w:tc>
              <w:tc>
                <w:tcPr>
                  <w:tcW w:w="1071" w:type="dxa"/>
                  <w:gridSpan w:val="2"/>
                  <w:tcBorders>
                    <w:top w:val="single" w:sz="4" w:space="0" w:color="auto"/>
                    <w:left w:val="nil"/>
                    <w:bottom w:val="single" w:sz="4" w:space="0" w:color="auto"/>
                    <w:right w:val="nil"/>
                  </w:tcBorders>
                  <w:shd w:val="clear" w:color="auto" w:fill="auto"/>
                  <w:noWrap/>
                  <w:vAlign w:val="center"/>
                </w:tcPr>
                <w:p w14:paraId="6E68C36D" w14:textId="77777777" w:rsidR="00190D85" w:rsidRPr="00047E5C" w:rsidRDefault="004F3A06" w:rsidP="005B39D0">
                  <w:pPr>
                    <w:spacing w:after="0" w:line="240" w:lineRule="auto"/>
                    <w:jc w:val="right"/>
                    <w:rPr>
                      <w:rFonts w:ascii="Arial" w:eastAsia="Times New Roman" w:hAnsi="Arial" w:cs="Arial"/>
                      <w:b/>
                      <w:bCs/>
                      <w:lang w:eastAsia="en-GB"/>
                    </w:rPr>
                  </w:pPr>
                  <w:r w:rsidRPr="00047E5C">
                    <w:rPr>
                      <w:rFonts w:ascii="Arial" w:eastAsia="Times New Roman" w:hAnsi="Arial" w:cs="Arial"/>
                      <w:b/>
                      <w:bCs/>
                      <w:lang w:eastAsia="en-GB"/>
                    </w:rPr>
                    <w:t>60</w:t>
                  </w:r>
                  <w:r w:rsidR="00211F2A" w:rsidRPr="00047E5C">
                    <w:rPr>
                      <w:rFonts w:ascii="Arial" w:eastAsia="Times New Roman" w:hAnsi="Arial" w:cs="Arial"/>
                      <w:b/>
                      <w:bCs/>
                      <w:lang w:eastAsia="en-GB"/>
                    </w:rPr>
                    <w:t>,</w:t>
                  </w:r>
                  <w:r w:rsidR="005E5C6E" w:rsidRPr="00047E5C">
                    <w:rPr>
                      <w:rFonts w:ascii="Arial" w:eastAsia="Times New Roman" w:hAnsi="Arial" w:cs="Arial"/>
                      <w:b/>
                      <w:bCs/>
                      <w:lang w:eastAsia="en-GB"/>
                    </w:rPr>
                    <w:t>557</w:t>
                  </w:r>
                </w:p>
              </w:tc>
            </w:tr>
            <w:tr w:rsidR="00543D10" w:rsidRPr="00047E5C" w14:paraId="02C9CD30" w14:textId="77777777" w:rsidTr="0021571F">
              <w:trPr>
                <w:gridAfter w:val="1"/>
                <w:wAfter w:w="276" w:type="dxa"/>
                <w:trHeight w:val="325"/>
                <w:jc w:val="center"/>
              </w:trPr>
              <w:tc>
                <w:tcPr>
                  <w:tcW w:w="3781" w:type="dxa"/>
                  <w:tcBorders>
                    <w:top w:val="nil"/>
                    <w:left w:val="nil"/>
                    <w:bottom w:val="nil"/>
                    <w:right w:val="nil"/>
                  </w:tcBorders>
                  <w:shd w:val="clear" w:color="auto" w:fill="auto"/>
                  <w:noWrap/>
                  <w:vAlign w:val="center"/>
                  <w:hideMark/>
                </w:tcPr>
                <w:p w14:paraId="511A4F4A" w14:textId="77777777" w:rsidR="00190D85" w:rsidRPr="00047E5C" w:rsidRDefault="00190D85" w:rsidP="001F6984">
                  <w:pPr>
                    <w:spacing w:after="0" w:line="240" w:lineRule="auto"/>
                    <w:rPr>
                      <w:rFonts w:ascii="Arial" w:eastAsia="Times New Roman" w:hAnsi="Arial" w:cs="Arial"/>
                      <w:b/>
                      <w:bCs/>
                      <w:lang w:eastAsia="en-GB"/>
                    </w:rPr>
                  </w:pPr>
                </w:p>
              </w:tc>
              <w:tc>
                <w:tcPr>
                  <w:tcW w:w="287" w:type="dxa"/>
                  <w:tcBorders>
                    <w:top w:val="nil"/>
                    <w:left w:val="nil"/>
                    <w:bottom w:val="nil"/>
                    <w:right w:val="nil"/>
                  </w:tcBorders>
                  <w:shd w:val="clear" w:color="auto" w:fill="auto"/>
                  <w:noWrap/>
                  <w:vAlign w:val="bottom"/>
                  <w:hideMark/>
                </w:tcPr>
                <w:p w14:paraId="7960B33B" w14:textId="77777777" w:rsidR="00190D85" w:rsidRPr="00047E5C" w:rsidRDefault="00190D85" w:rsidP="001F6984">
                  <w:pPr>
                    <w:spacing w:after="0" w:line="240" w:lineRule="auto"/>
                    <w:rPr>
                      <w:rFonts w:ascii="Arial" w:eastAsia="Times New Roman" w:hAnsi="Arial" w:cs="Arial"/>
                      <w:lang w:eastAsia="en-GB"/>
                    </w:rPr>
                  </w:pPr>
                </w:p>
              </w:tc>
              <w:tc>
                <w:tcPr>
                  <w:tcW w:w="1105" w:type="dxa"/>
                  <w:gridSpan w:val="3"/>
                  <w:tcBorders>
                    <w:top w:val="nil"/>
                    <w:left w:val="nil"/>
                    <w:bottom w:val="nil"/>
                    <w:right w:val="nil"/>
                  </w:tcBorders>
                  <w:shd w:val="clear" w:color="auto" w:fill="auto"/>
                  <w:noWrap/>
                  <w:vAlign w:val="bottom"/>
                </w:tcPr>
                <w:p w14:paraId="0DC8C71D" w14:textId="77777777" w:rsidR="00190D85" w:rsidRPr="00047E5C" w:rsidRDefault="00190D85" w:rsidP="005B39D0">
                  <w:pPr>
                    <w:spacing w:after="0" w:line="240" w:lineRule="auto"/>
                    <w:jc w:val="right"/>
                    <w:rPr>
                      <w:rFonts w:ascii="Arial" w:eastAsia="Times New Roman" w:hAnsi="Arial" w:cs="Arial"/>
                      <w:lang w:eastAsia="en-GB"/>
                    </w:rPr>
                  </w:pPr>
                </w:p>
              </w:tc>
              <w:tc>
                <w:tcPr>
                  <w:tcW w:w="1480" w:type="dxa"/>
                  <w:gridSpan w:val="2"/>
                  <w:tcBorders>
                    <w:top w:val="nil"/>
                    <w:left w:val="nil"/>
                    <w:bottom w:val="nil"/>
                    <w:right w:val="nil"/>
                  </w:tcBorders>
                  <w:shd w:val="clear" w:color="auto" w:fill="auto"/>
                  <w:noWrap/>
                  <w:vAlign w:val="center"/>
                  <w:hideMark/>
                </w:tcPr>
                <w:p w14:paraId="6A8B4D91" w14:textId="77777777" w:rsidR="00190D85" w:rsidRPr="00047E5C" w:rsidRDefault="00190D85" w:rsidP="005B39D0">
                  <w:pPr>
                    <w:spacing w:after="0" w:line="240" w:lineRule="auto"/>
                    <w:jc w:val="right"/>
                    <w:rPr>
                      <w:rFonts w:ascii="Arial" w:eastAsia="Times New Roman" w:hAnsi="Arial" w:cs="Arial"/>
                      <w:lang w:eastAsia="en-GB"/>
                    </w:rPr>
                  </w:pPr>
                </w:p>
              </w:tc>
              <w:tc>
                <w:tcPr>
                  <w:tcW w:w="1272" w:type="dxa"/>
                  <w:gridSpan w:val="2"/>
                  <w:tcBorders>
                    <w:top w:val="nil"/>
                    <w:left w:val="nil"/>
                    <w:bottom w:val="nil"/>
                    <w:right w:val="nil"/>
                  </w:tcBorders>
                  <w:shd w:val="clear" w:color="auto" w:fill="auto"/>
                  <w:noWrap/>
                  <w:vAlign w:val="center"/>
                  <w:hideMark/>
                </w:tcPr>
                <w:p w14:paraId="7D2BB00E" w14:textId="77777777" w:rsidR="00190D85" w:rsidRPr="00047E5C" w:rsidRDefault="00190D85" w:rsidP="005B39D0">
                  <w:pPr>
                    <w:spacing w:after="0" w:line="240" w:lineRule="auto"/>
                    <w:jc w:val="right"/>
                    <w:rPr>
                      <w:rFonts w:ascii="Arial" w:eastAsia="Times New Roman" w:hAnsi="Arial" w:cs="Arial"/>
                      <w:lang w:eastAsia="en-GB"/>
                    </w:rPr>
                  </w:pPr>
                </w:p>
              </w:tc>
              <w:tc>
                <w:tcPr>
                  <w:tcW w:w="1071" w:type="dxa"/>
                  <w:gridSpan w:val="2"/>
                  <w:tcBorders>
                    <w:top w:val="nil"/>
                    <w:left w:val="nil"/>
                    <w:bottom w:val="nil"/>
                    <w:right w:val="nil"/>
                  </w:tcBorders>
                  <w:shd w:val="clear" w:color="auto" w:fill="auto"/>
                  <w:noWrap/>
                  <w:vAlign w:val="center"/>
                  <w:hideMark/>
                </w:tcPr>
                <w:p w14:paraId="100DF702" w14:textId="77777777" w:rsidR="00190D85" w:rsidRPr="00047E5C" w:rsidRDefault="00190D85" w:rsidP="005B39D0">
                  <w:pPr>
                    <w:spacing w:after="0" w:line="240" w:lineRule="auto"/>
                    <w:jc w:val="right"/>
                    <w:rPr>
                      <w:rFonts w:ascii="Arial" w:eastAsia="Times New Roman" w:hAnsi="Arial" w:cs="Arial"/>
                      <w:lang w:eastAsia="en-GB"/>
                    </w:rPr>
                  </w:pPr>
                </w:p>
              </w:tc>
            </w:tr>
            <w:tr w:rsidR="00543D10" w:rsidRPr="00047E5C" w14:paraId="14D5F880" w14:textId="77777777" w:rsidTr="0021571F">
              <w:trPr>
                <w:gridAfter w:val="1"/>
                <w:wAfter w:w="276" w:type="dxa"/>
                <w:trHeight w:val="325"/>
                <w:jc w:val="center"/>
              </w:trPr>
              <w:tc>
                <w:tcPr>
                  <w:tcW w:w="3781" w:type="dxa"/>
                  <w:tcBorders>
                    <w:top w:val="nil"/>
                    <w:left w:val="nil"/>
                    <w:bottom w:val="nil"/>
                    <w:right w:val="nil"/>
                  </w:tcBorders>
                  <w:shd w:val="clear" w:color="auto" w:fill="auto"/>
                  <w:noWrap/>
                  <w:vAlign w:val="center"/>
                  <w:hideMark/>
                </w:tcPr>
                <w:p w14:paraId="12D16C87" w14:textId="77777777" w:rsidR="00190D85" w:rsidRPr="00047E5C" w:rsidRDefault="00190D85" w:rsidP="001F6984">
                  <w:pPr>
                    <w:spacing w:after="0" w:line="240" w:lineRule="auto"/>
                    <w:rPr>
                      <w:rFonts w:ascii="Arial" w:eastAsia="Times New Roman" w:hAnsi="Arial" w:cs="Arial"/>
                      <w:b/>
                      <w:bCs/>
                      <w:lang w:eastAsia="en-GB"/>
                    </w:rPr>
                  </w:pPr>
                  <w:r w:rsidRPr="00047E5C">
                    <w:rPr>
                      <w:rFonts w:ascii="Arial" w:eastAsia="Times New Roman" w:hAnsi="Arial" w:cs="Arial"/>
                      <w:b/>
                      <w:bCs/>
                      <w:lang w:eastAsia="en-GB"/>
                    </w:rPr>
                    <w:t>Accumulated Amortisation</w:t>
                  </w:r>
                </w:p>
              </w:tc>
              <w:tc>
                <w:tcPr>
                  <w:tcW w:w="287" w:type="dxa"/>
                  <w:tcBorders>
                    <w:top w:val="nil"/>
                    <w:left w:val="nil"/>
                    <w:bottom w:val="nil"/>
                    <w:right w:val="nil"/>
                  </w:tcBorders>
                  <w:shd w:val="clear" w:color="auto" w:fill="auto"/>
                  <w:noWrap/>
                  <w:vAlign w:val="bottom"/>
                  <w:hideMark/>
                </w:tcPr>
                <w:p w14:paraId="073D3278" w14:textId="77777777" w:rsidR="00190D85" w:rsidRPr="00047E5C" w:rsidRDefault="00190D85" w:rsidP="001F6984">
                  <w:pPr>
                    <w:spacing w:after="0" w:line="240" w:lineRule="auto"/>
                    <w:rPr>
                      <w:rFonts w:ascii="Arial" w:eastAsia="Times New Roman" w:hAnsi="Arial" w:cs="Arial"/>
                      <w:b/>
                      <w:bCs/>
                      <w:lang w:eastAsia="en-GB"/>
                    </w:rPr>
                  </w:pPr>
                </w:p>
              </w:tc>
              <w:tc>
                <w:tcPr>
                  <w:tcW w:w="1105" w:type="dxa"/>
                  <w:gridSpan w:val="3"/>
                  <w:tcBorders>
                    <w:top w:val="nil"/>
                    <w:left w:val="nil"/>
                    <w:bottom w:val="nil"/>
                    <w:right w:val="nil"/>
                  </w:tcBorders>
                  <w:shd w:val="clear" w:color="auto" w:fill="auto"/>
                  <w:noWrap/>
                  <w:vAlign w:val="bottom"/>
                </w:tcPr>
                <w:p w14:paraId="51C5CB48" w14:textId="77777777" w:rsidR="00190D85" w:rsidRPr="00047E5C" w:rsidRDefault="00190D85" w:rsidP="005B39D0">
                  <w:pPr>
                    <w:spacing w:after="0" w:line="240" w:lineRule="auto"/>
                    <w:jc w:val="right"/>
                    <w:rPr>
                      <w:rFonts w:ascii="Arial" w:eastAsia="Times New Roman" w:hAnsi="Arial" w:cs="Arial"/>
                      <w:lang w:eastAsia="en-GB"/>
                    </w:rPr>
                  </w:pPr>
                </w:p>
              </w:tc>
              <w:tc>
                <w:tcPr>
                  <w:tcW w:w="1480" w:type="dxa"/>
                  <w:gridSpan w:val="2"/>
                  <w:tcBorders>
                    <w:top w:val="nil"/>
                    <w:left w:val="nil"/>
                    <w:right w:val="nil"/>
                  </w:tcBorders>
                  <w:shd w:val="clear" w:color="auto" w:fill="auto"/>
                  <w:noWrap/>
                  <w:vAlign w:val="center"/>
                  <w:hideMark/>
                </w:tcPr>
                <w:p w14:paraId="2C147102" w14:textId="77777777" w:rsidR="00190D85" w:rsidRPr="00047E5C" w:rsidRDefault="00190D85" w:rsidP="005B39D0">
                  <w:pPr>
                    <w:spacing w:after="0" w:line="240" w:lineRule="auto"/>
                    <w:jc w:val="right"/>
                    <w:rPr>
                      <w:rFonts w:ascii="Arial" w:eastAsia="Times New Roman" w:hAnsi="Arial" w:cs="Arial"/>
                      <w:lang w:eastAsia="en-GB"/>
                    </w:rPr>
                  </w:pPr>
                </w:p>
              </w:tc>
              <w:tc>
                <w:tcPr>
                  <w:tcW w:w="1272" w:type="dxa"/>
                  <w:gridSpan w:val="2"/>
                  <w:tcBorders>
                    <w:top w:val="nil"/>
                    <w:left w:val="nil"/>
                    <w:right w:val="nil"/>
                  </w:tcBorders>
                  <w:shd w:val="clear" w:color="auto" w:fill="auto"/>
                  <w:noWrap/>
                  <w:vAlign w:val="center"/>
                  <w:hideMark/>
                </w:tcPr>
                <w:p w14:paraId="27402A20" w14:textId="77777777" w:rsidR="00190D85" w:rsidRPr="00047E5C" w:rsidRDefault="00190D85" w:rsidP="005B39D0">
                  <w:pPr>
                    <w:spacing w:after="0" w:line="240" w:lineRule="auto"/>
                    <w:jc w:val="right"/>
                    <w:rPr>
                      <w:rFonts w:ascii="Arial" w:eastAsia="Times New Roman" w:hAnsi="Arial" w:cs="Arial"/>
                      <w:lang w:eastAsia="en-GB"/>
                    </w:rPr>
                  </w:pPr>
                </w:p>
              </w:tc>
              <w:tc>
                <w:tcPr>
                  <w:tcW w:w="1071" w:type="dxa"/>
                  <w:gridSpan w:val="2"/>
                  <w:tcBorders>
                    <w:top w:val="nil"/>
                    <w:left w:val="nil"/>
                    <w:right w:val="nil"/>
                  </w:tcBorders>
                  <w:shd w:val="clear" w:color="auto" w:fill="auto"/>
                  <w:noWrap/>
                  <w:vAlign w:val="center"/>
                  <w:hideMark/>
                </w:tcPr>
                <w:p w14:paraId="639CE3A4" w14:textId="77777777" w:rsidR="00190D85" w:rsidRPr="00047E5C" w:rsidRDefault="00190D85" w:rsidP="005B39D0">
                  <w:pPr>
                    <w:spacing w:after="0" w:line="240" w:lineRule="auto"/>
                    <w:jc w:val="right"/>
                    <w:rPr>
                      <w:rFonts w:ascii="Arial" w:eastAsia="Times New Roman" w:hAnsi="Arial" w:cs="Arial"/>
                      <w:lang w:eastAsia="en-GB"/>
                    </w:rPr>
                  </w:pPr>
                </w:p>
              </w:tc>
            </w:tr>
            <w:tr w:rsidR="00F07478" w:rsidRPr="00047E5C" w14:paraId="0485ADD2" w14:textId="77777777" w:rsidTr="0021571F">
              <w:trPr>
                <w:gridAfter w:val="1"/>
                <w:wAfter w:w="276" w:type="dxa"/>
                <w:trHeight w:val="325"/>
                <w:jc w:val="center"/>
              </w:trPr>
              <w:tc>
                <w:tcPr>
                  <w:tcW w:w="3781" w:type="dxa"/>
                  <w:tcBorders>
                    <w:top w:val="nil"/>
                    <w:left w:val="nil"/>
                    <w:bottom w:val="nil"/>
                    <w:right w:val="nil"/>
                  </w:tcBorders>
                  <w:shd w:val="clear" w:color="auto" w:fill="auto"/>
                  <w:noWrap/>
                  <w:vAlign w:val="center"/>
                  <w:hideMark/>
                </w:tcPr>
                <w:p w14:paraId="6FAB0BE2" w14:textId="77777777" w:rsidR="00F07478" w:rsidRPr="00047E5C" w:rsidRDefault="00F07478" w:rsidP="00F07478">
                  <w:pPr>
                    <w:spacing w:after="0" w:line="240" w:lineRule="auto"/>
                    <w:rPr>
                      <w:rFonts w:ascii="Arial" w:eastAsia="Times New Roman" w:hAnsi="Arial" w:cs="Arial"/>
                      <w:lang w:eastAsia="en-GB"/>
                    </w:rPr>
                  </w:pPr>
                  <w:r w:rsidRPr="00047E5C">
                    <w:rPr>
                      <w:rFonts w:ascii="Arial" w:eastAsia="Times New Roman" w:hAnsi="Arial" w:cs="Arial"/>
                      <w:lang w:eastAsia="en-GB"/>
                    </w:rPr>
                    <w:t>At 1 September 2019</w:t>
                  </w:r>
                </w:p>
              </w:tc>
              <w:tc>
                <w:tcPr>
                  <w:tcW w:w="287" w:type="dxa"/>
                  <w:tcBorders>
                    <w:top w:val="nil"/>
                    <w:left w:val="nil"/>
                    <w:bottom w:val="nil"/>
                    <w:right w:val="nil"/>
                  </w:tcBorders>
                  <w:shd w:val="clear" w:color="auto" w:fill="auto"/>
                  <w:noWrap/>
                  <w:vAlign w:val="bottom"/>
                  <w:hideMark/>
                </w:tcPr>
                <w:p w14:paraId="0FF3BE96" w14:textId="77777777" w:rsidR="00F07478" w:rsidRPr="00047E5C" w:rsidRDefault="00F07478" w:rsidP="00F07478">
                  <w:pPr>
                    <w:spacing w:after="0" w:line="240" w:lineRule="auto"/>
                    <w:rPr>
                      <w:rFonts w:ascii="Arial" w:eastAsia="Times New Roman" w:hAnsi="Arial" w:cs="Arial"/>
                      <w:lang w:eastAsia="en-GB"/>
                    </w:rPr>
                  </w:pPr>
                </w:p>
              </w:tc>
              <w:tc>
                <w:tcPr>
                  <w:tcW w:w="1105" w:type="dxa"/>
                  <w:gridSpan w:val="3"/>
                  <w:tcBorders>
                    <w:top w:val="nil"/>
                    <w:left w:val="nil"/>
                    <w:bottom w:val="nil"/>
                    <w:right w:val="nil"/>
                  </w:tcBorders>
                  <w:shd w:val="clear" w:color="auto" w:fill="auto"/>
                  <w:noWrap/>
                  <w:vAlign w:val="center"/>
                </w:tcPr>
                <w:p w14:paraId="14E3401C" w14:textId="77777777" w:rsidR="00F07478" w:rsidRPr="00047E5C" w:rsidRDefault="00F07478" w:rsidP="00F07478">
                  <w:pPr>
                    <w:spacing w:after="0" w:line="240" w:lineRule="auto"/>
                    <w:jc w:val="right"/>
                    <w:rPr>
                      <w:rFonts w:ascii="Arial" w:eastAsia="Times New Roman" w:hAnsi="Arial" w:cs="Arial"/>
                      <w:lang w:eastAsia="en-GB"/>
                    </w:rPr>
                  </w:pPr>
                </w:p>
              </w:tc>
              <w:tc>
                <w:tcPr>
                  <w:tcW w:w="1480" w:type="dxa"/>
                  <w:gridSpan w:val="2"/>
                  <w:tcBorders>
                    <w:left w:val="nil"/>
                    <w:right w:val="nil"/>
                  </w:tcBorders>
                  <w:shd w:val="clear" w:color="auto" w:fill="auto"/>
                  <w:noWrap/>
                  <w:vAlign w:val="center"/>
                  <w:hideMark/>
                </w:tcPr>
                <w:p w14:paraId="6D1F2DD0" w14:textId="77777777" w:rsidR="00F07478" w:rsidRPr="00047E5C" w:rsidRDefault="00F07478" w:rsidP="00F07478">
                  <w:pPr>
                    <w:spacing w:after="0" w:line="240" w:lineRule="auto"/>
                    <w:jc w:val="right"/>
                    <w:rPr>
                      <w:rFonts w:ascii="Arial" w:eastAsia="Times New Roman" w:hAnsi="Arial" w:cs="Arial"/>
                      <w:lang w:eastAsia="en-GB"/>
                    </w:rPr>
                  </w:pPr>
                  <w:r w:rsidRPr="00047E5C">
                    <w:rPr>
                      <w:rFonts w:ascii="Arial" w:eastAsia="Times New Roman" w:hAnsi="Arial" w:cs="Arial"/>
                      <w:bCs/>
                      <w:lang w:eastAsia="en-GB"/>
                    </w:rPr>
                    <w:t>(34,893)</w:t>
                  </w:r>
                </w:p>
              </w:tc>
              <w:tc>
                <w:tcPr>
                  <w:tcW w:w="1272" w:type="dxa"/>
                  <w:gridSpan w:val="2"/>
                  <w:tcBorders>
                    <w:left w:val="nil"/>
                    <w:right w:val="nil"/>
                  </w:tcBorders>
                  <w:shd w:val="clear" w:color="auto" w:fill="auto"/>
                  <w:noWrap/>
                  <w:vAlign w:val="center"/>
                  <w:hideMark/>
                </w:tcPr>
                <w:p w14:paraId="602D74E1" w14:textId="77777777" w:rsidR="00F07478" w:rsidRPr="00047E5C" w:rsidRDefault="00F07478" w:rsidP="00F07478">
                  <w:pPr>
                    <w:spacing w:after="0" w:line="240" w:lineRule="auto"/>
                    <w:jc w:val="right"/>
                    <w:rPr>
                      <w:rFonts w:ascii="Arial" w:eastAsia="Times New Roman" w:hAnsi="Arial" w:cs="Arial"/>
                      <w:lang w:eastAsia="en-GB"/>
                    </w:rPr>
                  </w:pPr>
                  <w:r w:rsidRPr="00047E5C">
                    <w:rPr>
                      <w:rFonts w:ascii="Arial" w:eastAsia="Times New Roman" w:hAnsi="Arial" w:cs="Arial"/>
                      <w:bCs/>
                      <w:lang w:eastAsia="en-GB"/>
                    </w:rPr>
                    <w:t>(7,341)</w:t>
                  </w:r>
                </w:p>
              </w:tc>
              <w:tc>
                <w:tcPr>
                  <w:tcW w:w="1071" w:type="dxa"/>
                  <w:gridSpan w:val="2"/>
                  <w:tcBorders>
                    <w:left w:val="nil"/>
                    <w:right w:val="nil"/>
                  </w:tcBorders>
                  <w:shd w:val="clear" w:color="auto" w:fill="auto"/>
                  <w:noWrap/>
                  <w:vAlign w:val="center"/>
                  <w:hideMark/>
                </w:tcPr>
                <w:p w14:paraId="4AE9C05E" w14:textId="77777777" w:rsidR="00F07478" w:rsidRPr="00047E5C" w:rsidRDefault="00F07478" w:rsidP="00F07478">
                  <w:pPr>
                    <w:spacing w:after="0" w:line="240" w:lineRule="auto"/>
                    <w:jc w:val="right"/>
                    <w:rPr>
                      <w:rFonts w:ascii="Arial" w:eastAsia="Times New Roman" w:hAnsi="Arial" w:cs="Arial"/>
                      <w:lang w:eastAsia="en-GB"/>
                    </w:rPr>
                  </w:pPr>
                  <w:r w:rsidRPr="00047E5C">
                    <w:rPr>
                      <w:rFonts w:ascii="Arial" w:eastAsia="Times New Roman" w:hAnsi="Arial" w:cs="Arial"/>
                      <w:bCs/>
                      <w:lang w:eastAsia="en-GB"/>
                    </w:rPr>
                    <w:t>(42,234)</w:t>
                  </w:r>
                </w:p>
              </w:tc>
            </w:tr>
            <w:tr w:rsidR="00543D10" w:rsidRPr="00047E5C" w14:paraId="7CF01963" w14:textId="77777777" w:rsidTr="0021571F">
              <w:trPr>
                <w:gridAfter w:val="1"/>
                <w:wAfter w:w="276" w:type="dxa"/>
                <w:trHeight w:val="325"/>
                <w:jc w:val="center"/>
              </w:trPr>
              <w:tc>
                <w:tcPr>
                  <w:tcW w:w="3781" w:type="dxa"/>
                  <w:tcBorders>
                    <w:top w:val="nil"/>
                    <w:left w:val="nil"/>
                    <w:bottom w:val="nil"/>
                    <w:right w:val="nil"/>
                  </w:tcBorders>
                  <w:shd w:val="clear" w:color="auto" w:fill="auto"/>
                  <w:noWrap/>
                  <w:vAlign w:val="center"/>
                  <w:hideMark/>
                </w:tcPr>
                <w:p w14:paraId="1769F256" w14:textId="77777777" w:rsidR="00190D85" w:rsidRPr="00047E5C" w:rsidRDefault="00190D85" w:rsidP="001F6984">
                  <w:pPr>
                    <w:spacing w:after="0" w:line="240" w:lineRule="auto"/>
                    <w:rPr>
                      <w:rFonts w:ascii="Arial" w:eastAsia="Times New Roman" w:hAnsi="Arial" w:cs="Arial"/>
                      <w:lang w:eastAsia="en-GB"/>
                    </w:rPr>
                  </w:pPr>
                  <w:r w:rsidRPr="00047E5C">
                    <w:rPr>
                      <w:rFonts w:ascii="Arial" w:eastAsia="Times New Roman" w:hAnsi="Arial" w:cs="Arial"/>
                      <w:lang w:eastAsia="en-GB"/>
                    </w:rPr>
                    <w:t>Charge for the year</w:t>
                  </w:r>
                </w:p>
              </w:tc>
              <w:tc>
                <w:tcPr>
                  <w:tcW w:w="287" w:type="dxa"/>
                  <w:tcBorders>
                    <w:top w:val="nil"/>
                    <w:left w:val="nil"/>
                    <w:bottom w:val="nil"/>
                    <w:right w:val="nil"/>
                  </w:tcBorders>
                  <w:shd w:val="clear" w:color="auto" w:fill="auto"/>
                  <w:noWrap/>
                  <w:vAlign w:val="bottom"/>
                  <w:hideMark/>
                </w:tcPr>
                <w:p w14:paraId="568284B0" w14:textId="77777777" w:rsidR="00190D85" w:rsidRPr="00047E5C" w:rsidRDefault="00190D85" w:rsidP="001F6984">
                  <w:pPr>
                    <w:spacing w:after="0" w:line="240" w:lineRule="auto"/>
                    <w:rPr>
                      <w:rFonts w:ascii="Arial" w:eastAsia="Times New Roman" w:hAnsi="Arial" w:cs="Arial"/>
                      <w:lang w:eastAsia="en-GB"/>
                    </w:rPr>
                  </w:pPr>
                </w:p>
              </w:tc>
              <w:tc>
                <w:tcPr>
                  <w:tcW w:w="1105" w:type="dxa"/>
                  <w:gridSpan w:val="3"/>
                  <w:tcBorders>
                    <w:top w:val="nil"/>
                    <w:left w:val="nil"/>
                    <w:bottom w:val="nil"/>
                    <w:right w:val="nil"/>
                  </w:tcBorders>
                  <w:shd w:val="clear" w:color="auto" w:fill="auto"/>
                  <w:noWrap/>
                  <w:vAlign w:val="center"/>
                </w:tcPr>
                <w:p w14:paraId="68293DA9" w14:textId="77777777" w:rsidR="00190D85" w:rsidRPr="00047E5C" w:rsidRDefault="00190D85" w:rsidP="005B39D0">
                  <w:pPr>
                    <w:spacing w:after="0" w:line="240" w:lineRule="auto"/>
                    <w:jc w:val="right"/>
                    <w:rPr>
                      <w:rFonts w:ascii="Arial" w:eastAsia="Times New Roman" w:hAnsi="Arial" w:cs="Arial"/>
                      <w:lang w:eastAsia="en-GB"/>
                    </w:rPr>
                  </w:pPr>
                </w:p>
              </w:tc>
              <w:tc>
                <w:tcPr>
                  <w:tcW w:w="1480" w:type="dxa"/>
                  <w:gridSpan w:val="2"/>
                  <w:tcBorders>
                    <w:left w:val="nil"/>
                    <w:bottom w:val="nil"/>
                    <w:right w:val="nil"/>
                  </w:tcBorders>
                  <w:shd w:val="clear" w:color="auto" w:fill="auto"/>
                  <w:noWrap/>
                  <w:vAlign w:val="center"/>
                </w:tcPr>
                <w:p w14:paraId="112F618D" w14:textId="77777777" w:rsidR="00190D85" w:rsidRPr="00047E5C" w:rsidRDefault="004F3A06" w:rsidP="005B39D0">
                  <w:pPr>
                    <w:spacing w:after="0" w:line="240" w:lineRule="auto"/>
                    <w:jc w:val="right"/>
                    <w:rPr>
                      <w:rFonts w:ascii="Arial" w:eastAsia="Times New Roman" w:hAnsi="Arial" w:cs="Arial"/>
                      <w:lang w:eastAsia="en-GB"/>
                    </w:rPr>
                  </w:pPr>
                  <w:r w:rsidRPr="00047E5C">
                    <w:rPr>
                      <w:rFonts w:ascii="Arial" w:eastAsia="Times New Roman" w:hAnsi="Arial" w:cs="Arial"/>
                      <w:lang w:eastAsia="en-GB"/>
                    </w:rPr>
                    <w:t>(7,643</w:t>
                  </w:r>
                  <w:r w:rsidR="00211F2A" w:rsidRPr="00047E5C">
                    <w:rPr>
                      <w:rFonts w:ascii="Arial" w:eastAsia="Times New Roman" w:hAnsi="Arial" w:cs="Arial"/>
                      <w:lang w:eastAsia="en-GB"/>
                    </w:rPr>
                    <w:t>)</w:t>
                  </w:r>
                </w:p>
              </w:tc>
              <w:tc>
                <w:tcPr>
                  <w:tcW w:w="1272" w:type="dxa"/>
                  <w:gridSpan w:val="2"/>
                  <w:tcBorders>
                    <w:left w:val="nil"/>
                    <w:bottom w:val="nil"/>
                    <w:right w:val="nil"/>
                  </w:tcBorders>
                  <w:shd w:val="clear" w:color="auto" w:fill="auto"/>
                  <w:noWrap/>
                  <w:vAlign w:val="center"/>
                </w:tcPr>
                <w:p w14:paraId="61BE19F0" w14:textId="77777777" w:rsidR="00190D85" w:rsidRPr="00047E5C" w:rsidRDefault="005E5C6E" w:rsidP="005B39D0">
                  <w:pPr>
                    <w:spacing w:after="0" w:line="240" w:lineRule="auto"/>
                    <w:jc w:val="right"/>
                    <w:rPr>
                      <w:rFonts w:ascii="Arial" w:eastAsia="Times New Roman" w:hAnsi="Arial" w:cs="Arial"/>
                      <w:lang w:eastAsia="en-GB"/>
                    </w:rPr>
                  </w:pPr>
                  <w:r w:rsidRPr="00047E5C">
                    <w:rPr>
                      <w:rFonts w:ascii="Arial" w:eastAsia="Times New Roman" w:hAnsi="Arial" w:cs="Arial"/>
                      <w:lang w:eastAsia="en-GB"/>
                    </w:rPr>
                    <w:t>(561</w:t>
                  </w:r>
                  <w:r w:rsidR="00211F2A" w:rsidRPr="00047E5C">
                    <w:rPr>
                      <w:rFonts w:ascii="Arial" w:eastAsia="Times New Roman" w:hAnsi="Arial" w:cs="Arial"/>
                      <w:lang w:eastAsia="en-GB"/>
                    </w:rPr>
                    <w:t>)</w:t>
                  </w:r>
                </w:p>
              </w:tc>
              <w:tc>
                <w:tcPr>
                  <w:tcW w:w="1071" w:type="dxa"/>
                  <w:gridSpan w:val="2"/>
                  <w:tcBorders>
                    <w:left w:val="nil"/>
                    <w:bottom w:val="nil"/>
                    <w:right w:val="nil"/>
                  </w:tcBorders>
                  <w:shd w:val="clear" w:color="auto" w:fill="auto"/>
                  <w:noWrap/>
                  <w:vAlign w:val="center"/>
                </w:tcPr>
                <w:p w14:paraId="54F60379" w14:textId="77777777" w:rsidR="00190D85" w:rsidRPr="00047E5C" w:rsidRDefault="005E5C6E" w:rsidP="005B39D0">
                  <w:pPr>
                    <w:spacing w:after="0" w:line="240" w:lineRule="auto"/>
                    <w:jc w:val="right"/>
                    <w:rPr>
                      <w:rFonts w:ascii="Arial" w:eastAsia="Times New Roman" w:hAnsi="Arial" w:cs="Arial"/>
                      <w:lang w:eastAsia="en-GB"/>
                    </w:rPr>
                  </w:pPr>
                  <w:r w:rsidRPr="00047E5C">
                    <w:rPr>
                      <w:rFonts w:ascii="Arial" w:eastAsia="Times New Roman" w:hAnsi="Arial" w:cs="Arial"/>
                      <w:lang w:eastAsia="en-GB"/>
                    </w:rPr>
                    <w:t>(8,204</w:t>
                  </w:r>
                  <w:r w:rsidR="00211F2A" w:rsidRPr="00047E5C">
                    <w:rPr>
                      <w:rFonts w:ascii="Arial" w:eastAsia="Times New Roman" w:hAnsi="Arial" w:cs="Arial"/>
                      <w:lang w:eastAsia="en-GB"/>
                    </w:rPr>
                    <w:t>)</w:t>
                  </w:r>
                </w:p>
              </w:tc>
            </w:tr>
            <w:tr w:rsidR="00594D0D" w:rsidRPr="00047E5C" w14:paraId="1F9EA330" w14:textId="77777777" w:rsidTr="0021571F">
              <w:trPr>
                <w:gridAfter w:val="1"/>
                <w:wAfter w:w="276" w:type="dxa"/>
                <w:trHeight w:val="325"/>
                <w:jc w:val="center"/>
              </w:trPr>
              <w:tc>
                <w:tcPr>
                  <w:tcW w:w="3781" w:type="dxa"/>
                  <w:tcBorders>
                    <w:top w:val="nil"/>
                    <w:left w:val="nil"/>
                    <w:bottom w:val="nil"/>
                    <w:right w:val="nil"/>
                  </w:tcBorders>
                  <w:shd w:val="clear" w:color="auto" w:fill="auto"/>
                  <w:noWrap/>
                  <w:vAlign w:val="bottom"/>
                </w:tcPr>
                <w:p w14:paraId="220AE267" w14:textId="77777777" w:rsidR="00594D0D" w:rsidRPr="00047E5C" w:rsidRDefault="00594D0D" w:rsidP="006647C2">
                  <w:pPr>
                    <w:spacing w:after="0" w:line="240" w:lineRule="auto"/>
                    <w:rPr>
                      <w:rFonts w:ascii="Arial" w:eastAsia="Times New Roman" w:hAnsi="Arial" w:cs="Arial"/>
                      <w:lang w:eastAsia="en-GB"/>
                    </w:rPr>
                  </w:pPr>
                  <w:r w:rsidRPr="00047E5C">
                    <w:rPr>
                      <w:rFonts w:ascii="Arial" w:eastAsia="Times New Roman" w:hAnsi="Arial" w:cs="Arial"/>
                      <w:lang w:eastAsia="en-GB"/>
                    </w:rPr>
                    <w:t>Disposal of subsidiary</w:t>
                  </w:r>
                </w:p>
              </w:tc>
              <w:tc>
                <w:tcPr>
                  <w:tcW w:w="287" w:type="dxa"/>
                  <w:tcBorders>
                    <w:top w:val="nil"/>
                    <w:left w:val="nil"/>
                    <w:bottom w:val="nil"/>
                    <w:right w:val="nil"/>
                  </w:tcBorders>
                  <w:shd w:val="clear" w:color="auto" w:fill="auto"/>
                  <w:noWrap/>
                  <w:vAlign w:val="bottom"/>
                </w:tcPr>
                <w:p w14:paraId="169C5194" w14:textId="77777777" w:rsidR="00594D0D" w:rsidRPr="00047E5C" w:rsidRDefault="00594D0D" w:rsidP="001F6984">
                  <w:pPr>
                    <w:spacing w:after="0" w:line="240" w:lineRule="auto"/>
                    <w:outlineLvl w:val="0"/>
                    <w:rPr>
                      <w:rFonts w:ascii="Arial" w:eastAsia="Times New Roman" w:hAnsi="Arial" w:cs="Arial"/>
                      <w:lang w:eastAsia="en-GB"/>
                    </w:rPr>
                  </w:pPr>
                </w:p>
              </w:tc>
              <w:tc>
                <w:tcPr>
                  <w:tcW w:w="1105" w:type="dxa"/>
                  <w:gridSpan w:val="3"/>
                  <w:tcBorders>
                    <w:top w:val="nil"/>
                    <w:left w:val="nil"/>
                    <w:bottom w:val="nil"/>
                    <w:right w:val="nil"/>
                  </w:tcBorders>
                  <w:shd w:val="clear" w:color="auto" w:fill="auto"/>
                  <w:noWrap/>
                  <w:vAlign w:val="center"/>
                </w:tcPr>
                <w:p w14:paraId="05F24B2C" w14:textId="77777777" w:rsidR="00594D0D" w:rsidRPr="00047E5C" w:rsidRDefault="00594D0D" w:rsidP="005B39D0">
                  <w:pPr>
                    <w:spacing w:after="0" w:line="240" w:lineRule="auto"/>
                    <w:jc w:val="right"/>
                    <w:outlineLvl w:val="0"/>
                    <w:rPr>
                      <w:rFonts w:ascii="Arial" w:eastAsia="Times New Roman" w:hAnsi="Arial" w:cs="Arial"/>
                      <w:lang w:eastAsia="en-GB"/>
                    </w:rPr>
                  </w:pPr>
                </w:p>
              </w:tc>
              <w:tc>
                <w:tcPr>
                  <w:tcW w:w="1480" w:type="dxa"/>
                  <w:gridSpan w:val="2"/>
                  <w:tcBorders>
                    <w:top w:val="nil"/>
                    <w:left w:val="nil"/>
                    <w:bottom w:val="nil"/>
                    <w:right w:val="nil"/>
                  </w:tcBorders>
                  <w:shd w:val="clear" w:color="auto" w:fill="auto"/>
                  <w:noWrap/>
                  <w:vAlign w:val="center"/>
                </w:tcPr>
                <w:p w14:paraId="3B3A9780" w14:textId="77777777" w:rsidR="00594D0D" w:rsidRPr="00047E5C" w:rsidRDefault="00594D0D" w:rsidP="005B39D0">
                  <w:pPr>
                    <w:spacing w:after="0" w:line="240" w:lineRule="auto"/>
                    <w:jc w:val="right"/>
                    <w:outlineLvl w:val="0"/>
                    <w:rPr>
                      <w:rFonts w:ascii="Arial" w:eastAsia="Times New Roman" w:hAnsi="Arial" w:cs="Arial"/>
                      <w:lang w:eastAsia="en-GB"/>
                    </w:rPr>
                  </w:pPr>
                  <w:r w:rsidRPr="00047E5C">
                    <w:rPr>
                      <w:rFonts w:ascii="Arial" w:eastAsia="Times New Roman" w:hAnsi="Arial" w:cs="Arial"/>
                      <w:lang w:eastAsia="en-GB"/>
                    </w:rPr>
                    <w:t>2,881</w:t>
                  </w:r>
                </w:p>
              </w:tc>
              <w:tc>
                <w:tcPr>
                  <w:tcW w:w="1272" w:type="dxa"/>
                  <w:gridSpan w:val="2"/>
                  <w:tcBorders>
                    <w:top w:val="nil"/>
                    <w:left w:val="nil"/>
                    <w:bottom w:val="nil"/>
                    <w:right w:val="nil"/>
                  </w:tcBorders>
                  <w:shd w:val="clear" w:color="auto" w:fill="auto"/>
                  <w:noWrap/>
                  <w:vAlign w:val="center"/>
                </w:tcPr>
                <w:p w14:paraId="51D2CC09" w14:textId="77777777" w:rsidR="00594D0D" w:rsidRPr="00047E5C" w:rsidRDefault="00594D0D" w:rsidP="005B39D0">
                  <w:pPr>
                    <w:spacing w:after="0" w:line="240" w:lineRule="auto"/>
                    <w:jc w:val="right"/>
                    <w:outlineLvl w:val="0"/>
                    <w:rPr>
                      <w:rFonts w:ascii="Arial" w:eastAsia="Times New Roman" w:hAnsi="Arial" w:cs="Arial"/>
                      <w:lang w:eastAsia="en-GB"/>
                    </w:rPr>
                  </w:pPr>
                  <w:r w:rsidRPr="00047E5C">
                    <w:rPr>
                      <w:rFonts w:ascii="Arial" w:eastAsia="Times New Roman" w:hAnsi="Arial" w:cs="Arial"/>
                      <w:lang w:eastAsia="en-GB"/>
                    </w:rPr>
                    <w:t>-</w:t>
                  </w:r>
                </w:p>
              </w:tc>
              <w:tc>
                <w:tcPr>
                  <w:tcW w:w="1071" w:type="dxa"/>
                  <w:gridSpan w:val="2"/>
                  <w:tcBorders>
                    <w:top w:val="nil"/>
                    <w:left w:val="nil"/>
                    <w:bottom w:val="nil"/>
                    <w:right w:val="nil"/>
                  </w:tcBorders>
                  <w:shd w:val="clear" w:color="auto" w:fill="auto"/>
                  <w:noWrap/>
                  <w:vAlign w:val="center"/>
                </w:tcPr>
                <w:p w14:paraId="1EEA5A80" w14:textId="77777777" w:rsidR="00594D0D" w:rsidRPr="00047E5C" w:rsidRDefault="00594D0D">
                  <w:pPr>
                    <w:spacing w:after="0" w:line="240" w:lineRule="auto"/>
                    <w:jc w:val="right"/>
                    <w:outlineLvl w:val="0"/>
                    <w:rPr>
                      <w:rFonts w:ascii="Arial" w:eastAsia="Times New Roman" w:hAnsi="Arial" w:cs="Arial"/>
                      <w:lang w:eastAsia="en-GB"/>
                    </w:rPr>
                  </w:pPr>
                  <w:r w:rsidRPr="00047E5C">
                    <w:rPr>
                      <w:rFonts w:ascii="Arial" w:eastAsia="Times New Roman" w:hAnsi="Arial" w:cs="Arial"/>
                      <w:lang w:eastAsia="en-GB"/>
                    </w:rPr>
                    <w:t>2,881</w:t>
                  </w:r>
                </w:p>
              </w:tc>
            </w:tr>
            <w:tr w:rsidR="00543D10" w:rsidRPr="00047E5C" w14:paraId="715CA63F" w14:textId="77777777" w:rsidTr="0021571F">
              <w:trPr>
                <w:gridAfter w:val="1"/>
                <w:wAfter w:w="276" w:type="dxa"/>
                <w:trHeight w:val="325"/>
                <w:jc w:val="center"/>
              </w:trPr>
              <w:tc>
                <w:tcPr>
                  <w:tcW w:w="3781" w:type="dxa"/>
                  <w:tcBorders>
                    <w:top w:val="nil"/>
                    <w:left w:val="nil"/>
                    <w:bottom w:val="nil"/>
                    <w:right w:val="nil"/>
                  </w:tcBorders>
                  <w:shd w:val="clear" w:color="auto" w:fill="auto"/>
                  <w:noWrap/>
                  <w:vAlign w:val="bottom"/>
                  <w:hideMark/>
                </w:tcPr>
                <w:p w14:paraId="23E7353E" w14:textId="77777777" w:rsidR="00190D85" w:rsidRPr="00047E5C" w:rsidRDefault="00B14700" w:rsidP="006647C2">
                  <w:pPr>
                    <w:spacing w:after="0" w:line="240" w:lineRule="auto"/>
                    <w:rPr>
                      <w:rFonts w:ascii="Arial" w:eastAsia="Times New Roman" w:hAnsi="Arial" w:cs="Arial"/>
                      <w:lang w:eastAsia="en-GB"/>
                    </w:rPr>
                  </w:pPr>
                  <w:r w:rsidRPr="00047E5C">
                    <w:rPr>
                      <w:rFonts w:ascii="Arial" w:eastAsia="Times New Roman" w:hAnsi="Arial" w:cs="Arial"/>
                      <w:lang w:eastAsia="en-GB"/>
                    </w:rPr>
                    <w:t>D</w:t>
                  </w:r>
                  <w:r w:rsidR="00190D85" w:rsidRPr="00047E5C">
                    <w:rPr>
                      <w:rFonts w:ascii="Arial" w:eastAsia="Times New Roman" w:hAnsi="Arial" w:cs="Arial"/>
                      <w:lang w:eastAsia="en-GB"/>
                    </w:rPr>
                    <w:t>isposals</w:t>
                  </w:r>
                </w:p>
              </w:tc>
              <w:tc>
                <w:tcPr>
                  <w:tcW w:w="287" w:type="dxa"/>
                  <w:tcBorders>
                    <w:top w:val="nil"/>
                    <w:left w:val="nil"/>
                    <w:bottom w:val="nil"/>
                    <w:right w:val="nil"/>
                  </w:tcBorders>
                  <w:shd w:val="clear" w:color="auto" w:fill="auto"/>
                  <w:noWrap/>
                  <w:vAlign w:val="bottom"/>
                  <w:hideMark/>
                </w:tcPr>
                <w:p w14:paraId="77F245F7" w14:textId="77777777" w:rsidR="00190D85" w:rsidRPr="00047E5C" w:rsidRDefault="00190D85" w:rsidP="001F6984">
                  <w:pPr>
                    <w:spacing w:after="0" w:line="240" w:lineRule="auto"/>
                    <w:outlineLvl w:val="0"/>
                    <w:rPr>
                      <w:rFonts w:ascii="Arial" w:eastAsia="Times New Roman" w:hAnsi="Arial" w:cs="Arial"/>
                      <w:lang w:eastAsia="en-GB"/>
                    </w:rPr>
                  </w:pPr>
                </w:p>
              </w:tc>
              <w:tc>
                <w:tcPr>
                  <w:tcW w:w="1105" w:type="dxa"/>
                  <w:gridSpan w:val="3"/>
                  <w:tcBorders>
                    <w:top w:val="nil"/>
                    <w:left w:val="nil"/>
                    <w:bottom w:val="nil"/>
                    <w:right w:val="nil"/>
                  </w:tcBorders>
                  <w:shd w:val="clear" w:color="auto" w:fill="auto"/>
                  <w:noWrap/>
                  <w:vAlign w:val="center"/>
                </w:tcPr>
                <w:p w14:paraId="247308A6" w14:textId="77777777" w:rsidR="00190D85" w:rsidRPr="00047E5C" w:rsidRDefault="00190D85" w:rsidP="005B39D0">
                  <w:pPr>
                    <w:spacing w:after="0" w:line="240" w:lineRule="auto"/>
                    <w:jc w:val="right"/>
                    <w:outlineLvl w:val="0"/>
                    <w:rPr>
                      <w:rFonts w:ascii="Arial" w:eastAsia="Times New Roman" w:hAnsi="Arial" w:cs="Arial"/>
                      <w:lang w:eastAsia="en-GB"/>
                    </w:rPr>
                  </w:pPr>
                </w:p>
              </w:tc>
              <w:tc>
                <w:tcPr>
                  <w:tcW w:w="1480" w:type="dxa"/>
                  <w:gridSpan w:val="2"/>
                  <w:tcBorders>
                    <w:top w:val="nil"/>
                    <w:left w:val="nil"/>
                    <w:bottom w:val="nil"/>
                    <w:right w:val="nil"/>
                  </w:tcBorders>
                  <w:shd w:val="clear" w:color="auto" w:fill="auto"/>
                  <w:noWrap/>
                  <w:vAlign w:val="center"/>
                </w:tcPr>
                <w:p w14:paraId="6C1F7BC7" w14:textId="77777777" w:rsidR="00190D85" w:rsidRPr="00047E5C" w:rsidRDefault="00594D0D" w:rsidP="005B39D0">
                  <w:pPr>
                    <w:spacing w:after="0" w:line="240" w:lineRule="auto"/>
                    <w:jc w:val="right"/>
                    <w:outlineLvl w:val="0"/>
                    <w:rPr>
                      <w:rFonts w:ascii="Arial" w:eastAsia="Times New Roman" w:hAnsi="Arial" w:cs="Arial"/>
                      <w:lang w:eastAsia="en-GB"/>
                    </w:rPr>
                  </w:pPr>
                  <w:r w:rsidRPr="00047E5C">
                    <w:rPr>
                      <w:rFonts w:ascii="Arial" w:eastAsia="Times New Roman" w:hAnsi="Arial" w:cs="Arial"/>
                      <w:lang w:eastAsia="en-GB"/>
                    </w:rPr>
                    <w:t>-</w:t>
                  </w:r>
                </w:p>
              </w:tc>
              <w:tc>
                <w:tcPr>
                  <w:tcW w:w="1272" w:type="dxa"/>
                  <w:gridSpan w:val="2"/>
                  <w:tcBorders>
                    <w:top w:val="nil"/>
                    <w:left w:val="nil"/>
                    <w:bottom w:val="nil"/>
                    <w:right w:val="nil"/>
                  </w:tcBorders>
                  <w:shd w:val="clear" w:color="auto" w:fill="auto"/>
                  <w:noWrap/>
                  <w:vAlign w:val="center"/>
                </w:tcPr>
                <w:p w14:paraId="0EDC7955" w14:textId="77777777" w:rsidR="00190D85" w:rsidRPr="00047E5C" w:rsidRDefault="00211F2A" w:rsidP="005B39D0">
                  <w:pPr>
                    <w:spacing w:after="0" w:line="240" w:lineRule="auto"/>
                    <w:jc w:val="right"/>
                    <w:outlineLvl w:val="0"/>
                    <w:rPr>
                      <w:rFonts w:ascii="Arial" w:eastAsia="Times New Roman" w:hAnsi="Arial" w:cs="Arial"/>
                      <w:lang w:eastAsia="en-GB"/>
                    </w:rPr>
                  </w:pPr>
                  <w:r w:rsidRPr="00047E5C">
                    <w:rPr>
                      <w:rFonts w:ascii="Arial" w:eastAsia="Times New Roman" w:hAnsi="Arial" w:cs="Arial"/>
                      <w:lang w:eastAsia="en-GB"/>
                    </w:rPr>
                    <w:t>1,2</w:t>
                  </w:r>
                  <w:r w:rsidR="004F3A06" w:rsidRPr="00047E5C">
                    <w:rPr>
                      <w:rFonts w:ascii="Arial" w:eastAsia="Times New Roman" w:hAnsi="Arial" w:cs="Arial"/>
                      <w:lang w:eastAsia="en-GB"/>
                    </w:rPr>
                    <w:t>92</w:t>
                  </w:r>
                </w:p>
              </w:tc>
              <w:tc>
                <w:tcPr>
                  <w:tcW w:w="1071" w:type="dxa"/>
                  <w:gridSpan w:val="2"/>
                  <w:tcBorders>
                    <w:top w:val="nil"/>
                    <w:left w:val="nil"/>
                    <w:bottom w:val="nil"/>
                    <w:right w:val="nil"/>
                  </w:tcBorders>
                  <w:shd w:val="clear" w:color="auto" w:fill="auto"/>
                  <w:noWrap/>
                  <w:vAlign w:val="center"/>
                </w:tcPr>
                <w:p w14:paraId="3B27650E" w14:textId="77777777" w:rsidR="00190D85" w:rsidRPr="00047E5C" w:rsidRDefault="003B3095">
                  <w:pPr>
                    <w:spacing w:after="0" w:line="240" w:lineRule="auto"/>
                    <w:jc w:val="right"/>
                    <w:outlineLvl w:val="0"/>
                    <w:rPr>
                      <w:rFonts w:ascii="Arial" w:eastAsia="Times New Roman" w:hAnsi="Arial" w:cs="Arial"/>
                      <w:lang w:eastAsia="en-GB"/>
                    </w:rPr>
                  </w:pPr>
                  <w:r w:rsidRPr="00047E5C">
                    <w:rPr>
                      <w:rFonts w:ascii="Arial" w:eastAsia="Times New Roman" w:hAnsi="Arial" w:cs="Arial"/>
                      <w:lang w:eastAsia="en-GB"/>
                    </w:rPr>
                    <w:t>1,292</w:t>
                  </w:r>
                </w:p>
              </w:tc>
            </w:tr>
            <w:tr w:rsidR="00543D10" w:rsidRPr="00047E5C" w14:paraId="07EBF660" w14:textId="77777777" w:rsidTr="0021571F">
              <w:trPr>
                <w:gridAfter w:val="1"/>
                <w:wAfter w:w="276" w:type="dxa"/>
                <w:trHeight w:val="325"/>
                <w:jc w:val="center"/>
              </w:trPr>
              <w:tc>
                <w:tcPr>
                  <w:tcW w:w="3781" w:type="dxa"/>
                  <w:tcBorders>
                    <w:top w:val="single" w:sz="4" w:space="0" w:color="auto"/>
                    <w:left w:val="nil"/>
                    <w:bottom w:val="single" w:sz="4" w:space="0" w:color="auto"/>
                    <w:right w:val="nil"/>
                  </w:tcBorders>
                  <w:shd w:val="clear" w:color="auto" w:fill="auto"/>
                  <w:noWrap/>
                  <w:vAlign w:val="center"/>
                  <w:hideMark/>
                </w:tcPr>
                <w:p w14:paraId="0A62A8C4" w14:textId="77777777" w:rsidR="00190D85" w:rsidRPr="00047E5C" w:rsidRDefault="00190D85" w:rsidP="001F6984">
                  <w:pPr>
                    <w:spacing w:after="0" w:line="240" w:lineRule="auto"/>
                    <w:rPr>
                      <w:rFonts w:ascii="Arial" w:eastAsia="Times New Roman" w:hAnsi="Arial" w:cs="Arial"/>
                      <w:b/>
                      <w:bCs/>
                      <w:lang w:eastAsia="en-GB"/>
                    </w:rPr>
                  </w:pPr>
                  <w:r w:rsidRPr="00047E5C">
                    <w:rPr>
                      <w:rFonts w:ascii="Arial" w:eastAsia="Times New Roman" w:hAnsi="Arial" w:cs="Arial"/>
                      <w:b/>
                      <w:bCs/>
                      <w:lang w:eastAsia="en-GB"/>
                    </w:rPr>
                    <w:t xml:space="preserve">At 31 August </w:t>
                  </w:r>
                  <w:r w:rsidR="0037645F" w:rsidRPr="00047E5C">
                    <w:rPr>
                      <w:rFonts w:ascii="Arial" w:eastAsia="Times New Roman" w:hAnsi="Arial" w:cs="Arial"/>
                      <w:b/>
                      <w:bCs/>
                      <w:lang w:eastAsia="en-GB"/>
                    </w:rPr>
                    <w:t>2020</w:t>
                  </w:r>
                </w:p>
              </w:tc>
              <w:tc>
                <w:tcPr>
                  <w:tcW w:w="287" w:type="dxa"/>
                  <w:tcBorders>
                    <w:top w:val="single" w:sz="4" w:space="0" w:color="auto"/>
                    <w:left w:val="nil"/>
                    <w:bottom w:val="single" w:sz="4" w:space="0" w:color="auto"/>
                    <w:right w:val="nil"/>
                  </w:tcBorders>
                  <w:shd w:val="clear" w:color="auto" w:fill="auto"/>
                  <w:noWrap/>
                  <w:vAlign w:val="bottom"/>
                  <w:hideMark/>
                </w:tcPr>
                <w:p w14:paraId="05F10DA5" w14:textId="77777777" w:rsidR="00190D85" w:rsidRPr="00047E5C" w:rsidRDefault="00190D85" w:rsidP="001F6984">
                  <w:pPr>
                    <w:spacing w:after="0" w:line="240" w:lineRule="auto"/>
                    <w:rPr>
                      <w:rFonts w:ascii="Arial" w:eastAsia="Times New Roman" w:hAnsi="Arial" w:cs="Arial"/>
                      <w:lang w:eastAsia="en-GB"/>
                    </w:rPr>
                  </w:pPr>
                  <w:r w:rsidRPr="00047E5C">
                    <w:rPr>
                      <w:rFonts w:ascii="Arial" w:eastAsia="Times New Roman" w:hAnsi="Arial" w:cs="Arial"/>
                      <w:lang w:eastAsia="en-GB"/>
                    </w:rPr>
                    <w:t> </w:t>
                  </w:r>
                </w:p>
              </w:tc>
              <w:tc>
                <w:tcPr>
                  <w:tcW w:w="1105" w:type="dxa"/>
                  <w:gridSpan w:val="3"/>
                  <w:tcBorders>
                    <w:top w:val="single" w:sz="4" w:space="0" w:color="auto"/>
                    <w:left w:val="nil"/>
                    <w:bottom w:val="single" w:sz="4" w:space="0" w:color="auto"/>
                    <w:right w:val="nil"/>
                  </w:tcBorders>
                  <w:shd w:val="clear" w:color="auto" w:fill="auto"/>
                  <w:noWrap/>
                  <w:vAlign w:val="center"/>
                </w:tcPr>
                <w:p w14:paraId="0BA52D64" w14:textId="77777777" w:rsidR="00190D85" w:rsidRPr="00047E5C" w:rsidRDefault="00190D85" w:rsidP="005B39D0">
                  <w:pPr>
                    <w:spacing w:after="0" w:line="240" w:lineRule="auto"/>
                    <w:jc w:val="right"/>
                    <w:rPr>
                      <w:rFonts w:ascii="Arial" w:eastAsia="Times New Roman" w:hAnsi="Arial" w:cs="Arial"/>
                      <w:b/>
                      <w:bCs/>
                      <w:lang w:eastAsia="en-GB"/>
                    </w:rPr>
                  </w:pPr>
                </w:p>
              </w:tc>
              <w:tc>
                <w:tcPr>
                  <w:tcW w:w="1480" w:type="dxa"/>
                  <w:gridSpan w:val="2"/>
                  <w:tcBorders>
                    <w:top w:val="single" w:sz="4" w:space="0" w:color="auto"/>
                    <w:left w:val="nil"/>
                    <w:bottom w:val="single" w:sz="4" w:space="0" w:color="auto"/>
                    <w:right w:val="nil"/>
                  </w:tcBorders>
                  <w:shd w:val="clear" w:color="auto" w:fill="auto"/>
                  <w:noWrap/>
                  <w:vAlign w:val="center"/>
                </w:tcPr>
                <w:p w14:paraId="5ACAFC84" w14:textId="77777777" w:rsidR="00190D85" w:rsidRPr="00047E5C" w:rsidRDefault="004F3A06" w:rsidP="005B39D0">
                  <w:pPr>
                    <w:spacing w:after="0" w:line="240" w:lineRule="auto"/>
                    <w:jc w:val="right"/>
                    <w:rPr>
                      <w:rFonts w:ascii="Arial" w:eastAsia="Times New Roman" w:hAnsi="Arial" w:cs="Arial"/>
                      <w:b/>
                      <w:bCs/>
                      <w:lang w:eastAsia="en-GB"/>
                    </w:rPr>
                  </w:pPr>
                  <w:r w:rsidRPr="00047E5C">
                    <w:rPr>
                      <w:rFonts w:ascii="Arial" w:eastAsia="Times New Roman" w:hAnsi="Arial" w:cs="Arial"/>
                      <w:b/>
                      <w:bCs/>
                      <w:lang w:eastAsia="en-GB"/>
                    </w:rPr>
                    <w:t>(39,655</w:t>
                  </w:r>
                  <w:r w:rsidR="00211F2A" w:rsidRPr="00047E5C">
                    <w:rPr>
                      <w:rFonts w:ascii="Arial" w:eastAsia="Times New Roman" w:hAnsi="Arial" w:cs="Arial"/>
                      <w:b/>
                      <w:bCs/>
                      <w:lang w:eastAsia="en-GB"/>
                    </w:rPr>
                    <w:t>)</w:t>
                  </w:r>
                </w:p>
              </w:tc>
              <w:tc>
                <w:tcPr>
                  <w:tcW w:w="1272" w:type="dxa"/>
                  <w:gridSpan w:val="2"/>
                  <w:tcBorders>
                    <w:top w:val="single" w:sz="4" w:space="0" w:color="auto"/>
                    <w:left w:val="nil"/>
                    <w:bottom w:val="single" w:sz="4" w:space="0" w:color="auto"/>
                    <w:right w:val="nil"/>
                  </w:tcBorders>
                  <w:shd w:val="clear" w:color="auto" w:fill="auto"/>
                  <w:noWrap/>
                  <w:vAlign w:val="center"/>
                </w:tcPr>
                <w:p w14:paraId="38462DB8" w14:textId="77777777" w:rsidR="00190D85" w:rsidRPr="00047E5C" w:rsidRDefault="005E5C6E" w:rsidP="005B39D0">
                  <w:pPr>
                    <w:spacing w:after="0" w:line="240" w:lineRule="auto"/>
                    <w:jc w:val="right"/>
                    <w:rPr>
                      <w:rFonts w:ascii="Arial" w:eastAsia="Times New Roman" w:hAnsi="Arial" w:cs="Arial"/>
                      <w:b/>
                      <w:bCs/>
                      <w:lang w:eastAsia="en-GB"/>
                    </w:rPr>
                  </w:pPr>
                  <w:r w:rsidRPr="00047E5C">
                    <w:rPr>
                      <w:rFonts w:ascii="Arial" w:eastAsia="Times New Roman" w:hAnsi="Arial" w:cs="Arial"/>
                      <w:b/>
                      <w:bCs/>
                      <w:lang w:eastAsia="en-GB"/>
                    </w:rPr>
                    <w:t>(6,610</w:t>
                  </w:r>
                  <w:r w:rsidR="00211F2A" w:rsidRPr="00047E5C">
                    <w:rPr>
                      <w:rFonts w:ascii="Arial" w:eastAsia="Times New Roman" w:hAnsi="Arial" w:cs="Arial"/>
                      <w:b/>
                      <w:bCs/>
                      <w:lang w:eastAsia="en-GB"/>
                    </w:rPr>
                    <w:t>)</w:t>
                  </w:r>
                </w:p>
              </w:tc>
              <w:tc>
                <w:tcPr>
                  <w:tcW w:w="1071" w:type="dxa"/>
                  <w:gridSpan w:val="2"/>
                  <w:tcBorders>
                    <w:top w:val="single" w:sz="4" w:space="0" w:color="auto"/>
                    <w:left w:val="nil"/>
                    <w:bottom w:val="single" w:sz="4" w:space="0" w:color="auto"/>
                    <w:right w:val="nil"/>
                  </w:tcBorders>
                  <w:shd w:val="clear" w:color="auto" w:fill="auto"/>
                  <w:noWrap/>
                  <w:vAlign w:val="center"/>
                </w:tcPr>
                <w:p w14:paraId="7754B68B" w14:textId="77777777" w:rsidR="00190D85" w:rsidRPr="00047E5C" w:rsidRDefault="005E5C6E" w:rsidP="005B39D0">
                  <w:pPr>
                    <w:spacing w:after="0" w:line="240" w:lineRule="auto"/>
                    <w:jc w:val="right"/>
                    <w:rPr>
                      <w:rFonts w:ascii="Arial" w:eastAsia="Times New Roman" w:hAnsi="Arial" w:cs="Arial"/>
                      <w:b/>
                      <w:bCs/>
                      <w:lang w:eastAsia="en-GB"/>
                    </w:rPr>
                  </w:pPr>
                  <w:r w:rsidRPr="00047E5C">
                    <w:rPr>
                      <w:rFonts w:ascii="Arial" w:eastAsia="Times New Roman" w:hAnsi="Arial" w:cs="Arial"/>
                      <w:b/>
                      <w:bCs/>
                      <w:lang w:eastAsia="en-GB"/>
                    </w:rPr>
                    <w:t>(46,265</w:t>
                  </w:r>
                  <w:r w:rsidR="00211F2A" w:rsidRPr="00047E5C">
                    <w:rPr>
                      <w:rFonts w:ascii="Arial" w:eastAsia="Times New Roman" w:hAnsi="Arial" w:cs="Arial"/>
                      <w:b/>
                      <w:bCs/>
                      <w:lang w:eastAsia="en-GB"/>
                    </w:rPr>
                    <w:t>)</w:t>
                  </w:r>
                </w:p>
              </w:tc>
            </w:tr>
            <w:tr w:rsidR="00543D10" w:rsidRPr="00047E5C" w14:paraId="27349A93" w14:textId="77777777" w:rsidTr="0021571F">
              <w:trPr>
                <w:gridAfter w:val="1"/>
                <w:wAfter w:w="276" w:type="dxa"/>
                <w:trHeight w:val="325"/>
                <w:jc w:val="center"/>
              </w:trPr>
              <w:tc>
                <w:tcPr>
                  <w:tcW w:w="3781" w:type="dxa"/>
                  <w:tcBorders>
                    <w:top w:val="nil"/>
                    <w:left w:val="nil"/>
                    <w:bottom w:val="nil"/>
                    <w:right w:val="nil"/>
                  </w:tcBorders>
                  <w:shd w:val="clear" w:color="auto" w:fill="auto"/>
                  <w:noWrap/>
                  <w:vAlign w:val="center"/>
                  <w:hideMark/>
                </w:tcPr>
                <w:p w14:paraId="0257685E" w14:textId="77777777" w:rsidR="00190D85" w:rsidRPr="00047E5C" w:rsidRDefault="00190D85" w:rsidP="001F6984">
                  <w:pPr>
                    <w:spacing w:after="0" w:line="240" w:lineRule="auto"/>
                    <w:rPr>
                      <w:rFonts w:ascii="Arial" w:eastAsia="Times New Roman" w:hAnsi="Arial" w:cs="Arial"/>
                      <w:b/>
                      <w:bCs/>
                      <w:lang w:eastAsia="en-GB"/>
                    </w:rPr>
                  </w:pPr>
                </w:p>
              </w:tc>
              <w:tc>
                <w:tcPr>
                  <w:tcW w:w="287" w:type="dxa"/>
                  <w:tcBorders>
                    <w:top w:val="nil"/>
                    <w:left w:val="nil"/>
                    <w:bottom w:val="nil"/>
                    <w:right w:val="nil"/>
                  </w:tcBorders>
                  <w:shd w:val="clear" w:color="auto" w:fill="auto"/>
                  <w:noWrap/>
                  <w:vAlign w:val="bottom"/>
                  <w:hideMark/>
                </w:tcPr>
                <w:p w14:paraId="6E4B870F" w14:textId="77777777" w:rsidR="00190D85" w:rsidRPr="00047E5C" w:rsidRDefault="00190D85" w:rsidP="001F6984">
                  <w:pPr>
                    <w:spacing w:after="0" w:line="240" w:lineRule="auto"/>
                    <w:rPr>
                      <w:rFonts w:ascii="Arial" w:eastAsia="Times New Roman" w:hAnsi="Arial" w:cs="Arial"/>
                      <w:lang w:eastAsia="en-GB"/>
                    </w:rPr>
                  </w:pPr>
                </w:p>
              </w:tc>
              <w:tc>
                <w:tcPr>
                  <w:tcW w:w="1105" w:type="dxa"/>
                  <w:gridSpan w:val="3"/>
                  <w:tcBorders>
                    <w:top w:val="nil"/>
                    <w:left w:val="nil"/>
                    <w:bottom w:val="nil"/>
                    <w:right w:val="nil"/>
                  </w:tcBorders>
                  <w:shd w:val="clear" w:color="auto" w:fill="auto"/>
                  <w:noWrap/>
                  <w:vAlign w:val="center"/>
                </w:tcPr>
                <w:p w14:paraId="62892B08" w14:textId="77777777" w:rsidR="00190D85" w:rsidRPr="00047E5C" w:rsidRDefault="00190D85" w:rsidP="005B39D0">
                  <w:pPr>
                    <w:spacing w:after="0" w:line="240" w:lineRule="auto"/>
                    <w:jc w:val="right"/>
                    <w:rPr>
                      <w:rFonts w:ascii="Arial" w:eastAsia="Times New Roman" w:hAnsi="Arial" w:cs="Arial"/>
                      <w:lang w:eastAsia="en-GB"/>
                    </w:rPr>
                  </w:pPr>
                </w:p>
              </w:tc>
              <w:tc>
                <w:tcPr>
                  <w:tcW w:w="1480" w:type="dxa"/>
                  <w:gridSpan w:val="2"/>
                  <w:tcBorders>
                    <w:top w:val="nil"/>
                    <w:left w:val="nil"/>
                    <w:bottom w:val="nil"/>
                    <w:right w:val="nil"/>
                  </w:tcBorders>
                  <w:shd w:val="clear" w:color="auto" w:fill="auto"/>
                  <w:noWrap/>
                  <w:vAlign w:val="center"/>
                  <w:hideMark/>
                </w:tcPr>
                <w:p w14:paraId="4344C7EB" w14:textId="77777777" w:rsidR="00190D85" w:rsidRPr="00047E5C" w:rsidRDefault="00190D85" w:rsidP="005B39D0">
                  <w:pPr>
                    <w:spacing w:after="0" w:line="240" w:lineRule="auto"/>
                    <w:jc w:val="right"/>
                    <w:rPr>
                      <w:rFonts w:ascii="Arial" w:eastAsia="Times New Roman" w:hAnsi="Arial" w:cs="Arial"/>
                      <w:lang w:eastAsia="en-GB"/>
                    </w:rPr>
                  </w:pPr>
                </w:p>
              </w:tc>
              <w:tc>
                <w:tcPr>
                  <w:tcW w:w="1272" w:type="dxa"/>
                  <w:gridSpan w:val="2"/>
                  <w:tcBorders>
                    <w:top w:val="nil"/>
                    <w:left w:val="nil"/>
                    <w:bottom w:val="nil"/>
                    <w:right w:val="nil"/>
                  </w:tcBorders>
                  <w:shd w:val="clear" w:color="auto" w:fill="auto"/>
                  <w:noWrap/>
                  <w:vAlign w:val="center"/>
                  <w:hideMark/>
                </w:tcPr>
                <w:p w14:paraId="40B65F6F" w14:textId="77777777" w:rsidR="00190D85" w:rsidRPr="00047E5C" w:rsidRDefault="00190D85" w:rsidP="005B39D0">
                  <w:pPr>
                    <w:spacing w:after="0" w:line="240" w:lineRule="auto"/>
                    <w:jc w:val="right"/>
                    <w:rPr>
                      <w:rFonts w:ascii="Arial" w:eastAsia="Times New Roman" w:hAnsi="Arial" w:cs="Arial"/>
                      <w:lang w:eastAsia="en-GB"/>
                    </w:rPr>
                  </w:pPr>
                </w:p>
              </w:tc>
              <w:tc>
                <w:tcPr>
                  <w:tcW w:w="1071" w:type="dxa"/>
                  <w:gridSpan w:val="2"/>
                  <w:tcBorders>
                    <w:top w:val="nil"/>
                    <w:left w:val="nil"/>
                    <w:bottom w:val="nil"/>
                    <w:right w:val="nil"/>
                  </w:tcBorders>
                  <w:shd w:val="clear" w:color="auto" w:fill="auto"/>
                  <w:noWrap/>
                  <w:vAlign w:val="center"/>
                  <w:hideMark/>
                </w:tcPr>
                <w:p w14:paraId="2F77EFBB" w14:textId="77777777" w:rsidR="00190D85" w:rsidRPr="00047E5C" w:rsidRDefault="00190D85" w:rsidP="005B39D0">
                  <w:pPr>
                    <w:spacing w:after="0" w:line="240" w:lineRule="auto"/>
                    <w:jc w:val="right"/>
                    <w:rPr>
                      <w:rFonts w:ascii="Arial" w:eastAsia="Times New Roman" w:hAnsi="Arial" w:cs="Arial"/>
                      <w:lang w:eastAsia="en-GB"/>
                    </w:rPr>
                  </w:pPr>
                </w:p>
              </w:tc>
            </w:tr>
            <w:tr w:rsidR="00543D10" w:rsidRPr="00047E5C" w14:paraId="38A6C37D" w14:textId="77777777" w:rsidTr="0021571F">
              <w:trPr>
                <w:gridAfter w:val="1"/>
                <w:wAfter w:w="276" w:type="dxa"/>
                <w:trHeight w:val="325"/>
                <w:jc w:val="center"/>
              </w:trPr>
              <w:tc>
                <w:tcPr>
                  <w:tcW w:w="3781" w:type="dxa"/>
                  <w:tcBorders>
                    <w:top w:val="nil"/>
                    <w:left w:val="nil"/>
                    <w:bottom w:val="nil"/>
                    <w:right w:val="nil"/>
                  </w:tcBorders>
                  <w:shd w:val="clear" w:color="auto" w:fill="auto"/>
                  <w:noWrap/>
                  <w:vAlign w:val="center"/>
                  <w:hideMark/>
                </w:tcPr>
                <w:p w14:paraId="281AB160" w14:textId="77777777" w:rsidR="00190D85" w:rsidRPr="00047E5C" w:rsidRDefault="00190D85" w:rsidP="001F6984">
                  <w:pPr>
                    <w:spacing w:after="0" w:line="240" w:lineRule="auto"/>
                    <w:rPr>
                      <w:rFonts w:ascii="Arial" w:eastAsia="Times New Roman" w:hAnsi="Arial" w:cs="Arial"/>
                      <w:b/>
                      <w:bCs/>
                      <w:lang w:eastAsia="en-GB"/>
                    </w:rPr>
                  </w:pPr>
                  <w:r w:rsidRPr="00047E5C">
                    <w:rPr>
                      <w:rFonts w:ascii="Arial" w:eastAsia="Times New Roman" w:hAnsi="Arial" w:cs="Arial"/>
                      <w:b/>
                      <w:bCs/>
                      <w:lang w:eastAsia="en-GB"/>
                    </w:rPr>
                    <w:t>Net book value</w:t>
                  </w:r>
                </w:p>
              </w:tc>
              <w:tc>
                <w:tcPr>
                  <w:tcW w:w="287" w:type="dxa"/>
                  <w:tcBorders>
                    <w:top w:val="nil"/>
                    <w:left w:val="nil"/>
                    <w:bottom w:val="nil"/>
                    <w:right w:val="nil"/>
                  </w:tcBorders>
                  <w:shd w:val="clear" w:color="auto" w:fill="auto"/>
                  <w:noWrap/>
                  <w:vAlign w:val="bottom"/>
                  <w:hideMark/>
                </w:tcPr>
                <w:p w14:paraId="23137DA7" w14:textId="77777777" w:rsidR="00190D85" w:rsidRPr="00047E5C" w:rsidRDefault="00190D85" w:rsidP="001F6984">
                  <w:pPr>
                    <w:spacing w:after="0" w:line="240" w:lineRule="auto"/>
                    <w:rPr>
                      <w:rFonts w:ascii="Arial" w:eastAsia="Times New Roman" w:hAnsi="Arial" w:cs="Arial"/>
                      <w:b/>
                      <w:bCs/>
                      <w:lang w:eastAsia="en-GB"/>
                    </w:rPr>
                  </w:pPr>
                </w:p>
              </w:tc>
              <w:tc>
                <w:tcPr>
                  <w:tcW w:w="1105" w:type="dxa"/>
                  <w:gridSpan w:val="3"/>
                  <w:tcBorders>
                    <w:top w:val="nil"/>
                    <w:left w:val="nil"/>
                    <w:bottom w:val="nil"/>
                    <w:right w:val="nil"/>
                  </w:tcBorders>
                  <w:shd w:val="clear" w:color="auto" w:fill="auto"/>
                  <w:noWrap/>
                  <w:vAlign w:val="center"/>
                </w:tcPr>
                <w:p w14:paraId="3DC837F9" w14:textId="77777777" w:rsidR="00190D85" w:rsidRPr="00047E5C" w:rsidRDefault="00190D85" w:rsidP="005B39D0">
                  <w:pPr>
                    <w:spacing w:after="0" w:line="240" w:lineRule="auto"/>
                    <w:jc w:val="right"/>
                    <w:rPr>
                      <w:rFonts w:ascii="Arial" w:eastAsia="Times New Roman" w:hAnsi="Arial" w:cs="Arial"/>
                      <w:lang w:eastAsia="en-GB"/>
                    </w:rPr>
                  </w:pPr>
                </w:p>
              </w:tc>
              <w:tc>
                <w:tcPr>
                  <w:tcW w:w="1480" w:type="dxa"/>
                  <w:gridSpan w:val="2"/>
                  <w:tcBorders>
                    <w:top w:val="nil"/>
                    <w:left w:val="nil"/>
                    <w:bottom w:val="nil"/>
                    <w:right w:val="nil"/>
                  </w:tcBorders>
                  <w:shd w:val="clear" w:color="auto" w:fill="auto"/>
                  <w:noWrap/>
                  <w:vAlign w:val="center"/>
                  <w:hideMark/>
                </w:tcPr>
                <w:p w14:paraId="45183029" w14:textId="77777777" w:rsidR="00190D85" w:rsidRPr="00047E5C" w:rsidRDefault="00190D85" w:rsidP="005B39D0">
                  <w:pPr>
                    <w:spacing w:after="0" w:line="240" w:lineRule="auto"/>
                    <w:jc w:val="right"/>
                    <w:rPr>
                      <w:rFonts w:ascii="Arial" w:eastAsia="Times New Roman" w:hAnsi="Arial" w:cs="Arial"/>
                      <w:lang w:eastAsia="en-GB"/>
                    </w:rPr>
                  </w:pPr>
                </w:p>
              </w:tc>
              <w:tc>
                <w:tcPr>
                  <w:tcW w:w="1272" w:type="dxa"/>
                  <w:gridSpan w:val="2"/>
                  <w:tcBorders>
                    <w:top w:val="nil"/>
                    <w:left w:val="nil"/>
                    <w:bottom w:val="nil"/>
                    <w:right w:val="nil"/>
                  </w:tcBorders>
                  <w:shd w:val="clear" w:color="auto" w:fill="auto"/>
                  <w:noWrap/>
                  <w:vAlign w:val="center"/>
                  <w:hideMark/>
                </w:tcPr>
                <w:p w14:paraId="4BFC7387" w14:textId="77777777" w:rsidR="00190D85" w:rsidRPr="00047E5C" w:rsidRDefault="00190D85" w:rsidP="005B39D0">
                  <w:pPr>
                    <w:spacing w:after="0" w:line="240" w:lineRule="auto"/>
                    <w:jc w:val="right"/>
                    <w:rPr>
                      <w:rFonts w:ascii="Arial" w:eastAsia="Times New Roman" w:hAnsi="Arial" w:cs="Arial"/>
                      <w:lang w:eastAsia="en-GB"/>
                    </w:rPr>
                  </w:pPr>
                </w:p>
              </w:tc>
              <w:tc>
                <w:tcPr>
                  <w:tcW w:w="1071" w:type="dxa"/>
                  <w:gridSpan w:val="2"/>
                  <w:tcBorders>
                    <w:top w:val="nil"/>
                    <w:left w:val="nil"/>
                    <w:bottom w:val="nil"/>
                    <w:right w:val="nil"/>
                  </w:tcBorders>
                  <w:shd w:val="clear" w:color="auto" w:fill="auto"/>
                  <w:noWrap/>
                  <w:vAlign w:val="center"/>
                  <w:hideMark/>
                </w:tcPr>
                <w:p w14:paraId="2EE8EBB1" w14:textId="77777777" w:rsidR="00190D85" w:rsidRPr="00047E5C" w:rsidRDefault="00190D85" w:rsidP="005B39D0">
                  <w:pPr>
                    <w:spacing w:after="0" w:line="240" w:lineRule="auto"/>
                    <w:jc w:val="right"/>
                    <w:rPr>
                      <w:rFonts w:ascii="Arial" w:eastAsia="Times New Roman" w:hAnsi="Arial" w:cs="Arial"/>
                      <w:lang w:eastAsia="en-GB"/>
                    </w:rPr>
                  </w:pPr>
                </w:p>
              </w:tc>
            </w:tr>
            <w:tr w:rsidR="00543D10" w:rsidRPr="00047E5C" w14:paraId="52C7FC44" w14:textId="77777777" w:rsidTr="0021571F">
              <w:trPr>
                <w:gridAfter w:val="1"/>
                <w:wAfter w:w="276" w:type="dxa"/>
                <w:trHeight w:val="325"/>
                <w:jc w:val="center"/>
              </w:trPr>
              <w:tc>
                <w:tcPr>
                  <w:tcW w:w="3781" w:type="dxa"/>
                  <w:tcBorders>
                    <w:top w:val="nil"/>
                    <w:left w:val="nil"/>
                    <w:bottom w:val="single" w:sz="4" w:space="0" w:color="auto"/>
                    <w:right w:val="nil"/>
                  </w:tcBorders>
                  <w:shd w:val="clear" w:color="auto" w:fill="auto"/>
                  <w:noWrap/>
                  <w:vAlign w:val="center"/>
                  <w:hideMark/>
                </w:tcPr>
                <w:p w14:paraId="70A6523F" w14:textId="77777777" w:rsidR="00190D85" w:rsidRPr="00047E5C" w:rsidRDefault="00190D85" w:rsidP="001F6984">
                  <w:pPr>
                    <w:spacing w:after="0" w:line="240" w:lineRule="auto"/>
                    <w:rPr>
                      <w:rFonts w:ascii="Arial" w:eastAsia="Times New Roman" w:hAnsi="Arial" w:cs="Arial"/>
                      <w:b/>
                      <w:bCs/>
                      <w:lang w:eastAsia="en-GB"/>
                    </w:rPr>
                  </w:pPr>
                  <w:r w:rsidRPr="00047E5C">
                    <w:rPr>
                      <w:rFonts w:ascii="Arial" w:eastAsia="Times New Roman" w:hAnsi="Arial" w:cs="Arial"/>
                      <w:b/>
                      <w:bCs/>
                      <w:lang w:eastAsia="en-GB"/>
                    </w:rPr>
                    <w:t xml:space="preserve">At 31 August </w:t>
                  </w:r>
                  <w:r w:rsidR="0037645F" w:rsidRPr="00047E5C">
                    <w:rPr>
                      <w:rFonts w:ascii="Arial" w:eastAsia="Times New Roman" w:hAnsi="Arial" w:cs="Arial"/>
                      <w:b/>
                      <w:bCs/>
                      <w:lang w:eastAsia="en-GB"/>
                    </w:rPr>
                    <w:t>2020</w:t>
                  </w:r>
                </w:p>
              </w:tc>
              <w:tc>
                <w:tcPr>
                  <w:tcW w:w="287" w:type="dxa"/>
                  <w:tcBorders>
                    <w:top w:val="nil"/>
                    <w:left w:val="nil"/>
                    <w:bottom w:val="single" w:sz="4" w:space="0" w:color="auto"/>
                    <w:right w:val="nil"/>
                  </w:tcBorders>
                  <w:shd w:val="clear" w:color="auto" w:fill="auto"/>
                  <w:noWrap/>
                  <w:vAlign w:val="bottom"/>
                  <w:hideMark/>
                </w:tcPr>
                <w:p w14:paraId="37AE31CC" w14:textId="77777777" w:rsidR="00190D85" w:rsidRPr="00047E5C" w:rsidRDefault="00190D85" w:rsidP="001F6984">
                  <w:pPr>
                    <w:spacing w:after="0" w:line="240" w:lineRule="auto"/>
                    <w:rPr>
                      <w:rFonts w:ascii="Arial" w:eastAsia="Times New Roman" w:hAnsi="Arial" w:cs="Arial"/>
                      <w:lang w:eastAsia="en-GB"/>
                    </w:rPr>
                  </w:pPr>
                  <w:r w:rsidRPr="00047E5C">
                    <w:rPr>
                      <w:rFonts w:ascii="Arial" w:eastAsia="Times New Roman" w:hAnsi="Arial" w:cs="Arial"/>
                      <w:lang w:eastAsia="en-GB"/>
                    </w:rPr>
                    <w:t> </w:t>
                  </w:r>
                </w:p>
              </w:tc>
              <w:tc>
                <w:tcPr>
                  <w:tcW w:w="1105" w:type="dxa"/>
                  <w:gridSpan w:val="3"/>
                  <w:tcBorders>
                    <w:top w:val="nil"/>
                    <w:left w:val="nil"/>
                    <w:bottom w:val="single" w:sz="4" w:space="0" w:color="auto"/>
                    <w:right w:val="nil"/>
                  </w:tcBorders>
                  <w:shd w:val="clear" w:color="auto" w:fill="auto"/>
                  <w:noWrap/>
                  <w:vAlign w:val="center"/>
                </w:tcPr>
                <w:p w14:paraId="30B94324" w14:textId="77777777" w:rsidR="00190D85" w:rsidRPr="00047E5C" w:rsidRDefault="00190D85" w:rsidP="005B39D0">
                  <w:pPr>
                    <w:spacing w:after="0" w:line="240" w:lineRule="auto"/>
                    <w:jc w:val="right"/>
                    <w:rPr>
                      <w:rFonts w:ascii="Arial" w:eastAsia="Times New Roman" w:hAnsi="Arial" w:cs="Arial"/>
                      <w:lang w:eastAsia="en-GB"/>
                    </w:rPr>
                  </w:pPr>
                </w:p>
              </w:tc>
              <w:tc>
                <w:tcPr>
                  <w:tcW w:w="1480" w:type="dxa"/>
                  <w:gridSpan w:val="2"/>
                  <w:tcBorders>
                    <w:top w:val="nil"/>
                    <w:left w:val="nil"/>
                    <w:bottom w:val="single" w:sz="4" w:space="0" w:color="auto"/>
                    <w:right w:val="nil"/>
                  </w:tcBorders>
                  <w:shd w:val="clear" w:color="auto" w:fill="auto"/>
                  <w:noWrap/>
                  <w:vAlign w:val="center"/>
                </w:tcPr>
                <w:p w14:paraId="4E51825C" w14:textId="77777777" w:rsidR="00190D85" w:rsidRPr="00047E5C" w:rsidRDefault="00211F2A" w:rsidP="005B39D0">
                  <w:pPr>
                    <w:spacing w:after="0" w:line="240" w:lineRule="auto"/>
                    <w:jc w:val="right"/>
                    <w:rPr>
                      <w:rFonts w:ascii="Arial" w:eastAsia="Times New Roman" w:hAnsi="Arial" w:cs="Arial"/>
                      <w:b/>
                      <w:bCs/>
                      <w:lang w:eastAsia="en-GB"/>
                    </w:rPr>
                  </w:pPr>
                  <w:r w:rsidRPr="00047E5C">
                    <w:rPr>
                      <w:rFonts w:ascii="Arial" w:eastAsia="Times New Roman" w:hAnsi="Arial" w:cs="Arial"/>
                      <w:b/>
                      <w:bCs/>
                      <w:lang w:eastAsia="en-GB"/>
                    </w:rPr>
                    <w:t>13,</w:t>
                  </w:r>
                  <w:r w:rsidR="00D21E4C" w:rsidRPr="00047E5C">
                    <w:rPr>
                      <w:rFonts w:ascii="Arial" w:eastAsia="Times New Roman" w:hAnsi="Arial" w:cs="Arial"/>
                      <w:b/>
                      <w:bCs/>
                      <w:lang w:eastAsia="en-GB"/>
                    </w:rPr>
                    <w:t>880</w:t>
                  </w:r>
                </w:p>
              </w:tc>
              <w:tc>
                <w:tcPr>
                  <w:tcW w:w="1272" w:type="dxa"/>
                  <w:gridSpan w:val="2"/>
                  <w:tcBorders>
                    <w:top w:val="nil"/>
                    <w:left w:val="nil"/>
                    <w:bottom w:val="single" w:sz="4" w:space="0" w:color="auto"/>
                    <w:right w:val="nil"/>
                  </w:tcBorders>
                  <w:shd w:val="clear" w:color="auto" w:fill="auto"/>
                  <w:noWrap/>
                  <w:vAlign w:val="center"/>
                </w:tcPr>
                <w:p w14:paraId="2802EBCC" w14:textId="77777777" w:rsidR="00190D85" w:rsidRPr="00047E5C" w:rsidRDefault="00D21E4C" w:rsidP="005B39D0">
                  <w:pPr>
                    <w:spacing w:after="0" w:line="240" w:lineRule="auto"/>
                    <w:jc w:val="right"/>
                    <w:rPr>
                      <w:rFonts w:ascii="Arial" w:eastAsia="Times New Roman" w:hAnsi="Arial" w:cs="Arial"/>
                      <w:b/>
                      <w:bCs/>
                      <w:lang w:eastAsia="en-GB"/>
                    </w:rPr>
                  </w:pPr>
                  <w:r w:rsidRPr="00047E5C">
                    <w:rPr>
                      <w:rFonts w:ascii="Arial" w:eastAsia="Times New Roman" w:hAnsi="Arial" w:cs="Arial"/>
                      <w:b/>
                      <w:bCs/>
                      <w:lang w:eastAsia="en-GB"/>
                    </w:rPr>
                    <w:t>412</w:t>
                  </w:r>
                </w:p>
              </w:tc>
              <w:tc>
                <w:tcPr>
                  <w:tcW w:w="1071" w:type="dxa"/>
                  <w:gridSpan w:val="2"/>
                  <w:tcBorders>
                    <w:top w:val="nil"/>
                    <w:left w:val="nil"/>
                    <w:bottom w:val="single" w:sz="4" w:space="0" w:color="auto"/>
                    <w:right w:val="nil"/>
                  </w:tcBorders>
                  <w:shd w:val="clear" w:color="auto" w:fill="auto"/>
                  <w:noWrap/>
                  <w:vAlign w:val="center"/>
                </w:tcPr>
                <w:p w14:paraId="131CCBED" w14:textId="77777777" w:rsidR="00190D85" w:rsidRPr="00047E5C" w:rsidRDefault="00211F2A" w:rsidP="00214F99">
                  <w:pPr>
                    <w:spacing w:after="0" w:line="240" w:lineRule="auto"/>
                    <w:jc w:val="right"/>
                    <w:rPr>
                      <w:rFonts w:ascii="Arial" w:eastAsia="Times New Roman" w:hAnsi="Arial" w:cs="Arial"/>
                      <w:b/>
                      <w:bCs/>
                      <w:lang w:eastAsia="en-GB"/>
                    </w:rPr>
                  </w:pPr>
                  <w:r w:rsidRPr="00047E5C">
                    <w:rPr>
                      <w:rFonts w:ascii="Arial" w:eastAsia="Times New Roman" w:hAnsi="Arial" w:cs="Arial"/>
                      <w:b/>
                      <w:bCs/>
                      <w:lang w:eastAsia="en-GB"/>
                    </w:rPr>
                    <w:t>14,</w:t>
                  </w:r>
                  <w:r w:rsidR="005E5C6E" w:rsidRPr="00047E5C">
                    <w:rPr>
                      <w:rFonts w:ascii="Arial" w:eastAsia="Times New Roman" w:hAnsi="Arial" w:cs="Arial"/>
                      <w:b/>
                      <w:bCs/>
                      <w:lang w:eastAsia="en-GB"/>
                    </w:rPr>
                    <w:t>292</w:t>
                  </w:r>
                </w:p>
              </w:tc>
            </w:tr>
            <w:tr w:rsidR="00F07478" w:rsidRPr="00047E5C" w14:paraId="76961A9E" w14:textId="77777777" w:rsidTr="0021571F">
              <w:trPr>
                <w:gridAfter w:val="1"/>
                <w:wAfter w:w="276" w:type="dxa"/>
                <w:trHeight w:val="325"/>
                <w:jc w:val="center"/>
              </w:trPr>
              <w:tc>
                <w:tcPr>
                  <w:tcW w:w="3781" w:type="dxa"/>
                  <w:tcBorders>
                    <w:top w:val="nil"/>
                    <w:left w:val="nil"/>
                    <w:bottom w:val="single" w:sz="4" w:space="0" w:color="auto"/>
                    <w:right w:val="nil"/>
                  </w:tcBorders>
                  <w:shd w:val="clear" w:color="auto" w:fill="auto"/>
                  <w:noWrap/>
                  <w:vAlign w:val="center"/>
                  <w:hideMark/>
                </w:tcPr>
                <w:p w14:paraId="5D25AD3E" w14:textId="77777777" w:rsidR="00F07478" w:rsidRPr="00047E5C" w:rsidRDefault="00F07478" w:rsidP="00F07478">
                  <w:pPr>
                    <w:spacing w:after="0" w:line="240" w:lineRule="auto"/>
                    <w:rPr>
                      <w:rFonts w:ascii="Arial" w:eastAsia="Times New Roman" w:hAnsi="Arial" w:cs="Arial"/>
                      <w:lang w:eastAsia="en-GB"/>
                    </w:rPr>
                  </w:pPr>
                  <w:r w:rsidRPr="00047E5C">
                    <w:rPr>
                      <w:rFonts w:ascii="Arial" w:eastAsia="Times New Roman" w:hAnsi="Arial" w:cs="Arial"/>
                      <w:lang w:eastAsia="en-GB"/>
                    </w:rPr>
                    <w:t>At 1 September 2019</w:t>
                  </w:r>
                </w:p>
              </w:tc>
              <w:tc>
                <w:tcPr>
                  <w:tcW w:w="287" w:type="dxa"/>
                  <w:tcBorders>
                    <w:top w:val="nil"/>
                    <w:left w:val="nil"/>
                    <w:bottom w:val="single" w:sz="4" w:space="0" w:color="auto"/>
                    <w:right w:val="nil"/>
                  </w:tcBorders>
                  <w:shd w:val="clear" w:color="auto" w:fill="auto"/>
                  <w:noWrap/>
                  <w:vAlign w:val="bottom"/>
                  <w:hideMark/>
                </w:tcPr>
                <w:p w14:paraId="09741CFC" w14:textId="77777777" w:rsidR="00F07478" w:rsidRPr="00047E5C" w:rsidRDefault="00F07478" w:rsidP="00F07478">
                  <w:pPr>
                    <w:spacing w:after="0" w:line="240" w:lineRule="auto"/>
                    <w:rPr>
                      <w:rFonts w:ascii="Arial" w:eastAsia="Times New Roman" w:hAnsi="Arial" w:cs="Arial"/>
                      <w:lang w:eastAsia="en-GB"/>
                    </w:rPr>
                  </w:pPr>
                  <w:r w:rsidRPr="00047E5C">
                    <w:rPr>
                      <w:rFonts w:ascii="Arial" w:eastAsia="Times New Roman" w:hAnsi="Arial" w:cs="Arial"/>
                      <w:lang w:eastAsia="en-GB"/>
                    </w:rPr>
                    <w:t> </w:t>
                  </w:r>
                </w:p>
              </w:tc>
              <w:tc>
                <w:tcPr>
                  <w:tcW w:w="1105" w:type="dxa"/>
                  <w:gridSpan w:val="3"/>
                  <w:tcBorders>
                    <w:top w:val="nil"/>
                    <w:left w:val="nil"/>
                    <w:bottom w:val="single" w:sz="4" w:space="0" w:color="auto"/>
                    <w:right w:val="nil"/>
                  </w:tcBorders>
                  <w:shd w:val="clear" w:color="auto" w:fill="auto"/>
                  <w:noWrap/>
                  <w:vAlign w:val="center"/>
                </w:tcPr>
                <w:p w14:paraId="4688B3E2" w14:textId="77777777" w:rsidR="00F07478" w:rsidRPr="00047E5C" w:rsidRDefault="00F07478" w:rsidP="00F07478">
                  <w:pPr>
                    <w:spacing w:after="0" w:line="240" w:lineRule="auto"/>
                    <w:jc w:val="right"/>
                    <w:rPr>
                      <w:rFonts w:ascii="Arial" w:eastAsia="Times New Roman" w:hAnsi="Arial" w:cs="Arial"/>
                      <w:lang w:eastAsia="en-GB"/>
                    </w:rPr>
                  </w:pPr>
                </w:p>
              </w:tc>
              <w:tc>
                <w:tcPr>
                  <w:tcW w:w="1480" w:type="dxa"/>
                  <w:gridSpan w:val="2"/>
                  <w:tcBorders>
                    <w:top w:val="nil"/>
                    <w:left w:val="nil"/>
                    <w:bottom w:val="single" w:sz="4" w:space="0" w:color="auto"/>
                    <w:right w:val="nil"/>
                  </w:tcBorders>
                  <w:shd w:val="clear" w:color="auto" w:fill="auto"/>
                  <w:noWrap/>
                  <w:vAlign w:val="center"/>
                  <w:hideMark/>
                </w:tcPr>
                <w:p w14:paraId="0569B1C2" w14:textId="77777777" w:rsidR="00F07478" w:rsidRPr="00047E5C" w:rsidRDefault="00F07478" w:rsidP="00F07478">
                  <w:pPr>
                    <w:spacing w:after="0" w:line="240" w:lineRule="auto"/>
                    <w:jc w:val="right"/>
                    <w:rPr>
                      <w:rFonts w:ascii="Arial" w:eastAsia="Times New Roman" w:hAnsi="Arial" w:cs="Arial"/>
                      <w:lang w:eastAsia="en-GB"/>
                    </w:rPr>
                  </w:pPr>
                  <w:r w:rsidRPr="00047E5C">
                    <w:rPr>
                      <w:rFonts w:ascii="Arial" w:eastAsia="Times New Roman" w:hAnsi="Arial" w:cs="Arial"/>
                      <w:bCs/>
                      <w:lang w:eastAsia="en-GB"/>
                    </w:rPr>
                    <w:t>21,682</w:t>
                  </w:r>
                </w:p>
              </w:tc>
              <w:tc>
                <w:tcPr>
                  <w:tcW w:w="1272" w:type="dxa"/>
                  <w:gridSpan w:val="2"/>
                  <w:tcBorders>
                    <w:top w:val="nil"/>
                    <w:left w:val="nil"/>
                    <w:bottom w:val="single" w:sz="4" w:space="0" w:color="auto"/>
                    <w:right w:val="nil"/>
                  </w:tcBorders>
                  <w:shd w:val="clear" w:color="auto" w:fill="auto"/>
                  <w:noWrap/>
                  <w:vAlign w:val="center"/>
                  <w:hideMark/>
                </w:tcPr>
                <w:p w14:paraId="42D50BFC" w14:textId="77777777" w:rsidR="00F07478" w:rsidRPr="00047E5C" w:rsidRDefault="00F07478" w:rsidP="00F07478">
                  <w:pPr>
                    <w:spacing w:after="0" w:line="240" w:lineRule="auto"/>
                    <w:jc w:val="right"/>
                    <w:rPr>
                      <w:rFonts w:ascii="Arial" w:eastAsia="Times New Roman" w:hAnsi="Arial" w:cs="Arial"/>
                      <w:lang w:eastAsia="en-GB"/>
                    </w:rPr>
                  </w:pPr>
                  <w:r w:rsidRPr="00047E5C">
                    <w:rPr>
                      <w:rFonts w:ascii="Arial" w:eastAsia="Times New Roman" w:hAnsi="Arial" w:cs="Arial"/>
                      <w:bCs/>
                      <w:lang w:eastAsia="en-GB"/>
                    </w:rPr>
                    <w:t>690</w:t>
                  </w:r>
                </w:p>
              </w:tc>
              <w:tc>
                <w:tcPr>
                  <w:tcW w:w="1071" w:type="dxa"/>
                  <w:gridSpan w:val="2"/>
                  <w:tcBorders>
                    <w:top w:val="nil"/>
                    <w:left w:val="nil"/>
                    <w:bottom w:val="single" w:sz="4" w:space="0" w:color="auto"/>
                    <w:right w:val="nil"/>
                  </w:tcBorders>
                  <w:shd w:val="clear" w:color="auto" w:fill="auto"/>
                  <w:noWrap/>
                  <w:vAlign w:val="center"/>
                  <w:hideMark/>
                </w:tcPr>
                <w:p w14:paraId="02399858" w14:textId="77777777" w:rsidR="00F07478" w:rsidRPr="00047E5C" w:rsidRDefault="00F07478" w:rsidP="00F07478">
                  <w:pPr>
                    <w:spacing w:after="0" w:line="240" w:lineRule="auto"/>
                    <w:jc w:val="right"/>
                    <w:rPr>
                      <w:rFonts w:ascii="Arial" w:eastAsia="Times New Roman" w:hAnsi="Arial" w:cs="Arial"/>
                      <w:lang w:eastAsia="en-GB"/>
                    </w:rPr>
                  </w:pPr>
                  <w:r w:rsidRPr="00047E5C">
                    <w:rPr>
                      <w:rFonts w:ascii="Arial" w:eastAsia="Times New Roman" w:hAnsi="Arial" w:cs="Arial"/>
                      <w:bCs/>
                      <w:lang w:eastAsia="en-GB"/>
                    </w:rPr>
                    <w:t>22,372</w:t>
                  </w:r>
                </w:p>
              </w:tc>
            </w:tr>
            <w:tr w:rsidR="00543D10" w:rsidRPr="00047E5C" w14:paraId="014F4141" w14:textId="77777777" w:rsidTr="0021571F">
              <w:trPr>
                <w:trHeight w:val="256"/>
                <w:jc w:val="center"/>
              </w:trPr>
              <w:tc>
                <w:tcPr>
                  <w:tcW w:w="4292" w:type="dxa"/>
                  <w:gridSpan w:val="3"/>
                  <w:tcBorders>
                    <w:top w:val="nil"/>
                    <w:left w:val="nil"/>
                    <w:bottom w:val="nil"/>
                    <w:right w:val="nil"/>
                  </w:tcBorders>
                  <w:shd w:val="clear" w:color="auto" w:fill="auto"/>
                  <w:noWrap/>
                  <w:vAlign w:val="bottom"/>
                  <w:hideMark/>
                </w:tcPr>
                <w:p w14:paraId="77881782" w14:textId="77777777" w:rsidR="00190D85" w:rsidRPr="00047E5C" w:rsidRDefault="00190D85" w:rsidP="001F6984">
                  <w:pPr>
                    <w:spacing w:after="0" w:line="240" w:lineRule="auto"/>
                    <w:rPr>
                      <w:rFonts w:ascii="Arial" w:eastAsia="Times New Roman" w:hAnsi="Arial" w:cs="Arial"/>
                      <w:lang w:eastAsia="en-GB"/>
                    </w:rPr>
                  </w:pPr>
                </w:p>
              </w:tc>
              <w:tc>
                <w:tcPr>
                  <w:tcW w:w="229" w:type="dxa"/>
                  <w:tcBorders>
                    <w:top w:val="nil"/>
                    <w:left w:val="nil"/>
                    <w:bottom w:val="nil"/>
                    <w:right w:val="nil"/>
                  </w:tcBorders>
                  <w:shd w:val="clear" w:color="auto" w:fill="auto"/>
                  <w:noWrap/>
                  <w:vAlign w:val="bottom"/>
                  <w:hideMark/>
                </w:tcPr>
                <w:p w14:paraId="3AFACD97" w14:textId="77777777" w:rsidR="00190D85" w:rsidRPr="00047E5C" w:rsidRDefault="00190D85" w:rsidP="001F6984">
                  <w:pPr>
                    <w:spacing w:after="0" w:line="240" w:lineRule="auto"/>
                    <w:rPr>
                      <w:rFonts w:ascii="Arial" w:eastAsia="Times New Roman" w:hAnsi="Arial" w:cs="Arial"/>
                      <w:lang w:eastAsia="en-GB"/>
                    </w:rPr>
                  </w:pPr>
                </w:p>
              </w:tc>
              <w:tc>
                <w:tcPr>
                  <w:tcW w:w="1050" w:type="dxa"/>
                  <w:gridSpan w:val="2"/>
                  <w:tcBorders>
                    <w:top w:val="nil"/>
                    <w:left w:val="nil"/>
                    <w:bottom w:val="nil"/>
                    <w:right w:val="nil"/>
                  </w:tcBorders>
                  <w:shd w:val="clear" w:color="auto" w:fill="auto"/>
                  <w:noWrap/>
                  <w:vAlign w:val="bottom"/>
                </w:tcPr>
                <w:p w14:paraId="42ADDAF8" w14:textId="77777777" w:rsidR="00190D85" w:rsidRPr="00047E5C" w:rsidRDefault="00190D85" w:rsidP="001F6984">
                  <w:pPr>
                    <w:spacing w:after="0" w:line="240" w:lineRule="auto"/>
                    <w:rPr>
                      <w:rFonts w:ascii="Arial" w:eastAsia="Times New Roman" w:hAnsi="Arial" w:cs="Arial"/>
                      <w:lang w:eastAsia="en-GB"/>
                    </w:rPr>
                  </w:pPr>
                </w:p>
              </w:tc>
              <w:tc>
                <w:tcPr>
                  <w:tcW w:w="1371" w:type="dxa"/>
                  <w:gridSpan w:val="2"/>
                  <w:tcBorders>
                    <w:top w:val="nil"/>
                    <w:left w:val="nil"/>
                    <w:bottom w:val="nil"/>
                    <w:right w:val="nil"/>
                  </w:tcBorders>
                  <w:shd w:val="clear" w:color="auto" w:fill="auto"/>
                  <w:noWrap/>
                  <w:vAlign w:val="bottom"/>
                  <w:hideMark/>
                </w:tcPr>
                <w:p w14:paraId="22B63004" w14:textId="77777777" w:rsidR="00190D85" w:rsidRPr="00047E5C" w:rsidRDefault="00190D85" w:rsidP="001F6984">
                  <w:pPr>
                    <w:spacing w:after="0" w:line="240" w:lineRule="auto"/>
                    <w:rPr>
                      <w:rFonts w:ascii="Arial" w:eastAsia="Times New Roman" w:hAnsi="Arial" w:cs="Arial"/>
                      <w:lang w:eastAsia="en-GB"/>
                    </w:rPr>
                  </w:pPr>
                </w:p>
              </w:tc>
              <w:tc>
                <w:tcPr>
                  <w:tcW w:w="1290" w:type="dxa"/>
                  <w:gridSpan w:val="2"/>
                  <w:tcBorders>
                    <w:top w:val="nil"/>
                    <w:left w:val="nil"/>
                    <w:bottom w:val="nil"/>
                    <w:right w:val="nil"/>
                  </w:tcBorders>
                  <w:shd w:val="clear" w:color="auto" w:fill="auto"/>
                  <w:noWrap/>
                  <w:vAlign w:val="bottom"/>
                  <w:hideMark/>
                </w:tcPr>
                <w:p w14:paraId="425CCDB7" w14:textId="77777777" w:rsidR="00190D85" w:rsidRPr="00047E5C" w:rsidRDefault="00190D85" w:rsidP="001F6984">
                  <w:pPr>
                    <w:spacing w:after="0" w:line="240" w:lineRule="auto"/>
                    <w:rPr>
                      <w:rFonts w:ascii="Arial" w:eastAsia="Times New Roman" w:hAnsi="Arial" w:cs="Arial"/>
                      <w:lang w:eastAsia="en-GB"/>
                    </w:rPr>
                  </w:pPr>
                </w:p>
              </w:tc>
              <w:tc>
                <w:tcPr>
                  <w:tcW w:w="1037" w:type="dxa"/>
                  <w:gridSpan w:val="2"/>
                  <w:tcBorders>
                    <w:top w:val="nil"/>
                    <w:left w:val="nil"/>
                    <w:bottom w:val="nil"/>
                    <w:right w:val="nil"/>
                  </w:tcBorders>
                  <w:shd w:val="clear" w:color="auto" w:fill="auto"/>
                  <w:noWrap/>
                  <w:vAlign w:val="bottom"/>
                  <w:hideMark/>
                </w:tcPr>
                <w:p w14:paraId="7D4CAB29" w14:textId="77777777" w:rsidR="00190D85" w:rsidRPr="00047E5C" w:rsidRDefault="00190D85" w:rsidP="001F6984">
                  <w:pPr>
                    <w:spacing w:after="0" w:line="240" w:lineRule="auto"/>
                    <w:rPr>
                      <w:rFonts w:ascii="Arial" w:eastAsia="Times New Roman" w:hAnsi="Arial" w:cs="Arial"/>
                      <w:lang w:eastAsia="en-GB"/>
                    </w:rPr>
                  </w:pPr>
                </w:p>
              </w:tc>
            </w:tr>
          </w:tbl>
          <w:p w14:paraId="588709BE" w14:textId="77777777" w:rsidR="0021571F" w:rsidRDefault="0021571F" w:rsidP="00211F2A">
            <w:pPr>
              <w:autoSpaceDE w:val="0"/>
              <w:autoSpaceDN w:val="0"/>
              <w:adjustRightInd w:val="0"/>
              <w:spacing w:after="0" w:line="240" w:lineRule="auto"/>
              <w:ind w:right="295"/>
              <w:jc w:val="both"/>
              <w:rPr>
                <w:rFonts w:ascii="Arial" w:hAnsi="Arial" w:cs="Arial"/>
                <w:sz w:val="24"/>
                <w:szCs w:val="24"/>
              </w:rPr>
            </w:pPr>
          </w:p>
          <w:p w14:paraId="4F8DA187" w14:textId="77777777" w:rsidR="00E25221" w:rsidRPr="00047E5C" w:rsidRDefault="00E25221" w:rsidP="00211F2A">
            <w:pPr>
              <w:autoSpaceDE w:val="0"/>
              <w:autoSpaceDN w:val="0"/>
              <w:adjustRightInd w:val="0"/>
              <w:spacing w:after="0" w:line="240" w:lineRule="auto"/>
              <w:ind w:right="295"/>
              <w:jc w:val="both"/>
              <w:rPr>
                <w:rFonts w:ascii="Arial" w:hAnsi="Arial" w:cs="Arial"/>
                <w:sz w:val="24"/>
                <w:szCs w:val="24"/>
              </w:rPr>
            </w:pPr>
            <w:r w:rsidRPr="00047E5C">
              <w:rPr>
                <w:rFonts w:ascii="Arial" w:hAnsi="Arial" w:cs="Arial"/>
                <w:sz w:val="24"/>
                <w:szCs w:val="24"/>
              </w:rPr>
              <w:t xml:space="preserve">The goodwill arose on the acquisition of the majority interest in CDG-WISE Ability Limited in 2016 and the 100% interest in Ixion Holdings (Contracts) </w:t>
            </w:r>
            <w:r w:rsidR="00CD5D43">
              <w:rPr>
                <w:rFonts w:ascii="Arial" w:hAnsi="Arial" w:cs="Arial"/>
                <w:sz w:val="24"/>
                <w:szCs w:val="24"/>
              </w:rPr>
              <w:t>Limited</w:t>
            </w:r>
            <w:r w:rsidRPr="00047E5C">
              <w:rPr>
                <w:rFonts w:ascii="Arial" w:hAnsi="Arial" w:cs="Arial"/>
                <w:sz w:val="24"/>
                <w:szCs w:val="24"/>
              </w:rPr>
              <w:t xml:space="preserve"> and Prospects Group 2011 Limited on 30 May 2017 and 30 November 2017 respectively (see note 26).</w:t>
            </w:r>
          </w:p>
          <w:p w14:paraId="077AA5BE" w14:textId="77777777" w:rsidR="00E25221" w:rsidRPr="00047E5C" w:rsidRDefault="00E25221" w:rsidP="00004D5F">
            <w:pPr>
              <w:autoSpaceDE w:val="0"/>
              <w:autoSpaceDN w:val="0"/>
              <w:adjustRightInd w:val="0"/>
              <w:spacing w:after="0" w:line="240" w:lineRule="auto"/>
              <w:ind w:right="214"/>
              <w:jc w:val="both"/>
              <w:rPr>
                <w:rFonts w:ascii="Arial" w:hAnsi="Arial" w:cs="Arial"/>
                <w:sz w:val="24"/>
                <w:szCs w:val="24"/>
              </w:rPr>
            </w:pPr>
          </w:p>
          <w:p w14:paraId="07351A81" w14:textId="77777777" w:rsidR="00047E5C" w:rsidRDefault="00E25221" w:rsidP="00047E5C">
            <w:pPr>
              <w:autoSpaceDE w:val="0"/>
              <w:autoSpaceDN w:val="0"/>
              <w:adjustRightInd w:val="0"/>
              <w:spacing w:after="0" w:line="240" w:lineRule="auto"/>
              <w:ind w:right="214"/>
              <w:jc w:val="both"/>
              <w:rPr>
                <w:rFonts w:ascii="Arial" w:hAnsi="Arial" w:cs="Arial"/>
                <w:sz w:val="24"/>
                <w:szCs w:val="24"/>
              </w:rPr>
            </w:pPr>
            <w:r w:rsidRPr="00047E5C">
              <w:rPr>
                <w:rFonts w:ascii="Arial" w:hAnsi="Arial" w:cs="Arial"/>
                <w:sz w:val="24"/>
                <w:szCs w:val="24"/>
              </w:rPr>
              <w:t>The Prospects</w:t>
            </w:r>
            <w:r w:rsidR="00B6489C">
              <w:rPr>
                <w:rFonts w:ascii="Arial" w:hAnsi="Arial" w:cs="Arial"/>
                <w:sz w:val="24"/>
                <w:szCs w:val="24"/>
              </w:rPr>
              <w:t xml:space="preserve"> group was acquired for £17.4m.</w:t>
            </w:r>
            <w:r w:rsidRPr="00047E5C">
              <w:rPr>
                <w:rFonts w:ascii="Arial" w:hAnsi="Arial" w:cs="Arial"/>
                <w:sz w:val="24"/>
                <w:szCs w:val="24"/>
              </w:rPr>
              <w:t xml:space="preserve"> Net liabilities at acquisition were £30.7m resulting in a goodwill balance on acquisition of £48.1m being recognised in the group financial statement on consolidation. This was being amortised over 5 years such that the remaining goodwill balance at 31 August </w:t>
            </w:r>
            <w:r w:rsidR="0037645F" w:rsidRPr="00047E5C">
              <w:rPr>
                <w:rFonts w:ascii="Arial" w:hAnsi="Arial" w:cs="Arial"/>
                <w:sz w:val="24"/>
                <w:szCs w:val="24"/>
              </w:rPr>
              <w:t>2020</w:t>
            </w:r>
            <w:r w:rsidRPr="00047E5C">
              <w:rPr>
                <w:rFonts w:ascii="Arial" w:hAnsi="Arial" w:cs="Arial"/>
                <w:sz w:val="24"/>
                <w:szCs w:val="24"/>
              </w:rPr>
              <w:t xml:space="preserve"> was £</w:t>
            </w:r>
            <w:r w:rsidR="00B23F3E" w:rsidRPr="00047E5C">
              <w:rPr>
                <w:rFonts w:ascii="Arial" w:hAnsi="Arial" w:cs="Arial"/>
                <w:sz w:val="24"/>
                <w:szCs w:val="24"/>
              </w:rPr>
              <w:t>10.6m</w:t>
            </w:r>
            <w:r w:rsidRPr="00047E5C">
              <w:rPr>
                <w:rFonts w:ascii="Arial" w:hAnsi="Arial" w:cs="Arial"/>
                <w:sz w:val="24"/>
                <w:szCs w:val="24"/>
              </w:rPr>
              <w:t xml:space="preserve">. </w:t>
            </w:r>
          </w:p>
          <w:p w14:paraId="1B468E59" w14:textId="77777777" w:rsidR="00047E5C" w:rsidRDefault="00047E5C" w:rsidP="00047E5C">
            <w:pPr>
              <w:autoSpaceDE w:val="0"/>
              <w:autoSpaceDN w:val="0"/>
              <w:adjustRightInd w:val="0"/>
              <w:spacing w:after="0" w:line="240" w:lineRule="auto"/>
              <w:ind w:right="214"/>
              <w:jc w:val="both"/>
              <w:rPr>
                <w:rFonts w:ascii="Arial" w:hAnsi="Arial" w:cs="Arial"/>
                <w:sz w:val="24"/>
                <w:szCs w:val="24"/>
              </w:rPr>
            </w:pPr>
          </w:p>
          <w:p w14:paraId="7CCFAABE" w14:textId="77777777" w:rsidR="009E661B" w:rsidRPr="00047E5C" w:rsidRDefault="009E661B" w:rsidP="00047E5C">
            <w:pPr>
              <w:autoSpaceDE w:val="0"/>
              <w:autoSpaceDN w:val="0"/>
              <w:adjustRightInd w:val="0"/>
              <w:spacing w:after="0" w:line="240" w:lineRule="auto"/>
              <w:ind w:right="214"/>
              <w:jc w:val="both"/>
              <w:rPr>
                <w:rFonts w:ascii="Arial" w:hAnsi="Arial" w:cs="Arial"/>
                <w:sz w:val="24"/>
                <w:szCs w:val="24"/>
              </w:rPr>
            </w:pPr>
            <w:r w:rsidRPr="00047E5C">
              <w:rPr>
                <w:rFonts w:ascii="Arial" w:hAnsi="Arial" w:cs="Arial"/>
                <w:color w:val="000000" w:themeColor="text1"/>
                <w:sz w:val="24"/>
                <w:szCs w:val="24"/>
              </w:rPr>
              <w:t xml:space="preserve">The </w:t>
            </w:r>
            <w:proofErr w:type="spellStart"/>
            <w:r w:rsidRPr="00047E5C">
              <w:rPr>
                <w:rFonts w:ascii="Arial" w:hAnsi="Arial" w:cs="Arial"/>
                <w:color w:val="000000" w:themeColor="text1"/>
                <w:sz w:val="24"/>
                <w:szCs w:val="24"/>
              </w:rPr>
              <w:t>Gabbitas</w:t>
            </w:r>
            <w:proofErr w:type="spellEnd"/>
            <w:r w:rsidRPr="00047E5C">
              <w:rPr>
                <w:rFonts w:ascii="Arial" w:hAnsi="Arial" w:cs="Arial"/>
                <w:color w:val="000000" w:themeColor="text1"/>
                <w:sz w:val="24"/>
                <w:szCs w:val="24"/>
              </w:rPr>
              <w:t xml:space="preserve"> group of subsidiary companies was disposed of during the year resulting in a disposal of the assets and their associated accumulated </w:t>
            </w:r>
            <w:r w:rsidR="00C638FF" w:rsidRPr="00047E5C">
              <w:rPr>
                <w:rFonts w:ascii="Arial" w:hAnsi="Arial" w:cs="Arial"/>
                <w:color w:val="000000" w:themeColor="text1"/>
                <w:sz w:val="24"/>
                <w:szCs w:val="24"/>
              </w:rPr>
              <w:t>amortisation</w:t>
            </w:r>
            <w:r w:rsidRPr="00047E5C">
              <w:rPr>
                <w:rFonts w:ascii="Arial" w:hAnsi="Arial" w:cs="Arial"/>
                <w:color w:val="000000" w:themeColor="text1"/>
                <w:sz w:val="24"/>
                <w:szCs w:val="24"/>
              </w:rPr>
              <w:t>.</w:t>
            </w:r>
          </w:p>
          <w:p w14:paraId="45D646FD" w14:textId="77777777" w:rsidR="00516EB0" w:rsidRPr="00047E5C" w:rsidRDefault="00516EB0" w:rsidP="00665BC7">
            <w:pPr>
              <w:tabs>
                <w:tab w:val="left" w:pos="567"/>
              </w:tabs>
              <w:ind w:left="567" w:hanging="567"/>
              <w:rPr>
                <w:rFonts w:ascii="Arial" w:hAnsi="Arial" w:cs="Arial"/>
                <w:b/>
                <w:i/>
                <w:sz w:val="24"/>
                <w:szCs w:val="24"/>
              </w:rPr>
            </w:pPr>
          </w:p>
          <w:p w14:paraId="486E3D70" w14:textId="77777777" w:rsidR="00516EB0" w:rsidRPr="00047E5C" w:rsidRDefault="00516EB0" w:rsidP="00665BC7">
            <w:pPr>
              <w:tabs>
                <w:tab w:val="left" w:pos="567"/>
              </w:tabs>
              <w:ind w:left="567" w:hanging="567"/>
              <w:rPr>
                <w:rFonts w:ascii="Arial" w:hAnsi="Arial" w:cs="Arial"/>
                <w:b/>
                <w:i/>
                <w:sz w:val="24"/>
                <w:szCs w:val="24"/>
              </w:rPr>
            </w:pPr>
          </w:p>
          <w:p w14:paraId="4837D03F" w14:textId="77777777" w:rsidR="00516EB0" w:rsidRPr="00047E5C" w:rsidRDefault="00516EB0" w:rsidP="00665BC7">
            <w:pPr>
              <w:tabs>
                <w:tab w:val="left" w:pos="567"/>
              </w:tabs>
              <w:ind w:left="567" w:hanging="567"/>
              <w:rPr>
                <w:rFonts w:ascii="Arial" w:hAnsi="Arial" w:cs="Arial"/>
                <w:b/>
                <w:i/>
                <w:sz w:val="24"/>
                <w:szCs w:val="24"/>
              </w:rPr>
            </w:pPr>
          </w:p>
          <w:p w14:paraId="203CE392" w14:textId="77777777" w:rsidR="00516EB0" w:rsidRPr="00047E5C" w:rsidRDefault="00516EB0" w:rsidP="00665BC7">
            <w:pPr>
              <w:tabs>
                <w:tab w:val="left" w:pos="567"/>
              </w:tabs>
              <w:ind w:left="567" w:hanging="567"/>
              <w:rPr>
                <w:rFonts w:ascii="Arial" w:hAnsi="Arial" w:cs="Arial"/>
                <w:b/>
                <w:i/>
                <w:sz w:val="24"/>
                <w:szCs w:val="24"/>
              </w:rPr>
            </w:pPr>
          </w:p>
          <w:p w14:paraId="5AF313FB" w14:textId="77777777" w:rsidR="006C07DD" w:rsidRDefault="006C07DD" w:rsidP="006C07DD">
            <w:pPr>
              <w:spacing w:after="0" w:line="240" w:lineRule="auto"/>
              <w:rPr>
                <w:rFonts w:ascii="Arial" w:hAnsi="Arial" w:cs="Arial"/>
                <w:b/>
                <w:i/>
                <w:sz w:val="24"/>
                <w:szCs w:val="24"/>
              </w:rPr>
            </w:pPr>
          </w:p>
          <w:p w14:paraId="3A526A03" w14:textId="77777777" w:rsidR="006C07DD" w:rsidRDefault="006C07DD" w:rsidP="006C07DD">
            <w:pPr>
              <w:spacing w:after="0" w:line="240" w:lineRule="auto"/>
              <w:rPr>
                <w:rFonts w:ascii="Arial" w:hAnsi="Arial" w:cs="Arial"/>
                <w:b/>
                <w:i/>
                <w:sz w:val="24"/>
                <w:szCs w:val="24"/>
              </w:rPr>
            </w:pPr>
            <w:r w:rsidRPr="0088736E">
              <w:rPr>
                <w:rFonts w:ascii="Arial" w:hAnsi="Arial" w:cs="Arial"/>
                <w:b/>
                <w:i/>
                <w:sz w:val="24"/>
                <w:szCs w:val="24"/>
              </w:rPr>
              <w:lastRenderedPageBreak/>
              <w:t xml:space="preserve">Notes to the financial </w:t>
            </w:r>
            <w:r>
              <w:rPr>
                <w:rFonts w:ascii="Arial" w:hAnsi="Arial" w:cs="Arial"/>
                <w:b/>
                <w:i/>
                <w:sz w:val="24"/>
                <w:szCs w:val="24"/>
              </w:rPr>
              <w:t>statements</w:t>
            </w:r>
            <w:r w:rsidRPr="0088736E">
              <w:rPr>
                <w:rFonts w:ascii="Arial" w:hAnsi="Arial" w:cs="Arial"/>
                <w:b/>
                <w:i/>
                <w:sz w:val="24"/>
                <w:szCs w:val="24"/>
              </w:rPr>
              <w:t xml:space="preserve"> (continued)</w:t>
            </w:r>
          </w:p>
          <w:p w14:paraId="06B9C92A" w14:textId="77777777" w:rsidR="00F73D92" w:rsidRDefault="00665BC7" w:rsidP="00F04499">
            <w:pPr>
              <w:spacing w:after="0" w:line="240" w:lineRule="auto"/>
              <w:rPr>
                <w:rFonts w:ascii="Arial" w:hAnsi="Arial" w:cs="Arial"/>
                <w:sz w:val="24"/>
                <w:szCs w:val="24"/>
              </w:rPr>
            </w:pPr>
            <w:r w:rsidRPr="00047E5C">
              <w:rPr>
                <w:rFonts w:ascii="Arial" w:hAnsi="Arial" w:cs="Arial"/>
                <w:sz w:val="24"/>
                <w:szCs w:val="24"/>
              </w:rPr>
              <w:t xml:space="preserve"> </w:t>
            </w:r>
          </w:p>
          <w:p w14:paraId="2066FC18" w14:textId="77777777" w:rsidR="00ED0609" w:rsidRPr="001451E6" w:rsidRDefault="00BE0959" w:rsidP="00F04499">
            <w:pPr>
              <w:spacing w:after="0" w:line="240" w:lineRule="auto"/>
              <w:rPr>
                <w:rFonts w:ascii="Arial" w:hAnsi="Arial" w:cs="Arial"/>
                <w:sz w:val="24"/>
                <w:szCs w:val="24"/>
              </w:rPr>
            </w:pPr>
            <w:r w:rsidRPr="001451E6">
              <w:rPr>
                <w:rFonts w:ascii="Arial" w:eastAsia="Times New Roman" w:hAnsi="Arial" w:cs="Arial"/>
                <w:b/>
                <w:bCs/>
                <w:sz w:val="24"/>
                <w:szCs w:val="24"/>
                <w:lang w:eastAsia="en-GB"/>
              </w:rPr>
              <w:t>7</w:t>
            </w:r>
            <w:r w:rsidR="00ED0609" w:rsidRPr="001451E6">
              <w:rPr>
                <w:rFonts w:ascii="Arial" w:eastAsia="Times New Roman" w:hAnsi="Arial" w:cs="Arial"/>
                <w:b/>
                <w:bCs/>
                <w:sz w:val="24"/>
                <w:szCs w:val="24"/>
                <w:lang w:eastAsia="en-GB"/>
              </w:rPr>
              <w:t>. Intangible Assets</w:t>
            </w:r>
            <w:r w:rsidR="00ED0609" w:rsidRPr="001451E6">
              <w:rPr>
                <w:rFonts w:ascii="Arial" w:hAnsi="Arial" w:cs="Arial"/>
                <w:sz w:val="24"/>
                <w:szCs w:val="24"/>
              </w:rPr>
              <w:t xml:space="preserve"> </w:t>
            </w:r>
            <w:r w:rsidR="00ED0609" w:rsidRPr="001451E6">
              <w:rPr>
                <w:rFonts w:ascii="Arial" w:hAnsi="Arial" w:cs="Arial"/>
                <w:b/>
                <w:sz w:val="24"/>
                <w:szCs w:val="24"/>
              </w:rPr>
              <w:t>(continued)</w:t>
            </w:r>
          </w:p>
          <w:p w14:paraId="29E1E229" w14:textId="77777777" w:rsidR="00ED0609" w:rsidRPr="00047E5C" w:rsidRDefault="00ED0609" w:rsidP="00F04499">
            <w:pPr>
              <w:spacing w:after="0" w:line="240" w:lineRule="auto"/>
              <w:rPr>
                <w:rFonts w:ascii="Arial" w:hAnsi="Arial" w:cs="Arial"/>
                <w:sz w:val="24"/>
                <w:szCs w:val="24"/>
              </w:rPr>
            </w:pPr>
          </w:p>
          <w:p w14:paraId="59AE16A2" w14:textId="77777777" w:rsidR="00E25221" w:rsidRPr="00047E5C" w:rsidRDefault="00E25221" w:rsidP="00004D5F">
            <w:pPr>
              <w:spacing w:after="0" w:line="240" w:lineRule="auto"/>
              <w:ind w:right="498"/>
              <w:jc w:val="both"/>
              <w:rPr>
                <w:rFonts w:ascii="Arial" w:hAnsi="Arial" w:cs="Arial"/>
                <w:sz w:val="24"/>
                <w:szCs w:val="24"/>
              </w:rPr>
            </w:pPr>
            <w:r w:rsidRPr="00047E5C">
              <w:rPr>
                <w:rFonts w:ascii="Arial" w:hAnsi="Arial" w:cs="Arial"/>
                <w:sz w:val="24"/>
                <w:szCs w:val="24"/>
              </w:rPr>
              <w:t xml:space="preserve">Amortisation will occur in line with Shaw Trust </w:t>
            </w:r>
            <w:r w:rsidR="00437A75">
              <w:rPr>
                <w:rFonts w:ascii="Arial" w:hAnsi="Arial" w:cs="Arial"/>
                <w:sz w:val="24"/>
                <w:szCs w:val="24"/>
              </w:rPr>
              <w:t xml:space="preserve">Limited </w:t>
            </w:r>
            <w:r w:rsidRPr="00047E5C">
              <w:rPr>
                <w:rFonts w:ascii="Arial" w:hAnsi="Arial" w:cs="Arial"/>
                <w:sz w:val="24"/>
                <w:szCs w:val="24"/>
              </w:rPr>
              <w:t>accounting policies commencing on the date of acquisition with adjustments to reflect ongoing valuations of the investments.</w:t>
            </w:r>
          </w:p>
          <w:p w14:paraId="06A73998" w14:textId="77777777" w:rsidR="00004D5F" w:rsidRPr="00047E5C" w:rsidRDefault="00004D5F" w:rsidP="00F04499">
            <w:pPr>
              <w:spacing w:after="0" w:line="240" w:lineRule="auto"/>
              <w:rPr>
                <w:rFonts w:ascii="Arial" w:hAnsi="Arial" w:cs="Arial"/>
                <w:sz w:val="24"/>
                <w:szCs w:val="24"/>
              </w:rPr>
            </w:pPr>
          </w:p>
          <w:tbl>
            <w:tblPr>
              <w:tblpPr w:leftFromText="180" w:rightFromText="180" w:vertAnchor="text" w:horzAnchor="margin" w:tblpY="153"/>
              <w:tblOverlap w:val="never"/>
              <w:tblW w:w="9029" w:type="dxa"/>
              <w:tblLook w:val="04A0" w:firstRow="1" w:lastRow="0" w:firstColumn="1" w:lastColumn="0" w:noHBand="0" w:noVBand="1"/>
            </w:tblPr>
            <w:tblGrid>
              <w:gridCol w:w="5954"/>
              <w:gridCol w:w="301"/>
              <w:gridCol w:w="1282"/>
              <w:gridCol w:w="1492"/>
            </w:tblGrid>
            <w:tr w:rsidR="00004D5F" w:rsidRPr="00047E5C" w14:paraId="15560E27" w14:textId="77777777" w:rsidTr="00454D0E">
              <w:trPr>
                <w:trHeight w:val="844"/>
              </w:trPr>
              <w:tc>
                <w:tcPr>
                  <w:tcW w:w="5954" w:type="dxa"/>
                  <w:tcBorders>
                    <w:top w:val="single" w:sz="4" w:space="0" w:color="auto"/>
                    <w:left w:val="nil"/>
                    <w:bottom w:val="nil"/>
                    <w:right w:val="nil"/>
                  </w:tcBorders>
                  <w:shd w:val="clear" w:color="auto" w:fill="auto"/>
                  <w:vAlign w:val="center"/>
                  <w:hideMark/>
                </w:tcPr>
                <w:p w14:paraId="58592F8B" w14:textId="77777777" w:rsidR="00004D5F" w:rsidRPr="00047E5C" w:rsidRDefault="00004D5F" w:rsidP="00004D5F">
                  <w:pPr>
                    <w:spacing w:after="0" w:line="240" w:lineRule="auto"/>
                    <w:rPr>
                      <w:rFonts w:ascii="Arial" w:eastAsia="Times New Roman" w:hAnsi="Arial" w:cs="Arial"/>
                      <w:b/>
                      <w:bCs/>
                      <w:lang w:eastAsia="en-GB"/>
                    </w:rPr>
                  </w:pPr>
                  <w:r w:rsidRPr="00047E5C">
                    <w:rPr>
                      <w:rFonts w:ascii="Arial" w:eastAsia="Times New Roman" w:hAnsi="Arial" w:cs="Arial"/>
                      <w:b/>
                      <w:bCs/>
                      <w:lang w:eastAsia="en-GB"/>
                    </w:rPr>
                    <w:t>Company</w:t>
                  </w:r>
                </w:p>
              </w:tc>
              <w:tc>
                <w:tcPr>
                  <w:tcW w:w="301" w:type="dxa"/>
                  <w:tcBorders>
                    <w:top w:val="single" w:sz="4" w:space="0" w:color="auto"/>
                    <w:left w:val="nil"/>
                    <w:bottom w:val="nil"/>
                    <w:right w:val="nil"/>
                  </w:tcBorders>
                  <w:shd w:val="clear" w:color="auto" w:fill="auto"/>
                  <w:noWrap/>
                  <w:vAlign w:val="bottom"/>
                  <w:hideMark/>
                </w:tcPr>
                <w:p w14:paraId="7081D198" w14:textId="77777777" w:rsidR="00004D5F" w:rsidRPr="00047E5C" w:rsidRDefault="00004D5F" w:rsidP="00004D5F">
                  <w:pPr>
                    <w:spacing w:after="0" w:line="240" w:lineRule="auto"/>
                    <w:rPr>
                      <w:rFonts w:ascii="Arial" w:eastAsia="Times New Roman" w:hAnsi="Arial" w:cs="Arial"/>
                      <w:lang w:eastAsia="en-GB"/>
                    </w:rPr>
                  </w:pPr>
                  <w:r w:rsidRPr="00047E5C">
                    <w:rPr>
                      <w:rFonts w:ascii="Arial" w:eastAsia="Times New Roman" w:hAnsi="Arial" w:cs="Arial"/>
                      <w:lang w:eastAsia="en-GB"/>
                    </w:rPr>
                    <w:t> </w:t>
                  </w:r>
                </w:p>
              </w:tc>
              <w:tc>
                <w:tcPr>
                  <w:tcW w:w="1282" w:type="dxa"/>
                  <w:tcBorders>
                    <w:top w:val="single" w:sz="4" w:space="0" w:color="auto"/>
                    <w:left w:val="nil"/>
                    <w:bottom w:val="nil"/>
                    <w:right w:val="nil"/>
                  </w:tcBorders>
                  <w:shd w:val="clear" w:color="auto" w:fill="auto"/>
                  <w:hideMark/>
                </w:tcPr>
                <w:p w14:paraId="3F5295DA" w14:textId="77777777" w:rsidR="00004D5F" w:rsidRPr="00047E5C" w:rsidRDefault="00004D5F" w:rsidP="00004D5F">
                  <w:pPr>
                    <w:spacing w:after="0" w:line="240" w:lineRule="auto"/>
                    <w:jc w:val="right"/>
                    <w:rPr>
                      <w:rFonts w:ascii="Arial" w:eastAsia="Times New Roman" w:hAnsi="Arial" w:cs="Arial"/>
                      <w:lang w:eastAsia="en-GB"/>
                    </w:rPr>
                  </w:pPr>
                  <w:r w:rsidRPr="00047E5C">
                    <w:rPr>
                      <w:rFonts w:ascii="Arial" w:eastAsia="Times New Roman" w:hAnsi="Arial" w:cs="Arial"/>
                      <w:lang w:eastAsia="en-GB"/>
                    </w:rPr>
                    <w:t>Computer software</w:t>
                  </w:r>
                </w:p>
              </w:tc>
              <w:tc>
                <w:tcPr>
                  <w:tcW w:w="1492" w:type="dxa"/>
                  <w:tcBorders>
                    <w:top w:val="single" w:sz="4" w:space="0" w:color="auto"/>
                    <w:left w:val="nil"/>
                    <w:bottom w:val="nil"/>
                    <w:right w:val="nil"/>
                  </w:tcBorders>
                  <w:shd w:val="clear" w:color="auto" w:fill="auto"/>
                  <w:hideMark/>
                </w:tcPr>
                <w:p w14:paraId="5E4B99BF" w14:textId="77777777" w:rsidR="00004D5F" w:rsidRPr="00047E5C" w:rsidRDefault="00004D5F" w:rsidP="00004D5F">
                  <w:pPr>
                    <w:spacing w:after="0" w:line="240" w:lineRule="auto"/>
                    <w:jc w:val="right"/>
                    <w:rPr>
                      <w:rFonts w:ascii="Arial" w:eastAsia="Times New Roman" w:hAnsi="Arial" w:cs="Arial"/>
                      <w:lang w:eastAsia="en-GB"/>
                    </w:rPr>
                  </w:pPr>
                  <w:r w:rsidRPr="00047E5C">
                    <w:rPr>
                      <w:rFonts w:ascii="Arial" w:eastAsia="Times New Roman" w:hAnsi="Arial" w:cs="Arial"/>
                      <w:lang w:eastAsia="en-GB"/>
                    </w:rPr>
                    <w:t>Total</w:t>
                  </w:r>
                </w:p>
              </w:tc>
            </w:tr>
            <w:tr w:rsidR="00004D5F" w:rsidRPr="00047E5C" w14:paraId="6D8255A9" w14:textId="77777777" w:rsidTr="00454D0E">
              <w:trPr>
                <w:trHeight w:val="454"/>
              </w:trPr>
              <w:tc>
                <w:tcPr>
                  <w:tcW w:w="5954" w:type="dxa"/>
                  <w:tcBorders>
                    <w:top w:val="nil"/>
                    <w:left w:val="nil"/>
                    <w:bottom w:val="single" w:sz="4" w:space="0" w:color="auto"/>
                    <w:right w:val="nil"/>
                  </w:tcBorders>
                  <w:shd w:val="clear" w:color="auto" w:fill="auto"/>
                  <w:noWrap/>
                  <w:vAlign w:val="bottom"/>
                  <w:hideMark/>
                </w:tcPr>
                <w:p w14:paraId="2169B8E0" w14:textId="77777777" w:rsidR="00004D5F" w:rsidRPr="00047E5C" w:rsidRDefault="00004D5F" w:rsidP="00004D5F">
                  <w:pPr>
                    <w:spacing w:after="0" w:line="240" w:lineRule="auto"/>
                    <w:rPr>
                      <w:rFonts w:ascii="Arial" w:eastAsia="Times New Roman" w:hAnsi="Arial" w:cs="Arial"/>
                      <w:lang w:eastAsia="en-GB"/>
                    </w:rPr>
                  </w:pPr>
                  <w:r w:rsidRPr="00047E5C">
                    <w:rPr>
                      <w:rFonts w:ascii="Arial" w:eastAsia="Times New Roman" w:hAnsi="Arial" w:cs="Arial"/>
                      <w:lang w:eastAsia="en-GB"/>
                    </w:rPr>
                    <w:t> </w:t>
                  </w:r>
                </w:p>
              </w:tc>
              <w:tc>
                <w:tcPr>
                  <w:tcW w:w="301" w:type="dxa"/>
                  <w:tcBorders>
                    <w:top w:val="nil"/>
                    <w:left w:val="nil"/>
                    <w:bottom w:val="single" w:sz="4" w:space="0" w:color="auto"/>
                    <w:right w:val="nil"/>
                  </w:tcBorders>
                  <w:shd w:val="clear" w:color="auto" w:fill="auto"/>
                  <w:noWrap/>
                  <w:vAlign w:val="bottom"/>
                  <w:hideMark/>
                </w:tcPr>
                <w:p w14:paraId="6FE62085" w14:textId="77777777" w:rsidR="00004D5F" w:rsidRPr="00047E5C" w:rsidRDefault="00004D5F" w:rsidP="00004D5F">
                  <w:pPr>
                    <w:spacing w:after="0" w:line="240" w:lineRule="auto"/>
                    <w:rPr>
                      <w:rFonts w:ascii="Arial" w:eastAsia="Times New Roman" w:hAnsi="Arial" w:cs="Arial"/>
                      <w:lang w:eastAsia="en-GB"/>
                    </w:rPr>
                  </w:pPr>
                  <w:r w:rsidRPr="00047E5C">
                    <w:rPr>
                      <w:rFonts w:ascii="Arial" w:eastAsia="Times New Roman" w:hAnsi="Arial" w:cs="Arial"/>
                      <w:lang w:eastAsia="en-GB"/>
                    </w:rPr>
                    <w:t> </w:t>
                  </w:r>
                </w:p>
              </w:tc>
              <w:tc>
                <w:tcPr>
                  <w:tcW w:w="1282" w:type="dxa"/>
                  <w:tcBorders>
                    <w:top w:val="nil"/>
                    <w:left w:val="nil"/>
                    <w:bottom w:val="single" w:sz="4" w:space="0" w:color="auto"/>
                    <w:right w:val="nil"/>
                  </w:tcBorders>
                  <w:shd w:val="clear" w:color="auto" w:fill="auto"/>
                  <w:vAlign w:val="center"/>
                  <w:hideMark/>
                </w:tcPr>
                <w:p w14:paraId="6A7A8287" w14:textId="77777777" w:rsidR="00004D5F" w:rsidRPr="00047E5C" w:rsidRDefault="00004D5F" w:rsidP="00004D5F">
                  <w:pPr>
                    <w:spacing w:after="0" w:line="240" w:lineRule="auto"/>
                    <w:jc w:val="right"/>
                    <w:rPr>
                      <w:rFonts w:ascii="Arial" w:eastAsia="Times New Roman" w:hAnsi="Arial" w:cs="Arial"/>
                      <w:lang w:eastAsia="en-GB"/>
                    </w:rPr>
                  </w:pPr>
                  <w:r w:rsidRPr="00047E5C">
                    <w:rPr>
                      <w:rFonts w:ascii="Arial" w:eastAsia="Times New Roman" w:hAnsi="Arial" w:cs="Arial"/>
                      <w:lang w:eastAsia="en-GB"/>
                    </w:rPr>
                    <w:t>£'000</w:t>
                  </w:r>
                </w:p>
              </w:tc>
              <w:tc>
                <w:tcPr>
                  <w:tcW w:w="1492" w:type="dxa"/>
                  <w:tcBorders>
                    <w:top w:val="nil"/>
                    <w:left w:val="nil"/>
                    <w:bottom w:val="single" w:sz="4" w:space="0" w:color="auto"/>
                    <w:right w:val="nil"/>
                  </w:tcBorders>
                  <w:shd w:val="clear" w:color="auto" w:fill="auto"/>
                  <w:vAlign w:val="center"/>
                  <w:hideMark/>
                </w:tcPr>
                <w:p w14:paraId="78EE6AC1" w14:textId="77777777" w:rsidR="00004D5F" w:rsidRPr="00047E5C" w:rsidRDefault="00004D5F" w:rsidP="00004D5F">
                  <w:pPr>
                    <w:spacing w:after="0" w:line="240" w:lineRule="auto"/>
                    <w:jc w:val="right"/>
                    <w:rPr>
                      <w:rFonts w:ascii="Arial" w:eastAsia="Times New Roman" w:hAnsi="Arial" w:cs="Arial"/>
                      <w:lang w:eastAsia="en-GB"/>
                    </w:rPr>
                  </w:pPr>
                  <w:r w:rsidRPr="00047E5C">
                    <w:rPr>
                      <w:rFonts w:ascii="Arial" w:eastAsia="Times New Roman" w:hAnsi="Arial" w:cs="Arial"/>
                      <w:lang w:eastAsia="en-GB"/>
                    </w:rPr>
                    <w:t>£'000</w:t>
                  </w:r>
                </w:p>
              </w:tc>
            </w:tr>
            <w:tr w:rsidR="00004D5F" w:rsidRPr="00047E5C" w14:paraId="194F94B8" w14:textId="77777777" w:rsidTr="00454D0E">
              <w:trPr>
                <w:trHeight w:val="454"/>
              </w:trPr>
              <w:tc>
                <w:tcPr>
                  <w:tcW w:w="5954" w:type="dxa"/>
                  <w:tcBorders>
                    <w:top w:val="nil"/>
                    <w:left w:val="nil"/>
                    <w:bottom w:val="nil"/>
                    <w:right w:val="nil"/>
                  </w:tcBorders>
                  <w:shd w:val="clear" w:color="auto" w:fill="auto"/>
                  <w:noWrap/>
                  <w:vAlign w:val="center"/>
                  <w:hideMark/>
                </w:tcPr>
                <w:p w14:paraId="3C1D35CC" w14:textId="77777777" w:rsidR="00004D5F" w:rsidRPr="00047E5C" w:rsidRDefault="00004D5F" w:rsidP="00004D5F">
                  <w:pPr>
                    <w:spacing w:after="0" w:line="240" w:lineRule="auto"/>
                    <w:rPr>
                      <w:rFonts w:ascii="Arial" w:eastAsia="Times New Roman" w:hAnsi="Arial" w:cs="Arial"/>
                      <w:b/>
                      <w:bCs/>
                      <w:lang w:eastAsia="en-GB"/>
                    </w:rPr>
                  </w:pPr>
                  <w:r w:rsidRPr="00047E5C">
                    <w:rPr>
                      <w:rFonts w:ascii="Arial" w:eastAsia="Times New Roman" w:hAnsi="Arial" w:cs="Arial"/>
                      <w:b/>
                      <w:bCs/>
                      <w:lang w:eastAsia="en-GB"/>
                    </w:rPr>
                    <w:t>Cost</w:t>
                  </w:r>
                </w:p>
              </w:tc>
              <w:tc>
                <w:tcPr>
                  <w:tcW w:w="301" w:type="dxa"/>
                  <w:tcBorders>
                    <w:top w:val="nil"/>
                    <w:left w:val="nil"/>
                    <w:bottom w:val="nil"/>
                    <w:right w:val="nil"/>
                  </w:tcBorders>
                  <w:shd w:val="clear" w:color="auto" w:fill="auto"/>
                  <w:noWrap/>
                  <w:vAlign w:val="bottom"/>
                  <w:hideMark/>
                </w:tcPr>
                <w:p w14:paraId="47A5A142" w14:textId="77777777" w:rsidR="00004D5F" w:rsidRPr="00047E5C" w:rsidRDefault="00004D5F" w:rsidP="00004D5F">
                  <w:pPr>
                    <w:spacing w:after="0" w:line="240" w:lineRule="auto"/>
                    <w:rPr>
                      <w:rFonts w:ascii="Arial" w:eastAsia="Times New Roman" w:hAnsi="Arial" w:cs="Arial"/>
                      <w:b/>
                      <w:bCs/>
                      <w:lang w:eastAsia="en-GB"/>
                    </w:rPr>
                  </w:pPr>
                </w:p>
              </w:tc>
              <w:tc>
                <w:tcPr>
                  <w:tcW w:w="1282" w:type="dxa"/>
                  <w:tcBorders>
                    <w:top w:val="nil"/>
                    <w:left w:val="nil"/>
                    <w:right w:val="nil"/>
                  </w:tcBorders>
                  <w:shd w:val="clear" w:color="auto" w:fill="auto"/>
                  <w:noWrap/>
                  <w:vAlign w:val="bottom"/>
                  <w:hideMark/>
                </w:tcPr>
                <w:p w14:paraId="38284C20" w14:textId="77777777" w:rsidR="00004D5F" w:rsidRPr="00047E5C" w:rsidRDefault="00004D5F" w:rsidP="00004D5F">
                  <w:pPr>
                    <w:spacing w:after="0" w:line="240" w:lineRule="auto"/>
                    <w:jc w:val="right"/>
                    <w:rPr>
                      <w:rFonts w:ascii="Arial" w:eastAsia="Times New Roman" w:hAnsi="Arial" w:cs="Arial"/>
                      <w:lang w:eastAsia="en-GB"/>
                    </w:rPr>
                  </w:pPr>
                </w:p>
              </w:tc>
              <w:tc>
                <w:tcPr>
                  <w:tcW w:w="1492" w:type="dxa"/>
                  <w:tcBorders>
                    <w:top w:val="nil"/>
                    <w:left w:val="nil"/>
                    <w:right w:val="nil"/>
                  </w:tcBorders>
                  <w:shd w:val="clear" w:color="auto" w:fill="auto"/>
                  <w:noWrap/>
                  <w:vAlign w:val="bottom"/>
                  <w:hideMark/>
                </w:tcPr>
                <w:p w14:paraId="7CFD37B8" w14:textId="77777777" w:rsidR="00004D5F" w:rsidRPr="00047E5C" w:rsidRDefault="00004D5F" w:rsidP="00004D5F">
                  <w:pPr>
                    <w:spacing w:after="0" w:line="240" w:lineRule="auto"/>
                    <w:jc w:val="right"/>
                    <w:rPr>
                      <w:rFonts w:ascii="Arial" w:eastAsia="Times New Roman" w:hAnsi="Arial" w:cs="Arial"/>
                      <w:lang w:eastAsia="en-GB"/>
                    </w:rPr>
                  </w:pPr>
                </w:p>
              </w:tc>
            </w:tr>
            <w:tr w:rsidR="00004D5F" w:rsidRPr="00047E5C" w14:paraId="7C0B68A8" w14:textId="77777777" w:rsidTr="00454D0E">
              <w:trPr>
                <w:trHeight w:val="454"/>
              </w:trPr>
              <w:tc>
                <w:tcPr>
                  <w:tcW w:w="5954" w:type="dxa"/>
                  <w:tcBorders>
                    <w:top w:val="nil"/>
                    <w:left w:val="nil"/>
                    <w:bottom w:val="nil"/>
                    <w:right w:val="nil"/>
                  </w:tcBorders>
                  <w:shd w:val="clear" w:color="auto" w:fill="auto"/>
                  <w:noWrap/>
                  <w:vAlign w:val="center"/>
                  <w:hideMark/>
                </w:tcPr>
                <w:p w14:paraId="1D090886" w14:textId="77777777" w:rsidR="00004D5F" w:rsidRPr="00047E5C" w:rsidRDefault="00004D5F" w:rsidP="00004D5F">
                  <w:pPr>
                    <w:spacing w:after="0" w:line="240" w:lineRule="auto"/>
                    <w:rPr>
                      <w:rFonts w:ascii="Arial" w:eastAsia="Times New Roman" w:hAnsi="Arial" w:cs="Arial"/>
                      <w:lang w:eastAsia="en-GB"/>
                    </w:rPr>
                  </w:pPr>
                  <w:r w:rsidRPr="00047E5C">
                    <w:rPr>
                      <w:rFonts w:ascii="Arial" w:eastAsia="Times New Roman" w:hAnsi="Arial" w:cs="Arial"/>
                      <w:lang w:eastAsia="en-GB"/>
                    </w:rPr>
                    <w:t>At 1 September 2019</w:t>
                  </w:r>
                </w:p>
              </w:tc>
              <w:tc>
                <w:tcPr>
                  <w:tcW w:w="301" w:type="dxa"/>
                  <w:tcBorders>
                    <w:top w:val="nil"/>
                    <w:left w:val="nil"/>
                    <w:bottom w:val="nil"/>
                    <w:right w:val="nil"/>
                  </w:tcBorders>
                  <w:shd w:val="clear" w:color="auto" w:fill="auto"/>
                  <w:noWrap/>
                  <w:vAlign w:val="bottom"/>
                  <w:hideMark/>
                </w:tcPr>
                <w:p w14:paraId="7E98C090" w14:textId="77777777" w:rsidR="00004D5F" w:rsidRPr="00047E5C" w:rsidRDefault="00004D5F" w:rsidP="00004D5F">
                  <w:pPr>
                    <w:spacing w:after="0" w:line="240" w:lineRule="auto"/>
                    <w:rPr>
                      <w:rFonts w:ascii="Arial" w:eastAsia="Times New Roman" w:hAnsi="Arial" w:cs="Arial"/>
                      <w:lang w:eastAsia="en-GB"/>
                    </w:rPr>
                  </w:pPr>
                </w:p>
              </w:tc>
              <w:tc>
                <w:tcPr>
                  <w:tcW w:w="1282" w:type="dxa"/>
                  <w:tcBorders>
                    <w:left w:val="nil"/>
                    <w:right w:val="nil"/>
                  </w:tcBorders>
                  <w:shd w:val="clear" w:color="auto" w:fill="auto"/>
                  <w:noWrap/>
                  <w:vAlign w:val="center"/>
                  <w:hideMark/>
                </w:tcPr>
                <w:p w14:paraId="452043E1" w14:textId="77777777" w:rsidR="00004D5F" w:rsidRPr="00047E5C" w:rsidRDefault="00004D5F" w:rsidP="00004D5F">
                  <w:pPr>
                    <w:spacing w:after="0" w:line="240" w:lineRule="auto"/>
                    <w:jc w:val="right"/>
                    <w:rPr>
                      <w:rFonts w:ascii="Arial" w:eastAsia="Times New Roman" w:hAnsi="Arial" w:cs="Arial"/>
                      <w:lang w:eastAsia="en-GB"/>
                    </w:rPr>
                  </w:pPr>
                  <w:r w:rsidRPr="00047E5C">
                    <w:rPr>
                      <w:rFonts w:ascii="Arial" w:eastAsia="Times New Roman" w:hAnsi="Arial" w:cs="Arial"/>
                      <w:bCs/>
                      <w:lang w:eastAsia="en-GB"/>
                    </w:rPr>
                    <w:t>7,914</w:t>
                  </w:r>
                </w:p>
              </w:tc>
              <w:tc>
                <w:tcPr>
                  <w:tcW w:w="1492" w:type="dxa"/>
                  <w:tcBorders>
                    <w:left w:val="nil"/>
                    <w:right w:val="nil"/>
                  </w:tcBorders>
                  <w:shd w:val="clear" w:color="auto" w:fill="auto"/>
                  <w:noWrap/>
                  <w:vAlign w:val="center"/>
                  <w:hideMark/>
                </w:tcPr>
                <w:p w14:paraId="01D8FA6A" w14:textId="77777777" w:rsidR="00004D5F" w:rsidRPr="00047E5C" w:rsidRDefault="00004D5F" w:rsidP="00004D5F">
                  <w:pPr>
                    <w:spacing w:after="0" w:line="240" w:lineRule="auto"/>
                    <w:jc w:val="right"/>
                    <w:rPr>
                      <w:rFonts w:ascii="Arial" w:eastAsia="Times New Roman" w:hAnsi="Arial" w:cs="Arial"/>
                      <w:lang w:eastAsia="en-GB"/>
                    </w:rPr>
                  </w:pPr>
                  <w:r w:rsidRPr="00047E5C">
                    <w:rPr>
                      <w:rFonts w:ascii="Arial" w:eastAsia="Times New Roman" w:hAnsi="Arial" w:cs="Arial"/>
                      <w:bCs/>
                      <w:lang w:eastAsia="en-GB"/>
                    </w:rPr>
                    <w:t>7,914</w:t>
                  </w:r>
                </w:p>
              </w:tc>
            </w:tr>
            <w:tr w:rsidR="00004D5F" w:rsidRPr="00047E5C" w14:paraId="3DACD1B6" w14:textId="77777777" w:rsidTr="00454D0E">
              <w:trPr>
                <w:trHeight w:val="454"/>
              </w:trPr>
              <w:tc>
                <w:tcPr>
                  <w:tcW w:w="5954" w:type="dxa"/>
                  <w:tcBorders>
                    <w:top w:val="nil"/>
                    <w:left w:val="nil"/>
                    <w:bottom w:val="nil"/>
                    <w:right w:val="nil"/>
                  </w:tcBorders>
                  <w:shd w:val="clear" w:color="auto" w:fill="auto"/>
                  <w:noWrap/>
                  <w:vAlign w:val="center"/>
                  <w:hideMark/>
                </w:tcPr>
                <w:p w14:paraId="5CBADF0E" w14:textId="77777777" w:rsidR="00004D5F" w:rsidRPr="00047E5C" w:rsidRDefault="00004D5F" w:rsidP="00004D5F">
                  <w:pPr>
                    <w:spacing w:after="0" w:line="240" w:lineRule="auto"/>
                    <w:rPr>
                      <w:rFonts w:ascii="Arial" w:eastAsia="Times New Roman" w:hAnsi="Arial" w:cs="Arial"/>
                      <w:lang w:eastAsia="en-GB"/>
                    </w:rPr>
                  </w:pPr>
                  <w:r w:rsidRPr="00047E5C">
                    <w:rPr>
                      <w:rFonts w:ascii="Arial" w:eastAsia="Times New Roman" w:hAnsi="Arial" w:cs="Arial"/>
                      <w:lang w:eastAsia="en-GB"/>
                    </w:rPr>
                    <w:t>Additions</w:t>
                  </w:r>
                </w:p>
              </w:tc>
              <w:tc>
                <w:tcPr>
                  <w:tcW w:w="301" w:type="dxa"/>
                  <w:tcBorders>
                    <w:top w:val="nil"/>
                    <w:left w:val="nil"/>
                    <w:bottom w:val="nil"/>
                    <w:right w:val="nil"/>
                  </w:tcBorders>
                  <w:shd w:val="clear" w:color="auto" w:fill="auto"/>
                  <w:noWrap/>
                  <w:vAlign w:val="bottom"/>
                  <w:hideMark/>
                </w:tcPr>
                <w:p w14:paraId="080C0DC2" w14:textId="77777777" w:rsidR="00004D5F" w:rsidRPr="00047E5C" w:rsidRDefault="00004D5F" w:rsidP="00004D5F">
                  <w:pPr>
                    <w:spacing w:after="0" w:line="240" w:lineRule="auto"/>
                    <w:rPr>
                      <w:rFonts w:ascii="Arial" w:eastAsia="Times New Roman" w:hAnsi="Arial" w:cs="Arial"/>
                      <w:lang w:eastAsia="en-GB"/>
                    </w:rPr>
                  </w:pPr>
                </w:p>
              </w:tc>
              <w:tc>
                <w:tcPr>
                  <w:tcW w:w="1282" w:type="dxa"/>
                  <w:tcBorders>
                    <w:left w:val="nil"/>
                    <w:bottom w:val="nil"/>
                    <w:right w:val="nil"/>
                  </w:tcBorders>
                  <w:shd w:val="clear" w:color="auto" w:fill="auto"/>
                  <w:noWrap/>
                  <w:vAlign w:val="center"/>
                </w:tcPr>
                <w:p w14:paraId="51786DA5" w14:textId="77777777" w:rsidR="00004D5F" w:rsidRPr="00047E5C" w:rsidRDefault="00211F2A" w:rsidP="00004D5F">
                  <w:pPr>
                    <w:spacing w:after="0" w:line="240" w:lineRule="auto"/>
                    <w:jc w:val="right"/>
                    <w:rPr>
                      <w:rFonts w:ascii="Arial" w:eastAsia="Times New Roman" w:hAnsi="Arial" w:cs="Arial"/>
                      <w:lang w:eastAsia="en-GB"/>
                    </w:rPr>
                  </w:pPr>
                  <w:r w:rsidRPr="00047E5C">
                    <w:rPr>
                      <w:rFonts w:ascii="Arial" w:eastAsia="Times New Roman" w:hAnsi="Arial" w:cs="Arial"/>
                      <w:lang w:eastAsia="en-GB"/>
                    </w:rPr>
                    <w:t>238</w:t>
                  </w:r>
                </w:p>
              </w:tc>
              <w:tc>
                <w:tcPr>
                  <w:tcW w:w="1492" w:type="dxa"/>
                  <w:tcBorders>
                    <w:left w:val="nil"/>
                    <w:bottom w:val="nil"/>
                    <w:right w:val="nil"/>
                  </w:tcBorders>
                  <w:shd w:val="clear" w:color="auto" w:fill="auto"/>
                  <w:noWrap/>
                  <w:vAlign w:val="center"/>
                </w:tcPr>
                <w:p w14:paraId="14132631" w14:textId="77777777" w:rsidR="00004D5F" w:rsidRPr="00047E5C" w:rsidRDefault="00211F2A" w:rsidP="00004D5F">
                  <w:pPr>
                    <w:spacing w:after="0" w:line="240" w:lineRule="auto"/>
                    <w:jc w:val="right"/>
                    <w:rPr>
                      <w:rFonts w:ascii="Arial" w:eastAsia="Times New Roman" w:hAnsi="Arial" w:cs="Arial"/>
                      <w:lang w:eastAsia="en-GB"/>
                    </w:rPr>
                  </w:pPr>
                  <w:r w:rsidRPr="00047E5C">
                    <w:rPr>
                      <w:rFonts w:ascii="Arial" w:eastAsia="Times New Roman" w:hAnsi="Arial" w:cs="Arial"/>
                      <w:lang w:eastAsia="en-GB"/>
                    </w:rPr>
                    <w:t>238</w:t>
                  </w:r>
                </w:p>
              </w:tc>
            </w:tr>
            <w:tr w:rsidR="00004D5F" w:rsidRPr="00047E5C" w14:paraId="0ADADA30" w14:textId="77777777" w:rsidTr="00454D0E">
              <w:trPr>
                <w:trHeight w:val="454"/>
              </w:trPr>
              <w:tc>
                <w:tcPr>
                  <w:tcW w:w="5954" w:type="dxa"/>
                  <w:tcBorders>
                    <w:top w:val="nil"/>
                    <w:left w:val="nil"/>
                    <w:bottom w:val="nil"/>
                    <w:right w:val="nil"/>
                  </w:tcBorders>
                  <w:shd w:val="clear" w:color="auto" w:fill="auto"/>
                  <w:noWrap/>
                  <w:vAlign w:val="center"/>
                </w:tcPr>
                <w:p w14:paraId="29F5F787" w14:textId="77777777" w:rsidR="00004D5F" w:rsidRPr="00047E5C" w:rsidRDefault="00004D5F" w:rsidP="00004D5F">
                  <w:pPr>
                    <w:spacing w:after="0" w:line="240" w:lineRule="auto"/>
                    <w:rPr>
                      <w:rFonts w:ascii="Arial" w:eastAsia="Times New Roman" w:hAnsi="Arial" w:cs="Arial"/>
                      <w:lang w:eastAsia="en-GB"/>
                    </w:rPr>
                  </w:pPr>
                  <w:r w:rsidRPr="00047E5C">
                    <w:rPr>
                      <w:rFonts w:ascii="Arial" w:eastAsia="Times New Roman" w:hAnsi="Arial" w:cs="Arial"/>
                      <w:lang w:eastAsia="en-GB"/>
                    </w:rPr>
                    <w:t>Transfers</w:t>
                  </w:r>
                </w:p>
              </w:tc>
              <w:tc>
                <w:tcPr>
                  <w:tcW w:w="301" w:type="dxa"/>
                  <w:tcBorders>
                    <w:top w:val="nil"/>
                    <w:left w:val="nil"/>
                    <w:bottom w:val="nil"/>
                    <w:right w:val="nil"/>
                  </w:tcBorders>
                  <w:shd w:val="clear" w:color="auto" w:fill="auto"/>
                  <w:noWrap/>
                  <w:vAlign w:val="bottom"/>
                </w:tcPr>
                <w:p w14:paraId="5C25C9A9" w14:textId="77777777" w:rsidR="00004D5F" w:rsidRPr="00047E5C" w:rsidRDefault="00004D5F" w:rsidP="00004D5F">
                  <w:pPr>
                    <w:spacing w:after="0" w:line="240" w:lineRule="auto"/>
                    <w:rPr>
                      <w:rFonts w:ascii="Arial" w:eastAsia="Times New Roman" w:hAnsi="Arial" w:cs="Arial"/>
                      <w:lang w:eastAsia="en-GB"/>
                    </w:rPr>
                  </w:pPr>
                </w:p>
              </w:tc>
              <w:tc>
                <w:tcPr>
                  <w:tcW w:w="1282" w:type="dxa"/>
                  <w:tcBorders>
                    <w:top w:val="nil"/>
                    <w:left w:val="nil"/>
                    <w:bottom w:val="nil"/>
                    <w:right w:val="nil"/>
                  </w:tcBorders>
                  <w:shd w:val="clear" w:color="auto" w:fill="auto"/>
                  <w:noWrap/>
                  <w:vAlign w:val="center"/>
                </w:tcPr>
                <w:p w14:paraId="30B64D82" w14:textId="77777777" w:rsidR="00004D5F" w:rsidRPr="00047E5C" w:rsidRDefault="00211F2A" w:rsidP="00004D5F">
                  <w:pPr>
                    <w:spacing w:after="0" w:line="240" w:lineRule="auto"/>
                    <w:jc w:val="right"/>
                    <w:rPr>
                      <w:rFonts w:ascii="Arial" w:eastAsia="Times New Roman" w:hAnsi="Arial" w:cs="Arial"/>
                      <w:lang w:eastAsia="en-GB"/>
                    </w:rPr>
                  </w:pPr>
                  <w:r w:rsidRPr="00047E5C">
                    <w:rPr>
                      <w:rFonts w:ascii="Arial" w:eastAsia="Times New Roman" w:hAnsi="Arial" w:cs="Arial"/>
                      <w:lang w:eastAsia="en-GB"/>
                    </w:rPr>
                    <w:t>(2)</w:t>
                  </w:r>
                </w:p>
              </w:tc>
              <w:tc>
                <w:tcPr>
                  <w:tcW w:w="1492" w:type="dxa"/>
                  <w:tcBorders>
                    <w:top w:val="nil"/>
                    <w:left w:val="nil"/>
                    <w:bottom w:val="nil"/>
                    <w:right w:val="nil"/>
                  </w:tcBorders>
                  <w:shd w:val="clear" w:color="auto" w:fill="auto"/>
                  <w:noWrap/>
                  <w:vAlign w:val="center"/>
                </w:tcPr>
                <w:p w14:paraId="5CC84A65" w14:textId="77777777" w:rsidR="00004D5F" w:rsidRPr="00047E5C" w:rsidRDefault="00211F2A" w:rsidP="00004D5F">
                  <w:pPr>
                    <w:spacing w:after="0" w:line="240" w:lineRule="auto"/>
                    <w:jc w:val="right"/>
                    <w:rPr>
                      <w:rFonts w:ascii="Arial" w:eastAsia="Times New Roman" w:hAnsi="Arial" w:cs="Arial"/>
                      <w:lang w:eastAsia="en-GB"/>
                    </w:rPr>
                  </w:pPr>
                  <w:r w:rsidRPr="00047E5C">
                    <w:rPr>
                      <w:rFonts w:ascii="Arial" w:eastAsia="Times New Roman" w:hAnsi="Arial" w:cs="Arial"/>
                      <w:lang w:eastAsia="en-GB"/>
                    </w:rPr>
                    <w:t>(2)</w:t>
                  </w:r>
                </w:p>
              </w:tc>
            </w:tr>
            <w:tr w:rsidR="00004D5F" w:rsidRPr="00047E5C" w14:paraId="06ACB057" w14:textId="77777777" w:rsidTr="00454D0E">
              <w:trPr>
                <w:trHeight w:val="454"/>
              </w:trPr>
              <w:tc>
                <w:tcPr>
                  <w:tcW w:w="5954" w:type="dxa"/>
                  <w:tcBorders>
                    <w:top w:val="nil"/>
                    <w:left w:val="nil"/>
                    <w:bottom w:val="nil"/>
                    <w:right w:val="nil"/>
                  </w:tcBorders>
                  <w:shd w:val="clear" w:color="auto" w:fill="auto"/>
                  <w:noWrap/>
                  <w:vAlign w:val="center"/>
                </w:tcPr>
                <w:p w14:paraId="08F12095" w14:textId="77777777" w:rsidR="00004D5F" w:rsidRPr="00047E5C" w:rsidRDefault="00004D5F" w:rsidP="00004D5F">
                  <w:pPr>
                    <w:spacing w:after="0" w:line="240" w:lineRule="auto"/>
                    <w:rPr>
                      <w:rFonts w:ascii="Arial" w:eastAsia="Times New Roman" w:hAnsi="Arial" w:cs="Arial"/>
                      <w:lang w:eastAsia="en-GB"/>
                    </w:rPr>
                  </w:pPr>
                  <w:r w:rsidRPr="00047E5C">
                    <w:rPr>
                      <w:rFonts w:ascii="Arial" w:eastAsia="Times New Roman" w:hAnsi="Arial" w:cs="Arial"/>
                      <w:lang w:eastAsia="en-GB"/>
                    </w:rPr>
                    <w:t>Disposals</w:t>
                  </w:r>
                </w:p>
              </w:tc>
              <w:tc>
                <w:tcPr>
                  <w:tcW w:w="301" w:type="dxa"/>
                  <w:tcBorders>
                    <w:top w:val="nil"/>
                    <w:left w:val="nil"/>
                    <w:bottom w:val="nil"/>
                    <w:right w:val="nil"/>
                  </w:tcBorders>
                  <w:shd w:val="clear" w:color="auto" w:fill="auto"/>
                  <w:noWrap/>
                  <w:vAlign w:val="bottom"/>
                </w:tcPr>
                <w:p w14:paraId="257BB000" w14:textId="77777777" w:rsidR="00004D5F" w:rsidRPr="00047E5C" w:rsidRDefault="00004D5F" w:rsidP="00004D5F">
                  <w:pPr>
                    <w:spacing w:after="0" w:line="240" w:lineRule="auto"/>
                    <w:rPr>
                      <w:rFonts w:ascii="Arial" w:eastAsia="Times New Roman" w:hAnsi="Arial" w:cs="Arial"/>
                      <w:lang w:eastAsia="en-GB"/>
                    </w:rPr>
                  </w:pPr>
                </w:p>
              </w:tc>
              <w:tc>
                <w:tcPr>
                  <w:tcW w:w="1282" w:type="dxa"/>
                  <w:tcBorders>
                    <w:top w:val="nil"/>
                    <w:left w:val="nil"/>
                    <w:bottom w:val="nil"/>
                    <w:right w:val="nil"/>
                  </w:tcBorders>
                  <w:shd w:val="clear" w:color="auto" w:fill="auto"/>
                  <w:noWrap/>
                  <w:vAlign w:val="center"/>
                </w:tcPr>
                <w:p w14:paraId="151BA880" w14:textId="77777777" w:rsidR="00004D5F" w:rsidRPr="00047E5C" w:rsidRDefault="009105D0" w:rsidP="00004D5F">
                  <w:pPr>
                    <w:spacing w:after="0" w:line="240" w:lineRule="auto"/>
                    <w:jc w:val="right"/>
                    <w:rPr>
                      <w:rFonts w:ascii="Arial" w:eastAsia="Times New Roman" w:hAnsi="Arial" w:cs="Arial"/>
                      <w:lang w:eastAsia="en-GB"/>
                    </w:rPr>
                  </w:pPr>
                  <w:r w:rsidRPr="00047E5C">
                    <w:rPr>
                      <w:rFonts w:ascii="Arial" w:eastAsia="Times New Roman" w:hAnsi="Arial" w:cs="Arial"/>
                      <w:lang w:eastAsia="en-GB"/>
                    </w:rPr>
                    <w:t>(1,265</w:t>
                  </w:r>
                  <w:r w:rsidR="00211F2A" w:rsidRPr="00047E5C">
                    <w:rPr>
                      <w:rFonts w:ascii="Arial" w:eastAsia="Times New Roman" w:hAnsi="Arial" w:cs="Arial"/>
                      <w:lang w:eastAsia="en-GB"/>
                    </w:rPr>
                    <w:t>)</w:t>
                  </w:r>
                </w:p>
              </w:tc>
              <w:tc>
                <w:tcPr>
                  <w:tcW w:w="1492" w:type="dxa"/>
                  <w:tcBorders>
                    <w:top w:val="nil"/>
                    <w:left w:val="nil"/>
                    <w:bottom w:val="nil"/>
                    <w:right w:val="nil"/>
                  </w:tcBorders>
                  <w:shd w:val="clear" w:color="auto" w:fill="auto"/>
                  <w:noWrap/>
                  <w:vAlign w:val="center"/>
                </w:tcPr>
                <w:p w14:paraId="611BE853" w14:textId="77777777" w:rsidR="00004D5F" w:rsidRPr="00047E5C" w:rsidRDefault="00211F2A">
                  <w:pPr>
                    <w:spacing w:after="0" w:line="240" w:lineRule="auto"/>
                    <w:jc w:val="right"/>
                    <w:rPr>
                      <w:rFonts w:ascii="Arial" w:eastAsia="Times New Roman" w:hAnsi="Arial" w:cs="Arial"/>
                      <w:lang w:eastAsia="en-GB"/>
                    </w:rPr>
                  </w:pPr>
                  <w:r w:rsidRPr="00047E5C">
                    <w:rPr>
                      <w:rFonts w:ascii="Arial" w:eastAsia="Times New Roman" w:hAnsi="Arial" w:cs="Arial"/>
                      <w:lang w:eastAsia="en-GB"/>
                    </w:rPr>
                    <w:t>(1,26</w:t>
                  </w:r>
                  <w:r w:rsidR="009105D0" w:rsidRPr="00047E5C">
                    <w:rPr>
                      <w:rFonts w:ascii="Arial" w:eastAsia="Times New Roman" w:hAnsi="Arial" w:cs="Arial"/>
                      <w:lang w:eastAsia="en-GB"/>
                    </w:rPr>
                    <w:t>5</w:t>
                  </w:r>
                  <w:r w:rsidRPr="00047E5C">
                    <w:rPr>
                      <w:rFonts w:ascii="Arial" w:eastAsia="Times New Roman" w:hAnsi="Arial" w:cs="Arial"/>
                      <w:lang w:eastAsia="en-GB"/>
                    </w:rPr>
                    <w:t>)</w:t>
                  </w:r>
                </w:p>
              </w:tc>
            </w:tr>
            <w:tr w:rsidR="00004D5F" w:rsidRPr="00047E5C" w14:paraId="08C17E44" w14:textId="77777777" w:rsidTr="00454D0E">
              <w:trPr>
                <w:trHeight w:val="454"/>
              </w:trPr>
              <w:tc>
                <w:tcPr>
                  <w:tcW w:w="5954" w:type="dxa"/>
                  <w:tcBorders>
                    <w:top w:val="single" w:sz="4" w:space="0" w:color="auto"/>
                    <w:left w:val="nil"/>
                    <w:bottom w:val="single" w:sz="4" w:space="0" w:color="auto"/>
                    <w:right w:val="nil"/>
                  </w:tcBorders>
                  <w:shd w:val="clear" w:color="auto" w:fill="auto"/>
                  <w:noWrap/>
                  <w:vAlign w:val="center"/>
                  <w:hideMark/>
                </w:tcPr>
                <w:p w14:paraId="29F5BA92" w14:textId="77777777" w:rsidR="00004D5F" w:rsidRPr="00047E5C" w:rsidRDefault="00004D5F" w:rsidP="00004D5F">
                  <w:pPr>
                    <w:spacing w:after="0" w:line="240" w:lineRule="auto"/>
                    <w:rPr>
                      <w:rFonts w:ascii="Arial" w:eastAsia="Times New Roman" w:hAnsi="Arial" w:cs="Arial"/>
                      <w:b/>
                      <w:bCs/>
                      <w:lang w:eastAsia="en-GB"/>
                    </w:rPr>
                  </w:pPr>
                  <w:r w:rsidRPr="00047E5C">
                    <w:rPr>
                      <w:rFonts w:ascii="Arial" w:eastAsia="Times New Roman" w:hAnsi="Arial" w:cs="Arial"/>
                      <w:b/>
                      <w:bCs/>
                      <w:lang w:eastAsia="en-GB"/>
                    </w:rPr>
                    <w:t>At 31 August 2020</w:t>
                  </w:r>
                </w:p>
              </w:tc>
              <w:tc>
                <w:tcPr>
                  <w:tcW w:w="301" w:type="dxa"/>
                  <w:tcBorders>
                    <w:top w:val="single" w:sz="4" w:space="0" w:color="auto"/>
                    <w:left w:val="nil"/>
                    <w:bottom w:val="single" w:sz="4" w:space="0" w:color="auto"/>
                    <w:right w:val="nil"/>
                  </w:tcBorders>
                  <w:shd w:val="clear" w:color="auto" w:fill="auto"/>
                  <w:noWrap/>
                  <w:vAlign w:val="bottom"/>
                  <w:hideMark/>
                </w:tcPr>
                <w:p w14:paraId="53033905" w14:textId="77777777" w:rsidR="00004D5F" w:rsidRPr="00047E5C" w:rsidRDefault="00004D5F" w:rsidP="00004D5F">
                  <w:pPr>
                    <w:spacing w:after="0" w:line="240" w:lineRule="auto"/>
                    <w:rPr>
                      <w:rFonts w:ascii="Arial" w:eastAsia="Times New Roman" w:hAnsi="Arial" w:cs="Arial"/>
                      <w:lang w:eastAsia="en-GB"/>
                    </w:rPr>
                  </w:pPr>
                  <w:r w:rsidRPr="00047E5C">
                    <w:rPr>
                      <w:rFonts w:ascii="Arial" w:eastAsia="Times New Roman" w:hAnsi="Arial" w:cs="Arial"/>
                      <w:lang w:eastAsia="en-GB"/>
                    </w:rPr>
                    <w:t> </w:t>
                  </w:r>
                </w:p>
              </w:tc>
              <w:tc>
                <w:tcPr>
                  <w:tcW w:w="1282" w:type="dxa"/>
                  <w:tcBorders>
                    <w:top w:val="single" w:sz="4" w:space="0" w:color="auto"/>
                    <w:left w:val="nil"/>
                    <w:bottom w:val="single" w:sz="4" w:space="0" w:color="auto"/>
                    <w:right w:val="nil"/>
                  </w:tcBorders>
                  <w:shd w:val="clear" w:color="auto" w:fill="auto"/>
                  <w:noWrap/>
                  <w:vAlign w:val="center"/>
                </w:tcPr>
                <w:p w14:paraId="3DAF67AF" w14:textId="77777777" w:rsidR="00004D5F" w:rsidRPr="00047E5C" w:rsidRDefault="00211F2A" w:rsidP="00004D5F">
                  <w:pPr>
                    <w:spacing w:after="0" w:line="240" w:lineRule="auto"/>
                    <w:jc w:val="right"/>
                    <w:rPr>
                      <w:rFonts w:ascii="Arial" w:eastAsia="Times New Roman" w:hAnsi="Arial" w:cs="Arial"/>
                      <w:b/>
                      <w:bCs/>
                      <w:lang w:eastAsia="en-GB"/>
                    </w:rPr>
                  </w:pPr>
                  <w:r w:rsidRPr="00047E5C">
                    <w:rPr>
                      <w:rFonts w:ascii="Arial" w:eastAsia="Times New Roman" w:hAnsi="Arial" w:cs="Arial"/>
                      <w:b/>
                      <w:bCs/>
                      <w:lang w:eastAsia="en-GB"/>
                    </w:rPr>
                    <w:t>6,885</w:t>
                  </w:r>
                </w:p>
              </w:tc>
              <w:tc>
                <w:tcPr>
                  <w:tcW w:w="1492" w:type="dxa"/>
                  <w:tcBorders>
                    <w:top w:val="single" w:sz="4" w:space="0" w:color="auto"/>
                    <w:left w:val="nil"/>
                    <w:bottom w:val="single" w:sz="4" w:space="0" w:color="auto"/>
                    <w:right w:val="nil"/>
                  </w:tcBorders>
                  <w:shd w:val="clear" w:color="auto" w:fill="auto"/>
                  <w:noWrap/>
                  <w:vAlign w:val="center"/>
                </w:tcPr>
                <w:p w14:paraId="0D296983" w14:textId="77777777" w:rsidR="00004D5F" w:rsidRPr="00047E5C" w:rsidRDefault="00211F2A" w:rsidP="00004D5F">
                  <w:pPr>
                    <w:spacing w:after="0" w:line="240" w:lineRule="auto"/>
                    <w:jc w:val="right"/>
                    <w:rPr>
                      <w:rFonts w:ascii="Arial" w:eastAsia="Times New Roman" w:hAnsi="Arial" w:cs="Arial"/>
                      <w:b/>
                      <w:bCs/>
                      <w:lang w:eastAsia="en-GB"/>
                    </w:rPr>
                  </w:pPr>
                  <w:r w:rsidRPr="00047E5C">
                    <w:rPr>
                      <w:rFonts w:ascii="Arial" w:eastAsia="Times New Roman" w:hAnsi="Arial" w:cs="Arial"/>
                      <w:b/>
                      <w:bCs/>
                      <w:lang w:eastAsia="en-GB"/>
                    </w:rPr>
                    <w:t>6,885</w:t>
                  </w:r>
                </w:p>
              </w:tc>
            </w:tr>
            <w:tr w:rsidR="00004D5F" w:rsidRPr="00047E5C" w14:paraId="307D8DCD" w14:textId="77777777" w:rsidTr="00454D0E">
              <w:trPr>
                <w:trHeight w:val="454"/>
              </w:trPr>
              <w:tc>
                <w:tcPr>
                  <w:tcW w:w="5954" w:type="dxa"/>
                  <w:tcBorders>
                    <w:top w:val="nil"/>
                    <w:left w:val="nil"/>
                    <w:bottom w:val="nil"/>
                    <w:right w:val="nil"/>
                  </w:tcBorders>
                  <w:shd w:val="clear" w:color="auto" w:fill="auto"/>
                  <w:noWrap/>
                  <w:vAlign w:val="center"/>
                  <w:hideMark/>
                </w:tcPr>
                <w:p w14:paraId="0215A89C" w14:textId="77777777" w:rsidR="00004D5F" w:rsidRPr="00047E5C" w:rsidRDefault="00004D5F" w:rsidP="00004D5F">
                  <w:pPr>
                    <w:spacing w:after="0" w:line="240" w:lineRule="auto"/>
                    <w:rPr>
                      <w:rFonts w:ascii="Arial" w:eastAsia="Times New Roman" w:hAnsi="Arial" w:cs="Arial"/>
                      <w:b/>
                      <w:bCs/>
                      <w:lang w:eastAsia="en-GB"/>
                    </w:rPr>
                  </w:pPr>
                </w:p>
              </w:tc>
              <w:tc>
                <w:tcPr>
                  <w:tcW w:w="301" w:type="dxa"/>
                  <w:tcBorders>
                    <w:top w:val="nil"/>
                    <w:left w:val="nil"/>
                    <w:bottom w:val="nil"/>
                    <w:right w:val="nil"/>
                  </w:tcBorders>
                  <w:shd w:val="clear" w:color="auto" w:fill="auto"/>
                  <w:noWrap/>
                  <w:vAlign w:val="bottom"/>
                  <w:hideMark/>
                </w:tcPr>
                <w:p w14:paraId="13F21B1A" w14:textId="77777777" w:rsidR="00004D5F" w:rsidRPr="00047E5C" w:rsidRDefault="00004D5F" w:rsidP="00004D5F">
                  <w:pPr>
                    <w:spacing w:after="0" w:line="240" w:lineRule="auto"/>
                    <w:rPr>
                      <w:rFonts w:ascii="Arial" w:eastAsia="Times New Roman" w:hAnsi="Arial" w:cs="Arial"/>
                      <w:lang w:eastAsia="en-GB"/>
                    </w:rPr>
                  </w:pPr>
                </w:p>
              </w:tc>
              <w:tc>
                <w:tcPr>
                  <w:tcW w:w="1282" w:type="dxa"/>
                  <w:tcBorders>
                    <w:top w:val="nil"/>
                    <w:left w:val="nil"/>
                    <w:bottom w:val="nil"/>
                    <w:right w:val="nil"/>
                  </w:tcBorders>
                  <w:shd w:val="clear" w:color="auto" w:fill="auto"/>
                  <w:noWrap/>
                  <w:vAlign w:val="center"/>
                  <w:hideMark/>
                </w:tcPr>
                <w:p w14:paraId="4A06714A" w14:textId="77777777" w:rsidR="00004D5F" w:rsidRPr="00047E5C" w:rsidRDefault="00004D5F" w:rsidP="00004D5F">
                  <w:pPr>
                    <w:spacing w:after="0" w:line="240" w:lineRule="auto"/>
                    <w:jc w:val="right"/>
                    <w:rPr>
                      <w:rFonts w:ascii="Arial" w:eastAsia="Times New Roman" w:hAnsi="Arial" w:cs="Arial"/>
                      <w:lang w:eastAsia="en-GB"/>
                    </w:rPr>
                  </w:pPr>
                </w:p>
              </w:tc>
              <w:tc>
                <w:tcPr>
                  <w:tcW w:w="1492" w:type="dxa"/>
                  <w:tcBorders>
                    <w:top w:val="nil"/>
                    <w:left w:val="nil"/>
                    <w:bottom w:val="nil"/>
                    <w:right w:val="nil"/>
                  </w:tcBorders>
                  <w:shd w:val="clear" w:color="auto" w:fill="auto"/>
                  <w:noWrap/>
                  <w:vAlign w:val="center"/>
                  <w:hideMark/>
                </w:tcPr>
                <w:p w14:paraId="7435013E" w14:textId="77777777" w:rsidR="00004D5F" w:rsidRPr="00047E5C" w:rsidRDefault="00004D5F" w:rsidP="00004D5F">
                  <w:pPr>
                    <w:spacing w:after="0" w:line="240" w:lineRule="auto"/>
                    <w:jc w:val="right"/>
                    <w:rPr>
                      <w:rFonts w:ascii="Arial" w:eastAsia="Times New Roman" w:hAnsi="Arial" w:cs="Arial"/>
                      <w:lang w:eastAsia="en-GB"/>
                    </w:rPr>
                  </w:pPr>
                </w:p>
              </w:tc>
            </w:tr>
            <w:tr w:rsidR="00004D5F" w:rsidRPr="00047E5C" w14:paraId="6FB33DF0" w14:textId="77777777" w:rsidTr="00454D0E">
              <w:trPr>
                <w:trHeight w:val="454"/>
              </w:trPr>
              <w:tc>
                <w:tcPr>
                  <w:tcW w:w="5954" w:type="dxa"/>
                  <w:tcBorders>
                    <w:top w:val="nil"/>
                    <w:left w:val="nil"/>
                    <w:bottom w:val="nil"/>
                    <w:right w:val="nil"/>
                  </w:tcBorders>
                  <w:shd w:val="clear" w:color="auto" w:fill="auto"/>
                  <w:noWrap/>
                  <w:vAlign w:val="center"/>
                  <w:hideMark/>
                </w:tcPr>
                <w:p w14:paraId="5BB5C910" w14:textId="77777777" w:rsidR="00004D5F" w:rsidRPr="00047E5C" w:rsidRDefault="00004D5F" w:rsidP="00004D5F">
                  <w:pPr>
                    <w:spacing w:after="0" w:line="240" w:lineRule="auto"/>
                    <w:rPr>
                      <w:rFonts w:ascii="Arial" w:eastAsia="Times New Roman" w:hAnsi="Arial" w:cs="Arial"/>
                      <w:b/>
                      <w:bCs/>
                      <w:lang w:eastAsia="en-GB"/>
                    </w:rPr>
                  </w:pPr>
                  <w:r w:rsidRPr="00047E5C">
                    <w:rPr>
                      <w:rFonts w:ascii="Arial" w:eastAsia="Times New Roman" w:hAnsi="Arial" w:cs="Arial"/>
                      <w:b/>
                      <w:bCs/>
                      <w:lang w:eastAsia="en-GB"/>
                    </w:rPr>
                    <w:t>Accumulated Amortisation</w:t>
                  </w:r>
                </w:p>
              </w:tc>
              <w:tc>
                <w:tcPr>
                  <w:tcW w:w="301" w:type="dxa"/>
                  <w:tcBorders>
                    <w:top w:val="nil"/>
                    <w:left w:val="nil"/>
                    <w:bottom w:val="nil"/>
                    <w:right w:val="nil"/>
                  </w:tcBorders>
                  <w:shd w:val="clear" w:color="auto" w:fill="auto"/>
                  <w:noWrap/>
                  <w:vAlign w:val="bottom"/>
                  <w:hideMark/>
                </w:tcPr>
                <w:p w14:paraId="67EF519D" w14:textId="77777777" w:rsidR="00004D5F" w:rsidRPr="00047E5C" w:rsidRDefault="00004D5F" w:rsidP="00004D5F">
                  <w:pPr>
                    <w:spacing w:after="0" w:line="240" w:lineRule="auto"/>
                    <w:rPr>
                      <w:rFonts w:ascii="Arial" w:eastAsia="Times New Roman" w:hAnsi="Arial" w:cs="Arial"/>
                      <w:b/>
                      <w:bCs/>
                      <w:lang w:eastAsia="en-GB"/>
                    </w:rPr>
                  </w:pPr>
                </w:p>
              </w:tc>
              <w:tc>
                <w:tcPr>
                  <w:tcW w:w="1282" w:type="dxa"/>
                  <w:tcBorders>
                    <w:top w:val="nil"/>
                    <w:left w:val="nil"/>
                    <w:right w:val="nil"/>
                  </w:tcBorders>
                  <w:shd w:val="clear" w:color="auto" w:fill="auto"/>
                  <w:noWrap/>
                  <w:vAlign w:val="center"/>
                  <w:hideMark/>
                </w:tcPr>
                <w:p w14:paraId="631AD5F7" w14:textId="77777777" w:rsidR="00004D5F" w:rsidRPr="00047E5C" w:rsidRDefault="00004D5F" w:rsidP="00004D5F">
                  <w:pPr>
                    <w:spacing w:after="0" w:line="240" w:lineRule="auto"/>
                    <w:jc w:val="right"/>
                    <w:rPr>
                      <w:rFonts w:ascii="Arial" w:eastAsia="Times New Roman" w:hAnsi="Arial" w:cs="Arial"/>
                      <w:lang w:eastAsia="en-GB"/>
                    </w:rPr>
                  </w:pPr>
                </w:p>
              </w:tc>
              <w:tc>
                <w:tcPr>
                  <w:tcW w:w="1492" w:type="dxa"/>
                  <w:tcBorders>
                    <w:top w:val="nil"/>
                    <w:left w:val="nil"/>
                    <w:right w:val="nil"/>
                  </w:tcBorders>
                  <w:shd w:val="clear" w:color="auto" w:fill="auto"/>
                  <w:noWrap/>
                  <w:vAlign w:val="center"/>
                  <w:hideMark/>
                </w:tcPr>
                <w:p w14:paraId="178F4E15" w14:textId="77777777" w:rsidR="00004D5F" w:rsidRPr="00047E5C" w:rsidRDefault="00004D5F" w:rsidP="00004D5F">
                  <w:pPr>
                    <w:spacing w:after="0" w:line="240" w:lineRule="auto"/>
                    <w:jc w:val="right"/>
                    <w:rPr>
                      <w:rFonts w:ascii="Arial" w:eastAsia="Times New Roman" w:hAnsi="Arial" w:cs="Arial"/>
                      <w:lang w:eastAsia="en-GB"/>
                    </w:rPr>
                  </w:pPr>
                </w:p>
              </w:tc>
            </w:tr>
            <w:tr w:rsidR="00004D5F" w:rsidRPr="00047E5C" w14:paraId="3B48247A" w14:textId="77777777" w:rsidTr="00454D0E">
              <w:trPr>
                <w:trHeight w:val="454"/>
              </w:trPr>
              <w:tc>
                <w:tcPr>
                  <w:tcW w:w="5954" w:type="dxa"/>
                  <w:tcBorders>
                    <w:top w:val="nil"/>
                    <w:left w:val="nil"/>
                    <w:bottom w:val="nil"/>
                    <w:right w:val="nil"/>
                  </w:tcBorders>
                  <w:shd w:val="clear" w:color="auto" w:fill="auto"/>
                  <w:noWrap/>
                  <w:vAlign w:val="center"/>
                  <w:hideMark/>
                </w:tcPr>
                <w:p w14:paraId="4A5C16E0" w14:textId="77777777" w:rsidR="00004D5F" w:rsidRPr="00047E5C" w:rsidRDefault="00004D5F" w:rsidP="00004D5F">
                  <w:pPr>
                    <w:spacing w:after="0" w:line="240" w:lineRule="auto"/>
                    <w:rPr>
                      <w:rFonts w:ascii="Arial" w:eastAsia="Times New Roman" w:hAnsi="Arial" w:cs="Arial"/>
                      <w:lang w:eastAsia="en-GB"/>
                    </w:rPr>
                  </w:pPr>
                  <w:r w:rsidRPr="00047E5C">
                    <w:rPr>
                      <w:rFonts w:ascii="Arial" w:eastAsia="Times New Roman" w:hAnsi="Arial" w:cs="Arial"/>
                      <w:lang w:eastAsia="en-GB"/>
                    </w:rPr>
                    <w:t>At 1 September 2019</w:t>
                  </w:r>
                </w:p>
              </w:tc>
              <w:tc>
                <w:tcPr>
                  <w:tcW w:w="301" w:type="dxa"/>
                  <w:tcBorders>
                    <w:top w:val="nil"/>
                    <w:left w:val="nil"/>
                    <w:bottom w:val="nil"/>
                    <w:right w:val="nil"/>
                  </w:tcBorders>
                  <w:shd w:val="clear" w:color="auto" w:fill="auto"/>
                  <w:noWrap/>
                  <w:vAlign w:val="bottom"/>
                  <w:hideMark/>
                </w:tcPr>
                <w:p w14:paraId="49E65E6D" w14:textId="77777777" w:rsidR="00004D5F" w:rsidRPr="00047E5C" w:rsidRDefault="00004D5F" w:rsidP="00004D5F">
                  <w:pPr>
                    <w:spacing w:after="0" w:line="240" w:lineRule="auto"/>
                    <w:rPr>
                      <w:rFonts w:ascii="Arial" w:eastAsia="Times New Roman" w:hAnsi="Arial" w:cs="Arial"/>
                      <w:lang w:eastAsia="en-GB"/>
                    </w:rPr>
                  </w:pPr>
                </w:p>
              </w:tc>
              <w:tc>
                <w:tcPr>
                  <w:tcW w:w="1282" w:type="dxa"/>
                  <w:tcBorders>
                    <w:left w:val="nil"/>
                    <w:right w:val="nil"/>
                  </w:tcBorders>
                  <w:shd w:val="clear" w:color="auto" w:fill="auto"/>
                  <w:noWrap/>
                  <w:vAlign w:val="center"/>
                  <w:hideMark/>
                </w:tcPr>
                <w:p w14:paraId="25C14747" w14:textId="77777777" w:rsidR="00004D5F" w:rsidRPr="00047E5C" w:rsidRDefault="00004D5F" w:rsidP="00004D5F">
                  <w:pPr>
                    <w:spacing w:after="0" w:line="240" w:lineRule="auto"/>
                    <w:jc w:val="right"/>
                    <w:rPr>
                      <w:rFonts w:ascii="Arial" w:eastAsia="Times New Roman" w:hAnsi="Arial" w:cs="Arial"/>
                      <w:lang w:eastAsia="en-GB"/>
                    </w:rPr>
                  </w:pPr>
                  <w:r w:rsidRPr="00047E5C">
                    <w:rPr>
                      <w:rFonts w:ascii="Arial" w:eastAsia="Times New Roman" w:hAnsi="Arial" w:cs="Arial"/>
                      <w:bCs/>
                      <w:lang w:eastAsia="en-GB"/>
                    </w:rPr>
                    <w:t>(7,212)</w:t>
                  </w:r>
                </w:p>
              </w:tc>
              <w:tc>
                <w:tcPr>
                  <w:tcW w:w="1492" w:type="dxa"/>
                  <w:tcBorders>
                    <w:left w:val="nil"/>
                    <w:right w:val="nil"/>
                  </w:tcBorders>
                  <w:shd w:val="clear" w:color="auto" w:fill="auto"/>
                  <w:noWrap/>
                  <w:vAlign w:val="center"/>
                  <w:hideMark/>
                </w:tcPr>
                <w:p w14:paraId="02D833CE" w14:textId="77777777" w:rsidR="00004D5F" w:rsidRPr="00047E5C" w:rsidRDefault="00004D5F" w:rsidP="00004D5F">
                  <w:pPr>
                    <w:spacing w:after="0" w:line="240" w:lineRule="auto"/>
                    <w:jc w:val="right"/>
                    <w:rPr>
                      <w:rFonts w:ascii="Arial" w:eastAsia="Times New Roman" w:hAnsi="Arial" w:cs="Arial"/>
                      <w:lang w:eastAsia="en-GB"/>
                    </w:rPr>
                  </w:pPr>
                  <w:r w:rsidRPr="00047E5C">
                    <w:rPr>
                      <w:rFonts w:ascii="Arial" w:eastAsia="Times New Roman" w:hAnsi="Arial" w:cs="Arial"/>
                      <w:bCs/>
                      <w:lang w:eastAsia="en-GB"/>
                    </w:rPr>
                    <w:t>(7,212)</w:t>
                  </w:r>
                </w:p>
              </w:tc>
            </w:tr>
            <w:tr w:rsidR="009105D0" w:rsidRPr="00047E5C" w14:paraId="4E1B4360" w14:textId="77777777" w:rsidTr="00454D0E">
              <w:trPr>
                <w:trHeight w:val="454"/>
              </w:trPr>
              <w:tc>
                <w:tcPr>
                  <w:tcW w:w="5954" w:type="dxa"/>
                  <w:tcBorders>
                    <w:top w:val="nil"/>
                    <w:left w:val="nil"/>
                    <w:bottom w:val="nil"/>
                    <w:right w:val="nil"/>
                  </w:tcBorders>
                  <w:shd w:val="clear" w:color="auto" w:fill="auto"/>
                  <w:noWrap/>
                  <w:vAlign w:val="center"/>
                </w:tcPr>
                <w:p w14:paraId="59AC3077" w14:textId="77777777" w:rsidR="009105D0" w:rsidRPr="00047E5C" w:rsidRDefault="009105D0" w:rsidP="009105D0">
                  <w:pPr>
                    <w:spacing w:after="0" w:line="240" w:lineRule="auto"/>
                    <w:rPr>
                      <w:rFonts w:ascii="Arial" w:eastAsia="Times New Roman" w:hAnsi="Arial" w:cs="Arial"/>
                      <w:lang w:eastAsia="en-GB"/>
                    </w:rPr>
                  </w:pPr>
                  <w:r w:rsidRPr="00047E5C">
                    <w:rPr>
                      <w:rFonts w:ascii="Arial" w:eastAsia="Times New Roman" w:hAnsi="Arial" w:cs="Arial"/>
                      <w:lang w:eastAsia="en-GB"/>
                    </w:rPr>
                    <w:t>Transfers</w:t>
                  </w:r>
                </w:p>
              </w:tc>
              <w:tc>
                <w:tcPr>
                  <w:tcW w:w="301" w:type="dxa"/>
                  <w:tcBorders>
                    <w:top w:val="nil"/>
                    <w:left w:val="nil"/>
                    <w:bottom w:val="nil"/>
                    <w:right w:val="nil"/>
                  </w:tcBorders>
                  <w:shd w:val="clear" w:color="auto" w:fill="auto"/>
                  <w:noWrap/>
                  <w:vAlign w:val="bottom"/>
                </w:tcPr>
                <w:p w14:paraId="3DCC3566" w14:textId="77777777" w:rsidR="009105D0" w:rsidRPr="00047E5C" w:rsidRDefault="009105D0" w:rsidP="009105D0">
                  <w:pPr>
                    <w:spacing w:after="0" w:line="240" w:lineRule="auto"/>
                    <w:rPr>
                      <w:rFonts w:ascii="Arial" w:eastAsia="Times New Roman" w:hAnsi="Arial" w:cs="Arial"/>
                      <w:lang w:eastAsia="en-GB"/>
                    </w:rPr>
                  </w:pPr>
                </w:p>
              </w:tc>
              <w:tc>
                <w:tcPr>
                  <w:tcW w:w="1282" w:type="dxa"/>
                  <w:tcBorders>
                    <w:left w:val="nil"/>
                    <w:bottom w:val="nil"/>
                    <w:right w:val="nil"/>
                  </w:tcBorders>
                  <w:shd w:val="clear" w:color="auto" w:fill="auto"/>
                  <w:noWrap/>
                  <w:vAlign w:val="center"/>
                </w:tcPr>
                <w:p w14:paraId="5E2960AC" w14:textId="77777777" w:rsidR="009105D0" w:rsidRPr="00047E5C" w:rsidRDefault="009105D0">
                  <w:pPr>
                    <w:spacing w:after="0" w:line="240" w:lineRule="auto"/>
                    <w:jc w:val="right"/>
                    <w:rPr>
                      <w:rFonts w:ascii="Arial" w:eastAsia="Times New Roman" w:hAnsi="Arial" w:cs="Arial"/>
                      <w:lang w:eastAsia="en-GB"/>
                    </w:rPr>
                  </w:pPr>
                  <w:r w:rsidRPr="00047E5C">
                    <w:rPr>
                      <w:rFonts w:ascii="Arial" w:eastAsia="Times New Roman" w:hAnsi="Arial" w:cs="Arial"/>
                      <w:lang w:eastAsia="en-GB"/>
                    </w:rPr>
                    <w:t>1</w:t>
                  </w:r>
                </w:p>
              </w:tc>
              <w:tc>
                <w:tcPr>
                  <w:tcW w:w="1492" w:type="dxa"/>
                  <w:tcBorders>
                    <w:left w:val="nil"/>
                    <w:bottom w:val="nil"/>
                    <w:right w:val="nil"/>
                  </w:tcBorders>
                  <w:shd w:val="clear" w:color="auto" w:fill="auto"/>
                  <w:noWrap/>
                  <w:vAlign w:val="center"/>
                </w:tcPr>
                <w:p w14:paraId="746E7F6C" w14:textId="77777777" w:rsidR="009105D0" w:rsidRPr="00047E5C" w:rsidRDefault="009105D0">
                  <w:pPr>
                    <w:spacing w:after="0" w:line="240" w:lineRule="auto"/>
                    <w:jc w:val="right"/>
                    <w:rPr>
                      <w:rFonts w:ascii="Arial" w:eastAsia="Times New Roman" w:hAnsi="Arial" w:cs="Arial"/>
                      <w:lang w:eastAsia="en-GB"/>
                    </w:rPr>
                  </w:pPr>
                  <w:r w:rsidRPr="00047E5C">
                    <w:rPr>
                      <w:rFonts w:ascii="Arial" w:eastAsia="Times New Roman" w:hAnsi="Arial" w:cs="Arial"/>
                      <w:lang w:eastAsia="en-GB"/>
                    </w:rPr>
                    <w:t>1</w:t>
                  </w:r>
                </w:p>
              </w:tc>
            </w:tr>
            <w:tr w:rsidR="009105D0" w:rsidRPr="00047E5C" w14:paraId="6A4B8D1B" w14:textId="77777777" w:rsidTr="00454D0E">
              <w:trPr>
                <w:trHeight w:val="454"/>
              </w:trPr>
              <w:tc>
                <w:tcPr>
                  <w:tcW w:w="5954" w:type="dxa"/>
                  <w:tcBorders>
                    <w:top w:val="nil"/>
                    <w:left w:val="nil"/>
                    <w:bottom w:val="nil"/>
                    <w:right w:val="nil"/>
                  </w:tcBorders>
                  <w:shd w:val="clear" w:color="auto" w:fill="auto"/>
                  <w:noWrap/>
                  <w:vAlign w:val="center"/>
                  <w:hideMark/>
                </w:tcPr>
                <w:p w14:paraId="06F49E82" w14:textId="77777777" w:rsidR="009105D0" w:rsidRPr="00047E5C" w:rsidRDefault="009105D0" w:rsidP="009105D0">
                  <w:pPr>
                    <w:spacing w:after="0" w:line="240" w:lineRule="auto"/>
                    <w:rPr>
                      <w:rFonts w:ascii="Arial" w:eastAsia="Times New Roman" w:hAnsi="Arial" w:cs="Arial"/>
                      <w:lang w:eastAsia="en-GB"/>
                    </w:rPr>
                  </w:pPr>
                  <w:r w:rsidRPr="00047E5C">
                    <w:rPr>
                      <w:rFonts w:ascii="Arial" w:eastAsia="Times New Roman" w:hAnsi="Arial" w:cs="Arial"/>
                      <w:lang w:eastAsia="en-GB"/>
                    </w:rPr>
                    <w:t>Charge for the year</w:t>
                  </w:r>
                </w:p>
              </w:tc>
              <w:tc>
                <w:tcPr>
                  <w:tcW w:w="301" w:type="dxa"/>
                  <w:tcBorders>
                    <w:top w:val="nil"/>
                    <w:left w:val="nil"/>
                    <w:bottom w:val="nil"/>
                    <w:right w:val="nil"/>
                  </w:tcBorders>
                  <w:shd w:val="clear" w:color="auto" w:fill="auto"/>
                  <w:noWrap/>
                  <w:vAlign w:val="bottom"/>
                  <w:hideMark/>
                </w:tcPr>
                <w:p w14:paraId="71719287" w14:textId="77777777" w:rsidR="009105D0" w:rsidRPr="00047E5C" w:rsidRDefault="009105D0" w:rsidP="009105D0">
                  <w:pPr>
                    <w:spacing w:after="0" w:line="240" w:lineRule="auto"/>
                    <w:rPr>
                      <w:rFonts w:ascii="Arial" w:eastAsia="Times New Roman" w:hAnsi="Arial" w:cs="Arial"/>
                      <w:lang w:eastAsia="en-GB"/>
                    </w:rPr>
                  </w:pPr>
                </w:p>
              </w:tc>
              <w:tc>
                <w:tcPr>
                  <w:tcW w:w="1282" w:type="dxa"/>
                  <w:tcBorders>
                    <w:left w:val="nil"/>
                    <w:bottom w:val="nil"/>
                    <w:right w:val="nil"/>
                  </w:tcBorders>
                  <w:shd w:val="clear" w:color="auto" w:fill="auto"/>
                  <w:noWrap/>
                  <w:vAlign w:val="center"/>
                </w:tcPr>
                <w:p w14:paraId="2D0F32D0" w14:textId="77777777" w:rsidR="009105D0" w:rsidRPr="00047E5C" w:rsidRDefault="009105D0" w:rsidP="009105D0">
                  <w:pPr>
                    <w:spacing w:after="0" w:line="240" w:lineRule="auto"/>
                    <w:jc w:val="right"/>
                    <w:rPr>
                      <w:rFonts w:ascii="Arial" w:eastAsia="Times New Roman" w:hAnsi="Arial" w:cs="Arial"/>
                      <w:lang w:eastAsia="en-GB"/>
                    </w:rPr>
                  </w:pPr>
                  <w:r w:rsidRPr="00047E5C">
                    <w:rPr>
                      <w:rFonts w:ascii="Arial" w:eastAsia="Times New Roman" w:hAnsi="Arial" w:cs="Arial"/>
                      <w:lang w:eastAsia="en-GB"/>
                    </w:rPr>
                    <w:t>(435)</w:t>
                  </w:r>
                </w:p>
              </w:tc>
              <w:tc>
                <w:tcPr>
                  <w:tcW w:w="1492" w:type="dxa"/>
                  <w:tcBorders>
                    <w:left w:val="nil"/>
                    <w:bottom w:val="nil"/>
                    <w:right w:val="nil"/>
                  </w:tcBorders>
                  <w:shd w:val="clear" w:color="auto" w:fill="auto"/>
                  <w:noWrap/>
                  <w:vAlign w:val="center"/>
                </w:tcPr>
                <w:p w14:paraId="3B1D3373" w14:textId="77777777" w:rsidR="009105D0" w:rsidRPr="00047E5C" w:rsidRDefault="009105D0" w:rsidP="009105D0">
                  <w:pPr>
                    <w:spacing w:after="0" w:line="240" w:lineRule="auto"/>
                    <w:jc w:val="right"/>
                    <w:rPr>
                      <w:rFonts w:ascii="Arial" w:eastAsia="Times New Roman" w:hAnsi="Arial" w:cs="Arial"/>
                      <w:lang w:eastAsia="en-GB"/>
                    </w:rPr>
                  </w:pPr>
                  <w:r w:rsidRPr="00047E5C">
                    <w:rPr>
                      <w:rFonts w:ascii="Arial" w:eastAsia="Times New Roman" w:hAnsi="Arial" w:cs="Arial"/>
                      <w:lang w:eastAsia="en-GB"/>
                    </w:rPr>
                    <w:t>(435)</w:t>
                  </w:r>
                </w:p>
              </w:tc>
            </w:tr>
            <w:tr w:rsidR="009105D0" w:rsidRPr="00047E5C" w14:paraId="2FA0B56D" w14:textId="77777777" w:rsidTr="00454D0E">
              <w:trPr>
                <w:trHeight w:val="454"/>
              </w:trPr>
              <w:tc>
                <w:tcPr>
                  <w:tcW w:w="5954" w:type="dxa"/>
                  <w:tcBorders>
                    <w:top w:val="nil"/>
                    <w:left w:val="nil"/>
                    <w:bottom w:val="nil"/>
                    <w:right w:val="nil"/>
                  </w:tcBorders>
                  <w:shd w:val="clear" w:color="auto" w:fill="auto"/>
                  <w:noWrap/>
                  <w:vAlign w:val="center"/>
                </w:tcPr>
                <w:p w14:paraId="6F7125D7" w14:textId="77777777" w:rsidR="009105D0" w:rsidRPr="00047E5C" w:rsidRDefault="009105D0" w:rsidP="009105D0">
                  <w:pPr>
                    <w:spacing w:after="0" w:line="240" w:lineRule="auto"/>
                    <w:rPr>
                      <w:rFonts w:ascii="Arial" w:eastAsia="Times New Roman" w:hAnsi="Arial" w:cs="Arial"/>
                      <w:lang w:eastAsia="en-GB"/>
                    </w:rPr>
                  </w:pPr>
                  <w:r w:rsidRPr="00047E5C">
                    <w:rPr>
                      <w:rFonts w:ascii="Arial" w:eastAsia="Times New Roman" w:hAnsi="Arial" w:cs="Arial"/>
                      <w:lang w:eastAsia="en-GB"/>
                    </w:rPr>
                    <w:t>Disposals</w:t>
                  </w:r>
                </w:p>
              </w:tc>
              <w:tc>
                <w:tcPr>
                  <w:tcW w:w="301" w:type="dxa"/>
                  <w:tcBorders>
                    <w:top w:val="nil"/>
                    <w:left w:val="nil"/>
                    <w:bottom w:val="nil"/>
                    <w:right w:val="nil"/>
                  </w:tcBorders>
                  <w:shd w:val="clear" w:color="auto" w:fill="auto"/>
                  <w:noWrap/>
                  <w:vAlign w:val="bottom"/>
                </w:tcPr>
                <w:p w14:paraId="62C58B8F" w14:textId="77777777" w:rsidR="009105D0" w:rsidRPr="00047E5C" w:rsidRDefault="009105D0" w:rsidP="009105D0">
                  <w:pPr>
                    <w:spacing w:after="0" w:line="240" w:lineRule="auto"/>
                    <w:rPr>
                      <w:rFonts w:ascii="Arial" w:eastAsia="Times New Roman" w:hAnsi="Arial" w:cs="Arial"/>
                      <w:lang w:eastAsia="en-GB"/>
                    </w:rPr>
                  </w:pPr>
                </w:p>
              </w:tc>
              <w:tc>
                <w:tcPr>
                  <w:tcW w:w="1282" w:type="dxa"/>
                  <w:tcBorders>
                    <w:top w:val="nil"/>
                    <w:left w:val="nil"/>
                    <w:bottom w:val="nil"/>
                    <w:right w:val="nil"/>
                  </w:tcBorders>
                  <w:shd w:val="clear" w:color="auto" w:fill="auto"/>
                  <w:noWrap/>
                  <w:vAlign w:val="center"/>
                </w:tcPr>
                <w:p w14:paraId="4F87E0DD" w14:textId="77777777" w:rsidR="009105D0" w:rsidRPr="00047E5C" w:rsidRDefault="009105D0">
                  <w:pPr>
                    <w:spacing w:after="0" w:line="240" w:lineRule="auto"/>
                    <w:jc w:val="right"/>
                    <w:rPr>
                      <w:rFonts w:ascii="Arial" w:eastAsia="Times New Roman" w:hAnsi="Arial" w:cs="Arial"/>
                      <w:lang w:eastAsia="en-GB"/>
                    </w:rPr>
                  </w:pPr>
                  <w:r w:rsidRPr="00047E5C">
                    <w:rPr>
                      <w:rFonts w:ascii="Arial" w:eastAsia="Times New Roman" w:hAnsi="Arial" w:cs="Arial"/>
                      <w:lang w:eastAsia="en-GB"/>
                    </w:rPr>
                    <w:t>1,249</w:t>
                  </w:r>
                </w:p>
              </w:tc>
              <w:tc>
                <w:tcPr>
                  <w:tcW w:w="1492" w:type="dxa"/>
                  <w:tcBorders>
                    <w:top w:val="nil"/>
                    <w:left w:val="nil"/>
                    <w:bottom w:val="nil"/>
                    <w:right w:val="nil"/>
                  </w:tcBorders>
                  <w:shd w:val="clear" w:color="auto" w:fill="auto"/>
                  <w:noWrap/>
                  <w:vAlign w:val="center"/>
                </w:tcPr>
                <w:p w14:paraId="2ACA580D" w14:textId="77777777" w:rsidR="009105D0" w:rsidRPr="00047E5C" w:rsidRDefault="009105D0" w:rsidP="009105D0">
                  <w:pPr>
                    <w:spacing w:after="0" w:line="240" w:lineRule="auto"/>
                    <w:jc w:val="right"/>
                    <w:rPr>
                      <w:rFonts w:ascii="Arial" w:eastAsia="Times New Roman" w:hAnsi="Arial" w:cs="Arial"/>
                      <w:lang w:eastAsia="en-GB"/>
                    </w:rPr>
                  </w:pPr>
                  <w:r w:rsidRPr="00047E5C">
                    <w:rPr>
                      <w:rFonts w:ascii="Arial" w:eastAsia="Times New Roman" w:hAnsi="Arial" w:cs="Arial"/>
                      <w:lang w:eastAsia="en-GB"/>
                    </w:rPr>
                    <w:t>1,249</w:t>
                  </w:r>
                </w:p>
              </w:tc>
            </w:tr>
            <w:tr w:rsidR="009105D0" w:rsidRPr="00047E5C" w14:paraId="0EBAE338" w14:textId="77777777" w:rsidTr="00454D0E">
              <w:trPr>
                <w:trHeight w:val="454"/>
              </w:trPr>
              <w:tc>
                <w:tcPr>
                  <w:tcW w:w="5954" w:type="dxa"/>
                  <w:tcBorders>
                    <w:top w:val="single" w:sz="4" w:space="0" w:color="auto"/>
                    <w:left w:val="nil"/>
                    <w:bottom w:val="single" w:sz="4" w:space="0" w:color="auto"/>
                    <w:right w:val="nil"/>
                  </w:tcBorders>
                  <w:shd w:val="clear" w:color="auto" w:fill="auto"/>
                  <w:noWrap/>
                  <w:vAlign w:val="center"/>
                  <w:hideMark/>
                </w:tcPr>
                <w:p w14:paraId="435CF41C" w14:textId="77777777" w:rsidR="009105D0" w:rsidRPr="00047E5C" w:rsidRDefault="009105D0" w:rsidP="009105D0">
                  <w:pPr>
                    <w:spacing w:after="0" w:line="240" w:lineRule="auto"/>
                    <w:rPr>
                      <w:rFonts w:ascii="Arial" w:eastAsia="Times New Roman" w:hAnsi="Arial" w:cs="Arial"/>
                      <w:b/>
                      <w:bCs/>
                      <w:lang w:eastAsia="en-GB"/>
                    </w:rPr>
                  </w:pPr>
                  <w:r w:rsidRPr="00047E5C">
                    <w:rPr>
                      <w:rFonts w:ascii="Arial" w:eastAsia="Times New Roman" w:hAnsi="Arial" w:cs="Arial"/>
                      <w:b/>
                      <w:bCs/>
                      <w:lang w:eastAsia="en-GB"/>
                    </w:rPr>
                    <w:t>At 31 August 2020</w:t>
                  </w:r>
                </w:p>
              </w:tc>
              <w:tc>
                <w:tcPr>
                  <w:tcW w:w="301" w:type="dxa"/>
                  <w:tcBorders>
                    <w:top w:val="single" w:sz="4" w:space="0" w:color="auto"/>
                    <w:left w:val="nil"/>
                    <w:bottom w:val="single" w:sz="4" w:space="0" w:color="auto"/>
                    <w:right w:val="nil"/>
                  </w:tcBorders>
                  <w:shd w:val="clear" w:color="auto" w:fill="auto"/>
                  <w:noWrap/>
                  <w:vAlign w:val="bottom"/>
                  <w:hideMark/>
                </w:tcPr>
                <w:p w14:paraId="600DA405" w14:textId="77777777" w:rsidR="009105D0" w:rsidRPr="00047E5C" w:rsidRDefault="009105D0" w:rsidP="009105D0">
                  <w:pPr>
                    <w:spacing w:after="0" w:line="240" w:lineRule="auto"/>
                    <w:rPr>
                      <w:rFonts w:ascii="Arial" w:eastAsia="Times New Roman" w:hAnsi="Arial" w:cs="Arial"/>
                      <w:lang w:eastAsia="en-GB"/>
                    </w:rPr>
                  </w:pPr>
                  <w:r w:rsidRPr="00047E5C">
                    <w:rPr>
                      <w:rFonts w:ascii="Arial" w:eastAsia="Times New Roman" w:hAnsi="Arial" w:cs="Arial"/>
                      <w:lang w:eastAsia="en-GB"/>
                    </w:rPr>
                    <w:t> </w:t>
                  </w:r>
                </w:p>
              </w:tc>
              <w:tc>
                <w:tcPr>
                  <w:tcW w:w="1282" w:type="dxa"/>
                  <w:tcBorders>
                    <w:top w:val="single" w:sz="4" w:space="0" w:color="auto"/>
                    <w:left w:val="nil"/>
                    <w:bottom w:val="single" w:sz="4" w:space="0" w:color="auto"/>
                    <w:right w:val="nil"/>
                  </w:tcBorders>
                  <w:shd w:val="clear" w:color="auto" w:fill="auto"/>
                  <w:noWrap/>
                  <w:vAlign w:val="center"/>
                </w:tcPr>
                <w:p w14:paraId="065A4975" w14:textId="77777777" w:rsidR="009105D0" w:rsidRPr="00047E5C" w:rsidRDefault="009105D0" w:rsidP="009105D0">
                  <w:pPr>
                    <w:spacing w:after="0" w:line="240" w:lineRule="auto"/>
                    <w:jc w:val="right"/>
                    <w:rPr>
                      <w:rFonts w:ascii="Arial" w:eastAsia="Times New Roman" w:hAnsi="Arial" w:cs="Arial"/>
                      <w:b/>
                      <w:bCs/>
                      <w:lang w:eastAsia="en-GB"/>
                    </w:rPr>
                  </w:pPr>
                  <w:r w:rsidRPr="00047E5C">
                    <w:rPr>
                      <w:rFonts w:ascii="Arial" w:eastAsia="Times New Roman" w:hAnsi="Arial" w:cs="Arial"/>
                      <w:b/>
                      <w:bCs/>
                      <w:lang w:eastAsia="en-GB"/>
                    </w:rPr>
                    <w:t>(6,397)</w:t>
                  </w:r>
                </w:p>
              </w:tc>
              <w:tc>
                <w:tcPr>
                  <w:tcW w:w="1492" w:type="dxa"/>
                  <w:tcBorders>
                    <w:top w:val="single" w:sz="4" w:space="0" w:color="auto"/>
                    <w:left w:val="nil"/>
                    <w:bottom w:val="single" w:sz="4" w:space="0" w:color="auto"/>
                    <w:right w:val="nil"/>
                  </w:tcBorders>
                  <w:shd w:val="clear" w:color="auto" w:fill="auto"/>
                  <w:noWrap/>
                  <w:vAlign w:val="center"/>
                </w:tcPr>
                <w:p w14:paraId="50C0C7B9" w14:textId="77777777" w:rsidR="009105D0" w:rsidRPr="00047E5C" w:rsidRDefault="009105D0" w:rsidP="009105D0">
                  <w:pPr>
                    <w:spacing w:after="0" w:line="240" w:lineRule="auto"/>
                    <w:jc w:val="right"/>
                    <w:rPr>
                      <w:rFonts w:ascii="Arial" w:eastAsia="Times New Roman" w:hAnsi="Arial" w:cs="Arial"/>
                      <w:b/>
                      <w:bCs/>
                      <w:lang w:eastAsia="en-GB"/>
                    </w:rPr>
                  </w:pPr>
                  <w:r w:rsidRPr="00047E5C">
                    <w:rPr>
                      <w:rFonts w:ascii="Arial" w:eastAsia="Times New Roman" w:hAnsi="Arial" w:cs="Arial"/>
                      <w:b/>
                      <w:bCs/>
                      <w:lang w:eastAsia="en-GB"/>
                    </w:rPr>
                    <w:t>(6,397)</w:t>
                  </w:r>
                </w:p>
              </w:tc>
            </w:tr>
            <w:tr w:rsidR="009105D0" w:rsidRPr="00047E5C" w14:paraId="37273E88" w14:textId="77777777" w:rsidTr="00454D0E">
              <w:trPr>
                <w:trHeight w:val="454"/>
              </w:trPr>
              <w:tc>
                <w:tcPr>
                  <w:tcW w:w="5954" w:type="dxa"/>
                  <w:tcBorders>
                    <w:top w:val="nil"/>
                    <w:left w:val="nil"/>
                    <w:bottom w:val="nil"/>
                    <w:right w:val="nil"/>
                  </w:tcBorders>
                  <w:shd w:val="clear" w:color="auto" w:fill="auto"/>
                  <w:noWrap/>
                  <w:vAlign w:val="center"/>
                  <w:hideMark/>
                </w:tcPr>
                <w:p w14:paraId="32AB9B1C" w14:textId="77777777" w:rsidR="009105D0" w:rsidRPr="00047E5C" w:rsidRDefault="009105D0" w:rsidP="009105D0">
                  <w:pPr>
                    <w:spacing w:after="0" w:line="240" w:lineRule="auto"/>
                    <w:rPr>
                      <w:rFonts w:ascii="Arial" w:eastAsia="Times New Roman" w:hAnsi="Arial" w:cs="Arial"/>
                      <w:b/>
                      <w:bCs/>
                      <w:lang w:eastAsia="en-GB"/>
                    </w:rPr>
                  </w:pPr>
                </w:p>
              </w:tc>
              <w:tc>
                <w:tcPr>
                  <w:tcW w:w="301" w:type="dxa"/>
                  <w:tcBorders>
                    <w:top w:val="nil"/>
                    <w:left w:val="nil"/>
                    <w:bottom w:val="nil"/>
                    <w:right w:val="nil"/>
                  </w:tcBorders>
                  <w:shd w:val="clear" w:color="auto" w:fill="auto"/>
                  <w:noWrap/>
                  <w:vAlign w:val="bottom"/>
                  <w:hideMark/>
                </w:tcPr>
                <w:p w14:paraId="7C6A4AC0" w14:textId="77777777" w:rsidR="009105D0" w:rsidRPr="00047E5C" w:rsidRDefault="009105D0" w:rsidP="009105D0">
                  <w:pPr>
                    <w:spacing w:after="0" w:line="240" w:lineRule="auto"/>
                    <w:rPr>
                      <w:rFonts w:ascii="Arial" w:eastAsia="Times New Roman" w:hAnsi="Arial" w:cs="Arial"/>
                      <w:lang w:eastAsia="en-GB"/>
                    </w:rPr>
                  </w:pPr>
                </w:p>
              </w:tc>
              <w:tc>
                <w:tcPr>
                  <w:tcW w:w="1282" w:type="dxa"/>
                  <w:tcBorders>
                    <w:top w:val="nil"/>
                    <w:left w:val="nil"/>
                    <w:bottom w:val="nil"/>
                    <w:right w:val="nil"/>
                  </w:tcBorders>
                  <w:shd w:val="clear" w:color="auto" w:fill="auto"/>
                  <w:noWrap/>
                  <w:vAlign w:val="center"/>
                  <w:hideMark/>
                </w:tcPr>
                <w:p w14:paraId="14C28FD4" w14:textId="77777777" w:rsidR="009105D0" w:rsidRPr="00047E5C" w:rsidRDefault="009105D0" w:rsidP="009105D0">
                  <w:pPr>
                    <w:spacing w:after="0" w:line="240" w:lineRule="auto"/>
                    <w:jc w:val="right"/>
                    <w:rPr>
                      <w:rFonts w:ascii="Arial" w:eastAsia="Times New Roman" w:hAnsi="Arial" w:cs="Arial"/>
                      <w:lang w:eastAsia="en-GB"/>
                    </w:rPr>
                  </w:pPr>
                </w:p>
              </w:tc>
              <w:tc>
                <w:tcPr>
                  <w:tcW w:w="1492" w:type="dxa"/>
                  <w:tcBorders>
                    <w:top w:val="nil"/>
                    <w:left w:val="nil"/>
                    <w:bottom w:val="nil"/>
                    <w:right w:val="nil"/>
                  </w:tcBorders>
                  <w:shd w:val="clear" w:color="auto" w:fill="auto"/>
                  <w:noWrap/>
                  <w:vAlign w:val="center"/>
                  <w:hideMark/>
                </w:tcPr>
                <w:p w14:paraId="07147709" w14:textId="77777777" w:rsidR="009105D0" w:rsidRPr="00047E5C" w:rsidRDefault="009105D0" w:rsidP="009105D0">
                  <w:pPr>
                    <w:spacing w:after="0" w:line="240" w:lineRule="auto"/>
                    <w:jc w:val="right"/>
                    <w:rPr>
                      <w:rFonts w:ascii="Arial" w:eastAsia="Times New Roman" w:hAnsi="Arial" w:cs="Arial"/>
                      <w:lang w:eastAsia="en-GB"/>
                    </w:rPr>
                  </w:pPr>
                </w:p>
              </w:tc>
            </w:tr>
            <w:tr w:rsidR="009105D0" w:rsidRPr="00047E5C" w14:paraId="1BA6531F" w14:textId="77777777" w:rsidTr="00454D0E">
              <w:trPr>
                <w:trHeight w:val="454"/>
              </w:trPr>
              <w:tc>
                <w:tcPr>
                  <w:tcW w:w="5954" w:type="dxa"/>
                  <w:tcBorders>
                    <w:top w:val="nil"/>
                    <w:left w:val="nil"/>
                    <w:bottom w:val="nil"/>
                    <w:right w:val="nil"/>
                  </w:tcBorders>
                  <w:shd w:val="clear" w:color="auto" w:fill="auto"/>
                  <w:noWrap/>
                  <w:vAlign w:val="center"/>
                  <w:hideMark/>
                </w:tcPr>
                <w:p w14:paraId="7796ABF6" w14:textId="77777777" w:rsidR="009105D0" w:rsidRPr="00047E5C" w:rsidRDefault="009105D0" w:rsidP="009105D0">
                  <w:pPr>
                    <w:spacing w:after="0" w:line="240" w:lineRule="auto"/>
                    <w:rPr>
                      <w:rFonts w:ascii="Arial" w:eastAsia="Times New Roman" w:hAnsi="Arial" w:cs="Arial"/>
                      <w:b/>
                      <w:bCs/>
                      <w:lang w:eastAsia="en-GB"/>
                    </w:rPr>
                  </w:pPr>
                  <w:r w:rsidRPr="00047E5C">
                    <w:rPr>
                      <w:rFonts w:ascii="Arial" w:eastAsia="Times New Roman" w:hAnsi="Arial" w:cs="Arial"/>
                      <w:b/>
                      <w:bCs/>
                      <w:lang w:eastAsia="en-GB"/>
                    </w:rPr>
                    <w:t>Net book value</w:t>
                  </w:r>
                </w:p>
              </w:tc>
              <w:tc>
                <w:tcPr>
                  <w:tcW w:w="301" w:type="dxa"/>
                  <w:tcBorders>
                    <w:top w:val="nil"/>
                    <w:left w:val="nil"/>
                    <w:bottom w:val="nil"/>
                    <w:right w:val="nil"/>
                  </w:tcBorders>
                  <w:shd w:val="clear" w:color="auto" w:fill="auto"/>
                  <w:noWrap/>
                  <w:vAlign w:val="bottom"/>
                  <w:hideMark/>
                </w:tcPr>
                <w:p w14:paraId="6A500449" w14:textId="77777777" w:rsidR="009105D0" w:rsidRPr="00047E5C" w:rsidRDefault="009105D0" w:rsidP="009105D0">
                  <w:pPr>
                    <w:spacing w:after="0" w:line="240" w:lineRule="auto"/>
                    <w:rPr>
                      <w:rFonts w:ascii="Arial" w:eastAsia="Times New Roman" w:hAnsi="Arial" w:cs="Arial"/>
                      <w:b/>
                      <w:bCs/>
                      <w:lang w:eastAsia="en-GB"/>
                    </w:rPr>
                  </w:pPr>
                </w:p>
              </w:tc>
              <w:tc>
                <w:tcPr>
                  <w:tcW w:w="1282" w:type="dxa"/>
                  <w:tcBorders>
                    <w:top w:val="nil"/>
                    <w:left w:val="nil"/>
                    <w:bottom w:val="nil"/>
                    <w:right w:val="nil"/>
                  </w:tcBorders>
                  <w:shd w:val="clear" w:color="auto" w:fill="auto"/>
                  <w:noWrap/>
                  <w:vAlign w:val="center"/>
                  <w:hideMark/>
                </w:tcPr>
                <w:p w14:paraId="1AC1518B" w14:textId="77777777" w:rsidR="009105D0" w:rsidRPr="00047E5C" w:rsidRDefault="009105D0" w:rsidP="009105D0">
                  <w:pPr>
                    <w:spacing w:after="0" w:line="240" w:lineRule="auto"/>
                    <w:jc w:val="right"/>
                    <w:rPr>
                      <w:rFonts w:ascii="Arial" w:eastAsia="Times New Roman" w:hAnsi="Arial" w:cs="Arial"/>
                      <w:lang w:eastAsia="en-GB"/>
                    </w:rPr>
                  </w:pPr>
                </w:p>
              </w:tc>
              <w:tc>
                <w:tcPr>
                  <w:tcW w:w="1492" w:type="dxa"/>
                  <w:tcBorders>
                    <w:top w:val="nil"/>
                    <w:left w:val="nil"/>
                    <w:bottom w:val="nil"/>
                    <w:right w:val="nil"/>
                  </w:tcBorders>
                  <w:shd w:val="clear" w:color="auto" w:fill="auto"/>
                  <w:noWrap/>
                  <w:vAlign w:val="center"/>
                  <w:hideMark/>
                </w:tcPr>
                <w:p w14:paraId="0561FFFD" w14:textId="77777777" w:rsidR="009105D0" w:rsidRPr="00047E5C" w:rsidRDefault="009105D0" w:rsidP="009105D0">
                  <w:pPr>
                    <w:spacing w:after="0" w:line="240" w:lineRule="auto"/>
                    <w:jc w:val="right"/>
                    <w:rPr>
                      <w:rFonts w:ascii="Arial" w:eastAsia="Times New Roman" w:hAnsi="Arial" w:cs="Arial"/>
                      <w:lang w:eastAsia="en-GB"/>
                    </w:rPr>
                  </w:pPr>
                </w:p>
              </w:tc>
            </w:tr>
            <w:tr w:rsidR="009105D0" w:rsidRPr="00047E5C" w14:paraId="27BB5B03" w14:textId="77777777" w:rsidTr="00454D0E">
              <w:trPr>
                <w:trHeight w:val="454"/>
              </w:trPr>
              <w:tc>
                <w:tcPr>
                  <w:tcW w:w="5954" w:type="dxa"/>
                  <w:tcBorders>
                    <w:top w:val="nil"/>
                    <w:left w:val="nil"/>
                    <w:bottom w:val="single" w:sz="4" w:space="0" w:color="auto"/>
                    <w:right w:val="nil"/>
                  </w:tcBorders>
                  <w:shd w:val="clear" w:color="auto" w:fill="auto"/>
                  <w:noWrap/>
                  <w:vAlign w:val="center"/>
                  <w:hideMark/>
                </w:tcPr>
                <w:p w14:paraId="56CF874E" w14:textId="77777777" w:rsidR="009105D0" w:rsidRPr="00047E5C" w:rsidRDefault="009105D0" w:rsidP="009105D0">
                  <w:pPr>
                    <w:spacing w:after="0" w:line="240" w:lineRule="auto"/>
                    <w:rPr>
                      <w:rFonts w:ascii="Arial" w:eastAsia="Times New Roman" w:hAnsi="Arial" w:cs="Arial"/>
                      <w:b/>
                      <w:bCs/>
                      <w:lang w:eastAsia="en-GB"/>
                    </w:rPr>
                  </w:pPr>
                  <w:r w:rsidRPr="00047E5C">
                    <w:rPr>
                      <w:rFonts w:ascii="Arial" w:eastAsia="Times New Roman" w:hAnsi="Arial" w:cs="Arial"/>
                      <w:b/>
                      <w:bCs/>
                      <w:lang w:eastAsia="en-GB"/>
                    </w:rPr>
                    <w:t>At 31 August 2020</w:t>
                  </w:r>
                </w:p>
              </w:tc>
              <w:tc>
                <w:tcPr>
                  <w:tcW w:w="301" w:type="dxa"/>
                  <w:tcBorders>
                    <w:top w:val="nil"/>
                    <w:left w:val="nil"/>
                    <w:bottom w:val="single" w:sz="4" w:space="0" w:color="auto"/>
                    <w:right w:val="nil"/>
                  </w:tcBorders>
                  <w:shd w:val="clear" w:color="auto" w:fill="auto"/>
                  <w:noWrap/>
                  <w:vAlign w:val="bottom"/>
                  <w:hideMark/>
                </w:tcPr>
                <w:p w14:paraId="72869A44" w14:textId="77777777" w:rsidR="009105D0" w:rsidRPr="00047E5C" w:rsidRDefault="009105D0" w:rsidP="009105D0">
                  <w:pPr>
                    <w:spacing w:after="0" w:line="240" w:lineRule="auto"/>
                    <w:rPr>
                      <w:rFonts w:ascii="Arial" w:eastAsia="Times New Roman" w:hAnsi="Arial" w:cs="Arial"/>
                      <w:lang w:eastAsia="en-GB"/>
                    </w:rPr>
                  </w:pPr>
                  <w:r w:rsidRPr="00047E5C">
                    <w:rPr>
                      <w:rFonts w:ascii="Arial" w:eastAsia="Times New Roman" w:hAnsi="Arial" w:cs="Arial"/>
                      <w:lang w:eastAsia="en-GB"/>
                    </w:rPr>
                    <w:t> </w:t>
                  </w:r>
                </w:p>
              </w:tc>
              <w:tc>
                <w:tcPr>
                  <w:tcW w:w="1282" w:type="dxa"/>
                  <w:tcBorders>
                    <w:top w:val="nil"/>
                    <w:left w:val="nil"/>
                    <w:bottom w:val="single" w:sz="4" w:space="0" w:color="auto"/>
                    <w:right w:val="nil"/>
                  </w:tcBorders>
                  <w:shd w:val="clear" w:color="auto" w:fill="auto"/>
                  <w:noWrap/>
                  <w:vAlign w:val="center"/>
                </w:tcPr>
                <w:p w14:paraId="30D9283A" w14:textId="77777777" w:rsidR="009105D0" w:rsidRPr="00047E5C" w:rsidRDefault="009105D0" w:rsidP="009105D0">
                  <w:pPr>
                    <w:spacing w:after="0" w:line="240" w:lineRule="auto"/>
                    <w:jc w:val="right"/>
                    <w:rPr>
                      <w:rFonts w:ascii="Arial" w:eastAsia="Times New Roman" w:hAnsi="Arial" w:cs="Arial"/>
                      <w:b/>
                      <w:bCs/>
                      <w:lang w:eastAsia="en-GB"/>
                    </w:rPr>
                  </w:pPr>
                  <w:r w:rsidRPr="00047E5C">
                    <w:rPr>
                      <w:rFonts w:ascii="Arial" w:eastAsia="Times New Roman" w:hAnsi="Arial" w:cs="Arial"/>
                      <w:b/>
                      <w:bCs/>
                      <w:lang w:eastAsia="en-GB"/>
                    </w:rPr>
                    <w:t>488</w:t>
                  </w:r>
                </w:p>
              </w:tc>
              <w:tc>
                <w:tcPr>
                  <w:tcW w:w="1492" w:type="dxa"/>
                  <w:tcBorders>
                    <w:top w:val="nil"/>
                    <w:left w:val="nil"/>
                    <w:bottom w:val="single" w:sz="4" w:space="0" w:color="auto"/>
                    <w:right w:val="nil"/>
                  </w:tcBorders>
                  <w:shd w:val="clear" w:color="auto" w:fill="auto"/>
                  <w:noWrap/>
                  <w:vAlign w:val="center"/>
                </w:tcPr>
                <w:p w14:paraId="15E906EC" w14:textId="77777777" w:rsidR="009105D0" w:rsidRPr="00047E5C" w:rsidRDefault="009105D0" w:rsidP="009105D0">
                  <w:pPr>
                    <w:spacing w:after="0" w:line="240" w:lineRule="auto"/>
                    <w:jc w:val="right"/>
                    <w:rPr>
                      <w:rFonts w:ascii="Arial" w:eastAsia="Times New Roman" w:hAnsi="Arial" w:cs="Arial"/>
                      <w:b/>
                      <w:bCs/>
                      <w:lang w:eastAsia="en-GB"/>
                    </w:rPr>
                  </w:pPr>
                  <w:r w:rsidRPr="00047E5C">
                    <w:rPr>
                      <w:rFonts w:ascii="Arial" w:eastAsia="Times New Roman" w:hAnsi="Arial" w:cs="Arial"/>
                      <w:b/>
                      <w:bCs/>
                      <w:lang w:eastAsia="en-GB"/>
                    </w:rPr>
                    <w:t>488</w:t>
                  </w:r>
                </w:p>
              </w:tc>
            </w:tr>
            <w:tr w:rsidR="009105D0" w:rsidRPr="00543D10" w14:paraId="41081849" w14:textId="77777777" w:rsidTr="00454D0E">
              <w:trPr>
                <w:trHeight w:val="454"/>
              </w:trPr>
              <w:tc>
                <w:tcPr>
                  <w:tcW w:w="5954" w:type="dxa"/>
                  <w:tcBorders>
                    <w:top w:val="nil"/>
                    <w:left w:val="nil"/>
                    <w:bottom w:val="single" w:sz="4" w:space="0" w:color="auto"/>
                    <w:right w:val="nil"/>
                  </w:tcBorders>
                  <w:shd w:val="clear" w:color="auto" w:fill="auto"/>
                  <w:noWrap/>
                  <w:vAlign w:val="center"/>
                  <w:hideMark/>
                </w:tcPr>
                <w:p w14:paraId="599F3C4F" w14:textId="77777777" w:rsidR="009105D0" w:rsidRPr="00047E5C" w:rsidRDefault="009105D0" w:rsidP="009105D0">
                  <w:pPr>
                    <w:spacing w:after="0" w:line="240" w:lineRule="auto"/>
                    <w:rPr>
                      <w:rFonts w:ascii="Arial" w:eastAsia="Times New Roman" w:hAnsi="Arial" w:cs="Arial"/>
                      <w:lang w:eastAsia="en-GB"/>
                    </w:rPr>
                  </w:pPr>
                  <w:r w:rsidRPr="00047E5C">
                    <w:rPr>
                      <w:rFonts w:ascii="Arial" w:eastAsia="Times New Roman" w:hAnsi="Arial" w:cs="Arial"/>
                      <w:lang w:eastAsia="en-GB"/>
                    </w:rPr>
                    <w:t>At 1 September 2019</w:t>
                  </w:r>
                </w:p>
              </w:tc>
              <w:tc>
                <w:tcPr>
                  <w:tcW w:w="301" w:type="dxa"/>
                  <w:tcBorders>
                    <w:top w:val="nil"/>
                    <w:left w:val="nil"/>
                    <w:bottom w:val="single" w:sz="4" w:space="0" w:color="auto"/>
                    <w:right w:val="nil"/>
                  </w:tcBorders>
                  <w:shd w:val="clear" w:color="auto" w:fill="auto"/>
                  <w:noWrap/>
                  <w:vAlign w:val="bottom"/>
                  <w:hideMark/>
                </w:tcPr>
                <w:p w14:paraId="4CD981B5" w14:textId="77777777" w:rsidR="009105D0" w:rsidRPr="00047E5C" w:rsidRDefault="009105D0" w:rsidP="009105D0">
                  <w:pPr>
                    <w:spacing w:after="0" w:line="240" w:lineRule="auto"/>
                    <w:rPr>
                      <w:rFonts w:ascii="Arial" w:eastAsia="Times New Roman" w:hAnsi="Arial" w:cs="Arial"/>
                      <w:lang w:eastAsia="en-GB"/>
                    </w:rPr>
                  </w:pPr>
                  <w:r w:rsidRPr="00047E5C">
                    <w:rPr>
                      <w:rFonts w:ascii="Arial" w:eastAsia="Times New Roman" w:hAnsi="Arial" w:cs="Arial"/>
                      <w:lang w:eastAsia="en-GB"/>
                    </w:rPr>
                    <w:t> </w:t>
                  </w:r>
                </w:p>
              </w:tc>
              <w:tc>
                <w:tcPr>
                  <w:tcW w:w="1282" w:type="dxa"/>
                  <w:tcBorders>
                    <w:top w:val="nil"/>
                    <w:left w:val="nil"/>
                    <w:bottom w:val="single" w:sz="4" w:space="0" w:color="auto"/>
                    <w:right w:val="nil"/>
                  </w:tcBorders>
                  <w:shd w:val="clear" w:color="auto" w:fill="auto"/>
                  <w:noWrap/>
                  <w:vAlign w:val="center"/>
                  <w:hideMark/>
                </w:tcPr>
                <w:p w14:paraId="4F51E2E1" w14:textId="77777777" w:rsidR="009105D0" w:rsidRPr="00047E5C" w:rsidRDefault="009105D0" w:rsidP="009105D0">
                  <w:pPr>
                    <w:spacing w:after="0" w:line="240" w:lineRule="auto"/>
                    <w:jc w:val="right"/>
                    <w:rPr>
                      <w:rFonts w:ascii="Arial" w:eastAsia="Times New Roman" w:hAnsi="Arial" w:cs="Arial"/>
                      <w:lang w:eastAsia="en-GB"/>
                    </w:rPr>
                  </w:pPr>
                  <w:r w:rsidRPr="00047E5C">
                    <w:rPr>
                      <w:rFonts w:ascii="Arial" w:eastAsia="Times New Roman" w:hAnsi="Arial" w:cs="Arial"/>
                      <w:bCs/>
                      <w:lang w:eastAsia="en-GB"/>
                    </w:rPr>
                    <w:t>702</w:t>
                  </w:r>
                </w:p>
              </w:tc>
              <w:tc>
                <w:tcPr>
                  <w:tcW w:w="1492" w:type="dxa"/>
                  <w:tcBorders>
                    <w:top w:val="nil"/>
                    <w:left w:val="nil"/>
                    <w:bottom w:val="single" w:sz="4" w:space="0" w:color="auto"/>
                    <w:right w:val="nil"/>
                  </w:tcBorders>
                  <w:shd w:val="clear" w:color="auto" w:fill="auto"/>
                  <w:noWrap/>
                  <w:vAlign w:val="center"/>
                  <w:hideMark/>
                </w:tcPr>
                <w:p w14:paraId="1379C1AF" w14:textId="77777777" w:rsidR="009105D0" w:rsidRPr="00F07478" w:rsidRDefault="009105D0" w:rsidP="009105D0">
                  <w:pPr>
                    <w:spacing w:after="0" w:line="240" w:lineRule="auto"/>
                    <w:jc w:val="right"/>
                    <w:rPr>
                      <w:rFonts w:ascii="Arial" w:eastAsia="Times New Roman" w:hAnsi="Arial" w:cs="Arial"/>
                      <w:lang w:eastAsia="en-GB"/>
                    </w:rPr>
                  </w:pPr>
                  <w:r w:rsidRPr="00047E5C">
                    <w:rPr>
                      <w:rFonts w:ascii="Arial" w:eastAsia="Times New Roman" w:hAnsi="Arial" w:cs="Arial"/>
                      <w:bCs/>
                      <w:lang w:eastAsia="en-GB"/>
                    </w:rPr>
                    <w:t>702</w:t>
                  </w:r>
                </w:p>
              </w:tc>
            </w:tr>
          </w:tbl>
          <w:p w14:paraId="6E988DD2" w14:textId="77777777" w:rsidR="00E25221" w:rsidRPr="00543D10" w:rsidRDefault="00E25221" w:rsidP="001F6984">
            <w:pPr>
              <w:autoSpaceDE w:val="0"/>
              <w:autoSpaceDN w:val="0"/>
              <w:adjustRightInd w:val="0"/>
              <w:spacing w:after="0" w:line="240" w:lineRule="auto"/>
              <w:rPr>
                <w:rFonts w:ascii="Arial" w:hAnsi="Arial" w:cs="Arial"/>
                <w:sz w:val="24"/>
                <w:szCs w:val="24"/>
              </w:rPr>
            </w:pPr>
          </w:p>
          <w:p w14:paraId="6D85A14E" w14:textId="77777777" w:rsidR="00190D85" w:rsidRPr="00543D10" w:rsidRDefault="00190D85" w:rsidP="001F6984">
            <w:pPr>
              <w:spacing w:after="0" w:line="240" w:lineRule="auto"/>
              <w:rPr>
                <w:rFonts w:ascii="Arial" w:eastAsia="Times New Roman" w:hAnsi="Arial" w:cs="Arial"/>
                <w:lang w:eastAsia="en-GB"/>
              </w:rPr>
            </w:pPr>
          </w:p>
        </w:tc>
      </w:tr>
    </w:tbl>
    <w:p w14:paraId="5F72765D" w14:textId="77777777" w:rsidR="00EE0867" w:rsidRPr="00543D10" w:rsidRDefault="00EE0867" w:rsidP="00336B16">
      <w:pPr>
        <w:autoSpaceDE w:val="0"/>
        <w:autoSpaceDN w:val="0"/>
        <w:adjustRightInd w:val="0"/>
        <w:spacing w:after="240" w:line="240" w:lineRule="auto"/>
        <w:rPr>
          <w:rFonts w:ascii="Arial" w:hAnsi="Arial" w:cs="Arial"/>
          <w:sz w:val="20"/>
          <w:szCs w:val="20"/>
        </w:rPr>
      </w:pPr>
      <w:r w:rsidRPr="00543D10">
        <w:rPr>
          <w:rFonts w:ascii="Arial" w:hAnsi="Arial" w:cs="Arial"/>
          <w:sz w:val="20"/>
          <w:szCs w:val="20"/>
        </w:rPr>
        <w:lastRenderedPageBreak/>
        <w:tab/>
      </w:r>
    </w:p>
    <w:p w14:paraId="4533C106" w14:textId="77777777" w:rsidR="00742289" w:rsidRDefault="00742289" w:rsidP="00336B16">
      <w:pPr>
        <w:spacing w:after="240" w:line="240" w:lineRule="auto"/>
        <w:rPr>
          <w:rFonts w:ascii="Arial" w:hAnsi="Arial" w:cs="Arial"/>
        </w:rPr>
      </w:pPr>
    </w:p>
    <w:p w14:paraId="6D80EAF4" w14:textId="77777777" w:rsidR="00742289" w:rsidRDefault="00742289" w:rsidP="00336B16">
      <w:pPr>
        <w:spacing w:after="240" w:line="240" w:lineRule="auto"/>
        <w:rPr>
          <w:rFonts w:ascii="Arial" w:hAnsi="Arial" w:cs="Arial"/>
        </w:rPr>
      </w:pPr>
    </w:p>
    <w:p w14:paraId="05C28270" w14:textId="77777777" w:rsidR="00742289" w:rsidRDefault="00742289" w:rsidP="00336B16">
      <w:pPr>
        <w:spacing w:after="240" w:line="240" w:lineRule="auto"/>
        <w:rPr>
          <w:rFonts w:ascii="Arial" w:hAnsi="Arial" w:cs="Arial"/>
        </w:rPr>
      </w:pPr>
    </w:p>
    <w:p w14:paraId="1212B677" w14:textId="77777777" w:rsidR="00742289" w:rsidRDefault="00742289" w:rsidP="00336B16">
      <w:pPr>
        <w:spacing w:after="240" w:line="240" w:lineRule="auto"/>
        <w:rPr>
          <w:rFonts w:ascii="Arial" w:hAnsi="Arial" w:cs="Arial"/>
        </w:rPr>
      </w:pPr>
    </w:p>
    <w:p w14:paraId="72EEBA69" w14:textId="3B2B7469" w:rsidR="00742289" w:rsidRDefault="00742289" w:rsidP="005D62D2">
      <w:pPr>
        <w:spacing w:after="0" w:line="240" w:lineRule="auto"/>
        <w:ind w:hanging="567"/>
        <w:rPr>
          <w:rFonts w:ascii="Arial" w:hAnsi="Arial" w:cs="Arial"/>
          <w:b/>
          <w:i/>
          <w:sz w:val="24"/>
          <w:szCs w:val="24"/>
        </w:rPr>
      </w:pPr>
      <w:r w:rsidRPr="0088736E">
        <w:rPr>
          <w:rFonts w:ascii="Arial" w:hAnsi="Arial" w:cs="Arial"/>
          <w:b/>
          <w:i/>
          <w:sz w:val="24"/>
          <w:szCs w:val="24"/>
        </w:rPr>
        <w:lastRenderedPageBreak/>
        <w:t xml:space="preserve">Notes to the financial </w:t>
      </w:r>
      <w:r>
        <w:rPr>
          <w:rFonts w:ascii="Arial" w:hAnsi="Arial" w:cs="Arial"/>
          <w:b/>
          <w:i/>
          <w:sz w:val="24"/>
          <w:szCs w:val="24"/>
        </w:rPr>
        <w:t>statements</w:t>
      </w:r>
      <w:r w:rsidRPr="0088736E">
        <w:rPr>
          <w:rFonts w:ascii="Arial" w:hAnsi="Arial" w:cs="Arial"/>
          <w:b/>
          <w:i/>
          <w:sz w:val="24"/>
          <w:szCs w:val="24"/>
        </w:rPr>
        <w:t xml:space="preserve"> (continued)</w:t>
      </w:r>
    </w:p>
    <w:p w14:paraId="0D1DAE60" w14:textId="77777777" w:rsidR="003368AD" w:rsidRDefault="003368AD" w:rsidP="005D62D2">
      <w:pPr>
        <w:spacing w:after="0" w:line="240" w:lineRule="auto"/>
        <w:ind w:hanging="567"/>
        <w:rPr>
          <w:rFonts w:ascii="Arial" w:hAnsi="Arial" w:cs="Arial"/>
          <w:b/>
          <w:i/>
          <w:sz w:val="24"/>
          <w:szCs w:val="24"/>
        </w:rPr>
      </w:pPr>
    </w:p>
    <w:tbl>
      <w:tblPr>
        <w:tblW w:w="10180" w:type="dxa"/>
        <w:jc w:val="center"/>
        <w:tblLook w:val="04A0" w:firstRow="1" w:lastRow="0" w:firstColumn="1" w:lastColumn="0" w:noHBand="0" w:noVBand="1"/>
      </w:tblPr>
      <w:tblGrid>
        <w:gridCol w:w="2376"/>
        <w:gridCol w:w="1452"/>
        <w:gridCol w:w="1662"/>
        <w:gridCol w:w="1295"/>
        <w:gridCol w:w="1217"/>
        <w:gridCol w:w="1217"/>
        <w:gridCol w:w="961"/>
      </w:tblGrid>
      <w:tr w:rsidR="00976284" w:rsidRPr="00122F7E" w14:paraId="2006F103" w14:textId="77777777" w:rsidTr="00161381">
        <w:trPr>
          <w:trHeight w:val="315"/>
          <w:jc w:val="center"/>
        </w:trPr>
        <w:tc>
          <w:tcPr>
            <w:tcW w:w="2376" w:type="dxa"/>
            <w:tcBorders>
              <w:top w:val="nil"/>
              <w:left w:val="nil"/>
              <w:bottom w:val="nil"/>
              <w:right w:val="nil"/>
            </w:tcBorders>
            <w:shd w:val="clear" w:color="auto" w:fill="auto"/>
            <w:noWrap/>
            <w:vAlign w:val="center"/>
            <w:hideMark/>
          </w:tcPr>
          <w:p w14:paraId="78AADB4E" w14:textId="77777777" w:rsidR="00976284" w:rsidRPr="00E61173" w:rsidRDefault="00976284" w:rsidP="001F6984">
            <w:pPr>
              <w:spacing w:after="0" w:line="240" w:lineRule="auto"/>
              <w:rPr>
                <w:rFonts w:ascii="Arial" w:eastAsia="Times New Roman" w:hAnsi="Arial" w:cs="Arial"/>
                <w:b/>
                <w:bCs/>
                <w:sz w:val="24"/>
                <w:szCs w:val="24"/>
                <w:lang w:eastAsia="en-GB"/>
              </w:rPr>
            </w:pPr>
            <w:r>
              <w:rPr>
                <w:rFonts w:ascii="Arial" w:eastAsia="Times New Roman" w:hAnsi="Arial" w:cs="Arial"/>
                <w:b/>
                <w:bCs/>
                <w:sz w:val="24"/>
                <w:szCs w:val="24"/>
                <w:lang w:eastAsia="en-GB"/>
              </w:rPr>
              <w:t>8</w:t>
            </w:r>
            <w:r w:rsidRPr="00E61173">
              <w:rPr>
                <w:rFonts w:ascii="Arial" w:eastAsia="Times New Roman" w:hAnsi="Arial" w:cs="Arial"/>
                <w:b/>
                <w:bCs/>
                <w:sz w:val="24"/>
                <w:szCs w:val="24"/>
                <w:lang w:eastAsia="en-GB"/>
              </w:rPr>
              <w:t xml:space="preserve">. Tangible Assets </w:t>
            </w:r>
          </w:p>
        </w:tc>
        <w:tc>
          <w:tcPr>
            <w:tcW w:w="1452" w:type="dxa"/>
            <w:tcBorders>
              <w:top w:val="nil"/>
              <w:left w:val="nil"/>
              <w:bottom w:val="nil"/>
              <w:right w:val="nil"/>
            </w:tcBorders>
            <w:shd w:val="clear" w:color="auto" w:fill="auto"/>
            <w:noWrap/>
            <w:vAlign w:val="center"/>
            <w:hideMark/>
          </w:tcPr>
          <w:p w14:paraId="4DAC2A55" w14:textId="77777777" w:rsidR="00976284" w:rsidRPr="00E61173" w:rsidRDefault="00976284" w:rsidP="001F6984">
            <w:pPr>
              <w:spacing w:after="0" w:line="240" w:lineRule="auto"/>
              <w:rPr>
                <w:rFonts w:ascii="Arial" w:eastAsia="Times New Roman" w:hAnsi="Arial" w:cs="Arial"/>
                <w:b/>
                <w:bCs/>
                <w:sz w:val="24"/>
                <w:szCs w:val="24"/>
                <w:lang w:eastAsia="en-GB"/>
              </w:rPr>
            </w:pPr>
          </w:p>
        </w:tc>
        <w:tc>
          <w:tcPr>
            <w:tcW w:w="1662" w:type="dxa"/>
            <w:tcBorders>
              <w:top w:val="nil"/>
              <w:left w:val="nil"/>
              <w:bottom w:val="nil"/>
              <w:right w:val="nil"/>
            </w:tcBorders>
            <w:shd w:val="clear" w:color="auto" w:fill="auto"/>
            <w:noWrap/>
            <w:vAlign w:val="center"/>
            <w:hideMark/>
          </w:tcPr>
          <w:p w14:paraId="60E0E767" w14:textId="77777777" w:rsidR="00976284" w:rsidRPr="00122F7E" w:rsidRDefault="00976284" w:rsidP="001F6984">
            <w:pPr>
              <w:spacing w:after="0" w:line="240" w:lineRule="auto"/>
              <w:rPr>
                <w:rFonts w:ascii="Times New Roman" w:eastAsia="Times New Roman" w:hAnsi="Times New Roman" w:cs="Times New Roman"/>
                <w:sz w:val="20"/>
                <w:szCs w:val="20"/>
                <w:lang w:eastAsia="en-GB"/>
              </w:rPr>
            </w:pPr>
          </w:p>
        </w:tc>
        <w:tc>
          <w:tcPr>
            <w:tcW w:w="1295" w:type="dxa"/>
            <w:tcBorders>
              <w:top w:val="nil"/>
              <w:left w:val="nil"/>
              <w:bottom w:val="nil"/>
              <w:right w:val="nil"/>
            </w:tcBorders>
            <w:shd w:val="clear" w:color="auto" w:fill="auto"/>
            <w:noWrap/>
            <w:vAlign w:val="center"/>
            <w:hideMark/>
          </w:tcPr>
          <w:p w14:paraId="2F1A432B" w14:textId="77777777" w:rsidR="00976284" w:rsidRPr="00122F7E" w:rsidRDefault="00976284" w:rsidP="001F6984">
            <w:pPr>
              <w:spacing w:after="0" w:line="240" w:lineRule="auto"/>
              <w:rPr>
                <w:rFonts w:ascii="Times New Roman" w:eastAsia="Times New Roman" w:hAnsi="Times New Roman" w:cs="Times New Roman"/>
                <w:sz w:val="20"/>
                <w:szCs w:val="20"/>
                <w:lang w:eastAsia="en-GB"/>
              </w:rPr>
            </w:pPr>
          </w:p>
        </w:tc>
        <w:tc>
          <w:tcPr>
            <w:tcW w:w="1217" w:type="dxa"/>
            <w:tcBorders>
              <w:top w:val="nil"/>
              <w:left w:val="nil"/>
              <w:bottom w:val="nil"/>
              <w:right w:val="nil"/>
            </w:tcBorders>
            <w:shd w:val="clear" w:color="auto" w:fill="auto"/>
            <w:noWrap/>
            <w:vAlign w:val="center"/>
            <w:hideMark/>
          </w:tcPr>
          <w:p w14:paraId="1D8F9FEA" w14:textId="77777777" w:rsidR="00976284" w:rsidRPr="00122F7E" w:rsidRDefault="00976284" w:rsidP="001F6984">
            <w:pPr>
              <w:spacing w:after="0" w:line="240" w:lineRule="auto"/>
              <w:rPr>
                <w:rFonts w:ascii="Times New Roman" w:eastAsia="Times New Roman" w:hAnsi="Times New Roman" w:cs="Times New Roman"/>
                <w:sz w:val="20"/>
                <w:szCs w:val="20"/>
                <w:lang w:eastAsia="en-GB"/>
              </w:rPr>
            </w:pPr>
          </w:p>
        </w:tc>
        <w:tc>
          <w:tcPr>
            <w:tcW w:w="1217" w:type="dxa"/>
            <w:tcBorders>
              <w:top w:val="nil"/>
              <w:left w:val="nil"/>
              <w:bottom w:val="nil"/>
              <w:right w:val="nil"/>
            </w:tcBorders>
            <w:shd w:val="clear" w:color="auto" w:fill="auto"/>
            <w:noWrap/>
            <w:vAlign w:val="center"/>
            <w:hideMark/>
          </w:tcPr>
          <w:p w14:paraId="29F69EF0" w14:textId="77777777" w:rsidR="00976284" w:rsidRPr="00122F7E" w:rsidRDefault="00976284" w:rsidP="001F6984">
            <w:pPr>
              <w:spacing w:after="0" w:line="240" w:lineRule="auto"/>
              <w:rPr>
                <w:rFonts w:ascii="Times New Roman" w:eastAsia="Times New Roman" w:hAnsi="Times New Roman" w:cs="Times New Roman"/>
                <w:sz w:val="20"/>
                <w:szCs w:val="20"/>
                <w:lang w:eastAsia="en-GB"/>
              </w:rPr>
            </w:pPr>
          </w:p>
        </w:tc>
        <w:tc>
          <w:tcPr>
            <w:tcW w:w="961" w:type="dxa"/>
            <w:tcBorders>
              <w:top w:val="nil"/>
              <w:left w:val="nil"/>
              <w:bottom w:val="nil"/>
              <w:right w:val="nil"/>
            </w:tcBorders>
            <w:shd w:val="clear" w:color="auto" w:fill="auto"/>
            <w:noWrap/>
            <w:vAlign w:val="center"/>
            <w:hideMark/>
          </w:tcPr>
          <w:p w14:paraId="753C293D" w14:textId="77777777" w:rsidR="00976284" w:rsidRPr="00122F7E" w:rsidRDefault="00976284" w:rsidP="001F6984">
            <w:pPr>
              <w:spacing w:after="0" w:line="240" w:lineRule="auto"/>
              <w:rPr>
                <w:rFonts w:ascii="Times New Roman" w:eastAsia="Times New Roman" w:hAnsi="Times New Roman" w:cs="Times New Roman"/>
                <w:sz w:val="20"/>
                <w:szCs w:val="20"/>
                <w:lang w:eastAsia="en-GB"/>
              </w:rPr>
            </w:pPr>
          </w:p>
        </w:tc>
      </w:tr>
      <w:tr w:rsidR="00976284" w:rsidRPr="00122F7E" w14:paraId="358394D6" w14:textId="77777777" w:rsidTr="00161381">
        <w:trPr>
          <w:trHeight w:val="315"/>
          <w:jc w:val="center"/>
        </w:trPr>
        <w:tc>
          <w:tcPr>
            <w:tcW w:w="2376" w:type="dxa"/>
            <w:tcBorders>
              <w:top w:val="nil"/>
              <w:left w:val="nil"/>
              <w:bottom w:val="nil"/>
              <w:right w:val="nil"/>
            </w:tcBorders>
            <w:shd w:val="clear" w:color="auto" w:fill="auto"/>
            <w:noWrap/>
            <w:vAlign w:val="center"/>
            <w:hideMark/>
          </w:tcPr>
          <w:p w14:paraId="4558D0A3" w14:textId="77777777" w:rsidR="00976284" w:rsidRPr="00122F7E" w:rsidRDefault="00976284" w:rsidP="001F6984">
            <w:pPr>
              <w:spacing w:after="0" w:line="240" w:lineRule="auto"/>
              <w:rPr>
                <w:rFonts w:ascii="Times New Roman" w:eastAsia="Times New Roman" w:hAnsi="Times New Roman" w:cs="Times New Roman"/>
                <w:sz w:val="20"/>
                <w:szCs w:val="20"/>
                <w:lang w:eastAsia="en-GB"/>
              </w:rPr>
            </w:pPr>
          </w:p>
        </w:tc>
        <w:tc>
          <w:tcPr>
            <w:tcW w:w="1452" w:type="dxa"/>
            <w:tcBorders>
              <w:top w:val="nil"/>
              <w:left w:val="nil"/>
              <w:bottom w:val="nil"/>
              <w:right w:val="nil"/>
            </w:tcBorders>
            <w:shd w:val="clear" w:color="auto" w:fill="auto"/>
            <w:noWrap/>
            <w:vAlign w:val="center"/>
            <w:hideMark/>
          </w:tcPr>
          <w:p w14:paraId="7B48E12A" w14:textId="77777777" w:rsidR="00976284" w:rsidRPr="00122F7E" w:rsidRDefault="00976284" w:rsidP="001F6984">
            <w:pPr>
              <w:spacing w:after="0" w:line="240" w:lineRule="auto"/>
              <w:rPr>
                <w:rFonts w:ascii="Times New Roman" w:eastAsia="Times New Roman" w:hAnsi="Times New Roman" w:cs="Times New Roman"/>
                <w:sz w:val="20"/>
                <w:szCs w:val="20"/>
                <w:lang w:eastAsia="en-GB"/>
              </w:rPr>
            </w:pPr>
          </w:p>
        </w:tc>
        <w:tc>
          <w:tcPr>
            <w:tcW w:w="1662" w:type="dxa"/>
            <w:tcBorders>
              <w:top w:val="nil"/>
              <w:left w:val="nil"/>
              <w:bottom w:val="nil"/>
              <w:right w:val="nil"/>
            </w:tcBorders>
            <w:shd w:val="clear" w:color="auto" w:fill="auto"/>
            <w:noWrap/>
            <w:vAlign w:val="center"/>
            <w:hideMark/>
          </w:tcPr>
          <w:p w14:paraId="35F3144D" w14:textId="77777777" w:rsidR="00976284" w:rsidRPr="00122F7E" w:rsidRDefault="00976284" w:rsidP="001F6984">
            <w:pPr>
              <w:spacing w:after="0" w:line="240" w:lineRule="auto"/>
              <w:rPr>
                <w:rFonts w:ascii="Times New Roman" w:eastAsia="Times New Roman" w:hAnsi="Times New Roman" w:cs="Times New Roman"/>
                <w:sz w:val="20"/>
                <w:szCs w:val="20"/>
                <w:lang w:eastAsia="en-GB"/>
              </w:rPr>
            </w:pPr>
          </w:p>
        </w:tc>
        <w:tc>
          <w:tcPr>
            <w:tcW w:w="1295" w:type="dxa"/>
            <w:tcBorders>
              <w:top w:val="nil"/>
              <w:left w:val="nil"/>
              <w:bottom w:val="nil"/>
              <w:right w:val="nil"/>
            </w:tcBorders>
            <w:shd w:val="clear" w:color="auto" w:fill="auto"/>
            <w:noWrap/>
            <w:vAlign w:val="center"/>
            <w:hideMark/>
          </w:tcPr>
          <w:p w14:paraId="495E942E" w14:textId="77777777" w:rsidR="00976284" w:rsidRPr="00122F7E" w:rsidRDefault="00976284" w:rsidP="001F6984">
            <w:pPr>
              <w:spacing w:after="0" w:line="240" w:lineRule="auto"/>
              <w:rPr>
                <w:rFonts w:ascii="Times New Roman" w:eastAsia="Times New Roman" w:hAnsi="Times New Roman" w:cs="Times New Roman"/>
                <w:sz w:val="20"/>
                <w:szCs w:val="20"/>
                <w:lang w:eastAsia="en-GB"/>
              </w:rPr>
            </w:pPr>
          </w:p>
        </w:tc>
        <w:tc>
          <w:tcPr>
            <w:tcW w:w="1217" w:type="dxa"/>
            <w:tcBorders>
              <w:top w:val="nil"/>
              <w:left w:val="nil"/>
              <w:bottom w:val="nil"/>
              <w:right w:val="nil"/>
            </w:tcBorders>
            <w:shd w:val="clear" w:color="auto" w:fill="auto"/>
            <w:noWrap/>
            <w:vAlign w:val="center"/>
            <w:hideMark/>
          </w:tcPr>
          <w:p w14:paraId="4C678A1E" w14:textId="77777777" w:rsidR="00976284" w:rsidRPr="00122F7E" w:rsidRDefault="00976284" w:rsidP="001F6984">
            <w:pPr>
              <w:spacing w:after="0" w:line="240" w:lineRule="auto"/>
              <w:rPr>
                <w:rFonts w:ascii="Times New Roman" w:eastAsia="Times New Roman" w:hAnsi="Times New Roman" w:cs="Times New Roman"/>
                <w:sz w:val="20"/>
                <w:szCs w:val="20"/>
                <w:lang w:eastAsia="en-GB"/>
              </w:rPr>
            </w:pPr>
          </w:p>
        </w:tc>
        <w:tc>
          <w:tcPr>
            <w:tcW w:w="1217" w:type="dxa"/>
            <w:tcBorders>
              <w:top w:val="nil"/>
              <w:left w:val="nil"/>
              <w:bottom w:val="nil"/>
              <w:right w:val="nil"/>
            </w:tcBorders>
            <w:shd w:val="clear" w:color="auto" w:fill="auto"/>
            <w:noWrap/>
            <w:vAlign w:val="center"/>
            <w:hideMark/>
          </w:tcPr>
          <w:p w14:paraId="3B2A7FD5" w14:textId="77777777" w:rsidR="00976284" w:rsidRPr="00122F7E" w:rsidRDefault="00976284" w:rsidP="001F6984">
            <w:pPr>
              <w:spacing w:after="0" w:line="240" w:lineRule="auto"/>
              <w:rPr>
                <w:rFonts w:ascii="Times New Roman" w:eastAsia="Times New Roman" w:hAnsi="Times New Roman" w:cs="Times New Roman"/>
                <w:sz w:val="20"/>
                <w:szCs w:val="20"/>
                <w:lang w:eastAsia="en-GB"/>
              </w:rPr>
            </w:pPr>
          </w:p>
        </w:tc>
        <w:tc>
          <w:tcPr>
            <w:tcW w:w="961" w:type="dxa"/>
            <w:tcBorders>
              <w:top w:val="nil"/>
              <w:left w:val="nil"/>
              <w:bottom w:val="nil"/>
              <w:right w:val="nil"/>
            </w:tcBorders>
            <w:shd w:val="clear" w:color="auto" w:fill="auto"/>
            <w:noWrap/>
            <w:vAlign w:val="center"/>
            <w:hideMark/>
          </w:tcPr>
          <w:p w14:paraId="6876ED89" w14:textId="77777777" w:rsidR="00976284" w:rsidRPr="00122F7E" w:rsidRDefault="00976284" w:rsidP="001F6984">
            <w:pPr>
              <w:spacing w:after="0" w:line="240" w:lineRule="auto"/>
              <w:rPr>
                <w:rFonts w:ascii="Times New Roman" w:eastAsia="Times New Roman" w:hAnsi="Times New Roman" w:cs="Times New Roman"/>
                <w:sz w:val="20"/>
                <w:szCs w:val="20"/>
                <w:lang w:eastAsia="en-GB"/>
              </w:rPr>
            </w:pPr>
          </w:p>
        </w:tc>
      </w:tr>
      <w:tr w:rsidR="00976284" w:rsidRPr="000F6386" w14:paraId="5BB8FDFA" w14:textId="77777777" w:rsidTr="00161381">
        <w:trPr>
          <w:trHeight w:val="1020"/>
          <w:jc w:val="center"/>
        </w:trPr>
        <w:tc>
          <w:tcPr>
            <w:tcW w:w="2376" w:type="dxa"/>
            <w:tcBorders>
              <w:top w:val="single" w:sz="4" w:space="0" w:color="auto"/>
              <w:left w:val="nil"/>
              <w:bottom w:val="nil"/>
              <w:right w:val="nil"/>
            </w:tcBorders>
            <w:shd w:val="clear" w:color="auto" w:fill="auto"/>
            <w:hideMark/>
          </w:tcPr>
          <w:p w14:paraId="13F19715" w14:textId="77777777" w:rsidR="00976284" w:rsidRPr="000F6386" w:rsidRDefault="00976284" w:rsidP="001F6984">
            <w:pPr>
              <w:spacing w:after="0" w:line="240" w:lineRule="auto"/>
              <w:rPr>
                <w:rFonts w:ascii="Arial" w:eastAsia="Times New Roman" w:hAnsi="Arial" w:cs="Arial"/>
                <w:b/>
                <w:bCs/>
                <w:sz w:val="20"/>
                <w:szCs w:val="20"/>
                <w:lang w:eastAsia="en-GB"/>
              </w:rPr>
            </w:pPr>
            <w:r w:rsidRPr="000F6386">
              <w:rPr>
                <w:rFonts w:ascii="Arial" w:eastAsia="Times New Roman" w:hAnsi="Arial" w:cs="Arial"/>
                <w:b/>
                <w:bCs/>
                <w:sz w:val="20"/>
                <w:szCs w:val="20"/>
                <w:lang w:eastAsia="en-GB"/>
              </w:rPr>
              <w:t>Group</w:t>
            </w:r>
          </w:p>
        </w:tc>
        <w:tc>
          <w:tcPr>
            <w:tcW w:w="1452" w:type="dxa"/>
            <w:tcBorders>
              <w:top w:val="single" w:sz="4" w:space="0" w:color="auto"/>
              <w:left w:val="nil"/>
              <w:bottom w:val="nil"/>
              <w:right w:val="nil"/>
            </w:tcBorders>
            <w:shd w:val="clear" w:color="auto" w:fill="auto"/>
            <w:hideMark/>
          </w:tcPr>
          <w:p w14:paraId="363DC317" w14:textId="77777777" w:rsidR="00976284" w:rsidRPr="000F6386" w:rsidRDefault="00976284" w:rsidP="005B39D0">
            <w:pPr>
              <w:spacing w:after="0" w:line="240" w:lineRule="auto"/>
              <w:jc w:val="right"/>
              <w:rPr>
                <w:rFonts w:ascii="Arial" w:eastAsia="Times New Roman" w:hAnsi="Arial" w:cs="Arial"/>
                <w:sz w:val="20"/>
                <w:szCs w:val="20"/>
                <w:lang w:eastAsia="en-GB"/>
              </w:rPr>
            </w:pPr>
            <w:r w:rsidRPr="000F6386">
              <w:rPr>
                <w:rFonts w:ascii="Arial" w:eastAsia="Times New Roman" w:hAnsi="Arial" w:cs="Arial"/>
                <w:sz w:val="20"/>
                <w:szCs w:val="20"/>
                <w:lang w:eastAsia="en-GB"/>
              </w:rPr>
              <w:t>Freehold land and buildings</w:t>
            </w:r>
          </w:p>
        </w:tc>
        <w:tc>
          <w:tcPr>
            <w:tcW w:w="1662" w:type="dxa"/>
            <w:tcBorders>
              <w:top w:val="single" w:sz="4" w:space="0" w:color="auto"/>
              <w:left w:val="nil"/>
              <w:bottom w:val="nil"/>
              <w:right w:val="nil"/>
            </w:tcBorders>
            <w:shd w:val="clear" w:color="auto" w:fill="auto"/>
            <w:hideMark/>
          </w:tcPr>
          <w:p w14:paraId="7A72279D" w14:textId="77777777" w:rsidR="00976284" w:rsidRPr="000F6386" w:rsidRDefault="00976284" w:rsidP="005B39D0">
            <w:pPr>
              <w:spacing w:after="0" w:line="240" w:lineRule="auto"/>
              <w:jc w:val="right"/>
              <w:rPr>
                <w:rFonts w:ascii="Arial" w:eastAsia="Times New Roman" w:hAnsi="Arial" w:cs="Arial"/>
                <w:sz w:val="20"/>
                <w:szCs w:val="20"/>
                <w:lang w:eastAsia="en-GB"/>
              </w:rPr>
            </w:pPr>
            <w:r w:rsidRPr="000F6386">
              <w:rPr>
                <w:rFonts w:ascii="Arial" w:eastAsia="Times New Roman" w:hAnsi="Arial" w:cs="Arial"/>
                <w:sz w:val="20"/>
                <w:szCs w:val="20"/>
                <w:lang w:eastAsia="en-GB"/>
              </w:rPr>
              <w:t>Long leasehold property</w:t>
            </w:r>
          </w:p>
        </w:tc>
        <w:tc>
          <w:tcPr>
            <w:tcW w:w="1295" w:type="dxa"/>
            <w:tcBorders>
              <w:top w:val="single" w:sz="4" w:space="0" w:color="auto"/>
              <w:left w:val="nil"/>
              <w:bottom w:val="nil"/>
              <w:right w:val="nil"/>
            </w:tcBorders>
            <w:shd w:val="clear" w:color="auto" w:fill="auto"/>
            <w:hideMark/>
          </w:tcPr>
          <w:p w14:paraId="08669F36" w14:textId="77777777" w:rsidR="00976284" w:rsidRPr="000F6386" w:rsidRDefault="00976284" w:rsidP="005B39D0">
            <w:pPr>
              <w:spacing w:after="0" w:line="240" w:lineRule="auto"/>
              <w:jc w:val="right"/>
              <w:rPr>
                <w:rFonts w:ascii="Arial" w:eastAsia="Times New Roman" w:hAnsi="Arial" w:cs="Arial"/>
                <w:sz w:val="20"/>
                <w:szCs w:val="20"/>
                <w:lang w:eastAsia="en-GB"/>
              </w:rPr>
            </w:pPr>
            <w:r w:rsidRPr="000F6386">
              <w:rPr>
                <w:rFonts w:ascii="Arial" w:eastAsia="Times New Roman" w:hAnsi="Arial" w:cs="Arial"/>
                <w:sz w:val="20"/>
                <w:szCs w:val="20"/>
                <w:lang w:eastAsia="en-GB"/>
              </w:rPr>
              <w:t>Assets under construction</w:t>
            </w:r>
          </w:p>
        </w:tc>
        <w:tc>
          <w:tcPr>
            <w:tcW w:w="1217" w:type="dxa"/>
            <w:tcBorders>
              <w:top w:val="single" w:sz="4" w:space="0" w:color="auto"/>
              <w:left w:val="nil"/>
              <w:bottom w:val="nil"/>
              <w:right w:val="nil"/>
            </w:tcBorders>
            <w:shd w:val="clear" w:color="auto" w:fill="auto"/>
            <w:hideMark/>
          </w:tcPr>
          <w:p w14:paraId="63F680C1" w14:textId="77777777" w:rsidR="00976284" w:rsidRPr="000F6386" w:rsidRDefault="00976284" w:rsidP="005B39D0">
            <w:pPr>
              <w:spacing w:after="0" w:line="240" w:lineRule="auto"/>
              <w:jc w:val="right"/>
              <w:rPr>
                <w:rFonts w:ascii="Arial" w:eastAsia="Times New Roman" w:hAnsi="Arial" w:cs="Arial"/>
                <w:sz w:val="20"/>
                <w:szCs w:val="20"/>
                <w:lang w:eastAsia="en-GB"/>
              </w:rPr>
            </w:pPr>
            <w:r w:rsidRPr="000F6386">
              <w:rPr>
                <w:rFonts w:ascii="Arial" w:eastAsia="Times New Roman" w:hAnsi="Arial" w:cs="Arial"/>
                <w:sz w:val="20"/>
                <w:szCs w:val="20"/>
                <w:lang w:eastAsia="en-GB"/>
              </w:rPr>
              <w:t>Equipment and vehicles</w:t>
            </w:r>
          </w:p>
        </w:tc>
        <w:tc>
          <w:tcPr>
            <w:tcW w:w="1217" w:type="dxa"/>
            <w:tcBorders>
              <w:top w:val="single" w:sz="4" w:space="0" w:color="auto"/>
              <w:left w:val="nil"/>
              <w:bottom w:val="nil"/>
              <w:right w:val="nil"/>
            </w:tcBorders>
            <w:shd w:val="clear" w:color="auto" w:fill="auto"/>
            <w:hideMark/>
          </w:tcPr>
          <w:p w14:paraId="02B6576A" w14:textId="77777777" w:rsidR="00976284" w:rsidRPr="000F6386" w:rsidRDefault="00976284" w:rsidP="005B39D0">
            <w:pPr>
              <w:spacing w:after="0" w:line="240" w:lineRule="auto"/>
              <w:jc w:val="right"/>
              <w:rPr>
                <w:rFonts w:ascii="Arial" w:eastAsia="Times New Roman" w:hAnsi="Arial" w:cs="Arial"/>
                <w:sz w:val="20"/>
                <w:szCs w:val="20"/>
                <w:lang w:eastAsia="en-GB"/>
              </w:rPr>
            </w:pPr>
            <w:r w:rsidRPr="000F6386">
              <w:rPr>
                <w:rFonts w:ascii="Arial" w:eastAsia="Times New Roman" w:hAnsi="Arial" w:cs="Arial"/>
                <w:sz w:val="20"/>
                <w:szCs w:val="20"/>
                <w:lang w:eastAsia="en-GB"/>
              </w:rPr>
              <w:t>Fixtures and fittings</w:t>
            </w:r>
          </w:p>
        </w:tc>
        <w:tc>
          <w:tcPr>
            <w:tcW w:w="961" w:type="dxa"/>
            <w:tcBorders>
              <w:top w:val="single" w:sz="4" w:space="0" w:color="auto"/>
              <w:left w:val="nil"/>
              <w:bottom w:val="nil"/>
              <w:right w:val="nil"/>
            </w:tcBorders>
            <w:shd w:val="clear" w:color="auto" w:fill="auto"/>
            <w:hideMark/>
          </w:tcPr>
          <w:p w14:paraId="2844352E" w14:textId="77777777" w:rsidR="00976284" w:rsidRPr="000F6386" w:rsidRDefault="00976284" w:rsidP="005B39D0">
            <w:pPr>
              <w:spacing w:after="0" w:line="240" w:lineRule="auto"/>
              <w:jc w:val="right"/>
              <w:rPr>
                <w:rFonts w:ascii="Arial" w:eastAsia="Times New Roman" w:hAnsi="Arial" w:cs="Arial"/>
                <w:sz w:val="20"/>
                <w:szCs w:val="20"/>
                <w:lang w:eastAsia="en-GB"/>
              </w:rPr>
            </w:pPr>
            <w:r w:rsidRPr="000F6386">
              <w:rPr>
                <w:rFonts w:ascii="Arial" w:eastAsia="Times New Roman" w:hAnsi="Arial" w:cs="Arial"/>
                <w:sz w:val="20"/>
                <w:szCs w:val="20"/>
                <w:lang w:eastAsia="en-GB"/>
              </w:rPr>
              <w:t>Total</w:t>
            </w:r>
          </w:p>
        </w:tc>
      </w:tr>
      <w:tr w:rsidR="00976284" w:rsidRPr="000F6386" w14:paraId="2434F9BE" w14:textId="77777777" w:rsidTr="00161381">
        <w:trPr>
          <w:trHeight w:val="255"/>
          <w:jc w:val="center"/>
        </w:trPr>
        <w:tc>
          <w:tcPr>
            <w:tcW w:w="2376" w:type="dxa"/>
            <w:tcBorders>
              <w:top w:val="nil"/>
              <w:left w:val="nil"/>
              <w:bottom w:val="single" w:sz="4" w:space="0" w:color="auto"/>
              <w:right w:val="nil"/>
            </w:tcBorders>
            <w:shd w:val="clear" w:color="auto" w:fill="auto"/>
            <w:vAlign w:val="center"/>
            <w:hideMark/>
          </w:tcPr>
          <w:p w14:paraId="62F44F9D" w14:textId="77777777" w:rsidR="00976284" w:rsidRPr="000F6386" w:rsidRDefault="00976284" w:rsidP="001F6984">
            <w:pPr>
              <w:spacing w:after="0" w:line="240" w:lineRule="auto"/>
              <w:rPr>
                <w:rFonts w:ascii="Arial" w:eastAsia="Times New Roman" w:hAnsi="Arial" w:cs="Arial"/>
                <w:b/>
                <w:bCs/>
                <w:sz w:val="20"/>
                <w:szCs w:val="20"/>
                <w:lang w:eastAsia="en-GB"/>
              </w:rPr>
            </w:pPr>
            <w:r w:rsidRPr="000F6386">
              <w:rPr>
                <w:rFonts w:ascii="Arial" w:eastAsia="Times New Roman" w:hAnsi="Arial" w:cs="Arial"/>
                <w:b/>
                <w:bCs/>
                <w:sz w:val="20"/>
                <w:szCs w:val="20"/>
                <w:lang w:eastAsia="en-GB"/>
              </w:rPr>
              <w:t> </w:t>
            </w:r>
          </w:p>
        </w:tc>
        <w:tc>
          <w:tcPr>
            <w:tcW w:w="1452" w:type="dxa"/>
            <w:tcBorders>
              <w:top w:val="nil"/>
              <w:left w:val="nil"/>
              <w:bottom w:val="single" w:sz="4" w:space="0" w:color="auto"/>
              <w:right w:val="nil"/>
            </w:tcBorders>
            <w:shd w:val="clear" w:color="auto" w:fill="auto"/>
            <w:vAlign w:val="center"/>
            <w:hideMark/>
          </w:tcPr>
          <w:p w14:paraId="519F142C" w14:textId="77777777" w:rsidR="00976284" w:rsidRPr="000F6386" w:rsidRDefault="00976284" w:rsidP="005B39D0">
            <w:pPr>
              <w:spacing w:after="0" w:line="240" w:lineRule="auto"/>
              <w:jc w:val="right"/>
              <w:rPr>
                <w:rFonts w:ascii="Arial" w:eastAsia="Times New Roman" w:hAnsi="Arial" w:cs="Arial"/>
                <w:sz w:val="20"/>
                <w:szCs w:val="20"/>
                <w:lang w:eastAsia="en-GB"/>
              </w:rPr>
            </w:pPr>
            <w:r w:rsidRPr="000F6386">
              <w:rPr>
                <w:rFonts w:ascii="Arial" w:eastAsia="Times New Roman" w:hAnsi="Arial" w:cs="Arial"/>
                <w:sz w:val="20"/>
                <w:szCs w:val="20"/>
                <w:lang w:eastAsia="en-GB"/>
              </w:rPr>
              <w:t>£'000</w:t>
            </w:r>
          </w:p>
        </w:tc>
        <w:tc>
          <w:tcPr>
            <w:tcW w:w="1662" w:type="dxa"/>
            <w:tcBorders>
              <w:top w:val="nil"/>
              <w:left w:val="nil"/>
              <w:bottom w:val="single" w:sz="4" w:space="0" w:color="auto"/>
              <w:right w:val="nil"/>
            </w:tcBorders>
            <w:shd w:val="clear" w:color="auto" w:fill="auto"/>
            <w:vAlign w:val="center"/>
            <w:hideMark/>
          </w:tcPr>
          <w:p w14:paraId="5ED5C987" w14:textId="77777777" w:rsidR="00976284" w:rsidRPr="000F6386" w:rsidRDefault="00976284" w:rsidP="005B39D0">
            <w:pPr>
              <w:spacing w:after="0" w:line="240" w:lineRule="auto"/>
              <w:jc w:val="right"/>
              <w:rPr>
                <w:rFonts w:ascii="Arial" w:eastAsia="Times New Roman" w:hAnsi="Arial" w:cs="Arial"/>
                <w:sz w:val="20"/>
                <w:szCs w:val="20"/>
                <w:lang w:eastAsia="en-GB"/>
              </w:rPr>
            </w:pPr>
            <w:r w:rsidRPr="000F6386">
              <w:rPr>
                <w:rFonts w:ascii="Arial" w:eastAsia="Times New Roman" w:hAnsi="Arial" w:cs="Arial"/>
                <w:sz w:val="20"/>
                <w:szCs w:val="20"/>
                <w:lang w:eastAsia="en-GB"/>
              </w:rPr>
              <w:t>£'000</w:t>
            </w:r>
          </w:p>
        </w:tc>
        <w:tc>
          <w:tcPr>
            <w:tcW w:w="1295" w:type="dxa"/>
            <w:tcBorders>
              <w:top w:val="nil"/>
              <w:left w:val="nil"/>
              <w:bottom w:val="single" w:sz="4" w:space="0" w:color="auto"/>
              <w:right w:val="nil"/>
            </w:tcBorders>
            <w:shd w:val="clear" w:color="auto" w:fill="auto"/>
            <w:vAlign w:val="center"/>
            <w:hideMark/>
          </w:tcPr>
          <w:p w14:paraId="4AA12F50" w14:textId="77777777" w:rsidR="00976284" w:rsidRPr="000F6386" w:rsidRDefault="00976284" w:rsidP="005B39D0">
            <w:pPr>
              <w:spacing w:after="0" w:line="240" w:lineRule="auto"/>
              <w:jc w:val="right"/>
              <w:rPr>
                <w:rFonts w:ascii="Arial" w:eastAsia="Times New Roman" w:hAnsi="Arial" w:cs="Arial"/>
                <w:sz w:val="20"/>
                <w:szCs w:val="20"/>
                <w:lang w:eastAsia="en-GB"/>
              </w:rPr>
            </w:pPr>
            <w:r w:rsidRPr="000F6386">
              <w:rPr>
                <w:rFonts w:ascii="Arial" w:eastAsia="Times New Roman" w:hAnsi="Arial" w:cs="Arial"/>
                <w:sz w:val="20"/>
                <w:szCs w:val="20"/>
                <w:lang w:eastAsia="en-GB"/>
              </w:rPr>
              <w:t>£'000</w:t>
            </w:r>
          </w:p>
        </w:tc>
        <w:tc>
          <w:tcPr>
            <w:tcW w:w="1217" w:type="dxa"/>
            <w:tcBorders>
              <w:top w:val="nil"/>
              <w:left w:val="nil"/>
              <w:bottom w:val="single" w:sz="4" w:space="0" w:color="auto"/>
              <w:right w:val="nil"/>
            </w:tcBorders>
            <w:shd w:val="clear" w:color="auto" w:fill="auto"/>
            <w:vAlign w:val="center"/>
            <w:hideMark/>
          </w:tcPr>
          <w:p w14:paraId="24A0DFCA" w14:textId="77777777" w:rsidR="00976284" w:rsidRPr="000F6386" w:rsidRDefault="00976284" w:rsidP="005B39D0">
            <w:pPr>
              <w:spacing w:after="0" w:line="240" w:lineRule="auto"/>
              <w:jc w:val="right"/>
              <w:rPr>
                <w:rFonts w:ascii="Arial" w:eastAsia="Times New Roman" w:hAnsi="Arial" w:cs="Arial"/>
                <w:sz w:val="20"/>
                <w:szCs w:val="20"/>
                <w:lang w:eastAsia="en-GB"/>
              </w:rPr>
            </w:pPr>
            <w:r w:rsidRPr="000F6386">
              <w:rPr>
                <w:rFonts w:ascii="Arial" w:eastAsia="Times New Roman" w:hAnsi="Arial" w:cs="Arial"/>
                <w:sz w:val="20"/>
                <w:szCs w:val="20"/>
                <w:lang w:eastAsia="en-GB"/>
              </w:rPr>
              <w:t>£'000</w:t>
            </w:r>
          </w:p>
        </w:tc>
        <w:tc>
          <w:tcPr>
            <w:tcW w:w="1217" w:type="dxa"/>
            <w:tcBorders>
              <w:top w:val="nil"/>
              <w:left w:val="nil"/>
              <w:bottom w:val="single" w:sz="4" w:space="0" w:color="auto"/>
              <w:right w:val="nil"/>
            </w:tcBorders>
            <w:shd w:val="clear" w:color="auto" w:fill="auto"/>
            <w:vAlign w:val="center"/>
            <w:hideMark/>
          </w:tcPr>
          <w:p w14:paraId="4AB6060C" w14:textId="77777777" w:rsidR="00976284" w:rsidRPr="000F6386" w:rsidRDefault="00976284" w:rsidP="005B39D0">
            <w:pPr>
              <w:spacing w:after="0" w:line="240" w:lineRule="auto"/>
              <w:jc w:val="right"/>
              <w:rPr>
                <w:rFonts w:ascii="Arial" w:eastAsia="Times New Roman" w:hAnsi="Arial" w:cs="Arial"/>
                <w:sz w:val="20"/>
                <w:szCs w:val="20"/>
                <w:lang w:eastAsia="en-GB"/>
              </w:rPr>
            </w:pPr>
            <w:r w:rsidRPr="000F6386">
              <w:rPr>
                <w:rFonts w:ascii="Arial" w:eastAsia="Times New Roman" w:hAnsi="Arial" w:cs="Arial"/>
                <w:sz w:val="20"/>
                <w:szCs w:val="20"/>
                <w:lang w:eastAsia="en-GB"/>
              </w:rPr>
              <w:t>£'000</w:t>
            </w:r>
          </w:p>
        </w:tc>
        <w:tc>
          <w:tcPr>
            <w:tcW w:w="961" w:type="dxa"/>
            <w:tcBorders>
              <w:top w:val="nil"/>
              <w:left w:val="nil"/>
              <w:bottom w:val="single" w:sz="4" w:space="0" w:color="auto"/>
              <w:right w:val="nil"/>
            </w:tcBorders>
            <w:shd w:val="clear" w:color="auto" w:fill="auto"/>
            <w:vAlign w:val="center"/>
            <w:hideMark/>
          </w:tcPr>
          <w:p w14:paraId="4412E701" w14:textId="77777777" w:rsidR="00976284" w:rsidRPr="000F6386" w:rsidRDefault="00976284" w:rsidP="005B39D0">
            <w:pPr>
              <w:spacing w:after="0" w:line="240" w:lineRule="auto"/>
              <w:jc w:val="right"/>
              <w:rPr>
                <w:rFonts w:ascii="Arial" w:eastAsia="Times New Roman" w:hAnsi="Arial" w:cs="Arial"/>
                <w:sz w:val="20"/>
                <w:szCs w:val="20"/>
                <w:lang w:eastAsia="en-GB"/>
              </w:rPr>
            </w:pPr>
            <w:r w:rsidRPr="000F6386">
              <w:rPr>
                <w:rFonts w:ascii="Arial" w:eastAsia="Times New Roman" w:hAnsi="Arial" w:cs="Arial"/>
                <w:sz w:val="20"/>
                <w:szCs w:val="20"/>
                <w:lang w:eastAsia="en-GB"/>
              </w:rPr>
              <w:t>£'000</w:t>
            </w:r>
          </w:p>
        </w:tc>
      </w:tr>
      <w:tr w:rsidR="00976284" w:rsidRPr="000F6386" w14:paraId="6140B4E8" w14:textId="77777777" w:rsidTr="00161381">
        <w:trPr>
          <w:trHeight w:val="255"/>
          <w:jc w:val="center"/>
        </w:trPr>
        <w:tc>
          <w:tcPr>
            <w:tcW w:w="2376" w:type="dxa"/>
            <w:tcBorders>
              <w:top w:val="nil"/>
              <w:left w:val="nil"/>
              <w:bottom w:val="nil"/>
              <w:right w:val="nil"/>
            </w:tcBorders>
            <w:shd w:val="clear" w:color="auto" w:fill="auto"/>
            <w:noWrap/>
            <w:vAlign w:val="center"/>
            <w:hideMark/>
          </w:tcPr>
          <w:p w14:paraId="1F5DA27A" w14:textId="77777777" w:rsidR="00976284" w:rsidRPr="000F6386" w:rsidRDefault="00976284" w:rsidP="001F6984">
            <w:pPr>
              <w:spacing w:after="0" w:line="240" w:lineRule="auto"/>
              <w:rPr>
                <w:rFonts w:ascii="Arial" w:eastAsia="Times New Roman" w:hAnsi="Arial" w:cs="Arial"/>
                <w:b/>
                <w:bCs/>
                <w:sz w:val="20"/>
                <w:szCs w:val="20"/>
                <w:lang w:eastAsia="en-GB"/>
              </w:rPr>
            </w:pPr>
            <w:r w:rsidRPr="000F6386">
              <w:rPr>
                <w:rFonts w:ascii="Arial" w:eastAsia="Times New Roman" w:hAnsi="Arial" w:cs="Arial"/>
                <w:b/>
                <w:bCs/>
                <w:sz w:val="20"/>
                <w:szCs w:val="20"/>
                <w:lang w:eastAsia="en-GB"/>
              </w:rPr>
              <w:t>Cost or valuation</w:t>
            </w:r>
          </w:p>
        </w:tc>
        <w:tc>
          <w:tcPr>
            <w:tcW w:w="1452" w:type="dxa"/>
            <w:tcBorders>
              <w:top w:val="nil"/>
              <w:left w:val="nil"/>
              <w:right w:val="nil"/>
            </w:tcBorders>
            <w:shd w:val="clear" w:color="auto" w:fill="auto"/>
            <w:noWrap/>
            <w:vAlign w:val="center"/>
            <w:hideMark/>
          </w:tcPr>
          <w:p w14:paraId="662EDB7D" w14:textId="77777777" w:rsidR="00976284" w:rsidRPr="000F6386" w:rsidRDefault="00976284" w:rsidP="005B39D0">
            <w:pPr>
              <w:spacing w:after="0" w:line="240" w:lineRule="auto"/>
              <w:jc w:val="right"/>
              <w:rPr>
                <w:rFonts w:ascii="Arial" w:eastAsia="Times New Roman" w:hAnsi="Arial" w:cs="Arial"/>
                <w:b/>
                <w:bCs/>
                <w:sz w:val="20"/>
                <w:szCs w:val="20"/>
                <w:lang w:eastAsia="en-GB"/>
              </w:rPr>
            </w:pPr>
          </w:p>
        </w:tc>
        <w:tc>
          <w:tcPr>
            <w:tcW w:w="1662" w:type="dxa"/>
            <w:tcBorders>
              <w:top w:val="nil"/>
              <w:left w:val="nil"/>
              <w:right w:val="nil"/>
            </w:tcBorders>
            <w:shd w:val="clear" w:color="auto" w:fill="auto"/>
            <w:noWrap/>
            <w:vAlign w:val="center"/>
            <w:hideMark/>
          </w:tcPr>
          <w:p w14:paraId="2EA73AF4" w14:textId="77777777" w:rsidR="00976284" w:rsidRPr="000F6386" w:rsidRDefault="00976284" w:rsidP="005B39D0">
            <w:pPr>
              <w:spacing w:after="0" w:line="240" w:lineRule="auto"/>
              <w:jc w:val="right"/>
              <w:rPr>
                <w:rFonts w:ascii="Times New Roman" w:eastAsia="Times New Roman" w:hAnsi="Times New Roman" w:cs="Times New Roman"/>
                <w:sz w:val="20"/>
                <w:szCs w:val="20"/>
                <w:lang w:eastAsia="en-GB"/>
              </w:rPr>
            </w:pPr>
          </w:p>
        </w:tc>
        <w:tc>
          <w:tcPr>
            <w:tcW w:w="1295" w:type="dxa"/>
            <w:tcBorders>
              <w:top w:val="nil"/>
              <w:left w:val="nil"/>
              <w:right w:val="nil"/>
            </w:tcBorders>
            <w:shd w:val="clear" w:color="auto" w:fill="auto"/>
            <w:noWrap/>
            <w:vAlign w:val="center"/>
            <w:hideMark/>
          </w:tcPr>
          <w:p w14:paraId="608D75BC" w14:textId="77777777" w:rsidR="00976284" w:rsidRPr="000F6386" w:rsidRDefault="00976284" w:rsidP="005B39D0">
            <w:pPr>
              <w:spacing w:after="0" w:line="240" w:lineRule="auto"/>
              <w:jc w:val="right"/>
              <w:rPr>
                <w:rFonts w:ascii="Times New Roman" w:eastAsia="Times New Roman" w:hAnsi="Times New Roman" w:cs="Times New Roman"/>
                <w:sz w:val="20"/>
                <w:szCs w:val="20"/>
                <w:lang w:eastAsia="en-GB"/>
              </w:rPr>
            </w:pPr>
          </w:p>
        </w:tc>
        <w:tc>
          <w:tcPr>
            <w:tcW w:w="1217" w:type="dxa"/>
            <w:tcBorders>
              <w:top w:val="nil"/>
              <w:left w:val="nil"/>
              <w:right w:val="nil"/>
            </w:tcBorders>
            <w:shd w:val="clear" w:color="auto" w:fill="auto"/>
            <w:noWrap/>
            <w:vAlign w:val="center"/>
            <w:hideMark/>
          </w:tcPr>
          <w:p w14:paraId="2DEA97FF" w14:textId="77777777" w:rsidR="00976284" w:rsidRPr="000F6386" w:rsidRDefault="00976284" w:rsidP="005B39D0">
            <w:pPr>
              <w:spacing w:after="0" w:line="240" w:lineRule="auto"/>
              <w:jc w:val="right"/>
              <w:rPr>
                <w:rFonts w:ascii="Times New Roman" w:eastAsia="Times New Roman" w:hAnsi="Times New Roman" w:cs="Times New Roman"/>
                <w:sz w:val="20"/>
                <w:szCs w:val="20"/>
                <w:lang w:eastAsia="en-GB"/>
              </w:rPr>
            </w:pPr>
          </w:p>
        </w:tc>
        <w:tc>
          <w:tcPr>
            <w:tcW w:w="1217" w:type="dxa"/>
            <w:tcBorders>
              <w:top w:val="nil"/>
              <w:left w:val="nil"/>
              <w:right w:val="nil"/>
            </w:tcBorders>
            <w:shd w:val="clear" w:color="auto" w:fill="auto"/>
            <w:noWrap/>
            <w:vAlign w:val="center"/>
            <w:hideMark/>
          </w:tcPr>
          <w:p w14:paraId="1BD5DE4A" w14:textId="77777777" w:rsidR="00976284" w:rsidRPr="000F6386" w:rsidRDefault="00976284" w:rsidP="005B39D0">
            <w:pPr>
              <w:spacing w:after="0" w:line="240" w:lineRule="auto"/>
              <w:jc w:val="right"/>
              <w:rPr>
                <w:rFonts w:ascii="Times New Roman" w:eastAsia="Times New Roman" w:hAnsi="Times New Roman" w:cs="Times New Roman"/>
                <w:sz w:val="20"/>
                <w:szCs w:val="20"/>
                <w:lang w:eastAsia="en-GB"/>
              </w:rPr>
            </w:pPr>
          </w:p>
        </w:tc>
        <w:tc>
          <w:tcPr>
            <w:tcW w:w="961" w:type="dxa"/>
            <w:tcBorders>
              <w:top w:val="nil"/>
              <w:left w:val="nil"/>
              <w:right w:val="nil"/>
            </w:tcBorders>
            <w:shd w:val="clear" w:color="auto" w:fill="auto"/>
            <w:noWrap/>
            <w:vAlign w:val="center"/>
            <w:hideMark/>
          </w:tcPr>
          <w:p w14:paraId="76BD8FC0" w14:textId="77777777" w:rsidR="00976284" w:rsidRPr="000F6386" w:rsidRDefault="00976284" w:rsidP="005B39D0">
            <w:pPr>
              <w:spacing w:after="0" w:line="240" w:lineRule="auto"/>
              <w:jc w:val="right"/>
              <w:rPr>
                <w:rFonts w:ascii="Times New Roman" w:eastAsia="Times New Roman" w:hAnsi="Times New Roman" w:cs="Times New Roman"/>
                <w:sz w:val="20"/>
                <w:szCs w:val="20"/>
                <w:lang w:eastAsia="en-GB"/>
              </w:rPr>
            </w:pPr>
          </w:p>
        </w:tc>
      </w:tr>
      <w:tr w:rsidR="00976284" w:rsidRPr="000F6386" w14:paraId="3AB90116" w14:textId="77777777" w:rsidTr="00161381">
        <w:trPr>
          <w:trHeight w:val="255"/>
          <w:jc w:val="center"/>
        </w:trPr>
        <w:tc>
          <w:tcPr>
            <w:tcW w:w="2376" w:type="dxa"/>
            <w:tcBorders>
              <w:top w:val="nil"/>
              <w:left w:val="nil"/>
              <w:bottom w:val="nil"/>
              <w:right w:val="nil"/>
            </w:tcBorders>
            <w:shd w:val="clear" w:color="auto" w:fill="auto"/>
            <w:noWrap/>
            <w:vAlign w:val="center"/>
            <w:hideMark/>
          </w:tcPr>
          <w:p w14:paraId="0A690160" w14:textId="77777777" w:rsidR="00976284" w:rsidRPr="000F6386" w:rsidRDefault="00976284" w:rsidP="00F07478">
            <w:pPr>
              <w:spacing w:after="0" w:line="240" w:lineRule="auto"/>
              <w:rPr>
                <w:rFonts w:ascii="Arial" w:eastAsia="Times New Roman" w:hAnsi="Arial" w:cs="Arial"/>
                <w:sz w:val="20"/>
                <w:szCs w:val="20"/>
                <w:lang w:eastAsia="en-GB"/>
              </w:rPr>
            </w:pPr>
            <w:r w:rsidRPr="000F6386">
              <w:rPr>
                <w:rFonts w:ascii="Arial" w:eastAsia="Times New Roman" w:hAnsi="Arial" w:cs="Arial"/>
                <w:sz w:val="20"/>
                <w:szCs w:val="20"/>
                <w:lang w:eastAsia="en-GB"/>
              </w:rPr>
              <w:t xml:space="preserve">At 1 September </w:t>
            </w:r>
            <w:r>
              <w:rPr>
                <w:rFonts w:ascii="Arial" w:eastAsia="Times New Roman" w:hAnsi="Arial" w:cs="Arial"/>
                <w:sz w:val="20"/>
                <w:szCs w:val="20"/>
                <w:lang w:eastAsia="en-GB"/>
              </w:rPr>
              <w:t>2019</w:t>
            </w:r>
          </w:p>
        </w:tc>
        <w:tc>
          <w:tcPr>
            <w:tcW w:w="1452" w:type="dxa"/>
            <w:tcBorders>
              <w:left w:val="nil"/>
              <w:right w:val="nil"/>
            </w:tcBorders>
            <w:shd w:val="clear" w:color="auto" w:fill="auto"/>
            <w:noWrap/>
            <w:vAlign w:val="center"/>
            <w:hideMark/>
          </w:tcPr>
          <w:p w14:paraId="79667239" w14:textId="77777777" w:rsidR="00976284" w:rsidRPr="00F07478" w:rsidRDefault="00976284" w:rsidP="00F07478">
            <w:pPr>
              <w:spacing w:after="0" w:line="240" w:lineRule="auto"/>
              <w:jc w:val="right"/>
              <w:rPr>
                <w:rFonts w:ascii="Arial" w:eastAsia="Times New Roman" w:hAnsi="Arial" w:cs="Arial"/>
                <w:sz w:val="20"/>
                <w:szCs w:val="20"/>
                <w:lang w:eastAsia="en-GB"/>
              </w:rPr>
            </w:pPr>
            <w:r w:rsidRPr="00F07478">
              <w:rPr>
                <w:rFonts w:ascii="Arial" w:eastAsia="Times New Roman" w:hAnsi="Arial" w:cs="Arial"/>
                <w:bCs/>
                <w:sz w:val="20"/>
                <w:szCs w:val="20"/>
                <w:lang w:eastAsia="en-GB"/>
              </w:rPr>
              <w:t>48,899</w:t>
            </w:r>
          </w:p>
        </w:tc>
        <w:tc>
          <w:tcPr>
            <w:tcW w:w="1662" w:type="dxa"/>
            <w:tcBorders>
              <w:left w:val="nil"/>
              <w:right w:val="nil"/>
            </w:tcBorders>
            <w:shd w:val="clear" w:color="auto" w:fill="auto"/>
            <w:noWrap/>
            <w:vAlign w:val="center"/>
            <w:hideMark/>
          </w:tcPr>
          <w:p w14:paraId="6A38F74E" w14:textId="77777777" w:rsidR="00976284" w:rsidRPr="00F07478" w:rsidRDefault="00976284" w:rsidP="00F07478">
            <w:pPr>
              <w:spacing w:after="0" w:line="240" w:lineRule="auto"/>
              <w:jc w:val="right"/>
              <w:rPr>
                <w:rFonts w:ascii="Arial" w:eastAsia="Times New Roman" w:hAnsi="Arial" w:cs="Arial"/>
                <w:sz w:val="20"/>
                <w:szCs w:val="20"/>
                <w:lang w:eastAsia="en-GB"/>
              </w:rPr>
            </w:pPr>
            <w:r w:rsidRPr="00F07478">
              <w:rPr>
                <w:rFonts w:ascii="Arial" w:eastAsia="Times New Roman" w:hAnsi="Arial" w:cs="Arial"/>
                <w:bCs/>
                <w:sz w:val="20"/>
                <w:szCs w:val="20"/>
                <w:lang w:eastAsia="en-GB"/>
              </w:rPr>
              <w:t>96,670</w:t>
            </w:r>
          </w:p>
        </w:tc>
        <w:tc>
          <w:tcPr>
            <w:tcW w:w="1295" w:type="dxa"/>
            <w:tcBorders>
              <w:left w:val="nil"/>
              <w:right w:val="nil"/>
            </w:tcBorders>
            <w:shd w:val="clear" w:color="auto" w:fill="auto"/>
            <w:noWrap/>
            <w:vAlign w:val="center"/>
            <w:hideMark/>
          </w:tcPr>
          <w:p w14:paraId="26745C41" w14:textId="77777777" w:rsidR="00976284" w:rsidRPr="00F07478" w:rsidRDefault="00976284" w:rsidP="00F07478">
            <w:pPr>
              <w:spacing w:after="0" w:line="240" w:lineRule="auto"/>
              <w:jc w:val="right"/>
              <w:rPr>
                <w:rFonts w:ascii="Arial" w:eastAsia="Times New Roman" w:hAnsi="Arial" w:cs="Arial"/>
                <w:sz w:val="20"/>
                <w:szCs w:val="20"/>
                <w:lang w:eastAsia="en-GB"/>
              </w:rPr>
            </w:pPr>
            <w:r w:rsidRPr="00F07478">
              <w:rPr>
                <w:rFonts w:ascii="Arial" w:eastAsia="Times New Roman" w:hAnsi="Arial" w:cs="Arial"/>
                <w:bCs/>
                <w:sz w:val="20"/>
                <w:szCs w:val="20"/>
                <w:lang w:eastAsia="en-GB"/>
              </w:rPr>
              <w:t>2,850</w:t>
            </w:r>
          </w:p>
        </w:tc>
        <w:tc>
          <w:tcPr>
            <w:tcW w:w="1217" w:type="dxa"/>
            <w:tcBorders>
              <w:left w:val="nil"/>
              <w:right w:val="nil"/>
            </w:tcBorders>
            <w:shd w:val="clear" w:color="auto" w:fill="auto"/>
            <w:noWrap/>
            <w:vAlign w:val="center"/>
            <w:hideMark/>
          </w:tcPr>
          <w:p w14:paraId="5903F930" w14:textId="77777777" w:rsidR="00976284" w:rsidRPr="00F07478" w:rsidRDefault="00976284" w:rsidP="00F07478">
            <w:pPr>
              <w:spacing w:after="0" w:line="240" w:lineRule="auto"/>
              <w:jc w:val="right"/>
              <w:rPr>
                <w:rFonts w:ascii="Arial" w:eastAsia="Times New Roman" w:hAnsi="Arial" w:cs="Arial"/>
                <w:sz w:val="20"/>
                <w:szCs w:val="20"/>
                <w:lang w:eastAsia="en-GB"/>
              </w:rPr>
            </w:pPr>
            <w:r w:rsidRPr="00F07478">
              <w:rPr>
                <w:rFonts w:ascii="Arial" w:eastAsia="Times New Roman" w:hAnsi="Arial" w:cs="Arial"/>
                <w:bCs/>
                <w:sz w:val="20"/>
                <w:szCs w:val="20"/>
                <w:lang w:eastAsia="en-GB"/>
              </w:rPr>
              <w:t>2,509</w:t>
            </w:r>
          </w:p>
        </w:tc>
        <w:tc>
          <w:tcPr>
            <w:tcW w:w="1217" w:type="dxa"/>
            <w:tcBorders>
              <w:left w:val="nil"/>
              <w:right w:val="nil"/>
            </w:tcBorders>
            <w:shd w:val="clear" w:color="auto" w:fill="auto"/>
            <w:noWrap/>
            <w:vAlign w:val="center"/>
            <w:hideMark/>
          </w:tcPr>
          <w:p w14:paraId="087B7C89" w14:textId="77777777" w:rsidR="00976284" w:rsidRPr="00F07478" w:rsidRDefault="00976284" w:rsidP="00F07478">
            <w:pPr>
              <w:spacing w:after="0" w:line="240" w:lineRule="auto"/>
              <w:jc w:val="right"/>
              <w:rPr>
                <w:rFonts w:ascii="Arial" w:eastAsia="Times New Roman" w:hAnsi="Arial" w:cs="Arial"/>
                <w:sz w:val="20"/>
                <w:szCs w:val="20"/>
                <w:lang w:eastAsia="en-GB"/>
              </w:rPr>
            </w:pPr>
            <w:r w:rsidRPr="00F07478">
              <w:rPr>
                <w:rFonts w:ascii="Arial" w:eastAsia="Times New Roman" w:hAnsi="Arial" w:cs="Arial"/>
                <w:bCs/>
                <w:sz w:val="20"/>
                <w:szCs w:val="20"/>
                <w:lang w:eastAsia="en-GB"/>
              </w:rPr>
              <w:t>8,154</w:t>
            </w:r>
          </w:p>
        </w:tc>
        <w:tc>
          <w:tcPr>
            <w:tcW w:w="961" w:type="dxa"/>
            <w:tcBorders>
              <w:left w:val="nil"/>
              <w:right w:val="nil"/>
            </w:tcBorders>
            <w:shd w:val="clear" w:color="auto" w:fill="auto"/>
            <w:noWrap/>
            <w:vAlign w:val="center"/>
            <w:hideMark/>
          </w:tcPr>
          <w:p w14:paraId="04653BEF" w14:textId="77777777" w:rsidR="00976284" w:rsidRPr="00F07478" w:rsidRDefault="00976284" w:rsidP="00F07478">
            <w:pPr>
              <w:spacing w:after="0" w:line="240" w:lineRule="auto"/>
              <w:jc w:val="right"/>
              <w:rPr>
                <w:rFonts w:ascii="Arial" w:eastAsia="Times New Roman" w:hAnsi="Arial" w:cs="Arial"/>
                <w:sz w:val="20"/>
                <w:szCs w:val="20"/>
                <w:lang w:eastAsia="en-GB"/>
              </w:rPr>
            </w:pPr>
            <w:r w:rsidRPr="00F07478">
              <w:rPr>
                <w:rFonts w:ascii="Arial" w:eastAsia="Times New Roman" w:hAnsi="Arial" w:cs="Arial"/>
                <w:bCs/>
                <w:sz w:val="20"/>
                <w:szCs w:val="20"/>
                <w:lang w:eastAsia="en-GB"/>
              </w:rPr>
              <w:t>159,082</w:t>
            </w:r>
          </w:p>
        </w:tc>
      </w:tr>
      <w:tr w:rsidR="00976284" w:rsidRPr="000F6386" w14:paraId="587B51DB" w14:textId="77777777" w:rsidTr="00161381">
        <w:trPr>
          <w:trHeight w:val="255"/>
          <w:jc w:val="center"/>
        </w:trPr>
        <w:tc>
          <w:tcPr>
            <w:tcW w:w="2376" w:type="dxa"/>
            <w:tcBorders>
              <w:top w:val="nil"/>
              <w:left w:val="nil"/>
              <w:bottom w:val="nil"/>
              <w:right w:val="nil"/>
            </w:tcBorders>
            <w:shd w:val="clear" w:color="auto" w:fill="auto"/>
            <w:noWrap/>
            <w:vAlign w:val="center"/>
            <w:hideMark/>
          </w:tcPr>
          <w:p w14:paraId="666B8AD9" w14:textId="77777777" w:rsidR="00976284" w:rsidRPr="000F6386" w:rsidRDefault="00976284" w:rsidP="003D60B9">
            <w:pPr>
              <w:spacing w:after="0" w:line="240" w:lineRule="auto"/>
              <w:rPr>
                <w:rFonts w:ascii="Arial" w:eastAsia="Times New Roman" w:hAnsi="Arial" w:cs="Arial"/>
                <w:sz w:val="20"/>
                <w:szCs w:val="20"/>
                <w:lang w:eastAsia="en-GB"/>
              </w:rPr>
            </w:pPr>
            <w:r w:rsidRPr="000F6386">
              <w:rPr>
                <w:rFonts w:ascii="Arial" w:eastAsia="Times New Roman" w:hAnsi="Arial" w:cs="Arial"/>
                <w:sz w:val="20"/>
                <w:szCs w:val="20"/>
                <w:lang w:eastAsia="en-GB"/>
              </w:rPr>
              <w:t>Acquisitions</w:t>
            </w:r>
            <w:r>
              <w:rPr>
                <w:rFonts w:ascii="Arial" w:eastAsia="Times New Roman" w:hAnsi="Arial" w:cs="Arial"/>
                <w:sz w:val="20"/>
                <w:szCs w:val="20"/>
                <w:lang w:eastAsia="en-GB"/>
              </w:rPr>
              <w:t xml:space="preserve"> of academies</w:t>
            </w:r>
          </w:p>
        </w:tc>
        <w:tc>
          <w:tcPr>
            <w:tcW w:w="1452" w:type="dxa"/>
            <w:tcBorders>
              <w:left w:val="nil"/>
              <w:bottom w:val="nil"/>
              <w:right w:val="nil"/>
            </w:tcBorders>
            <w:shd w:val="clear" w:color="auto" w:fill="auto"/>
            <w:noWrap/>
            <w:vAlign w:val="center"/>
          </w:tcPr>
          <w:p w14:paraId="46BA8936" w14:textId="77777777" w:rsidR="00976284" w:rsidRPr="000F6386" w:rsidRDefault="00976284" w:rsidP="005B39D0">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w:t>
            </w:r>
          </w:p>
        </w:tc>
        <w:tc>
          <w:tcPr>
            <w:tcW w:w="1662" w:type="dxa"/>
            <w:tcBorders>
              <w:left w:val="nil"/>
              <w:bottom w:val="nil"/>
              <w:right w:val="nil"/>
            </w:tcBorders>
            <w:shd w:val="clear" w:color="auto" w:fill="auto"/>
            <w:noWrap/>
            <w:vAlign w:val="center"/>
          </w:tcPr>
          <w:p w14:paraId="7D2EC969" w14:textId="77777777" w:rsidR="00976284" w:rsidRPr="000F6386" w:rsidRDefault="00976284" w:rsidP="005B39D0">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11,573</w:t>
            </w:r>
          </w:p>
        </w:tc>
        <w:tc>
          <w:tcPr>
            <w:tcW w:w="1295" w:type="dxa"/>
            <w:tcBorders>
              <w:left w:val="nil"/>
              <w:bottom w:val="nil"/>
              <w:right w:val="nil"/>
            </w:tcBorders>
            <w:shd w:val="clear" w:color="auto" w:fill="auto"/>
            <w:noWrap/>
            <w:vAlign w:val="center"/>
          </w:tcPr>
          <w:p w14:paraId="06F1B776" w14:textId="77777777" w:rsidR="00976284" w:rsidRPr="000F6386" w:rsidRDefault="00976284">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w:t>
            </w:r>
          </w:p>
        </w:tc>
        <w:tc>
          <w:tcPr>
            <w:tcW w:w="1217" w:type="dxa"/>
            <w:tcBorders>
              <w:left w:val="nil"/>
              <w:bottom w:val="nil"/>
              <w:right w:val="nil"/>
            </w:tcBorders>
            <w:shd w:val="clear" w:color="auto" w:fill="auto"/>
            <w:noWrap/>
            <w:vAlign w:val="center"/>
          </w:tcPr>
          <w:p w14:paraId="0217D627" w14:textId="77777777" w:rsidR="00976284" w:rsidRPr="000F6386" w:rsidRDefault="00976284" w:rsidP="005B39D0">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w:t>
            </w:r>
          </w:p>
        </w:tc>
        <w:tc>
          <w:tcPr>
            <w:tcW w:w="1217" w:type="dxa"/>
            <w:tcBorders>
              <w:left w:val="nil"/>
              <w:bottom w:val="nil"/>
              <w:right w:val="nil"/>
            </w:tcBorders>
            <w:shd w:val="clear" w:color="auto" w:fill="auto"/>
            <w:noWrap/>
            <w:vAlign w:val="center"/>
          </w:tcPr>
          <w:p w14:paraId="677F570E" w14:textId="77777777" w:rsidR="00976284" w:rsidRPr="000F6386" w:rsidRDefault="00976284" w:rsidP="005B39D0">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w:t>
            </w:r>
          </w:p>
        </w:tc>
        <w:tc>
          <w:tcPr>
            <w:tcW w:w="961" w:type="dxa"/>
            <w:tcBorders>
              <w:left w:val="nil"/>
              <w:bottom w:val="nil"/>
              <w:right w:val="nil"/>
            </w:tcBorders>
            <w:shd w:val="clear" w:color="auto" w:fill="auto"/>
            <w:noWrap/>
            <w:vAlign w:val="center"/>
          </w:tcPr>
          <w:p w14:paraId="1B3B9978" w14:textId="77777777" w:rsidR="00976284" w:rsidRPr="000F6386" w:rsidRDefault="00976284" w:rsidP="005B39D0">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11,573</w:t>
            </w:r>
          </w:p>
        </w:tc>
      </w:tr>
      <w:tr w:rsidR="00976284" w:rsidRPr="000F6386" w14:paraId="4C93C253" w14:textId="77777777" w:rsidTr="00161381">
        <w:trPr>
          <w:trHeight w:val="255"/>
          <w:jc w:val="center"/>
        </w:trPr>
        <w:tc>
          <w:tcPr>
            <w:tcW w:w="2376" w:type="dxa"/>
            <w:tcBorders>
              <w:top w:val="nil"/>
              <w:left w:val="nil"/>
              <w:bottom w:val="nil"/>
              <w:right w:val="nil"/>
            </w:tcBorders>
            <w:shd w:val="clear" w:color="auto" w:fill="auto"/>
            <w:noWrap/>
            <w:vAlign w:val="center"/>
            <w:hideMark/>
          </w:tcPr>
          <w:p w14:paraId="0E00206B" w14:textId="77777777" w:rsidR="00976284" w:rsidRPr="000F6386" w:rsidRDefault="00976284" w:rsidP="001F6984">
            <w:pPr>
              <w:spacing w:after="0" w:line="240" w:lineRule="auto"/>
              <w:rPr>
                <w:rFonts w:ascii="Arial" w:eastAsia="Times New Roman" w:hAnsi="Arial" w:cs="Arial"/>
                <w:sz w:val="20"/>
                <w:szCs w:val="20"/>
                <w:lang w:eastAsia="en-GB"/>
              </w:rPr>
            </w:pPr>
            <w:r w:rsidRPr="000F6386">
              <w:rPr>
                <w:rFonts w:ascii="Arial" w:eastAsia="Times New Roman" w:hAnsi="Arial" w:cs="Arial"/>
                <w:sz w:val="20"/>
                <w:szCs w:val="20"/>
                <w:lang w:eastAsia="en-GB"/>
              </w:rPr>
              <w:t>Additions</w:t>
            </w:r>
          </w:p>
        </w:tc>
        <w:tc>
          <w:tcPr>
            <w:tcW w:w="1452" w:type="dxa"/>
            <w:tcBorders>
              <w:top w:val="nil"/>
              <w:left w:val="nil"/>
              <w:bottom w:val="nil"/>
              <w:right w:val="nil"/>
            </w:tcBorders>
            <w:shd w:val="clear" w:color="auto" w:fill="auto"/>
            <w:noWrap/>
            <w:vAlign w:val="center"/>
          </w:tcPr>
          <w:p w14:paraId="35E864E4" w14:textId="77777777" w:rsidR="00976284" w:rsidRPr="00543D10" w:rsidRDefault="00976284" w:rsidP="005B39D0">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w:t>
            </w:r>
          </w:p>
        </w:tc>
        <w:tc>
          <w:tcPr>
            <w:tcW w:w="1662" w:type="dxa"/>
            <w:tcBorders>
              <w:top w:val="nil"/>
              <w:left w:val="nil"/>
              <w:bottom w:val="nil"/>
              <w:right w:val="nil"/>
            </w:tcBorders>
            <w:shd w:val="clear" w:color="auto" w:fill="auto"/>
            <w:noWrap/>
            <w:vAlign w:val="center"/>
          </w:tcPr>
          <w:p w14:paraId="2F734543" w14:textId="77777777" w:rsidR="00976284" w:rsidRPr="00543D10" w:rsidRDefault="00976284" w:rsidP="005B39D0">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25,097</w:t>
            </w:r>
          </w:p>
        </w:tc>
        <w:tc>
          <w:tcPr>
            <w:tcW w:w="1295" w:type="dxa"/>
            <w:tcBorders>
              <w:top w:val="nil"/>
              <w:left w:val="nil"/>
              <w:bottom w:val="nil"/>
              <w:right w:val="nil"/>
            </w:tcBorders>
            <w:shd w:val="clear" w:color="auto" w:fill="auto"/>
            <w:noWrap/>
            <w:vAlign w:val="center"/>
          </w:tcPr>
          <w:p w14:paraId="7434EB49" w14:textId="77777777" w:rsidR="00976284" w:rsidRPr="00543D10" w:rsidRDefault="00976284">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1,654</w:t>
            </w:r>
          </w:p>
        </w:tc>
        <w:tc>
          <w:tcPr>
            <w:tcW w:w="1217" w:type="dxa"/>
            <w:tcBorders>
              <w:top w:val="nil"/>
              <w:left w:val="nil"/>
              <w:bottom w:val="nil"/>
              <w:right w:val="nil"/>
            </w:tcBorders>
            <w:shd w:val="clear" w:color="auto" w:fill="auto"/>
            <w:noWrap/>
            <w:vAlign w:val="center"/>
          </w:tcPr>
          <w:p w14:paraId="2D334875" w14:textId="77777777" w:rsidR="00976284" w:rsidRPr="00543D10" w:rsidRDefault="00976284" w:rsidP="005B39D0">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85</w:t>
            </w:r>
          </w:p>
        </w:tc>
        <w:tc>
          <w:tcPr>
            <w:tcW w:w="1217" w:type="dxa"/>
            <w:tcBorders>
              <w:top w:val="nil"/>
              <w:left w:val="nil"/>
              <w:bottom w:val="nil"/>
              <w:right w:val="nil"/>
            </w:tcBorders>
            <w:shd w:val="clear" w:color="auto" w:fill="auto"/>
            <w:noWrap/>
            <w:vAlign w:val="center"/>
          </w:tcPr>
          <w:p w14:paraId="236F6A93" w14:textId="77777777" w:rsidR="00976284" w:rsidRPr="00543D10" w:rsidRDefault="00976284" w:rsidP="005B39D0">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468</w:t>
            </w:r>
          </w:p>
        </w:tc>
        <w:tc>
          <w:tcPr>
            <w:tcW w:w="961" w:type="dxa"/>
            <w:tcBorders>
              <w:top w:val="nil"/>
              <w:left w:val="nil"/>
              <w:bottom w:val="nil"/>
              <w:right w:val="nil"/>
            </w:tcBorders>
            <w:shd w:val="clear" w:color="auto" w:fill="auto"/>
            <w:noWrap/>
            <w:vAlign w:val="center"/>
          </w:tcPr>
          <w:p w14:paraId="04585A7B" w14:textId="77777777" w:rsidR="00976284" w:rsidRPr="00543D10" w:rsidRDefault="00976284" w:rsidP="005B39D0">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27,304</w:t>
            </w:r>
          </w:p>
        </w:tc>
      </w:tr>
      <w:tr w:rsidR="00976284" w:rsidRPr="000F6386" w14:paraId="64E92653" w14:textId="77777777" w:rsidTr="00161381">
        <w:trPr>
          <w:trHeight w:val="255"/>
          <w:jc w:val="center"/>
        </w:trPr>
        <w:tc>
          <w:tcPr>
            <w:tcW w:w="2376" w:type="dxa"/>
            <w:tcBorders>
              <w:top w:val="nil"/>
              <w:left w:val="nil"/>
              <w:bottom w:val="nil"/>
              <w:right w:val="nil"/>
            </w:tcBorders>
            <w:shd w:val="clear" w:color="auto" w:fill="auto"/>
            <w:noWrap/>
            <w:vAlign w:val="center"/>
            <w:hideMark/>
          </w:tcPr>
          <w:p w14:paraId="5B92D958" w14:textId="77777777" w:rsidR="00976284" w:rsidRPr="000F6386" w:rsidRDefault="00976284" w:rsidP="001F6984">
            <w:pPr>
              <w:spacing w:after="0" w:line="240" w:lineRule="auto"/>
              <w:rPr>
                <w:rFonts w:ascii="Arial" w:eastAsia="Times New Roman" w:hAnsi="Arial" w:cs="Arial"/>
                <w:sz w:val="20"/>
                <w:szCs w:val="20"/>
                <w:lang w:eastAsia="en-GB"/>
              </w:rPr>
            </w:pPr>
            <w:r w:rsidRPr="000F6386">
              <w:rPr>
                <w:rFonts w:ascii="Arial" w:eastAsia="Times New Roman" w:hAnsi="Arial" w:cs="Arial"/>
                <w:sz w:val="20"/>
                <w:szCs w:val="20"/>
                <w:lang w:eastAsia="en-GB"/>
              </w:rPr>
              <w:t>Transfers</w:t>
            </w:r>
            <w:r>
              <w:rPr>
                <w:rFonts w:ascii="Arial" w:eastAsia="Times New Roman" w:hAnsi="Arial" w:cs="Arial"/>
                <w:sz w:val="20"/>
                <w:szCs w:val="20"/>
                <w:lang w:eastAsia="en-GB"/>
              </w:rPr>
              <w:t xml:space="preserve"> of academies</w:t>
            </w:r>
          </w:p>
        </w:tc>
        <w:tc>
          <w:tcPr>
            <w:tcW w:w="1452" w:type="dxa"/>
            <w:tcBorders>
              <w:top w:val="nil"/>
              <w:left w:val="nil"/>
              <w:bottom w:val="nil"/>
              <w:right w:val="nil"/>
            </w:tcBorders>
            <w:shd w:val="clear" w:color="auto" w:fill="auto"/>
            <w:noWrap/>
            <w:vAlign w:val="center"/>
          </w:tcPr>
          <w:p w14:paraId="2BA8F417" w14:textId="77777777" w:rsidR="00976284" w:rsidRPr="00543D10" w:rsidRDefault="00976284" w:rsidP="005B39D0">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47</w:t>
            </w:r>
          </w:p>
        </w:tc>
        <w:tc>
          <w:tcPr>
            <w:tcW w:w="1662" w:type="dxa"/>
            <w:tcBorders>
              <w:top w:val="nil"/>
              <w:left w:val="nil"/>
              <w:bottom w:val="nil"/>
              <w:right w:val="nil"/>
            </w:tcBorders>
            <w:shd w:val="clear" w:color="auto" w:fill="auto"/>
            <w:noWrap/>
            <w:vAlign w:val="center"/>
          </w:tcPr>
          <w:p w14:paraId="0BA8D825" w14:textId="77777777" w:rsidR="00976284" w:rsidRPr="00543D10" w:rsidRDefault="00976284" w:rsidP="005B39D0">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12,091</w:t>
            </w:r>
          </w:p>
        </w:tc>
        <w:tc>
          <w:tcPr>
            <w:tcW w:w="1295" w:type="dxa"/>
            <w:tcBorders>
              <w:top w:val="nil"/>
              <w:left w:val="nil"/>
              <w:bottom w:val="nil"/>
              <w:right w:val="nil"/>
            </w:tcBorders>
            <w:shd w:val="clear" w:color="auto" w:fill="auto"/>
            <w:noWrap/>
            <w:vAlign w:val="center"/>
          </w:tcPr>
          <w:p w14:paraId="6778C959" w14:textId="77777777" w:rsidR="00976284" w:rsidRPr="00543D10" w:rsidRDefault="00976284">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(2,994)</w:t>
            </w:r>
          </w:p>
        </w:tc>
        <w:tc>
          <w:tcPr>
            <w:tcW w:w="1217" w:type="dxa"/>
            <w:tcBorders>
              <w:top w:val="nil"/>
              <w:left w:val="nil"/>
              <w:bottom w:val="nil"/>
              <w:right w:val="nil"/>
            </w:tcBorders>
            <w:shd w:val="clear" w:color="auto" w:fill="auto"/>
            <w:noWrap/>
            <w:vAlign w:val="center"/>
          </w:tcPr>
          <w:p w14:paraId="1FD1473B" w14:textId="77777777" w:rsidR="00976284" w:rsidRPr="00543D10" w:rsidRDefault="00976284" w:rsidP="005B39D0">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4</w:t>
            </w:r>
          </w:p>
        </w:tc>
        <w:tc>
          <w:tcPr>
            <w:tcW w:w="1217" w:type="dxa"/>
            <w:tcBorders>
              <w:top w:val="nil"/>
              <w:left w:val="nil"/>
              <w:bottom w:val="nil"/>
              <w:right w:val="nil"/>
            </w:tcBorders>
            <w:shd w:val="clear" w:color="auto" w:fill="auto"/>
            <w:noWrap/>
            <w:vAlign w:val="center"/>
          </w:tcPr>
          <w:p w14:paraId="3AA66B7D" w14:textId="77777777" w:rsidR="00976284" w:rsidRPr="00543D10" w:rsidRDefault="00976284" w:rsidP="005B39D0">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w:t>
            </w:r>
          </w:p>
        </w:tc>
        <w:tc>
          <w:tcPr>
            <w:tcW w:w="961" w:type="dxa"/>
            <w:tcBorders>
              <w:top w:val="nil"/>
              <w:left w:val="nil"/>
              <w:bottom w:val="nil"/>
              <w:right w:val="nil"/>
            </w:tcBorders>
            <w:shd w:val="clear" w:color="auto" w:fill="auto"/>
            <w:noWrap/>
            <w:vAlign w:val="center"/>
          </w:tcPr>
          <w:p w14:paraId="1D767813" w14:textId="77777777" w:rsidR="00976284" w:rsidRPr="00543D10" w:rsidRDefault="00976284" w:rsidP="005B39D0">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9,148</w:t>
            </w:r>
          </w:p>
        </w:tc>
      </w:tr>
      <w:tr w:rsidR="00976284" w:rsidRPr="000F6386" w14:paraId="06C682EA" w14:textId="77777777" w:rsidTr="00161381">
        <w:trPr>
          <w:trHeight w:val="255"/>
          <w:jc w:val="center"/>
        </w:trPr>
        <w:tc>
          <w:tcPr>
            <w:tcW w:w="2376" w:type="dxa"/>
            <w:tcBorders>
              <w:top w:val="nil"/>
              <w:left w:val="nil"/>
              <w:bottom w:val="nil"/>
              <w:right w:val="nil"/>
            </w:tcBorders>
            <w:shd w:val="clear" w:color="auto" w:fill="auto"/>
            <w:noWrap/>
            <w:vAlign w:val="center"/>
          </w:tcPr>
          <w:p w14:paraId="5F702B8C" w14:textId="77777777" w:rsidR="00976284" w:rsidRDefault="00976284" w:rsidP="001F6984">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Reclassifications</w:t>
            </w:r>
          </w:p>
        </w:tc>
        <w:tc>
          <w:tcPr>
            <w:tcW w:w="1452" w:type="dxa"/>
            <w:tcBorders>
              <w:top w:val="nil"/>
              <w:left w:val="nil"/>
              <w:bottom w:val="nil"/>
              <w:right w:val="nil"/>
            </w:tcBorders>
            <w:shd w:val="clear" w:color="auto" w:fill="auto"/>
            <w:noWrap/>
            <w:vAlign w:val="center"/>
          </w:tcPr>
          <w:p w14:paraId="6D437B30" w14:textId="77777777" w:rsidR="00976284" w:rsidRDefault="00976284" w:rsidP="005B39D0">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208</w:t>
            </w:r>
          </w:p>
        </w:tc>
        <w:tc>
          <w:tcPr>
            <w:tcW w:w="1662" w:type="dxa"/>
            <w:tcBorders>
              <w:top w:val="nil"/>
              <w:left w:val="nil"/>
              <w:bottom w:val="nil"/>
              <w:right w:val="nil"/>
            </w:tcBorders>
            <w:shd w:val="clear" w:color="auto" w:fill="auto"/>
            <w:noWrap/>
            <w:vAlign w:val="center"/>
          </w:tcPr>
          <w:p w14:paraId="50D9DEC4" w14:textId="77777777" w:rsidR="00976284" w:rsidRDefault="00976284">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2</w:t>
            </w:r>
            <w:r w:rsidR="000B2DF3">
              <w:rPr>
                <w:rFonts w:ascii="Arial" w:eastAsia="Times New Roman" w:hAnsi="Arial" w:cs="Arial"/>
                <w:sz w:val="20"/>
                <w:szCs w:val="20"/>
                <w:lang w:eastAsia="en-GB"/>
              </w:rPr>
              <w:t>,</w:t>
            </w:r>
            <w:r>
              <w:rPr>
                <w:rFonts w:ascii="Arial" w:eastAsia="Times New Roman" w:hAnsi="Arial" w:cs="Arial"/>
                <w:sz w:val="20"/>
                <w:szCs w:val="20"/>
                <w:lang w:eastAsia="en-GB"/>
              </w:rPr>
              <w:t>642</w:t>
            </w:r>
          </w:p>
        </w:tc>
        <w:tc>
          <w:tcPr>
            <w:tcW w:w="1295" w:type="dxa"/>
            <w:tcBorders>
              <w:top w:val="nil"/>
              <w:left w:val="nil"/>
              <w:bottom w:val="nil"/>
              <w:right w:val="nil"/>
            </w:tcBorders>
            <w:shd w:val="clear" w:color="auto" w:fill="auto"/>
            <w:noWrap/>
            <w:vAlign w:val="center"/>
          </w:tcPr>
          <w:p w14:paraId="5143E8A2" w14:textId="77777777" w:rsidR="00976284" w:rsidRDefault="00976284" w:rsidP="005B39D0">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w:t>
            </w:r>
          </w:p>
        </w:tc>
        <w:tc>
          <w:tcPr>
            <w:tcW w:w="1217" w:type="dxa"/>
            <w:tcBorders>
              <w:top w:val="nil"/>
              <w:left w:val="nil"/>
              <w:bottom w:val="nil"/>
              <w:right w:val="nil"/>
            </w:tcBorders>
            <w:shd w:val="clear" w:color="auto" w:fill="auto"/>
            <w:noWrap/>
            <w:vAlign w:val="center"/>
          </w:tcPr>
          <w:p w14:paraId="35406A1D" w14:textId="77777777" w:rsidR="00976284" w:rsidRDefault="00381DC8" w:rsidP="005B39D0">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3,63</w:t>
            </w:r>
            <w:r w:rsidR="00976284">
              <w:rPr>
                <w:rFonts w:ascii="Arial" w:eastAsia="Times New Roman" w:hAnsi="Arial" w:cs="Arial"/>
                <w:sz w:val="20"/>
                <w:szCs w:val="20"/>
                <w:lang w:eastAsia="en-GB"/>
              </w:rPr>
              <w:t>7</w:t>
            </w:r>
          </w:p>
        </w:tc>
        <w:tc>
          <w:tcPr>
            <w:tcW w:w="1217" w:type="dxa"/>
            <w:tcBorders>
              <w:top w:val="nil"/>
              <w:left w:val="nil"/>
              <w:bottom w:val="nil"/>
              <w:right w:val="nil"/>
            </w:tcBorders>
            <w:shd w:val="clear" w:color="auto" w:fill="auto"/>
            <w:noWrap/>
            <w:vAlign w:val="center"/>
          </w:tcPr>
          <w:p w14:paraId="0333BD85" w14:textId="77777777" w:rsidR="00976284" w:rsidRDefault="00976284" w:rsidP="005B39D0">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(629)</w:t>
            </w:r>
          </w:p>
        </w:tc>
        <w:tc>
          <w:tcPr>
            <w:tcW w:w="961" w:type="dxa"/>
            <w:tcBorders>
              <w:top w:val="nil"/>
              <w:left w:val="nil"/>
              <w:bottom w:val="nil"/>
              <w:right w:val="nil"/>
            </w:tcBorders>
            <w:shd w:val="clear" w:color="auto" w:fill="auto"/>
            <w:noWrap/>
            <w:vAlign w:val="center"/>
          </w:tcPr>
          <w:p w14:paraId="72FA48C4" w14:textId="77777777" w:rsidR="00976284" w:rsidRDefault="00976284" w:rsidP="005B39D0">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5,858</w:t>
            </w:r>
          </w:p>
        </w:tc>
      </w:tr>
      <w:tr w:rsidR="00976284" w:rsidRPr="000F6386" w14:paraId="32F507B9" w14:textId="77777777" w:rsidTr="00161381">
        <w:trPr>
          <w:trHeight w:val="255"/>
          <w:jc w:val="center"/>
        </w:trPr>
        <w:tc>
          <w:tcPr>
            <w:tcW w:w="2376" w:type="dxa"/>
            <w:tcBorders>
              <w:top w:val="nil"/>
              <w:left w:val="nil"/>
              <w:bottom w:val="nil"/>
              <w:right w:val="nil"/>
            </w:tcBorders>
            <w:shd w:val="clear" w:color="auto" w:fill="auto"/>
            <w:noWrap/>
            <w:vAlign w:val="center"/>
          </w:tcPr>
          <w:p w14:paraId="08991138" w14:textId="77777777" w:rsidR="00976284" w:rsidRPr="000F6386" w:rsidRDefault="00976284" w:rsidP="001F6984">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Disposals of subsidiary</w:t>
            </w:r>
          </w:p>
        </w:tc>
        <w:tc>
          <w:tcPr>
            <w:tcW w:w="1452" w:type="dxa"/>
            <w:tcBorders>
              <w:top w:val="nil"/>
              <w:left w:val="nil"/>
              <w:bottom w:val="nil"/>
              <w:right w:val="nil"/>
            </w:tcBorders>
            <w:shd w:val="clear" w:color="auto" w:fill="auto"/>
            <w:noWrap/>
            <w:vAlign w:val="center"/>
          </w:tcPr>
          <w:p w14:paraId="73364C62" w14:textId="77777777" w:rsidR="00976284" w:rsidRDefault="00976284" w:rsidP="005B39D0">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w:t>
            </w:r>
          </w:p>
        </w:tc>
        <w:tc>
          <w:tcPr>
            <w:tcW w:w="1662" w:type="dxa"/>
            <w:tcBorders>
              <w:top w:val="nil"/>
              <w:left w:val="nil"/>
              <w:bottom w:val="nil"/>
              <w:right w:val="nil"/>
            </w:tcBorders>
            <w:shd w:val="clear" w:color="auto" w:fill="auto"/>
            <w:noWrap/>
            <w:vAlign w:val="center"/>
          </w:tcPr>
          <w:p w14:paraId="051D50E7" w14:textId="77777777" w:rsidR="00976284" w:rsidRDefault="00976284">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w:t>
            </w:r>
          </w:p>
        </w:tc>
        <w:tc>
          <w:tcPr>
            <w:tcW w:w="1295" w:type="dxa"/>
            <w:tcBorders>
              <w:top w:val="nil"/>
              <w:left w:val="nil"/>
              <w:bottom w:val="nil"/>
              <w:right w:val="nil"/>
            </w:tcBorders>
            <w:shd w:val="clear" w:color="auto" w:fill="auto"/>
            <w:noWrap/>
            <w:vAlign w:val="center"/>
          </w:tcPr>
          <w:p w14:paraId="50B566CA" w14:textId="77777777" w:rsidR="00976284" w:rsidRDefault="00976284" w:rsidP="005B39D0">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w:t>
            </w:r>
          </w:p>
        </w:tc>
        <w:tc>
          <w:tcPr>
            <w:tcW w:w="1217" w:type="dxa"/>
            <w:tcBorders>
              <w:top w:val="nil"/>
              <w:left w:val="nil"/>
              <w:bottom w:val="nil"/>
              <w:right w:val="nil"/>
            </w:tcBorders>
            <w:shd w:val="clear" w:color="auto" w:fill="auto"/>
            <w:noWrap/>
            <w:vAlign w:val="center"/>
          </w:tcPr>
          <w:p w14:paraId="5A35280D" w14:textId="77777777" w:rsidR="00976284" w:rsidRDefault="00976284" w:rsidP="005B39D0">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(427)</w:t>
            </w:r>
          </w:p>
        </w:tc>
        <w:tc>
          <w:tcPr>
            <w:tcW w:w="1217" w:type="dxa"/>
            <w:tcBorders>
              <w:top w:val="nil"/>
              <w:left w:val="nil"/>
              <w:bottom w:val="nil"/>
              <w:right w:val="nil"/>
            </w:tcBorders>
            <w:shd w:val="clear" w:color="auto" w:fill="auto"/>
            <w:noWrap/>
            <w:vAlign w:val="center"/>
          </w:tcPr>
          <w:p w14:paraId="444E5E4D" w14:textId="77777777" w:rsidR="00976284" w:rsidRDefault="00976284" w:rsidP="005B39D0">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w:t>
            </w:r>
          </w:p>
        </w:tc>
        <w:tc>
          <w:tcPr>
            <w:tcW w:w="961" w:type="dxa"/>
            <w:tcBorders>
              <w:top w:val="nil"/>
              <w:left w:val="nil"/>
              <w:bottom w:val="nil"/>
              <w:right w:val="nil"/>
            </w:tcBorders>
            <w:shd w:val="clear" w:color="auto" w:fill="auto"/>
            <w:noWrap/>
            <w:vAlign w:val="center"/>
          </w:tcPr>
          <w:p w14:paraId="0D84992D" w14:textId="77777777" w:rsidR="00976284" w:rsidRDefault="00976284" w:rsidP="005B39D0">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(427)</w:t>
            </w:r>
          </w:p>
        </w:tc>
      </w:tr>
      <w:tr w:rsidR="00976284" w:rsidRPr="000F6386" w14:paraId="11021F9B" w14:textId="77777777" w:rsidTr="00161381">
        <w:trPr>
          <w:trHeight w:val="255"/>
          <w:jc w:val="center"/>
        </w:trPr>
        <w:tc>
          <w:tcPr>
            <w:tcW w:w="2376" w:type="dxa"/>
            <w:tcBorders>
              <w:top w:val="nil"/>
              <w:left w:val="nil"/>
              <w:bottom w:val="nil"/>
              <w:right w:val="nil"/>
            </w:tcBorders>
            <w:shd w:val="clear" w:color="auto" w:fill="auto"/>
            <w:noWrap/>
            <w:vAlign w:val="center"/>
            <w:hideMark/>
          </w:tcPr>
          <w:p w14:paraId="7D361CC5" w14:textId="77777777" w:rsidR="00976284" w:rsidRPr="000F6386" w:rsidRDefault="00976284" w:rsidP="001F6984">
            <w:pPr>
              <w:spacing w:after="0" w:line="240" w:lineRule="auto"/>
              <w:rPr>
                <w:rFonts w:ascii="Arial" w:eastAsia="Times New Roman" w:hAnsi="Arial" w:cs="Arial"/>
                <w:sz w:val="20"/>
                <w:szCs w:val="20"/>
                <w:lang w:eastAsia="en-GB"/>
              </w:rPr>
            </w:pPr>
            <w:r w:rsidRPr="000F6386">
              <w:rPr>
                <w:rFonts w:ascii="Arial" w:eastAsia="Times New Roman" w:hAnsi="Arial" w:cs="Arial"/>
                <w:sz w:val="20"/>
                <w:szCs w:val="20"/>
                <w:lang w:eastAsia="en-GB"/>
              </w:rPr>
              <w:t>Disposals</w:t>
            </w:r>
          </w:p>
        </w:tc>
        <w:tc>
          <w:tcPr>
            <w:tcW w:w="1452" w:type="dxa"/>
            <w:tcBorders>
              <w:top w:val="nil"/>
              <w:left w:val="nil"/>
              <w:bottom w:val="nil"/>
              <w:right w:val="nil"/>
            </w:tcBorders>
            <w:shd w:val="clear" w:color="auto" w:fill="auto"/>
            <w:noWrap/>
            <w:vAlign w:val="center"/>
          </w:tcPr>
          <w:p w14:paraId="1FFAA63B" w14:textId="77777777" w:rsidR="00976284" w:rsidRPr="00543D10" w:rsidRDefault="00976284" w:rsidP="005B39D0">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(7,426)</w:t>
            </w:r>
          </w:p>
        </w:tc>
        <w:tc>
          <w:tcPr>
            <w:tcW w:w="1662" w:type="dxa"/>
            <w:tcBorders>
              <w:top w:val="nil"/>
              <w:left w:val="nil"/>
              <w:bottom w:val="nil"/>
              <w:right w:val="nil"/>
            </w:tcBorders>
            <w:shd w:val="clear" w:color="auto" w:fill="auto"/>
            <w:noWrap/>
            <w:vAlign w:val="center"/>
          </w:tcPr>
          <w:p w14:paraId="6DC7F83A" w14:textId="77777777" w:rsidR="00976284" w:rsidRPr="00543D10" w:rsidRDefault="00976284">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(11,736)</w:t>
            </w:r>
          </w:p>
        </w:tc>
        <w:tc>
          <w:tcPr>
            <w:tcW w:w="1295" w:type="dxa"/>
            <w:tcBorders>
              <w:top w:val="nil"/>
              <w:left w:val="nil"/>
              <w:bottom w:val="nil"/>
              <w:right w:val="nil"/>
            </w:tcBorders>
            <w:shd w:val="clear" w:color="auto" w:fill="auto"/>
            <w:noWrap/>
            <w:vAlign w:val="center"/>
          </w:tcPr>
          <w:p w14:paraId="2B8ABE42" w14:textId="77777777" w:rsidR="00976284" w:rsidRPr="00543D10" w:rsidRDefault="00976284" w:rsidP="005B39D0">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w:t>
            </w:r>
          </w:p>
        </w:tc>
        <w:tc>
          <w:tcPr>
            <w:tcW w:w="1217" w:type="dxa"/>
            <w:tcBorders>
              <w:top w:val="nil"/>
              <w:left w:val="nil"/>
              <w:bottom w:val="nil"/>
              <w:right w:val="nil"/>
            </w:tcBorders>
            <w:shd w:val="clear" w:color="auto" w:fill="auto"/>
            <w:noWrap/>
            <w:vAlign w:val="center"/>
          </w:tcPr>
          <w:p w14:paraId="04B1C71E" w14:textId="77777777" w:rsidR="00976284" w:rsidRPr="00543D10" w:rsidRDefault="00976284" w:rsidP="005B39D0">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(663)</w:t>
            </w:r>
          </w:p>
        </w:tc>
        <w:tc>
          <w:tcPr>
            <w:tcW w:w="1217" w:type="dxa"/>
            <w:tcBorders>
              <w:top w:val="nil"/>
              <w:left w:val="nil"/>
              <w:bottom w:val="nil"/>
              <w:right w:val="nil"/>
            </w:tcBorders>
            <w:shd w:val="clear" w:color="auto" w:fill="auto"/>
            <w:noWrap/>
            <w:vAlign w:val="center"/>
          </w:tcPr>
          <w:p w14:paraId="333074E9" w14:textId="77777777" w:rsidR="00976284" w:rsidRPr="00543D10" w:rsidRDefault="00976284" w:rsidP="005B39D0">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(878)</w:t>
            </w:r>
          </w:p>
        </w:tc>
        <w:tc>
          <w:tcPr>
            <w:tcW w:w="961" w:type="dxa"/>
            <w:tcBorders>
              <w:top w:val="nil"/>
              <w:left w:val="nil"/>
              <w:bottom w:val="nil"/>
              <w:right w:val="nil"/>
            </w:tcBorders>
            <w:shd w:val="clear" w:color="auto" w:fill="auto"/>
            <w:noWrap/>
            <w:vAlign w:val="center"/>
          </w:tcPr>
          <w:p w14:paraId="6501CC29" w14:textId="77777777" w:rsidR="00976284" w:rsidRPr="00543D10" w:rsidRDefault="00976284" w:rsidP="005B39D0">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(20,703)</w:t>
            </w:r>
          </w:p>
        </w:tc>
      </w:tr>
      <w:tr w:rsidR="00976284" w:rsidRPr="000F6386" w14:paraId="25E44D56" w14:textId="77777777" w:rsidTr="00161381">
        <w:trPr>
          <w:trHeight w:val="255"/>
          <w:jc w:val="center"/>
        </w:trPr>
        <w:tc>
          <w:tcPr>
            <w:tcW w:w="2376" w:type="dxa"/>
            <w:tcBorders>
              <w:top w:val="single" w:sz="4" w:space="0" w:color="auto"/>
              <w:left w:val="nil"/>
              <w:bottom w:val="single" w:sz="4" w:space="0" w:color="auto"/>
              <w:right w:val="nil"/>
            </w:tcBorders>
            <w:shd w:val="clear" w:color="auto" w:fill="auto"/>
            <w:noWrap/>
            <w:vAlign w:val="center"/>
            <w:hideMark/>
          </w:tcPr>
          <w:p w14:paraId="19834791" w14:textId="77777777" w:rsidR="00976284" w:rsidRPr="000F6386" w:rsidRDefault="00976284" w:rsidP="001F6984">
            <w:pPr>
              <w:spacing w:after="0" w:line="240" w:lineRule="auto"/>
              <w:rPr>
                <w:rFonts w:ascii="Arial" w:eastAsia="Times New Roman" w:hAnsi="Arial" w:cs="Arial"/>
                <w:b/>
                <w:bCs/>
                <w:sz w:val="20"/>
                <w:szCs w:val="20"/>
                <w:lang w:eastAsia="en-GB"/>
              </w:rPr>
            </w:pPr>
            <w:r w:rsidRPr="000F6386">
              <w:rPr>
                <w:rFonts w:ascii="Arial" w:eastAsia="Times New Roman" w:hAnsi="Arial" w:cs="Arial"/>
                <w:b/>
                <w:bCs/>
                <w:sz w:val="20"/>
                <w:szCs w:val="20"/>
                <w:lang w:eastAsia="en-GB"/>
              </w:rPr>
              <w:t xml:space="preserve">At 31 August </w:t>
            </w:r>
            <w:r>
              <w:rPr>
                <w:rFonts w:ascii="Arial" w:eastAsia="Times New Roman" w:hAnsi="Arial" w:cs="Arial"/>
                <w:b/>
                <w:bCs/>
                <w:sz w:val="20"/>
                <w:szCs w:val="20"/>
                <w:lang w:eastAsia="en-GB"/>
              </w:rPr>
              <w:t>2020</w:t>
            </w:r>
          </w:p>
        </w:tc>
        <w:tc>
          <w:tcPr>
            <w:tcW w:w="1452" w:type="dxa"/>
            <w:tcBorders>
              <w:top w:val="single" w:sz="4" w:space="0" w:color="auto"/>
              <w:left w:val="nil"/>
              <w:bottom w:val="single" w:sz="4" w:space="0" w:color="auto"/>
              <w:right w:val="nil"/>
            </w:tcBorders>
            <w:shd w:val="clear" w:color="auto" w:fill="auto"/>
            <w:noWrap/>
            <w:vAlign w:val="center"/>
          </w:tcPr>
          <w:p w14:paraId="5C5D3960" w14:textId="77777777" w:rsidR="00976284" w:rsidRPr="00543D10" w:rsidRDefault="00976284" w:rsidP="005B39D0">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41,728</w:t>
            </w:r>
          </w:p>
        </w:tc>
        <w:tc>
          <w:tcPr>
            <w:tcW w:w="1662" w:type="dxa"/>
            <w:tcBorders>
              <w:top w:val="single" w:sz="4" w:space="0" w:color="auto"/>
              <w:left w:val="nil"/>
              <w:bottom w:val="single" w:sz="4" w:space="0" w:color="auto"/>
              <w:right w:val="nil"/>
            </w:tcBorders>
            <w:shd w:val="clear" w:color="auto" w:fill="auto"/>
            <w:noWrap/>
            <w:vAlign w:val="center"/>
          </w:tcPr>
          <w:p w14:paraId="7F6EFE73" w14:textId="77777777" w:rsidR="00976284" w:rsidRPr="00543D10" w:rsidRDefault="00976284" w:rsidP="005B39D0">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136,337</w:t>
            </w:r>
          </w:p>
        </w:tc>
        <w:tc>
          <w:tcPr>
            <w:tcW w:w="1295" w:type="dxa"/>
            <w:tcBorders>
              <w:top w:val="single" w:sz="4" w:space="0" w:color="auto"/>
              <w:left w:val="nil"/>
              <w:bottom w:val="single" w:sz="4" w:space="0" w:color="auto"/>
              <w:right w:val="nil"/>
            </w:tcBorders>
            <w:shd w:val="clear" w:color="auto" w:fill="auto"/>
            <w:noWrap/>
            <w:vAlign w:val="center"/>
          </w:tcPr>
          <w:p w14:paraId="6024752A" w14:textId="77777777" w:rsidR="00976284" w:rsidRPr="00543D10" w:rsidRDefault="00976284" w:rsidP="005B39D0">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1,510</w:t>
            </w:r>
          </w:p>
        </w:tc>
        <w:tc>
          <w:tcPr>
            <w:tcW w:w="1217" w:type="dxa"/>
            <w:tcBorders>
              <w:top w:val="single" w:sz="4" w:space="0" w:color="auto"/>
              <w:left w:val="nil"/>
              <w:bottom w:val="single" w:sz="4" w:space="0" w:color="auto"/>
              <w:right w:val="nil"/>
            </w:tcBorders>
            <w:shd w:val="clear" w:color="auto" w:fill="auto"/>
            <w:noWrap/>
            <w:vAlign w:val="center"/>
          </w:tcPr>
          <w:p w14:paraId="71AFC1F8" w14:textId="77777777" w:rsidR="00976284" w:rsidRPr="00543D10" w:rsidRDefault="00976284" w:rsidP="005B39D0">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5,145</w:t>
            </w:r>
          </w:p>
        </w:tc>
        <w:tc>
          <w:tcPr>
            <w:tcW w:w="1217" w:type="dxa"/>
            <w:tcBorders>
              <w:top w:val="single" w:sz="4" w:space="0" w:color="auto"/>
              <w:left w:val="nil"/>
              <w:bottom w:val="single" w:sz="4" w:space="0" w:color="auto"/>
              <w:right w:val="nil"/>
            </w:tcBorders>
            <w:shd w:val="clear" w:color="auto" w:fill="auto"/>
            <w:noWrap/>
            <w:vAlign w:val="center"/>
          </w:tcPr>
          <w:p w14:paraId="7EB12EA4" w14:textId="77777777" w:rsidR="00976284" w:rsidRPr="00543D10" w:rsidRDefault="00976284" w:rsidP="005B39D0">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7,115</w:t>
            </w:r>
          </w:p>
        </w:tc>
        <w:tc>
          <w:tcPr>
            <w:tcW w:w="961" w:type="dxa"/>
            <w:tcBorders>
              <w:top w:val="single" w:sz="4" w:space="0" w:color="auto"/>
              <w:left w:val="nil"/>
              <w:bottom w:val="single" w:sz="4" w:space="0" w:color="auto"/>
              <w:right w:val="nil"/>
            </w:tcBorders>
            <w:shd w:val="clear" w:color="auto" w:fill="auto"/>
            <w:noWrap/>
            <w:vAlign w:val="center"/>
          </w:tcPr>
          <w:p w14:paraId="6E574AFA" w14:textId="77777777" w:rsidR="00976284" w:rsidRPr="00543D10" w:rsidRDefault="00976284" w:rsidP="005B39D0">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191,835</w:t>
            </w:r>
          </w:p>
        </w:tc>
      </w:tr>
      <w:tr w:rsidR="00976284" w:rsidRPr="000F6386" w14:paraId="3F30E728" w14:textId="77777777" w:rsidTr="00161381">
        <w:trPr>
          <w:trHeight w:val="255"/>
          <w:jc w:val="center"/>
        </w:trPr>
        <w:tc>
          <w:tcPr>
            <w:tcW w:w="2376" w:type="dxa"/>
            <w:tcBorders>
              <w:top w:val="nil"/>
              <w:left w:val="nil"/>
              <w:bottom w:val="nil"/>
              <w:right w:val="nil"/>
            </w:tcBorders>
            <w:shd w:val="clear" w:color="auto" w:fill="auto"/>
            <w:noWrap/>
            <w:vAlign w:val="center"/>
            <w:hideMark/>
          </w:tcPr>
          <w:p w14:paraId="4277A11A" w14:textId="77777777" w:rsidR="00976284" w:rsidRPr="000F6386" w:rsidRDefault="00976284" w:rsidP="001F6984">
            <w:pPr>
              <w:spacing w:after="0" w:line="240" w:lineRule="auto"/>
              <w:rPr>
                <w:rFonts w:ascii="Arial" w:eastAsia="Times New Roman" w:hAnsi="Arial" w:cs="Arial"/>
                <w:b/>
                <w:bCs/>
                <w:sz w:val="20"/>
                <w:szCs w:val="20"/>
                <w:lang w:eastAsia="en-GB"/>
              </w:rPr>
            </w:pPr>
          </w:p>
        </w:tc>
        <w:tc>
          <w:tcPr>
            <w:tcW w:w="1452" w:type="dxa"/>
            <w:tcBorders>
              <w:top w:val="nil"/>
              <w:left w:val="nil"/>
              <w:bottom w:val="nil"/>
              <w:right w:val="nil"/>
            </w:tcBorders>
            <w:shd w:val="clear" w:color="auto" w:fill="auto"/>
            <w:noWrap/>
            <w:vAlign w:val="center"/>
            <w:hideMark/>
          </w:tcPr>
          <w:p w14:paraId="026C3984" w14:textId="77777777" w:rsidR="00976284" w:rsidRPr="00543D10" w:rsidRDefault="00976284" w:rsidP="005B39D0">
            <w:pPr>
              <w:spacing w:after="0" w:line="240" w:lineRule="auto"/>
              <w:jc w:val="right"/>
              <w:rPr>
                <w:rFonts w:ascii="Times New Roman" w:eastAsia="Times New Roman" w:hAnsi="Times New Roman" w:cs="Times New Roman"/>
                <w:sz w:val="20"/>
                <w:szCs w:val="20"/>
                <w:lang w:eastAsia="en-GB"/>
              </w:rPr>
            </w:pPr>
          </w:p>
        </w:tc>
        <w:tc>
          <w:tcPr>
            <w:tcW w:w="1662" w:type="dxa"/>
            <w:tcBorders>
              <w:top w:val="nil"/>
              <w:left w:val="nil"/>
              <w:bottom w:val="nil"/>
              <w:right w:val="nil"/>
            </w:tcBorders>
            <w:shd w:val="clear" w:color="auto" w:fill="auto"/>
            <w:noWrap/>
            <w:vAlign w:val="center"/>
            <w:hideMark/>
          </w:tcPr>
          <w:p w14:paraId="0CE732FB" w14:textId="77777777" w:rsidR="00976284" w:rsidRPr="00543D10" w:rsidRDefault="00976284" w:rsidP="005B39D0">
            <w:pPr>
              <w:spacing w:after="0" w:line="240" w:lineRule="auto"/>
              <w:jc w:val="right"/>
              <w:rPr>
                <w:rFonts w:ascii="Times New Roman" w:eastAsia="Times New Roman" w:hAnsi="Times New Roman" w:cs="Times New Roman"/>
                <w:sz w:val="20"/>
                <w:szCs w:val="20"/>
                <w:lang w:eastAsia="en-GB"/>
              </w:rPr>
            </w:pPr>
          </w:p>
        </w:tc>
        <w:tc>
          <w:tcPr>
            <w:tcW w:w="1295" w:type="dxa"/>
            <w:tcBorders>
              <w:top w:val="nil"/>
              <w:left w:val="nil"/>
              <w:bottom w:val="nil"/>
              <w:right w:val="nil"/>
            </w:tcBorders>
            <w:shd w:val="clear" w:color="auto" w:fill="auto"/>
            <w:noWrap/>
            <w:vAlign w:val="center"/>
            <w:hideMark/>
          </w:tcPr>
          <w:p w14:paraId="1C9B793E" w14:textId="77777777" w:rsidR="00976284" w:rsidRPr="00543D10" w:rsidRDefault="00976284" w:rsidP="005B39D0">
            <w:pPr>
              <w:spacing w:after="0" w:line="240" w:lineRule="auto"/>
              <w:jc w:val="right"/>
              <w:rPr>
                <w:rFonts w:ascii="Times New Roman" w:eastAsia="Times New Roman" w:hAnsi="Times New Roman" w:cs="Times New Roman"/>
                <w:sz w:val="20"/>
                <w:szCs w:val="20"/>
                <w:lang w:eastAsia="en-GB"/>
              </w:rPr>
            </w:pPr>
          </w:p>
        </w:tc>
        <w:tc>
          <w:tcPr>
            <w:tcW w:w="1217" w:type="dxa"/>
            <w:tcBorders>
              <w:top w:val="nil"/>
              <w:left w:val="nil"/>
              <w:bottom w:val="nil"/>
              <w:right w:val="nil"/>
            </w:tcBorders>
            <w:shd w:val="clear" w:color="auto" w:fill="auto"/>
            <w:noWrap/>
            <w:vAlign w:val="center"/>
            <w:hideMark/>
          </w:tcPr>
          <w:p w14:paraId="1386F085" w14:textId="77777777" w:rsidR="00976284" w:rsidRPr="00543D10" w:rsidRDefault="00976284" w:rsidP="005B39D0">
            <w:pPr>
              <w:spacing w:after="0" w:line="240" w:lineRule="auto"/>
              <w:jc w:val="right"/>
              <w:rPr>
                <w:rFonts w:ascii="Times New Roman" w:eastAsia="Times New Roman" w:hAnsi="Times New Roman" w:cs="Times New Roman"/>
                <w:sz w:val="20"/>
                <w:szCs w:val="20"/>
                <w:lang w:eastAsia="en-GB"/>
              </w:rPr>
            </w:pPr>
          </w:p>
        </w:tc>
        <w:tc>
          <w:tcPr>
            <w:tcW w:w="1217" w:type="dxa"/>
            <w:tcBorders>
              <w:top w:val="nil"/>
              <w:left w:val="nil"/>
              <w:bottom w:val="nil"/>
              <w:right w:val="nil"/>
            </w:tcBorders>
            <w:shd w:val="clear" w:color="auto" w:fill="auto"/>
            <w:noWrap/>
            <w:vAlign w:val="center"/>
            <w:hideMark/>
          </w:tcPr>
          <w:p w14:paraId="3AC5E0F7" w14:textId="77777777" w:rsidR="00976284" w:rsidRPr="00543D10" w:rsidRDefault="00976284" w:rsidP="005B39D0">
            <w:pPr>
              <w:spacing w:after="0" w:line="240" w:lineRule="auto"/>
              <w:jc w:val="right"/>
              <w:rPr>
                <w:rFonts w:ascii="Times New Roman" w:eastAsia="Times New Roman" w:hAnsi="Times New Roman" w:cs="Times New Roman"/>
                <w:sz w:val="20"/>
                <w:szCs w:val="20"/>
                <w:lang w:eastAsia="en-GB"/>
              </w:rPr>
            </w:pPr>
          </w:p>
        </w:tc>
        <w:tc>
          <w:tcPr>
            <w:tcW w:w="961" w:type="dxa"/>
            <w:tcBorders>
              <w:top w:val="nil"/>
              <w:left w:val="nil"/>
              <w:bottom w:val="nil"/>
              <w:right w:val="nil"/>
            </w:tcBorders>
            <w:shd w:val="clear" w:color="auto" w:fill="auto"/>
            <w:noWrap/>
            <w:vAlign w:val="center"/>
            <w:hideMark/>
          </w:tcPr>
          <w:p w14:paraId="5454403B" w14:textId="77777777" w:rsidR="00976284" w:rsidRPr="00543D10" w:rsidRDefault="00976284" w:rsidP="005B39D0">
            <w:pPr>
              <w:spacing w:after="0" w:line="240" w:lineRule="auto"/>
              <w:jc w:val="right"/>
              <w:rPr>
                <w:rFonts w:ascii="Times New Roman" w:eastAsia="Times New Roman" w:hAnsi="Times New Roman" w:cs="Times New Roman"/>
                <w:sz w:val="20"/>
                <w:szCs w:val="20"/>
                <w:lang w:eastAsia="en-GB"/>
              </w:rPr>
            </w:pPr>
          </w:p>
        </w:tc>
      </w:tr>
      <w:tr w:rsidR="00976284" w:rsidRPr="000F6386" w14:paraId="67246187" w14:textId="77777777" w:rsidTr="00161381">
        <w:trPr>
          <w:trHeight w:val="255"/>
          <w:jc w:val="center"/>
        </w:trPr>
        <w:tc>
          <w:tcPr>
            <w:tcW w:w="3828" w:type="dxa"/>
            <w:gridSpan w:val="2"/>
            <w:tcBorders>
              <w:top w:val="nil"/>
              <w:left w:val="nil"/>
              <w:bottom w:val="nil"/>
              <w:right w:val="nil"/>
            </w:tcBorders>
            <w:shd w:val="clear" w:color="auto" w:fill="auto"/>
            <w:noWrap/>
            <w:vAlign w:val="center"/>
            <w:hideMark/>
          </w:tcPr>
          <w:p w14:paraId="5220CD8F" w14:textId="77777777" w:rsidR="00976284" w:rsidRPr="00543D10" w:rsidRDefault="00976284" w:rsidP="005B39D0">
            <w:pPr>
              <w:spacing w:after="0" w:line="240" w:lineRule="auto"/>
              <w:rPr>
                <w:rFonts w:ascii="Arial" w:eastAsia="Times New Roman" w:hAnsi="Arial" w:cs="Arial"/>
                <w:b/>
                <w:bCs/>
                <w:sz w:val="20"/>
                <w:szCs w:val="20"/>
                <w:lang w:eastAsia="en-GB"/>
              </w:rPr>
            </w:pPr>
            <w:r w:rsidRPr="00543D10">
              <w:rPr>
                <w:rFonts w:ascii="Arial" w:eastAsia="Times New Roman" w:hAnsi="Arial" w:cs="Arial"/>
                <w:b/>
                <w:bCs/>
                <w:sz w:val="20"/>
                <w:szCs w:val="20"/>
                <w:lang w:eastAsia="en-GB"/>
              </w:rPr>
              <w:t>Accumulated depreciation</w:t>
            </w:r>
          </w:p>
        </w:tc>
        <w:tc>
          <w:tcPr>
            <w:tcW w:w="1662" w:type="dxa"/>
            <w:tcBorders>
              <w:top w:val="nil"/>
              <w:left w:val="nil"/>
              <w:bottom w:val="nil"/>
              <w:right w:val="nil"/>
            </w:tcBorders>
            <w:shd w:val="clear" w:color="auto" w:fill="auto"/>
            <w:noWrap/>
            <w:vAlign w:val="center"/>
            <w:hideMark/>
          </w:tcPr>
          <w:p w14:paraId="4F7AD398" w14:textId="77777777" w:rsidR="00976284" w:rsidRPr="00543D10" w:rsidRDefault="00976284" w:rsidP="005B39D0">
            <w:pPr>
              <w:spacing w:after="0" w:line="240" w:lineRule="auto"/>
              <w:jc w:val="right"/>
              <w:rPr>
                <w:rFonts w:ascii="Arial" w:eastAsia="Times New Roman" w:hAnsi="Arial" w:cs="Arial"/>
                <w:b/>
                <w:bCs/>
                <w:sz w:val="20"/>
                <w:szCs w:val="20"/>
                <w:lang w:eastAsia="en-GB"/>
              </w:rPr>
            </w:pPr>
          </w:p>
        </w:tc>
        <w:tc>
          <w:tcPr>
            <w:tcW w:w="1295" w:type="dxa"/>
            <w:tcBorders>
              <w:top w:val="nil"/>
              <w:left w:val="nil"/>
              <w:bottom w:val="nil"/>
              <w:right w:val="nil"/>
            </w:tcBorders>
            <w:shd w:val="clear" w:color="auto" w:fill="auto"/>
            <w:noWrap/>
            <w:vAlign w:val="center"/>
            <w:hideMark/>
          </w:tcPr>
          <w:p w14:paraId="36145698" w14:textId="77777777" w:rsidR="00976284" w:rsidRPr="00543D10" w:rsidRDefault="00976284" w:rsidP="005B39D0">
            <w:pPr>
              <w:spacing w:after="0" w:line="240" w:lineRule="auto"/>
              <w:jc w:val="right"/>
              <w:rPr>
                <w:rFonts w:ascii="Times New Roman" w:eastAsia="Times New Roman" w:hAnsi="Times New Roman" w:cs="Times New Roman"/>
                <w:sz w:val="20"/>
                <w:szCs w:val="20"/>
                <w:lang w:eastAsia="en-GB"/>
              </w:rPr>
            </w:pPr>
          </w:p>
        </w:tc>
        <w:tc>
          <w:tcPr>
            <w:tcW w:w="1217" w:type="dxa"/>
            <w:tcBorders>
              <w:top w:val="nil"/>
              <w:left w:val="nil"/>
              <w:bottom w:val="nil"/>
              <w:right w:val="nil"/>
            </w:tcBorders>
            <w:shd w:val="clear" w:color="auto" w:fill="auto"/>
            <w:noWrap/>
            <w:vAlign w:val="center"/>
            <w:hideMark/>
          </w:tcPr>
          <w:p w14:paraId="454AE008" w14:textId="77777777" w:rsidR="00976284" w:rsidRPr="00543D10" w:rsidRDefault="00976284" w:rsidP="005B39D0">
            <w:pPr>
              <w:spacing w:after="0" w:line="240" w:lineRule="auto"/>
              <w:jc w:val="right"/>
              <w:rPr>
                <w:rFonts w:ascii="Times New Roman" w:eastAsia="Times New Roman" w:hAnsi="Times New Roman" w:cs="Times New Roman"/>
                <w:sz w:val="20"/>
                <w:szCs w:val="20"/>
                <w:lang w:eastAsia="en-GB"/>
              </w:rPr>
            </w:pPr>
          </w:p>
        </w:tc>
        <w:tc>
          <w:tcPr>
            <w:tcW w:w="1217" w:type="dxa"/>
            <w:tcBorders>
              <w:top w:val="nil"/>
              <w:left w:val="nil"/>
              <w:bottom w:val="nil"/>
              <w:right w:val="nil"/>
            </w:tcBorders>
            <w:shd w:val="clear" w:color="auto" w:fill="auto"/>
            <w:noWrap/>
            <w:vAlign w:val="center"/>
            <w:hideMark/>
          </w:tcPr>
          <w:p w14:paraId="64817270" w14:textId="77777777" w:rsidR="00976284" w:rsidRPr="00543D10" w:rsidRDefault="00976284" w:rsidP="005B39D0">
            <w:pPr>
              <w:spacing w:after="0" w:line="240" w:lineRule="auto"/>
              <w:jc w:val="right"/>
              <w:rPr>
                <w:rFonts w:ascii="Times New Roman" w:eastAsia="Times New Roman" w:hAnsi="Times New Roman" w:cs="Times New Roman"/>
                <w:sz w:val="20"/>
                <w:szCs w:val="20"/>
                <w:lang w:eastAsia="en-GB"/>
              </w:rPr>
            </w:pPr>
          </w:p>
        </w:tc>
        <w:tc>
          <w:tcPr>
            <w:tcW w:w="961" w:type="dxa"/>
            <w:tcBorders>
              <w:top w:val="nil"/>
              <w:left w:val="nil"/>
              <w:bottom w:val="nil"/>
              <w:right w:val="nil"/>
            </w:tcBorders>
            <w:shd w:val="clear" w:color="auto" w:fill="auto"/>
            <w:noWrap/>
            <w:vAlign w:val="center"/>
            <w:hideMark/>
          </w:tcPr>
          <w:p w14:paraId="5510233B" w14:textId="77777777" w:rsidR="00976284" w:rsidRPr="00543D10" w:rsidRDefault="00976284" w:rsidP="005B39D0">
            <w:pPr>
              <w:spacing w:after="0" w:line="240" w:lineRule="auto"/>
              <w:jc w:val="right"/>
              <w:rPr>
                <w:rFonts w:ascii="Times New Roman" w:eastAsia="Times New Roman" w:hAnsi="Times New Roman" w:cs="Times New Roman"/>
                <w:sz w:val="20"/>
                <w:szCs w:val="20"/>
                <w:lang w:eastAsia="en-GB"/>
              </w:rPr>
            </w:pPr>
          </w:p>
        </w:tc>
      </w:tr>
      <w:tr w:rsidR="00976284" w:rsidRPr="000F6386" w14:paraId="75FEE18C" w14:textId="77777777" w:rsidTr="00161381">
        <w:trPr>
          <w:trHeight w:val="123"/>
          <w:jc w:val="center"/>
        </w:trPr>
        <w:tc>
          <w:tcPr>
            <w:tcW w:w="2376" w:type="dxa"/>
            <w:tcBorders>
              <w:top w:val="nil"/>
              <w:left w:val="nil"/>
              <w:bottom w:val="nil"/>
              <w:right w:val="nil"/>
            </w:tcBorders>
            <w:shd w:val="clear" w:color="auto" w:fill="auto"/>
            <w:noWrap/>
            <w:vAlign w:val="center"/>
            <w:hideMark/>
          </w:tcPr>
          <w:p w14:paraId="79BE62BD" w14:textId="77777777" w:rsidR="00976284" w:rsidRPr="000F6386" w:rsidRDefault="00976284" w:rsidP="00F07478">
            <w:pPr>
              <w:spacing w:after="0" w:line="240" w:lineRule="auto"/>
              <w:rPr>
                <w:rFonts w:ascii="Arial" w:eastAsia="Times New Roman" w:hAnsi="Arial" w:cs="Arial"/>
                <w:sz w:val="20"/>
                <w:szCs w:val="20"/>
                <w:lang w:eastAsia="en-GB"/>
              </w:rPr>
            </w:pPr>
            <w:r w:rsidRPr="000F6386">
              <w:rPr>
                <w:rFonts w:ascii="Arial" w:eastAsia="Times New Roman" w:hAnsi="Arial" w:cs="Arial"/>
                <w:sz w:val="20"/>
                <w:szCs w:val="20"/>
                <w:lang w:eastAsia="en-GB"/>
              </w:rPr>
              <w:t xml:space="preserve">At 1 September </w:t>
            </w:r>
            <w:r>
              <w:rPr>
                <w:rFonts w:ascii="Arial" w:eastAsia="Times New Roman" w:hAnsi="Arial" w:cs="Arial"/>
                <w:sz w:val="20"/>
                <w:szCs w:val="20"/>
                <w:lang w:eastAsia="en-GB"/>
              </w:rPr>
              <w:t>2019</w:t>
            </w:r>
          </w:p>
        </w:tc>
        <w:tc>
          <w:tcPr>
            <w:tcW w:w="1452" w:type="dxa"/>
            <w:tcBorders>
              <w:left w:val="nil"/>
              <w:right w:val="nil"/>
            </w:tcBorders>
            <w:shd w:val="clear" w:color="auto" w:fill="auto"/>
            <w:noWrap/>
            <w:vAlign w:val="center"/>
            <w:hideMark/>
          </w:tcPr>
          <w:p w14:paraId="17DEDFAE" w14:textId="77777777" w:rsidR="00976284" w:rsidRPr="00F07478" w:rsidRDefault="00976284" w:rsidP="00F07478">
            <w:pPr>
              <w:spacing w:after="0" w:line="240" w:lineRule="auto"/>
              <w:jc w:val="right"/>
              <w:rPr>
                <w:rFonts w:ascii="Arial" w:eastAsia="Times New Roman" w:hAnsi="Arial" w:cs="Arial"/>
                <w:sz w:val="20"/>
                <w:szCs w:val="20"/>
                <w:lang w:eastAsia="en-GB"/>
              </w:rPr>
            </w:pPr>
            <w:r w:rsidRPr="00F07478">
              <w:rPr>
                <w:rFonts w:ascii="Arial" w:eastAsia="Times New Roman" w:hAnsi="Arial" w:cs="Arial"/>
                <w:bCs/>
                <w:sz w:val="20"/>
                <w:szCs w:val="20"/>
                <w:lang w:eastAsia="en-GB"/>
              </w:rPr>
              <w:t>(3,179)</w:t>
            </w:r>
          </w:p>
        </w:tc>
        <w:tc>
          <w:tcPr>
            <w:tcW w:w="1662" w:type="dxa"/>
            <w:tcBorders>
              <w:left w:val="nil"/>
              <w:right w:val="nil"/>
            </w:tcBorders>
            <w:shd w:val="clear" w:color="auto" w:fill="auto"/>
            <w:noWrap/>
            <w:vAlign w:val="center"/>
            <w:hideMark/>
          </w:tcPr>
          <w:p w14:paraId="5C37C2CB" w14:textId="77777777" w:rsidR="00976284" w:rsidRPr="00F07478" w:rsidRDefault="00976284" w:rsidP="00F07478">
            <w:pPr>
              <w:spacing w:after="0" w:line="240" w:lineRule="auto"/>
              <w:jc w:val="right"/>
              <w:rPr>
                <w:rFonts w:ascii="Arial" w:eastAsia="Times New Roman" w:hAnsi="Arial" w:cs="Arial"/>
                <w:sz w:val="20"/>
                <w:szCs w:val="20"/>
                <w:lang w:eastAsia="en-GB"/>
              </w:rPr>
            </w:pPr>
            <w:r w:rsidRPr="00F07478">
              <w:rPr>
                <w:rFonts w:ascii="Arial" w:eastAsia="Times New Roman" w:hAnsi="Arial" w:cs="Arial"/>
                <w:bCs/>
                <w:sz w:val="20"/>
                <w:szCs w:val="20"/>
                <w:lang w:eastAsia="en-GB"/>
              </w:rPr>
              <w:t>(6,406)</w:t>
            </w:r>
          </w:p>
        </w:tc>
        <w:tc>
          <w:tcPr>
            <w:tcW w:w="1295" w:type="dxa"/>
            <w:tcBorders>
              <w:left w:val="nil"/>
              <w:right w:val="nil"/>
            </w:tcBorders>
            <w:shd w:val="clear" w:color="auto" w:fill="auto"/>
            <w:noWrap/>
            <w:vAlign w:val="center"/>
            <w:hideMark/>
          </w:tcPr>
          <w:p w14:paraId="6238C281" w14:textId="77777777" w:rsidR="00976284" w:rsidRPr="00F07478" w:rsidRDefault="00976284" w:rsidP="00F07478">
            <w:pPr>
              <w:spacing w:after="0" w:line="240" w:lineRule="auto"/>
              <w:jc w:val="right"/>
              <w:rPr>
                <w:rFonts w:ascii="Arial" w:eastAsia="Times New Roman" w:hAnsi="Arial" w:cs="Arial"/>
                <w:sz w:val="20"/>
                <w:szCs w:val="20"/>
                <w:lang w:eastAsia="en-GB"/>
              </w:rPr>
            </w:pPr>
            <w:r w:rsidRPr="00F07478">
              <w:rPr>
                <w:rFonts w:ascii="Arial" w:eastAsia="Times New Roman" w:hAnsi="Arial" w:cs="Arial"/>
                <w:bCs/>
                <w:sz w:val="20"/>
                <w:szCs w:val="20"/>
                <w:lang w:eastAsia="en-GB"/>
              </w:rPr>
              <w:t>-</w:t>
            </w:r>
          </w:p>
        </w:tc>
        <w:tc>
          <w:tcPr>
            <w:tcW w:w="1217" w:type="dxa"/>
            <w:tcBorders>
              <w:left w:val="nil"/>
              <w:right w:val="nil"/>
            </w:tcBorders>
            <w:shd w:val="clear" w:color="auto" w:fill="auto"/>
            <w:noWrap/>
            <w:vAlign w:val="center"/>
            <w:hideMark/>
          </w:tcPr>
          <w:p w14:paraId="368ACA1F" w14:textId="77777777" w:rsidR="00976284" w:rsidRPr="00F07478" w:rsidRDefault="00976284" w:rsidP="00F07478">
            <w:pPr>
              <w:spacing w:after="0" w:line="240" w:lineRule="auto"/>
              <w:jc w:val="right"/>
              <w:rPr>
                <w:rFonts w:ascii="Arial" w:eastAsia="Times New Roman" w:hAnsi="Arial" w:cs="Arial"/>
                <w:sz w:val="20"/>
                <w:szCs w:val="20"/>
                <w:lang w:eastAsia="en-GB"/>
              </w:rPr>
            </w:pPr>
            <w:r w:rsidRPr="00F07478">
              <w:rPr>
                <w:rFonts w:ascii="Arial" w:eastAsia="Times New Roman" w:hAnsi="Arial" w:cs="Arial"/>
                <w:bCs/>
                <w:sz w:val="20"/>
                <w:szCs w:val="20"/>
                <w:lang w:eastAsia="en-GB"/>
              </w:rPr>
              <w:t>(1,370)</w:t>
            </w:r>
          </w:p>
        </w:tc>
        <w:tc>
          <w:tcPr>
            <w:tcW w:w="1217" w:type="dxa"/>
            <w:tcBorders>
              <w:left w:val="nil"/>
              <w:right w:val="nil"/>
            </w:tcBorders>
            <w:shd w:val="clear" w:color="auto" w:fill="auto"/>
            <w:noWrap/>
            <w:vAlign w:val="center"/>
            <w:hideMark/>
          </w:tcPr>
          <w:p w14:paraId="0578D963" w14:textId="77777777" w:rsidR="00976284" w:rsidRPr="00F07478" w:rsidRDefault="00976284" w:rsidP="00F07478">
            <w:pPr>
              <w:spacing w:after="0" w:line="240" w:lineRule="auto"/>
              <w:jc w:val="right"/>
              <w:rPr>
                <w:rFonts w:ascii="Arial" w:eastAsia="Times New Roman" w:hAnsi="Arial" w:cs="Arial"/>
                <w:sz w:val="20"/>
                <w:szCs w:val="20"/>
                <w:lang w:eastAsia="en-GB"/>
              </w:rPr>
            </w:pPr>
            <w:r w:rsidRPr="00F07478">
              <w:rPr>
                <w:rFonts w:ascii="Arial" w:eastAsia="Times New Roman" w:hAnsi="Arial" w:cs="Arial"/>
                <w:bCs/>
                <w:sz w:val="20"/>
                <w:szCs w:val="20"/>
                <w:lang w:eastAsia="en-GB"/>
              </w:rPr>
              <w:t>(5,303)</w:t>
            </w:r>
          </w:p>
        </w:tc>
        <w:tc>
          <w:tcPr>
            <w:tcW w:w="961" w:type="dxa"/>
            <w:tcBorders>
              <w:left w:val="nil"/>
              <w:right w:val="nil"/>
            </w:tcBorders>
            <w:shd w:val="clear" w:color="auto" w:fill="auto"/>
            <w:noWrap/>
            <w:vAlign w:val="center"/>
            <w:hideMark/>
          </w:tcPr>
          <w:p w14:paraId="08386171" w14:textId="77777777" w:rsidR="00976284" w:rsidRPr="00F07478" w:rsidRDefault="00976284" w:rsidP="00F07478">
            <w:pPr>
              <w:spacing w:after="0" w:line="240" w:lineRule="auto"/>
              <w:jc w:val="right"/>
              <w:rPr>
                <w:rFonts w:ascii="Arial" w:eastAsia="Times New Roman" w:hAnsi="Arial" w:cs="Arial"/>
                <w:sz w:val="20"/>
                <w:szCs w:val="20"/>
                <w:lang w:eastAsia="en-GB"/>
              </w:rPr>
            </w:pPr>
            <w:r w:rsidRPr="00F07478">
              <w:rPr>
                <w:rFonts w:ascii="Arial" w:eastAsia="Times New Roman" w:hAnsi="Arial" w:cs="Arial"/>
                <w:bCs/>
                <w:sz w:val="20"/>
                <w:szCs w:val="20"/>
                <w:lang w:eastAsia="en-GB"/>
              </w:rPr>
              <w:t>(16,258)</w:t>
            </w:r>
          </w:p>
        </w:tc>
      </w:tr>
      <w:tr w:rsidR="00976284" w:rsidRPr="000F6386" w14:paraId="284C10F5" w14:textId="77777777" w:rsidTr="00161381">
        <w:trPr>
          <w:trHeight w:val="283"/>
          <w:jc w:val="center"/>
        </w:trPr>
        <w:tc>
          <w:tcPr>
            <w:tcW w:w="2376" w:type="dxa"/>
            <w:tcBorders>
              <w:left w:val="nil"/>
              <w:bottom w:val="nil"/>
              <w:right w:val="nil"/>
            </w:tcBorders>
            <w:shd w:val="clear" w:color="auto" w:fill="auto"/>
            <w:noWrap/>
            <w:vAlign w:val="center"/>
            <w:hideMark/>
          </w:tcPr>
          <w:p w14:paraId="4E1FAC39" w14:textId="77777777" w:rsidR="00976284" w:rsidRPr="000F6386" w:rsidRDefault="00976284" w:rsidP="001F6984">
            <w:pPr>
              <w:spacing w:after="0" w:line="240" w:lineRule="auto"/>
              <w:rPr>
                <w:rFonts w:ascii="Arial" w:eastAsia="Times New Roman" w:hAnsi="Arial" w:cs="Arial"/>
                <w:sz w:val="20"/>
                <w:szCs w:val="20"/>
                <w:lang w:eastAsia="en-GB"/>
              </w:rPr>
            </w:pPr>
            <w:r w:rsidRPr="000F6386">
              <w:rPr>
                <w:rFonts w:ascii="Arial" w:eastAsia="Times New Roman" w:hAnsi="Arial" w:cs="Arial"/>
                <w:sz w:val="20"/>
                <w:szCs w:val="20"/>
                <w:lang w:eastAsia="en-GB"/>
              </w:rPr>
              <w:t>Charge for the year</w:t>
            </w:r>
          </w:p>
        </w:tc>
        <w:tc>
          <w:tcPr>
            <w:tcW w:w="1452" w:type="dxa"/>
            <w:tcBorders>
              <w:left w:val="nil"/>
              <w:bottom w:val="nil"/>
              <w:right w:val="nil"/>
            </w:tcBorders>
            <w:shd w:val="clear" w:color="auto" w:fill="auto"/>
            <w:noWrap/>
            <w:vAlign w:val="center"/>
          </w:tcPr>
          <w:p w14:paraId="301EE3FE" w14:textId="77777777" w:rsidR="00976284" w:rsidRPr="00543D10" w:rsidRDefault="00976284" w:rsidP="009F027F">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w:t>
            </w:r>
            <w:r w:rsidR="009F027F">
              <w:rPr>
                <w:rFonts w:ascii="Arial" w:eastAsia="Times New Roman" w:hAnsi="Arial" w:cs="Arial"/>
                <w:sz w:val="20"/>
                <w:szCs w:val="20"/>
                <w:lang w:eastAsia="en-GB"/>
              </w:rPr>
              <w:t>775</w:t>
            </w:r>
            <w:r>
              <w:rPr>
                <w:rFonts w:ascii="Arial" w:eastAsia="Times New Roman" w:hAnsi="Arial" w:cs="Arial"/>
                <w:sz w:val="20"/>
                <w:szCs w:val="20"/>
                <w:lang w:eastAsia="en-GB"/>
              </w:rPr>
              <w:t>)</w:t>
            </w:r>
          </w:p>
        </w:tc>
        <w:tc>
          <w:tcPr>
            <w:tcW w:w="1662" w:type="dxa"/>
            <w:tcBorders>
              <w:left w:val="nil"/>
              <w:bottom w:val="nil"/>
              <w:right w:val="nil"/>
            </w:tcBorders>
            <w:shd w:val="clear" w:color="auto" w:fill="auto"/>
            <w:noWrap/>
            <w:vAlign w:val="center"/>
          </w:tcPr>
          <w:p w14:paraId="2C1D6695" w14:textId="77777777" w:rsidR="00976284" w:rsidRPr="00543D10" w:rsidRDefault="00976284" w:rsidP="005B39D0">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(3,702)</w:t>
            </w:r>
          </w:p>
        </w:tc>
        <w:tc>
          <w:tcPr>
            <w:tcW w:w="1295" w:type="dxa"/>
            <w:tcBorders>
              <w:left w:val="nil"/>
              <w:bottom w:val="nil"/>
              <w:right w:val="nil"/>
            </w:tcBorders>
            <w:shd w:val="clear" w:color="auto" w:fill="auto"/>
            <w:noWrap/>
            <w:vAlign w:val="center"/>
          </w:tcPr>
          <w:p w14:paraId="7EF53DC3" w14:textId="77777777" w:rsidR="00976284" w:rsidRPr="00543D10" w:rsidRDefault="00976284" w:rsidP="005B39D0">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w:t>
            </w:r>
          </w:p>
        </w:tc>
        <w:tc>
          <w:tcPr>
            <w:tcW w:w="1217" w:type="dxa"/>
            <w:tcBorders>
              <w:left w:val="nil"/>
              <w:bottom w:val="nil"/>
              <w:right w:val="nil"/>
            </w:tcBorders>
            <w:shd w:val="clear" w:color="auto" w:fill="auto"/>
            <w:noWrap/>
            <w:vAlign w:val="center"/>
          </w:tcPr>
          <w:p w14:paraId="214F67AA" w14:textId="77777777" w:rsidR="00976284" w:rsidRPr="00543D10" w:rsidRDefault="00976284" w:rsidP="005B39D0">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w:t>
            </w:r>
            <w:r w:rsidR="009F027F">
              <w:rPr>
                <w:rFonts w:ascii="Arial" w:eastAsia="Times New Roman" w:hAnsi="Arial" w:cs="Arial"/>
                <w:sz w:val="20"/>
                <w:szCs w:val="20"/>
                <w:lang w:eastAsia="en-GB"/>
              </w:rPr>
              <w:t>502</w:t>
            </w:r>
            <w:r>
              <w:rPr>
                <w:rFonts w:ascii="Arial" w:eastAsia="Times New Roman" w:hAnsi="Arial" w:cs="Arial"/>
                <w:sz w:val="20"/>
                <w:szCs w:val="20"/>
                <w:lang w:eastAsia="en-GB"/>
              </w:rPr>
              <w:t>)</w:t>
            </w:r>
          </w:p>
        </w:tc>
        <w:tc>
          <w:tcPr>
            <w:tcW w:w="1217" w:type="dxa"/>
            <w:tcBorders>
              <w:left w:val="nil"/>
              <w:bottom w:val="nil"/>
              <w:right w:val="nil"/>
            </w:tcBorders>
            <w:shd w:val="clear" w:color="auto" w:fill="auto"/>
            <w:noWrap/>
            <w:vAlign w:val="center"/>
          </w:tcPr>
          <w:p w14:paraId="7E48A81D" w14:textId="77777777" w:rsidR="00976284" w:rsidRPr="00543D10" w:rsidRDefault="00976284">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(789)</w:t>
            </w:r>
          </w:p>
        </w:tc>
        <w:tc>
          <w:tcPr>
            <w:tcW w:w="961" w:type="dxa"/>
            <w:tcBorders>
              <w:left w:val="nil"/>
              <w:bottom w:val="nil"/>
              <w:right w:val="nil"/>
            </w:tcBorders>
            <w:shd w:val="clear" w:color="auto" w:fill="auto"/>
            <w:noWrap/>
            <w:vAlign w:val="center"/>
          </w:tcPr>
          <w:p w14:paraId="44666C0D" w14:textId="77777777" w:rsidR="00976284" w:rsidRPr="00543D10" w:rsidRDefault="00976284">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(5,768)</w:t>
            </w:r>
          </w:p>
        </w:tc>
      </w:tr>
      <w:tr w:rsidR="00976284" w:rsidRPr="000F6386" w14:paraId="7FCA3057" w14:textId="77777777" w:rsidTr="00161381">
        <w:trPr>
          <w:trHeight w:val="187"/>
          <w:jc w:val="center"/>
        </w:trPr>
        <w:tc>
          <w:tcPr>
            <w:tcW w:w="2376" w:type="dxa"/>
            <w:tcBorders>
              <w:top w:val="nil"/>
              <w:left w:val="nil"/>
              <w:bottom w:val="nil"/>
              <w:right w:val="nil"/>
            </w:tcBorders>
            <w:shd w:val="clear" w:color="auto" w:fill="auto"/>
            <w:noWrap/>
            <w:vAlign w:val="center"/>
          </w:tcPr>
          <w:p w14:paraId="09333F81" w14:textId="77777777" w:rsidR="00976284" w:rsidRPr="000F6386" w:rsidRDefault="00976284" w:rsidP="001F6984">
            <w:pPr>
              <w:spacing w:after="0" w:line="240" w:lineRule="auto"/>
              <w:rPr>
                <w:rFonts w:ascii="Arial" w:eastAsia="Times New Roman" w:hAnsi="Arial" w:cs="Arial"/>
                <w:sz w:val="20"/>
                <w:szCs w:val="20"/>
                <w:lang w:eastAsia="en-GB"/>
              </w:rPr>
            </w:pPr>
            <w:r w:rsidRPr="000F6386">
              <w:rPr>
                <w:rFonts w:ascii="Arial" w:eastAsia="Times New Roman" w:hAnsi="Arial" w:cs="Arial"/>
                <w:sz w:val="20"/>
                <w:szCs w:val="20"/>
                <w:lang w:eastAsia="en-GB"/>
              </w:rPr>
              <w:t>Transfers</w:t>
            </w:r>
          </w:p>
        </w:tc>
        <w:tc>
          <w:tcPr>
            <w:tcW w:w="1452" w:type="dxa"/>
            <w:tcBorders>
              <w:top w:val="nil"/>
              <w:left w:val="nil"/>
              <w:bottom w:val="nil"/>
              <w:right w:val="nil"/>
            </w:tcBorders>
            <w:shd w:val="clear" w:color="auto" w:fill="auto"/>
            <w:noWrap/>
            <w:vAlign w:val="center"/>
          </w:tcPr>
          <w:p w14:paraId="0E17E9B2" w14:textId="77777777" w:rsidR="00976284" w:rsidRPr="00543D10" w:rsidRDefault="00976284" w:rsidP="005B39D0">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(43)</w:t>
            </w:r>
          </w:p>
        </w:tc>
        <w:tc>
          <w:tcPr>
            <w:tcW w:w="1662" w:type="dxa"/>
            <w:tcBorders>
              <w:top w:val="nil"/>
              <w:left w:val="nil"/>
              <w:bottom w:val="nil"/>
              <w:right w:val="nil"/>
            </w:tcBorders>
            <w:shd w:val="clear" w:color="auto" w:fill="auto"/>
            <w:noWrap/>
            <w:vAlign w:val="center"/>
          </w:tcPr>
          <w:p w14:paraId="466CFD1F" w14:textId="77777777" w:rsidR="00976284" w:rsidRPr="00543D10" w:rsidRDefault="00976284" w:rsidP="005B39D0">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43</w:t>
            </w:r>
          </w:p>
        </w:tc>
        <w:tc>
          <w:tcPr>
            <w:tcW w:w="1295" w:type="dxa"/>
            <w:tcBorders>
              <w:top w:val="nil"/>
              <w:left w:val="nil"/>
              <w:bottom w:val="nil"/>
              <w:right w:val="nil"/>
            </w:tcBorders>
            <w:shd w:val="clear" w:color="auto" w:fill="auto"/>
            <w:noWrap/>
            <w:vAlign w:val="center"/>
          </w:tcPr>
          <w:p w14:paraId="5E377596" w14:textId="77777777" w:rsidR="00976284" w:rsidRPr="00543D10" w:rsidRDefault="00976284" w:rsidP="005B39D0">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w:t>
            </w:r>
          </w:p>
        </w:tc>
        <w:tc>
          <w:tcPr>
            <w:tcW w:w="1217" w:type="dxa"/>
            <w:tcBorders>
              <w:top w:val="nil"/>
              <w:left w:val="nil"/>
              <w:bottom w:val="nil"/>
              <w:right w:val="nil"/>
            </w:tcBorders>
            <w:shd w:val="clear" w:color="auto" w:fill="auto"/>
            <w:noWrap/>
            <w:vAlign w:val="center"/>
          </w:tcPr>
          <w:p w14:paraId="10A6E7D7" w14:textId="77777777" w:rsidR="00976284" w:rsidRPr="00543D10" w:rsidRDefault="00976284" w:rsidP="005B39D0">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(3)</w:t>
            </w:r>
          </w:p>
        </w:tc>
        <w:tc>
          <w:tcPr>
            <w:tcW w:w="1217" w:type="dxa"/>
            <w:tcBorders>
              <w:top w:val="nil"/>
              <w:left w:val="nil"/>
              <w:bottom w:val="nil"/>
              <w:right w:val="nil"/>
            </w:tcBorders>
            <w:shd w:val="clear" w:color="auto" w:fill="auto"/>
            <w:noWrap/>
            <w:vAlign w:val="center"/>
          </w:tcPr>
          <w:p w14:paraId="6E18EF9B" w14:textId="77777777" w:rsidR="00976284" w:rsidRPr="00543D10" w:rsidRDefault="00976284" w:rsidP="005B39D0">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1</w:t>
            </w:r>
          </w:p>
        </w:tc>
        <w:tc>
          <w:tcPr>
            <w:tcW w:w="961" w:type="dxa"/>
            <w:tcBorders>
              <w:top w:val="nil"/>
              <w:left w:val="nil"/>
              <w:bottom w:val="nil"/>
              <w:right w:val="nil"/>
            </w:tcBorders>
            <w:shd w:val="clear" w:color="auto" w:fill="auto"/>
            <w:noWrap/>
            <w:vAlign w:val="center"/>
          </w:tcPr>
          <w:p w14:paraId="4DACF89B" w14:textId="77777777" w:rsidR="00976284" w:rsidRPr="00543D10" w:rsidRDefault="00976284" w:rsidP="005B39D0">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(2)</w:t>
            </w:r>
          </w:p>
        </w:tc>
      </w:tr>
      <w:tr w:rsidR="00976284" w:rsidRPr="000F6386" w14:paraId="1F225D50" w14:textId="77777777" w:rsidTr="00161381">
        <w:trPr>
          <w:trHeight w:val="233"/>
          <w:jc w:val="center"/>
        </w:trPr>
        <w:tc>
          <w:tcPr>
            <w:tcW w:w="2376" w:type="dxa"/>
            <w:tcBorders>
              <w:top w:val="nil"/>
              <w:left w:val="nil"/>
              <w:bottom w:val="nil"/>
              <w:right w:val="nil"/>
            </w:tcBorders>
            <w:shd w:val="clear" w:color="auto" w:fill="auto"/>
            <w:noWrap/>
            <w:vAlign w:val="center"/>
          </w:tcPr>
          <w:p w14:paraId="0AAD783D" w14:textId="77777777" w:rsidR="00976284" w:rsidRDefault="00976284" w:rsidP="001F6984">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Reclassifications</w:t>
            </w:r>
          </w:p>
        </w:tc>
        <w:tc>
          <w:tcPr>
            <w:tcW w:w="1452" w:type="dxa"/>
            <w:tcBorders>
              <w:top w:val="nil"/>
              <w:left w:val="nil"/>
              <w:bottom w:val="nil"/>
              <w:right w:val="nil"/>
            </w:tcBorders>
            <w:shd w:val="clear" w:color="auto" w:fill="auto"/>
            <w:noWrap/>
            <w:vAlign w:val="center"/>
          </w:tcPr>
          <w:p w14:paraId="3BEA6EBD" w14:textId="77777777" w:rsidR="00976284" w:rsidRDefault="00976284" w:rsidP="005B39D0">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(1,678)</w:t>
            </w:r>
          </w:p>
        </w:tc>
        <w:tc>
          <w:tcPr>
            <w:tcW w:w="1662" w:type="dxa"/>
            <w:tcBorders>
              <w:top w:val="nil"/>
              <w:left w:val="nil"/>
              <w:bottom w:val="nil"/>
              <w:right w:val="nil"/>
            </w:tcBorders>
            <w:shd w:val="clear" w:color="auto" w:fill="auto"/>
            <w:noWrap/>
            <w:vAlign w:val="center"/>
          </w:tcPr>
          <w:p w14:paraId="2BA71371" w14:textId="77777777" w:rsidR="00976284" w:rsidRDefault="00976284" w:rsidP="005B39D0">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(593)</w:t>
            </w:r>
          </w:p>
        </w:tc>
        <w:tc>
          <w:tcPr>
            <w:tcW w:w="1295" w:type="dxa"/>
            <w:tcBorders>
              <w:top w:val="nil"/>
              <w:left w:val="nil"/>
              <w:bottom w:val="nil"/>
              <w:right w:val="nil"/>
            </w:tcBorders>
            <w:shd w:val="clear" w:color="auto" w:fill="auto"/>
            <w:noWrap/>
            <w:vAlign w:val="center"/>
          </w:tcPr>
          <w:p w14:paraId="43A1942B" w14:textId="77777777" w:rsidR="00976284" w:rsidRDefault="00976284" w:rsidP="005B39D0">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w:t>
            </w:r>
          </w:p>
        </w:tc>
        <w:tc>
          <w:tcPr>
            <w:tcW w:w="1217" w:type="dxa"/>
            <w:tcBorders>
              <w:top w:val="nil"/>
              <w:left w:val="nil"/>
              <w:bottom w:val="nil"/>
              <w:right w:val="nil"/>
            </w:tcBorders>
            <w:shd w:val="clear" w:color="auto" w:fill="auto"/>
            <w:noWrap/>
            <w:vAlign w:val="center"/>
          </w:tcPr>
          <w:p w14:paraId="28BDFF5A" w14:textId="77777777" w:rsidR="00976284" w:rsidRDefault="00976284" w:rsidP="005B39D0">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(3,416)</w:t>
            </w:r>
          </w:p>
        </w:tc>
        <w:tc>
          <w:tcPr>
            <w:tcW w:w="1217" w:type="dxa"/>
            <w:tcBorders>
              <w:top w:val="nil"/>
              <w:left w:val="nil"/>
              <w:bottom w:val="nil"/>
              <w:right w:val="nil"/>
            </w:tcBorders>
            <w:shd w:val="clear" w:color="auto" w:fill="auto"/>
            <w:noWrap/>
            <w:vAlign w:val="center"/>
          </w:tcPr>
          <w:p w14:paraId="1BF9EF59" w14:textId="77777777" w:rsidR="00976284" w:rsidRDefault="009F027F" w:rsidP="005B39D0">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(171)</w:t>
            </w:r>
          </w:p>
        </w:tc>
        <w:tc>
          <w:tcPr>
            <w:tcW w:w="961" w:type="dxa"/>
            <w:tcBorders>
              <w:top w:val="nil"/>
              <w:left w:val="nil"/>
              <w:bottom w:val="nil"/>
              <w:right w:val="nil"/>
            </w:tcBorders>
            <w:shd w:val="clear" w:color="auto" w:fill="auto"/>
            <w:noWrap/>
            <w:vAlign w:val="center"/>
          </w:tcPr>
          <w:p w14:paraId="5E5FE007" w14:textId="77777777" w:rsidR="00976284" w:rsidRDefault="00406314" w:rsidP="005B39D0">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(5,858</w:t>
            </w:r>
            <w:r w:rsidR="00976284">
              <w:rPr>
                <w:rFonts w:ascii="Arial" w:eastAsia="Times New Roman" w:hAnsi="Arial" w:cs="Arial"/>
                <w:sz w:val="20"/>
                <w:szCs w:val="20"/>
                <w:lang w:eastAsia="en-GB"/>
              </w:rPr>
              <w:t>)</w:t>
            </w:r>
          </w:p>
        </w:tc>
      </w:tr>
      <w:tr w:rsidR="00976284" w:rsidRPr="000F6386" w14:paraId="63186631" w14:textId="77777777" w:rsidTr="00161381">
        <w:trPr>
          <w:trHeight w:val="137"/>
          <w:jc w:val="center"/>
        </w:trPr>
        <w:tc>
          <w:tcPr>
            <w:tcW w:w="2376" w:type="dxa"/>
            <w:tcBorders>
              <w:top w:val="nil"/>
              <w:left w:val="nil"/>
              <w:bottom w:val="nil"/>
              <w:right w:val="nil"/>
            </w:tcBorders>
            <w:shd w:val="clear" w:color="auto" w:fill="auto"/>
            <w:noWrap/>
            <w:vAlign w:val="center"/>
          </w:tcPr>
          <w:p w14:paraId="046287B4" w14:textId="77777777" w:rsidR="00976284" w:rsidRPr="000F6386" w:rsidRDefault="00976284" w:rsidP="001F6984">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Disposals of subsidiary</w:t>
            </w:r>
          </w:p>
        </w:tc>
        <w:tc>
          <w:tcPr>
            <w:tcW w:w="1452" w:type="dxa"/>
            <w:tcBorders>
              <w:top w:val="nil"/>
              <w:left w:val="nil"/>
              <w:bottom w:val="nil"/>
              <w:right w:val="nil"/>
            </w:tcBorders>
            <w:shd w:val="clear" w:color="auto" w:fill="auto"/>
            <w:noWrap/>
            <w:vAlign w:val="center"/>
          </w:tcPr>
          <w:p w14:paraId="52FCBC5C" w14:textId="77777777" w:rsidR="00976284" w:rsidRDefault="00976284" w:rsidP="005B39D0">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w:t>
            </w:r>
          </w:p>
        </w:tc>
        <w:tc>
          <w:tcPr>
            <w:tcW w:w="1662" w:type="dxa"/>
            <w:tcBorders>
              <w:top w:val="nil"/>
              <w:left w:val="nil"/>
              <w:bottom w:val="nil"/>
              <w:right w:val="nil"/>
            </w:tcBorders>
            <w:shd w:val="clear" w:color="auto" w:fill="auto"/>
            <w:noWrap/>
            <w:vAlign w:val="center"/>
          </w:tcPr>
          <w:p w14:paraId="44D30990" w14:textId="77777777" w:rsidR="00976284" w:rsidRDefault="00976284" w:rsidP="005B39D0">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w:t>
            </w:r>
          </w:p>
        </w:tc>
        <w:tc>
          <w:tcPr>
            <w:tcW w:w="1295" w:type="dxa"/>
            <w:tcBorders>
              <w:top w:val="nil"/>
              <w:left w:val="nil"/>
              <w:bottom w:val="nil"/>
              <w:right w:val="nil"/>
            </w:tcBorders>
            <w:shd w:val="clear" w:color="auto" w:fill="auto"/>
            <w:noWrap/>
            <w:vAlign w:val="center"/>
          </w:tcPr>
          <w:p w14:paraId="6F22A19E" w14:textId="77777777" w:rsidR="00976284" w:rsidRDefault="00976284" w:rsidP="005B39D0">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w:t>
            </w:r>
          </w:p>
        </w:tc>
        <w:tc>
          <w:tcPr>
            <w:tcW w:w="1217" w:type="dxa"/>
            <w:tcBorders>
              <w:top w:val="nil"/>
              <w:left w:val="nil"/>
              <w:bottom w:val="nil"/>
              <w:right w:val="nil"/>
            </w:tcBorders>
            <w:shd w:val="clear" w:color="auto" w:fill="auto"/>
            <w:noWrap/>
            <w:vAlign w:val="center"/>
          </w:tcPr>
          <w:p w14:paraId="1E9F0F1B" w14:textId="77777777" w:rsidR="00976284" w:rsidRDefault="00976284" w:rsidP="005B39D0">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341</w:t>
            </w:r>
          </w:p>
        </w:tc>
        <w:tc>
          <w:tcPr>
            <w:tcW w:w="1217" w:type="dxa"/>
            <w:tcBorders>
              <w:top w:val="nil"/>
              <w:left w:val="nil"/>
              <w:bottom w:val="nil"/>
              <w:right w:val="nil"/>
            </w:tcBorders>
            <w:shd w:val="clear" w:color="auto" w:fill="auto"/>
            <w:noWrap/>
            <w:vAlign w:val="center"/>
          </w:tcPr>
          <w:p w14:paraId="57133714" w14:textId="77777777" w:rsidR="00976284" w:rsidRDefault="00976284" w:rsidP="005B39D0">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w:t>
            </w:r>
          </w:p>
        </w:tc>
        <w:tc>
          <w:tcPr>
            <w:tcW w:w="961" w:type="dxa"/>
            <w:tcBorders>
              <w:top w:val="nil"/>
              <w:left w:val="nil"/>
              <w:bottom w:val="nil"/>
              <w:right w:val="nil"/>
            </w:tcBorders>
            <w:shd w:val="clear" w:color="auto" w:fill="auto"/>
            <w:noWrap/>
            <w:vAlign w:val="center"/>
          </w:tcPr>
          <w:p w14:paraId="1734E3EB" w14:textId="77777777" w:rsidR="00976284" w:rsidRDefault="00976284" w:rsidP="005B39D0">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341</w:t>
            </w:r>
          </w:p>
        </w:tc>
      </w:tr>
      <w:tr w:rsidR="00976284" w:rsidRPr="000F6386" w14:paraId="236C762C" w14:textId="77777777" w:rsidTr="00161381">
        <w:trPr>
          <w:trHeight w:val="183"/>
          <w:jc w:val="center"/>
        </w:trPr>
        <w:tc>
          <w:tcPr>
            <w:tcW w:w="2376" w:type="dxa"/>
            <w:tcBorders>
              <w:top w:val="nil"/>
              <w:left w:val="nil"/>
              <w:bottom w:val="nil"/>
              <w:right w:val="nil"/>
            </w:tcBorders>
            <w:shd w:val="clear" w:color="auto" w:fill="auto"/>
            <w:noWrap/>
            <w:vAlign w:val="center"/>
            <w:hideMark/>
          </w:tcPr>
          <w:p w14:paraId="3A154C01" w14:textId="77777777" w:rsidR="00976284" w:rsidRPr="000F6386" w:rsidRDefault="00976284" w:rsidP="001F6984">
            <w:pPr>
              <w:spacing w:after="0" w:line="240" w:lineRule="auto"/>
              <w:rPr>
                <w:rFonts w:ascii="Arial" w:eastAsia="Times New Roman" w:hAnsi="Arial" w:cs="Arial"/>
                <w:sz w:val="20"/>
                <w:szCs w:val="20"/>
                <w:lang w:eastAsia="en-GB"/>
              </w:rPr>
            </w:pPr>
            <w:r w:rsidRPr="000F6386">
              <w:rPr>
                <w:rFonts w:ascii="Arial" w:eastAsia="Times New Roman" w:hAnsi="Arial" w:cs="Arial"/>
                <w:sz w:val="20"/>
                <w:szCs w:val="20"/>
                <w:lang w:eastAsia="en-GB"/>
              </w:rPr>
              <w:t>Disposals</w:t>
            </w:r>
          </w:p>
        </w:tc>
        <w:tc>
          <w:tcPr>
            <w:tcW w:w="1452" w:type="dxa"/>
            <w:tcBorders>
              <w:top w:val="nil"/>
              <w:left w:val="nil"/>
              <w:bottom w:val="nil"/>
              <w:right w:val="nil"/>
            </w:tcBorders>
            <w:shd w:val="clear" w:color="auto" w:fill="auto"/>
            <w:noWrap/>
            <w:vAlign w:val="center"/>
          </w:tcPr>
          <w:p w14:paraId="5E1192E9" w14:textId="77777777" w:rsidR="00976284" w:rsidRPr="00543D10" w:rsidRDefault="00976284" w:rsidP="005B39D0">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1,572</w:t>
            </w:r>
          </w:p>
        </w:tc>
        <w:tc>
          <w:tcPr>
            <w:tcW w:w="1662" w:type="dxa"/>
            <w:tcBorders>
              <w:top w:val="nil"/>
              <w:left w:val="nil"/>
              <w:bottom w:val="nil"/>
              <w:right w:val="nil"/>
            </w:tcBorders>
            <w:shd w:val="clear" w:color="auto" w:fill="auto"/>
            <w:noWrap/>
            <w:vAlign w:val="center"/>
          </w:tcPr>
          <w:p w14:paraId="633DD899" w14:textId="77777777" w:rsidR="00976284" w:rsidRPr="00543D10" w:rsidRDefault="00976284" w:rsidP="005B39D0">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599</w:t>
            </w:r>
          </w:p>
        </w:tc>
        <w:tc>
          <w:tcPr>
            <w:tcW w:w="1295" w:type="dxa"/>
            <w:tcBorders>
              <w:top w:val="nil"/>
              <w:left w:val="nil"/>
              <w:bottom w:val="nil"/>
              <w:right w:val="nil"/>
            </w:tcBorders>
            <w:shd w:val="clear" w:color="auto" w:fill="auto"/>
            <w:noWrap/>
            <w:vAlign w:val="center"/>
          </w:tcPr>
          <w:p w14:paraId="56AB4B42" w14:textId="77777777" w:rsidR="00976284" w:rsidRPr="00543D10" w:rsidRDefault="00976284" w:rsidP="005B39D0">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w:t>
            </w:r>
          </w:p>
        </w:tc>
        <w:tc>
          <w:tcPr>
            <w:tcW w:w="1217" w:type="dxa"/>
            <w:tcBorders>
              <w:top w:val="nil"/>
              <w:left w:val="nil"/>
              <w:bottom w:val="nil"/>
              <w:right w:val="nil"/>
            </w:tcBorders>
            <w:shd w:val="clear" w:color="auto" w:fill="auto"/>
            <w:noWrap/>
            <w:vAlign w:val="center"/>
          </w:tcPr>
          <w:p w14:paraId="04730F7A" w14:textId="77777777" w:rsidR="00976284" w:rsidRPr="00543D10" w:rsidRDefault="00976284" w:rsidP="005B39D0">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384</w:t>
            </w:r>
          </w:p>
        </w:tc>
        <w:tc>
          <w:tcPr>
            <w:tcW w:w="1217" w:type="dxa"/>
            <w:tcBorders>
              <w:top w:val="nil"/>
              <w:left w:val="nil"/>
              <w:bottom w:val="nil"/>
              <w:right w:val="nil"/>
            </w:tcBorders>
            <w:shd w:val="clear" w:color="auto" w:fill="auto"/>
            <w:noWrap/>
            <w:vAlign w:val="center"/>
          </w:tcPr>
          <w:p w14:paraId="4D256F65" w14:textId="77777777" w:rsidR="00976284" w:rsidRPr="00543D10" w:rsidRDefault="00976284" w:rsidP="005B39D0">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841</w:t>
            </w:r>
          </w:p>
        </w:tc>
        <w:tc>
          <w:tcPr>
            <w:tcW w:w="961" w:type="dxa"/>
            <w:tcBorders>
              <w:top w:val="nil"/>
              <w:left w:val="nil"/>
              <w:bottom w:val="nil"/>
              <w:right w:val="nil"/>
            </w:tcBorders>
            <w:shd w:val="clear" w:color="auto" w:fill="auto"/>
            <w:noWrap/>
            <w:vAlign w:val="center"/>
          </w:tcPr>
          <w:p w14:paraId="302F58BF" w14:textId="77777777" w:rsidR="00976284" w:rsidRPr="00543D10" w:rsidRDefault="00976284" w:rsidP="005B39D0">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3,396</w:t>
            </w:r>
          </w:p>
        </w:tc>
      </w:tr>
      <w:tr w:rsidR="00976284" w:rsidRPr="000F6386" w14:paraId="5FE4288E" w14:textId="77777777" w:rsidTr="00161381">
        <w:trPr>
          <w:trHeight w:val="323"/>
          <w:jc w:val="center"/>
        </w:trPr>
        <w:tc>
          <w:tcPr>
            <w:tcW w:w="2376" w:type="dxa"/>
            <w:tcBorders>
              <w:top w:val="single" w:sz="4" w:space="0" w:color="auto"/>
              <w:left w:val="nil"/>
              <w:bottom w:val="single" w:sz="4" w:space="0" w:color="auto"/>
              <w:right w:val="nil"/>
            </w:tcBorders>
            <w:shd w:val="clear" w:color="auto" w:fill="auto"/>
            <w:noWrap/>
            <w:vAlign w:val="center"/>
            <w:hideMark/>
          </w:tcPr>
          <w:p w14:paraId="12FE4736" w14:textId="77777777" w:rsidR="00976284" w:rsidRPr="000F6386" w:rsidRDefault="00976284" w:rsidP="001F6984">
            <w:pPr>
              <w:spacing w:after="0" w:line="240" w:lineRule="auto"/>
              <w:rPr>
                <w:rFonts w:ascii="Arial" w:eastAsia="Times New Roman" w:hAnsi="Arial" w:cs="Arial"/>
                <w:b/>
                <w:bCs/>
                <w:sz w:val="20"/>
                <w:szCs w:val="20"/>
                <w:lang w:eastAsia="en-GB"/>
              </w:rPr>
            </w:pPr>
            <w:r w:rsidRPr="000F6386">
              <w:rPr>
                <w:rFonts w:ascii="Arial" w:eastAsia="Times New Roman" w:hAnsi="Arial" w:cs="Arial"/>
                <w:b/>
                <w:bCs/>
                <w:sz w:val="20"/>
                <w:szCs w:val="20"/>
                <w:lang w:eastAsia="en-GB"/>
              </w:rPr>
              <w:t xml:space="preserve">At 31 August </w:t>
            </w:r>
            <w:r>
              <w:rPr>
                <w:rFonts w:ascii="Arial" w:eastAsia="Times New Roman" w:hAnsi="Arial" w:cs="Arial"/>
                <w:b/>
                <w:bCs/>
                <w:sz w:val="20"/>
                <w:szCs w:val="20"/>
                <w:lang w:eastAsia="en-GB"/>
              </w:rPr>
              <w:t>2020</w:t>
            </w:r>
          </w:p>
        </w:tc>
        <w:tc>
          <w:tcPr>
            <w:tcW w:w="1452" w:type="dxa"/>
            <w:tcBorders>
              <w:top w:val="single" w:sz="4" w:space="0" w:color="auto"/>
              <w:left w:val="nil"/>
              <w:bottom w:val="single" w:sz="4" w:space="0" w:color="auto"/>
              <w:right w:val="nil"/>
            </w:tcBorders>
            <w:shd w:val="clear" w:color="auto" w:fill="auto"/>
            <w:noWrap/>
            <w:vAlign w:val="center"/>
          </w:tcPr>
          <w:p w14:paraId="3FFE9232" w14:textId="77777777" w:rsidR="00976284" w:rsidRPr="00543D10" w:rsidRDefault="009F027F" w:rsidP="005B39D0">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(4,103</w:t>
            </w:r>
            <w:r w:rsidR="00976284">
              <w:rPr>
                <w:rFonts w:ascii="Arial" w:eastAsia="Times New Roman" w:hAnsi="Arial" w:cs="Arial"/>
                <w:b/>
                <w:bCs/>
                <w:sz w:val="20"/>
                <w:szCs w:val="20"/>
                <w:lang w:eastAsia="en-GB"/>
              </w:rPr>
              <w:t>)</w:t>
            </w:r>
          </w:p>
        </w:tc>
        <w:tc>
          <w:tcPr>
            <w:tcW w:w="1662" w:type="dxa"/>
            <w:tcBorders>
              <w:top w:val="single" w:sz="4" w:space="0" w:color="auto"/>
              <w:left w:val="nil"/>
              <w:bottom w:val="single" w:sz="4" w:space="0" w:color="auto"/>
              <w:right w:val="nil"/>
            </w:tcBorders>
            <w:shd w:val="clear" w:color="auto" w:fill="auto"/>
            <w:noWrap/>
            <w:vAlign w:val="center"/>
          </w:tcPr>
          <w:p w14:paraId="243B6F1E" w14:textId="77777777" w:rsidR="00976284" w:rsidRPr="00543D10" w:rsidRDefault="00976284">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(10,059)</w:t>
            </w:r>
          </w:p>
        </w:tc>
        <w:tc>
          <w:tcPr>
            <w:tcW w:w="1295" w:type="dxa"/>
            <w:tcBorders>
              <w:top w:val="single" w:sz="4" w:space="0" w:color="auto"/>
              <w:left w:val="nil"/>
              <w:bottom w:val="single" w:sz="4" w:space="0" w:color="auto"/>
              <w:right w:val="nil"/>
            </w:tcBorders>
            <w:shd w:val="clear" w:color="auto" w:fill="auto"/>
            <w:noWrap/>
            <w:vAlign w:val="center"/>
          </w:tcPr>
          <w:p w14:paraId="17229B68" w14:textId="77777777" w:rsidR="00976284" w:rsidRPr="00543D10" w:rsidRDefault="00976284" w:rsidP="005B39D0">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w:t>
            </w:r>
          </w:p>
        </w:tc>
        <w:tc>
          <w:tcPr>
            <w:tcW w:w="1217" w:type="dxa"/>
            <w:tcBorders>
              <w:top w:val="single" w:sz="4" w:space="0" w:color="auto"/>
              <w:left w:val="nil"/>
              <w:bottom w:val="single" w:sz="4" w:space="0" w:color="auto"/>
              <w:right w:val="nil"/>
            </w:tcBorders>
            <w:shd w:val="clear" w:color="auto" w:fill="auto"/>
            <w:noWrap/>
            <w:vAlign w:val="center"/>
          </w:tcPr>
          <w:p w14:paraId="25B09F87" w14:textId="77777777" w:rsidR="00976284" w:rsidRPr="00543D10" w:rsidRDefault="009F027F" w:rsidP="005B39D0">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(4,566</w:t>
            </w:r>
            <w:r w:rsidR="00976284">
              <w:rPr>
                <w:rFonts w:ascii="Arial" w:eastAsia="Times New Roman" w:hAnsi="Arial" w:cs="Arial"/>
                <w:b/>
                <w:bCs/>
                <w:sz w:val="20"/>
                <w:szCs w:val="20"/>
                <w:lang w:eastAsia="en-GB"/>
              </w:rPr>
              <w:t>)</w:t>
            </w:r>
          </w:p>
        </w:tc>
        <w:tc>
          <w:tcPr>
            <w:tcW w:w="1217" w:type="dxa"/>
            <w:tcBorders>
              <w:top w:val="single" w:sz="4" w:space="0" w:color="auto"/>
              <w:left w:val="nil"/>
              <w:bottom w:val="single" w:sz="4" w:space="0" w:color="auto"/>
              <w:right w:val="nil"/>
            </w:tcBorders>
            <w:shd w:val="clear" w:color="auto" w:fill="auto"/>
            <w:noWrap/>
            <w:vAlign w:val="center"/>
          </w:tcPr>
          <w:p w14:paraId="03E4C11C" w14:textId="77777777" w:rsidR="00976284" w:rsidRPr="00543D10" w:rsidRDefault="00406314" w:rsidP="005B39D0">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(5,421</w:t>
            </w:r>
            <w:r w:rsidR="00976284">
              <w:rPr>
                <w:rFonts w:ascii="Arial" w:eastAsia="Times New Roman" w:hAnsi="Arial" w:cs="Arial"/>
                <w:b/>
                <w:bCs/>
                <w:sz w:val="20"/>
                <w:szCs w:val="20"/>
                <w:lang w:eastAsia="en-GB"/>
              </w:rPr>
              <w:t>)</w:t>
            </w:r>
          </w:p>
        </w:tc>
        <w:tc>
          <w:tcPr>
            <w:tcW w:w="961" w:type="dxa"/>
            <w:tcBorders>
              <w:top w:val="single" w:sz="4" w:space="0" w:color="auto"/>
              <w:left w:val="nil"/>
              <w:bottom w:val="single" w:sz="4" w:space="0" w:color="auto"/>
              <w:right w:val="nil"/>
            </w:tcBorders>
            <w:shd w:val="clear" w:color="auto" w:fill="auto"/>
            <w:noWrap/>
            <w:vAlign w:val="center"/>
          </w:tcPr>
          <w:p w14:paraId="79D0F216" w14:textId="77777777" w:rsidR="00976284" w:rsidRPr="00543D10" w:rsidRDefault="00976284" w:rsidP="005B39D0">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(24,149)</w:t>
            </w:r>
          </w:p>
        </w:tc>
      </w:tr>
      <w:tr w:rsidR="00976284" w:rsidRPr="000F6386" w14:paraId="28B15797" w14:textId="77777777" w:rsidTr="00161381">
        <w:trPr>
          <w:trHeight w:val="323"/>
          <w:jc w:val="center"/>
        </w:trPr>
        <w:tc>
          <w:tcPr>
            <w:tcW w:w="2376" w:type="dxa"/>
            <w:tcBorders>
              <w:top w:val="nil"/>
              <w:left w:val="nil"/>
              <w:bottom w:val="nil"/>
              <w:right w:val="nil"/>
            </w:tcBorders>
            <w:shd w:val="clear" w:color="auto" w:fill="auto"/>
            <w:noWrap/>
            <w:vAlign w:val="center"/>
            <w:hideMark/>
          </w:tcPr>
          <w:p w14:paraId="4EF4C573" w14:textId="77777777" w:rsidR="00976284" w:rsidRPr="000F6386" w:rsidRDefault="00976284" w:rsidP="001F6984">
            <w:pPr>
              <w:spacing w:after="0" w:line="240" w:lineRule="auto"/>
              <w:rPr>
                <w:rFonts w:ascii="Arial" w:eastAsia="Times New Roman" w:hAnsi="Arial" w:cs="Arial"/>
                <w:b/>
                <w:bCs/>
                <w:sz w:val="20"/>
                <w:szCs w:val="20"/>
                <w:lang w:eastAsia="en-GB"/>
              </w:rPr>
            </w:pPr>
          </w:p>
        </w:tc>
        <w:tc>
          <w:tcPr>
            <w:tcW w:w="1452" w:type="dxa"/>
            <w:tcBorders>
              <w:top w:val="nil"/>
              <w:left w:val="nil"/>
              <w:bottom w:val="nil"/>
              <w:right w:val="nil"/>
            </w:tcBorders>
            <w:shd w:val="clear" w:color="auto" w:fill="auto"/>
            <w:noWrap/>
            <w:vAlign w:val="center"/>
          </w:tcPr>
          <w:p w14:paraId="1F479BE7" w14:textId="77777777" w:rsidR="00976284" w:rsidRPr="00543D10" w:rsidRDefault="00976284" w:rsidP="005B39D0">
            <w:pPr>
              <w:spacing w:after="0" w:line="240" w:lineRule="auto"/>
              <w:jc w:val="right"/>
              <w:rPr>
                <w:rFonts w:ascii="Times New Roman" w:eastAsia="Times New Roman" w:hAnsi="Times New Roman" w:cs="Times New Roman"/>
                <w:sz w:val="20"/>
                <w:szCs w:val="20"/>
                <w:lang w:eastAsia="en-GB"/>
              </w:rPr>
            </w:pPr>
          </w:p>
        </w:tc>
        <w:tc>
          <w:tcPr>
            <w:tcW w:w="1662" w:type="dxa"/>
            <w:tcBorders>
              <w:top w:val="nil"/>
              <w:left w:val="nil"/>
              <w:bottom w:val="nil"/>
              <w:right w:val="nil"/>
            </w:tcBorders>
            <w:shd w:val="clear" w:color="auto" w:fill="auto"/>
            <w:noWrap/>
            <w:vAlign w:val="center"/>
          </w:tcPr>
          <w:p w14:paraId="1934BF91" w14:textId="77777777" w:rsidR="00976284" w:rsidRPr="00543D10" w:rsidRDefault="00976284" w:rsidP="005B39D0">
            <w:pPr>
              <w:spacing w:after="0" w:line="240" w:lineRule="auto"/>
              <w:jc w:val="right"/>
              <w:rPr>
                <w:rFonts w:ascii="Times New Roman" w:eastAsia="Times New Roman" w:hAnsi="Times New Roman" w:cs="Times New Roman"/>
                <w:sz w:val="20"/>
                <w:szCs w:val="20"/>
                <w:lang w:eastAsia="en-GB"/>
              </w:rPr>
            </w:pPr>
          </w:p>
        </w:tc>
        <w:tc>
          <w:tcPr>
            <w:tcW w:w="1295" w:type="dxa"/>
            <w:tcBorders>
              <w:top w:val="nil"/>
              <w:left w:val="nil"/>
              <w:bottom w:val="nil"/>
              <w:right w:val="nil"/>
            </w:tcBorders>
            <w:shd w:val="clear" w:color="auto" w:fill="auto"/>
            <w:noWrap/>
            <w:vAlign w:val="center"/>
          </w:tcPr>
          <w:p w14:paraId="17A5DE91" w14:textId="77777777" w:rsidR="00976284" w:rsidRPr="00543D10" w:rsidRDefault="00976284" w:rsidP="005B39D0">
            <w:pPr>
              <w:spacing w:after="0" w:line="240" w:lineRule="auto"/>
              <w:jc w:val="right"/>
              <w:rPr>
                <w:rFonts w:ascii="Times New Roman" w:eastAsia="Times New Roman" w:hAnsi="Times New Roman" w:cs="Times New Roman"/>
                <w:sz w:val="20"/>
                <w:szCs w:val="20"/>
                <w:lang w:eastAsia="en-GB"/>
              </w:rPr>
            </w:pPr>
          </w:p>
        </w:tc>
        <w:tc>
          <w:tcPr>
            <w:tcW w:w="1217" w:type="dxa"/>
            <w:tcBorders>
              <w:top w:val="nil"/>
              <w:left w:val="nil"/>
              <w:bottom w:val="nil"/>
              <w:right w:val="nil"/>
            </w:tcBorders>
            <w:shd w:val="clear" w:color="auto" w:fill="auto"/>
            <w:noWrap/>
            <w:vAlign w:val="center"/>
          </w:tcPr>
          <w:p w14:paraId="51581FB1" w14:textId="77777777" w:rsidR="00976284" w:rsidRPr="00543D10" w:rsidRDefault="00976284" w:rsidP="005B39D0">
            <w:pPr>
              <w:spacing w:after="0" w:line="240" w:lineRule="auto"/>
              <w:jc w:val="right"/>
              <w:rPr>
                <w:rFonts w:ascii="Times New Roman" w:eastAsia="Times New Roman" w:hAnsi="Times New Roman" w:cs="Times New Roman"/>
                <w:sz w:val="20"/>
                <w:szCs w:val="20"/>
                <w:lang w:eastAsia="en-GB"/>
              </w:rPr>
            </w:pPr>
          </w:p>
        </w:tc>
        <w:tc>
          <w:tcPr>
            <w:tcW w:w="1217" w:type="dxa"/>
            <w:tcBorders>
              <w:top w:val="nil"/>
              <w:left w:val="nil"/>
              <w:bottom w:val="nil"/>
              <w:right w:val="nil"/>
            </w:tcBorders>
            <w:shd w:val="clear" w:color="auto" w:fill="auto"/>
            <w:noWrap/>
            <w:vAlign w:val="center"/>
          </w:tcPr>
          <w:p w14:paraId="3CC499ED" w14:textId="77777777" w:rsidR="00976284" w:rsidRPr="00543D10" w:rsidRDefault="00976284" w:rsidP="005B39D0">
            <w:pPr>
              <w:spacing w:after="0" w:line="240" w:lineRule="auto"/>
              <w:jc w:val="right"/>
              <w:rPr>
                <w:rFonts w:ascii="Times New Roman" w:eastAsia="Times New Roman" w:hAnsi="Times New Roman" w:cs="Times New Roman"/>
                <w:sz w:val="20"/>
                <w:szCs w:val="20"/>
                <w:lang w:eastAsia="en-GB"/>
              </w:rPr>
            </w:pPr>
          </w:p>
        </w:tc>
        <w:tc>
          <w:tcPr>
            <w:tcW w:w="961" w:type="dxa"/>
            <w:tcBorders>
              <w:top w:val="nil"/>
              <w:left w:val="nil"/>
              <w:bottom w:val="nil"/>
              <w:right w:val="nil"/>
            </w:tcBorders>
            <w:shd w:val="clear" w:color="auto" w:fill="auto"/>
            <w:noWrap/>
            <w:vAlign w:val="center"/>
          </w:tcPr>
          <w:p w14:paraId="5D51DDA8" w14:textId="77777777" w:rsidR="00976284" w:rsidRPr="00543D10" w:rsidRDefault="00976284" w:rsidP="005B39D0">
            <w:pPr>
              <w:spacing w:after="0" w:line="240" w:lineRule="auto"/>
              <w:jc w:val="right"/>
              <w:rPr>
                <w:rFonts w:ascii="Times New Roman" w:eastAsia="Times New Roman" w:hAnsi="Times New Roman" w:cs="Times New Roman"/>
                <w:sz w:val="20"/>
                <w:szCs w:val="20"/>
                <w:lang w:eastAsia="en-GB"/>
              </w:rPr>
            </w:pPr>
          </w:p>
        </w:tc>
      </w:tr>
      <w:tr w:rsidR="00976284" w:rsidRPr="000F6386" w14:paraId="285DCB3F" w14:textId="77777777" w:rsidTr="00161381">
        <w:trPr>
          <w:trHeight w:val="323"/>
          <w:jc w:val="center"/>
        </w:trPr>
        <w:tc>
          <w:tcPr>
            <w:tcW w:w="2376" w:type="dxa"/>
            <w:tcBorders>
              <w:top w:val="nil"/>
              <w:left w:val="nil"/>
              <w:bottom w:val="single" w:sz="4" w:space="0" w:color="auto"/>
              <w:right w:val="nil"/>
            </w:tcBorders>
            <w:shd w:val="clear" w:color="auto" w:fill="auto"/>
            <w:noWrap/>
            <w:vAlign w:val="center"/>
            <w:hideMark/>
          </w:tcPr>
          <w:p w14:paraId="367A025D" w14:textId="77777777" w:rsidR="00976284" w:rsidRPr="000F6386" w:rsidRDefault="00976284" w:rsidP="001F6984">
            <w:pPr>
              <w:spacing w:after="0" w:line="240" w:lineRule="auto"/>
              <w:rPr>
                <w:rFonts w:ascii="Arial" w:eastAsia="Times New Roman" w:hAnsi="Arial" w:cs="Arial"/>
                <w:b/>
                <w:bCs/>
                <w:sz w:val="20"/>
                <w:szCs w:val="20"/>
                <w:lang w:eastAsia="en-GB"/>
              </w:rPr>
            </w:pPr>
            <w:r w:rsidRPr="000F6386">
              <w:rPr>
                <w:rFonts w:ascii="Arial" w:eastAsia="Times New Roman" w:hAnsi="Arial" w:cs="Arial"/>
                <w:b/>
                <w:bCs/>
                <w:sz w:val="20"/>
                <w:szCs w:val="20"/>
                <w:lang w:eastAsia="en-GB"/>
              </w:rPr>
              <w:t xml:space="preserve">At 31 August </w:t>
            </w:r>
            <w:r>
              <w:rPr>
                <w:rFonts w:ascii="Arial" w:eastAsia="Times New Roman" w:hAnsi="Arial" w:cs="Arial"/>
                <w:b/>
                <w:bCs/>
                <w:sz w:val="20"/>
                <w:szCs w:val="20"/>
                <w:lang w:eastAsia="en-GB"/>
              </w:rPr>
              <w:t>2020</w:t>
            </w:r>
          </w:p>
        </w:tc>
        <w:tc>
          <w:tcPr>
            <w:tcW w:w="1452" w:type="dxa"/>
            <w:tcBorders>
              <w:top w:val="nil"/>
              <w:left w:val="nil"/>
              <w:bottom w:val="single" w:sz="4" w:space="0" w:color="auto"/>
              <w:right w:val="nil"/>
            </w:tcBorders>
            <w:shd w:val="clear" w:color="auto" w:fill="auto"/>
            <w:noWrap/>
            <w:vAlign w:val="center"/>
          </w:tcPr>
          <w:p w14:paraId="01B980B5" w14:textId="77777777" w:rsidR="00976284" w:rsidRPr="00543D10" w:rsidRDefault="009F027F" w:rsidP="005B39D0">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37,625</w:t>
            </w:r>
          </w:p>
        </w:tc>
        <w:tc>
          <w:tcPr>
            <w:tcW w:w="1662" w:type="dxa"/>
            <w:tcBorders>
              <w:top w:val="nil"/>
              <w:left w:val="nil"/>
              <w:bottom w:val="single" w:sz="4" w:space="0" w:color="auto"/>
              <w:right w:val="nil"/>
            </w:tcBorders>
            <w:shd w:val="clear" w:color="auto" w:fill="auto"/>
            <w:noWrap/>
            <w:vAlign w:val="center"/>
          </w:tcPr>
          <w:p w14:paraId="448B47D7" w14:textId="77777777" w:rsidR="00976284" w:rsidRPr="00543D10" w:rsidRDefault="00976284" w:rsidP="005B39D0">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126,278</w:t>
            </w:r>
          </w:p>
        </w:tc>
        <w:tc>
          <w:tcPr>
            <w:tcW w:w="1295" w:type="dxa"/>
            <w:tcBorders>
              <w:top w:val="nil"/>
              <w:left w:val="nil"/>
              <w:bottom w:val="single" w:sz="4" w:space="0" w:color="auto"/>
              <w:right w:val="nil"/>
            </w:tcBorders>
            <w:shd w:val="clear" w:color="auto" w:fill="auto"/>
            <w:noWrap/>
            <w:vAlign w:val="center"/>
          </w:tcPr>
          <w:p w14:paraId="2E4FE3C4" w14:textId="77777777" w:rsidR="00976284" w:rsidRPr="00543D10" w:rsidRDefault="00976284" w:rsidP="005B39D0">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1,510</w:t>
            </w:r>
          </w:p>
        </w:tc>
        <w:tc>
          <w:tcPr>
            <w:tcW w:w="1217" w:type="dxa"/>
            <w:tcBorders>
              <w:top w:val="nil"/>
              <w:left w:val="nil"/>
              <w:bottom w:val="single" w:sz="4" w:space="0" w:color="auto"/>
              <w:right w:val="nil"/>
            </w:tcBorders>
            <w:shd w:val="clear" w:color="auto" w:fill="auto"/>
            <w:noWrap/>
            <w:vAlign w:val="center"/>
          </w:tcPr>
          <w:p w14:paraId="49E1ACD2" w14:textId="77777777" w:rsidR="00976284" w:rsidRPr="00543D10" w:rsidRDefault="009F027F">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579</w:t>
            </w:r>
          </w:p>
        </w:tc>
        <w:tc>
          <w:tcPr>
            <w:tcW w:w="1217" w:type="dxa"/>
            <w:tcBorders>
              <w:top w:val="nil"/>
              <w:left w:val="nil"/>
              <w:bottom w:val="single" w:sz="4" w:space="0" w:color="auto"/>
              <w:right w:val="nil"/>
            </w:tcBorders>
            <w:shd w:val="clear" w:color="auto" w:fill="auto"/>
            <w:noWrap/>
            <w:vAlign w:val="center"/>
          </w:tcPr>
          <w:p w14:paraId="71AFCD3A" w14:textId="77777777" w:rsidR="00976284" w:rsidRPr="00543D10" w:rsidRDefault="00406314" w:rsidP="005B39D0">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1,694</w:t>
            </w:r>
          </w:p>
        </w:tc>
        <w:tc>
          <w:tcPr>
            <w:tcW w:w="961" w:type="dxa"/>
            <w:tcBorders>
              <w:top w:val="nil"/>
              <w:left w:val="nil"/>
              <w:bottom w:val="single" w:sz="4" w:space="0" w:color="auto"/>
              <w:right w:val="nil"/>
            </w:tcBorders>
            <w:shd w:val="clear" w:color="auto" w:fill="auto"/>
            <w:noWrap/>
            <w:vAlign w:val="center"/>
          </w:tcPr>
          <w:p w14:paraId="00611B37" w14:textId="77777777" w:rsidR="00976284" w:rsidRPr="00543D10" w:rsidRDefault="00976284" w:rsidP="00C97B6D">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167,686</w:t>
            </w:r>
          </w:p>
        </w:tc>
      </w:tr>
      <w:tr w:rsidR="00976284" w:rsidRPr="000F6386" w14:paraId="5F6EBA54" w14:textId="77777777" w:rsidTr="00161381">
        <w:trPr>
          <w:trHeight w:val="323"/>
          <w:jc w:val="center"/>
        </w:trPr>
        <w:tc>
          <w:tcPr>
            <w:tcW w:w="2376" w:type="dxa"/>
            <w:tcBorders>
              <w:top w:val="nil"/>
              <w:left w:val="nil"/>
              <w:bottom w:val="single" w:sz="4" w:space="0" w:color="auto"/>
              <w:right w:val="nil"/>
            </w:tcBorders>
            <w:shd w:val="clear" w:color="auto" w:fill="auto"/>
            <w:noWrap/>
            <w:vAlign w:val="center"/>
            <w:hideMark/>
          </w:tcPr>
          <w:p w14:paraId="314B078E" w14:textId="77777777" w:rsidR="00976284" w:rsidRPr="000F6386" w:rsidRDefault="00976284" w:rsidP="00F07478">
            <w:pPr>
              <w:spacing w:after="0" w:line="240" w:lineRule="auto"/>
              <w:rPr>
                <w:rFonts w:ascii="Arial" w:eastAsia="Times New Roman" w:hAnsi="Arial" w:cs="Arial"/>
                <w:sz w:val="20"/>
                <w:szCs w:val="20"/>
                <w:lang w:eastAsia="en-GB"/>
              </w:rPr>
            </w:pPr>
            <w:r w:rsidRPr="000F6386">
              <w:rPr>
                <w:rFonts w:ascii="Arial" w:eastAsia="Times New Roman" w:hAnsi="Arial" w:cs="Arial"/>
                <w:sz w:val="20"/>
                <w:szCs w:val="20"/>
                <w:lang w:eastAsia="en-GB"/>
              </w:rPr>
              <w:t xml:space="preserve">At 1 September </w:t>
            </w:r>
            <w:r>
              <w:rPr>
                <w:rFonts w:ascii="Arial" w:eastAsia="Times New Roman" w:hAnsi="Arial" w:cs="Arial"/>
                <w:sz w:val="20"/>
                <w:szCs w:val="20"/>
                <w:lang w:eastAsia="en-GB"/>
              </w:rPr>
              <w:t>2019</w:t>
            </w:r>
          </w:p>
        </w:tc>
        <w:tc>
          <w:tcPr>
            <w:tcW w:w="1452" w:type="dxa"/>
            <w:tcBorders>
              <w:top w:val="nil"/>
              <w:left w:val="nil"/>
              <w:bottom w:val="single" w:sz="4" w:space="0" w:color="auto"/>
              <w:right w:val="nil"/>
            </w:tcBorders>
            <w:shd w:val="clear" w:color="auto" w:fill="auto"/>
            <w:noWrap/>
            <w:vAlign w:val="center"/>
            <w:hideMark/>
          </w:tcPr>
          <w:p w14:paraId="266DA861" w14:textId="77777777" w:rsidR="00976284" w:rsidRPr="00F07478" w:rsidRDefault="00976284" w:rsidP="00F07478">
            <w:pPr>
              <w:spacing w:after="0" w:line="240" w:lineRule="auto"/>
              <w:jc w:val="right"/>
              <w:rPr>
                <w:rFonts w:ascii="Arial" w:eastAsia="Times New Roman" w:hAnsi="Arial" w:cs="Arial"/>
                <w:sz w:val="20"/>
                <w:szCs w:val="20"/>
                <w:lang w:eastAsia="en-GB"/>
              </w:rPr>
            </w:pPr>
            <w:r w:rsidRPr="00F07478">
              <w:rPr>
                <w:rFonts w:ascii="Arial" w:eastAsia="Times New Roman" w:hAnsi="Arial" w:cs="Arial"/>
                <w:bCs/>
                <w:sz w:val="20"/>
                <w:szCs w:val="20"/>
                <w:lang w:eastAsia="en-GB"/>
              </w:rPr>
              <w:t>45,720</w:t>
            </w:r>
          </w:p>
        </w:tc>
        <w:tc>
          <w:tcPr>
            <w:tcW w:w="1662" w:type="dxa"/>
            <w:tcBorders>
              <w:top w:val="nil"/>
              <w:left w:val="nil"/>
              <w:bottom w:val="single" w:sz="4" w:space="0" w:color="auto"/>
              <w:right w:val="nil"/>
            </w:tcBorders>
            <w:shd w:val="clear" w:color="auto" w:fill="auto"/>
            <w:noWrap/>
            <w:vAlign w:val="center"/>
            <w:hideMark/>
          </w:tcPr>
          <w:p w14:paraId="57E16A41" w14:textId="77777777" w:rsidR="00976284" w:rsidRPr="00F07478" w:rsidRDefault="00976284" w:rsidP="00F07478">
            <w:pPr>
              <w:spacing w:after="0" w:line="240" w:lineRule="auto"/>
              <w:jc w:val="right"/>
              <w:rPr>
                <w:rFonts w:ascii="Arial" w:eastAsia="Times New Roman" w:hAnsi="Arial" w:cs="Arial"/>
                <w:sz w:val="20"/>
                <w:szCs w:val="20"/>
                <w:lang w:eastAsia="en-GB"/>
              </w:rPr>
            </w:pPr>
            <w:r w:rsidRPr="00F07478">
              <w:rPr>
                <w:rFonts w:ascii="Arial" w:eastAsia="Times New Roman" w:hAnsi="Arial" w:cs="Arial"/>
                <w:bCs/>
                <w:sz w:val="20"/>
                <w:szCs w:val="20"/>
                <w:lang w:eastAsia="en-GB"/>
              </w:rPr>
              <w:t>90,264</w:t>
            </w:r>
          </w:p>
        </w:tc>
        <w:tc>
          <w:tcPr>
            <w:tcW w:w="1295" w:type="dxa"/>
            <w:tcBorders>
              <w:top w:val="nil"/>
              <w:left w:val="nil"/>
              <w:bottom w:val="single" w:sz="4" w:space="0" w:color="auto"/>
              <w:right w:val="nil"/>
            </w:tcBorders>
            <w:shd w:val="clear" w:color="auto" w:fill="auto"/>
            <w:noWrap/>
            <w:vAlign w:val="center"/>
            <w:hideMark/>
          </w:tcPr>
          <w:p w14:paraId="7DB6115B" w14:textId="77777777" w:rsidR="00976284" w:rsidRPr="00F07478" w:rsidRDefault="00976284" w:rsidP="00F07478">
            <w:pPr>
              <w:spacing w:after="0" w:line="240" w:lineRule="auto"/>
              <w:jc w:val="right"/>
              <w:rPr>
                <w:rFonts w:ascii="Arial" w:eastAsia="Times New Roman" w:hAnsi="Arial" w:cs="Arial"/>
                <w:sz w:val="20"/>
                <w:szCs w:val="20"/>
                <w:lang w:eastAsia="en-GB"/>
              </w:rPr>
            </w:pPr>
            <w:r w:rsidRPr="00F07478">
              <w:rPr>
                <w:rFonts w:ascii="Arial" w:eastAsia="Times New Roman" w:hAnsi="Arial" w:cs="Arial"/>
                <w:bCs/>
                <w:sz w:val="20"/>
                <w:szCs w:val="20"/>
                <w:lang w:eastAsia="en-GB"/>
              </w:rPr>
              <w:t>2,850</w:t>
            </w:r>
          </w:p>
        </w:tc>
        <w:tc>
          <w:tcPr>
            <w:tcW w:w="1217" w:type="dxa"/>
            <w:tcBorders>
              <w:top w:val="nil"/>
              <w:left w:val="nil"/>
              <w:bottom w:val="single" w:sz="4" w:space="0" w:color="auto"/>
              <w:right w:val="nil"/>
            </w:tcBorders>
            <w:shd w:val="clear" w:color="auto" w:fill="auto"/>
            <w:noWrap/>
            <w:vAlign w:val="center"/>
            <w:hideMark/>
          </w:tcPr>
          <w:p w14:paraId="4CC4D6C7" w14:textId="77777777" w:rsidR="00976284" w:rsidRPr="00F07478" w:rsidRDefault="00976284" w:rsidP="00F07478">
            <w:pPr>
              <w:spacing w:after="0" w:line="240" w:lineRule="auto"/>
              <w:jc w:val="right"/>
              <w:rPr>
                <w:rFonts w:ascii="Arial" w:eastAsia="Times New Roman" w:hAnsi="Arial" w:cs="Arial"/>
                <w:sz w:val="20"/>
                <w:szCs w:val="20"/>
                <w:lang w:eastAsia="en-GB"/>
              </w:rPr>
            </w:pPr>
            <w:r w:rsidRPr="00F07478">
              <w:rPr>
                <w:rFonts w:ascii="Arial" w:eastAsia="Times New Roman" w:hAnsi="Arial" w:cs="Arial"/>
                <w:bCs/>
                <w:sz w:val="20"/>
                <w:szCs w:val="20"/>
                <w:lang w:eastAsia="en-GB"/>
              </w:rPr>
              <w:t>1,139</w:t>
            </w:r>
          </w:p>
        </w:tc>
        <w:tc>
          <w:tcPr>
            <w:tcW w:w="1217" w:type="dxa"/>
            <w:tcBorders>
              <w:top w:val="nil"/>
              <w:left w:val="nil"/>
              <w:bottom w:val="single" w:sz="4" w:space="0" w:color="auto"/>
              <w:right w:val="nil"/>
            </w:tcBorders>
            <w:shd w:val="clear" w:color="auto" w:fill="auto"/>
            <w:noWrap/>
            <w:vAlign w:val="center"/>
            <w:hideMark/>
          </w:tcPr>
          <w:p w14:paraId="367080E9" w14:textId="77777777" w:rsidR="00976284" w:rsidRPr="00F07478" w:rsidRDefault="00976284" w:rsidP="00F07478">
            <w:pPr>
              <w:spacing w:after="0" w:line="240" w:lineRule="auto"/>
              <w:jc w:val="right"/>
              <w:rPr>
                <w:rFonts w:ascii="Arial" w:eastAsia="Times New Roman" w:hAnsi="Arial" w:cs="Arial"/>
                <w:sz w:val="20"/>
                <w:szCs w:val="20"/>
                <w:lang w:eastAsia="en-GB"/>
              </w:rPr>
            </w:pPr>
            <w:r w:rsidRPr="00F07478">
              <w:rPr>
                <w:rFonts w:ascii="Arial" w:eastAsia="Times New Roman" w:hAnsi="Arial" w:cs="Arial"/>
                <w:bCs/>
                <w:sz w:val="20"/>
                <w:szCs w:val="20"/>
                <w:lang w:eastAsia="en-GB"/>
              </w:rPr>
              <w:t>2,851</w:t>
            </w:r>
          </w:p>
        </w:tc>
        <w:tc>
          <w:tcPr>
            <w:tcW w:w="961" w:type="dxa"/>
            <w:tcBorders>
              <w:top w:val="nil"/>
              <w:left w:val="nil"/>
              <w:bottom w:val="single" w:sz="4" w:space="0" w:color="auto"/>
              <w:right w:val="nil"/>
            </w:tcBorders>
            <w:shd w:val="clear" w:color="auto" w:fill="auto"/>
            <w:noWrap/>
            <w:vAlign w:val="center"/>
            <w:hideMark/>
          </w:tcPr>
          <w:p w14:paraId="150E44B6" w14:textId="77777777" w:rsidR="00976284" w:rsidRPr="00F07478" w:rsidRDefault="00976284" w:rsidP="00F07478">
            <w:pPr>
              <w:spacing w:after="0" w:line="240" w:lineRule="auto"/>
              <w:jc w:val="right"/>
              <w:rPr>
                <w:rFonts w:ascii="Arial" w:eastAsia="Times New Roman" w:hAnsi="Arial" w:cs="Arial"/>
                <w:sz w:val="20"/>
                <w:szCs w:val="20"/>
                <w:lang w:eastAsia="en-GB"/>
              </w:rPr>
            </w:pPr>
            <w:r w:rsidRPr="00F07478">
              <w:rPr>
                <w:rFonts w:ascii="Arial" w:eastAsia="Times New Roman" w:hAnsi="Arial" w:cs="Arial"/>
                <w:bCs/>
                <w:sz w:val="20"/>
                <w:szCs w:val="20"/>
                <w:lang w:eastAsia="en-GB"/>
              </w:rPr>
              <w:t>142,824</w:t>
            </w:r>
          </w:p>
        </w:tc>
      </w:tr>
      <w:tr w:rsidR="00976284" w:rsidRPr="000F6386" w14:paraId="6CC4E758" w14:textId="77777777" w:rsidTr="00161381">
        <w:trPr>
          <w:trHeight w:val="510"/>
          <w:jc w:val="center"/>
        </w:trPr>
        <w:tc>
          <w:tcPr>
            <w:tcW w:w="2376" w:type="dxa"/>
            <w:tcBorders>
              <w:top w:val="single" w:sz="4" w:space="0" w:color="auto"/>
              <w:left w:val="nil"/>
              <w:bottom w:val="nil"/>
              <w:right w:val="nil"/>
            </w:tcBorders>
            <w:shd w:val="clear" w:color="auto" w:fill="auto"/>
            <w:hideMark/>
          </w:tcPr>
          <w:p w14:paraId="35EF1BE8" w14:textId="77777777" w:rsidR="00976284" w:rsidRDefault="00976284" w:rsidP="001F6984">
            <w:pPr>
              <w:spacing w:after="0" w:line="240" w:lineRule="auto"/>
              <w:rPr>
                <w:rFonts w:ascii="Arial" w:eastAsia="Times New Roman" w:hAnsi="Arial" w:cs="Arial"/>
                <w:b/>
                <w:bCs/>
                <w:sz w:val="20"/>
                <w:szCs w:val="20"/>
                <w:lang w:eastAsia="en-GB"/>
              </w:rPr>
            </w:pPr>
          </w:p>
          <w:p w14:paraId="310E62A2" w14:textId="77777777" w:rsidR="00976284" w:rsidRPr="000F6386" w:rsidRDefault="00976284" w:rsidP="001F6984">
            <w:pPr>
              <w:spacing w:after="0" w:line="240" w:lineRule="auto"/>
              <w:rPr>
                <w:rFonts w:ascii="Arial" w:eastAsia="Times New Roman" w:hAnsi="Arial" w:cs="Arial"/>
                <w:b/>
                <w:bCs/>
                <w:sz w:val="20"/>
                <w:szCs w:val="20"/>
                <w:lang w:eastAsia="en-GB"/>
              </w:rPr>
            </w:pPr>
            <w:r w:rsidRPr="000F6386">
              <w:rPr>
                <w:rFonts w:ascii="Arial" w:eastAsia="Times New Roman" w:hAnsi="Arial" w:cs="Arial"/>
                <w:b/>
                <w:bCs/>
                <w:sz w:val="20"/>
                <w:szCs w:val="20"/>
                <w:lang w:eastAsia="en-GB"/>
              </w:rPr>
              <w:t>Company</w:t>
            </w:r>
          </w:p>
        </w:tc>
        <w:tc>
          <w:tcPr>
            <w:tcW w:w="1452" w:type="dxa"/>
            <w:tcBorders>
              <w:top w:val="single" w:sz="4" w:space="0" w:color="auto"/>
              <w:left w:val="nil"/>
              <w:bottom w:val="nil"/>
              <w:right w:val="nil"/>
            </w:tcBorders>
            <w:shd w:val="clear" w:color="auto" w:fill="auto"/>
            <w:hideMark/>
          </w:tcPr>
          <w:p w14:paraId="0FEAA20B" w14:textId="77777777" w:rsidR="00976284" w:rsidRDefault="00976284" w:rsidP="005B39D0">
            <w:pPr>
              <w:spacing w:after="0" w:line="240" w:lineRule="auto"/>
              <w:jc w:val="right"/>
              <w:rPr>
                <w:rFonts w:ascii="Arial" w:eastAsia="Times New Roman" w:hAnsi="Arial" w:cs="Arial"/>
                <w:sz w:val="20"/>
                <w:szCs w:val="20"/>
                <w:lang w:eastAsia="en-GB"/>
              </w:rPr>
            </w:pPr>
          </w:p>
          <w:p w14:paraId="37573486" w14:textId="77777777" w:rsidR="00976284" w:rsidRPr="000F6386" w:rsidRDefault="00976284" w:rsidP="005B39D0">
            <w:pPr>
              <w:spacing w:after="0" w:line="240" w:lineRule="auto"/>
              <w:jc w:val="right"/>
              <w:rPr>
                <w:rFonts w:ascii="Arial" w:eastAsia="Times New Roman" w:hAnsi="Arial" w:cs="Arial"/>
                <w:sz w:val="20"/>
                <w:szCs w:val="20"/>
                <w:lang w:eastAsia="en-GB"/>
              </w:rPr>
            </w:pPr>
            <w:r w:rsidRPr="000F6386">
              <w:rPr>
                <w:rFonts w:ascii="Arial" w:eastAsia="Times New Roman" w:hAnsi="Arial" w:cs="Arial"/>
                <w:sz w:val="20"/>
                <w:szCs w:val="20"/>
                <w:lang w:eastAsia="en-GB"/>
              </w:rPr>
              <w:t>Freehold land and buildings</w:t>
            </w:r>
          </w:p>
        </w:tc>
        <w:tc>
          <w:tcPr>
            <w:tcW w:w="1662" w:type="dxa"/>
            <w:tcBorders>
              <w:top w:val="single" w:sz="4" w:space="0" w:color="auto"/>
              <w:left w:val="nil"/>
              <w:bottom w:val="nil"/>
              <w:right w:val="nil"/>
            </w:tcBorders>
            <w:shd w:val="clear" w:color="auto" w:fill="auto"/>
            <w:hideMark/>
          </w:tcPr>
          <w:p w14:paraId="2786B8D2" w14:textId="77777777" w:rsidR="00976284" w:rsidRDefault="00976284" w:rsidP="005B39D0">
            <w:pPr>
              <w:spacing w:after="0" w:line="240" w:lineRule="auto"/>
              <w:jc w:val="right"/>
              <w:rPr>
                <w:rFonts w:ascii="Arial" w:eastAsia="Times New Roman" w:hAnsi="Arial" w:cs="Arial"/>
                <w:sz w:val="20"/>
                <w:szCs w:val="20"/>
                <w:lang w:eastAsia="en-GB"/>
              </w:rPr>
            </w:pPr>
          </w:p>
          <w:p w14:paraId="766D1658" w14:textId="77777777" w:rsidR="00976284" w:rsidRPr="000F6386" w:rsidRDefault="00976284" w:rsidP="005B39D0">
            <w:pPr>
              <w:spacing w:after="0" w:line="240" w:lineRule="auto"/>
              <w:jc w:val="right"/>
              <w:rPr>
                <w:rFonts w:ascii="Arial" w:eastAsia="Times New Roman" w:hAnsi="Arial" w:cs="Arial"/>
                <w:sz w:val="20"/>
                <w:szCs w:val="20"/>
                <w:lang w:eastAsia="en-GB"/>
              </w:rPr>
            </w:pPr>
            <w:r w:rsidRPr="000F6386">
              <w:rPr>
                <w:rFonts w:ascii="Arial" w:eastAsia="Times New Roman" w:hAnsi="Arial" w:cs="Arial"/>
                <w:sz w:val="20"/>
                <w:szCs w:val="20"/>
                <w:lang w:eastAsia="en-GB"/>
              </w:rPr>
              <w:t>Long leasehold property</w:t>
            </w:r>
          </w:p>
        </w:tc>
        <w:tc>
          <w:tcPr>
            <w:tcW w:w="1295" w:type="dxa"/>
            <w:tcBorders>
              <w:top w:val="single" w:sz="4" w:space="0" w:color="auto"/>
              <w:left w:val="nil"/>
              <w:bottom w:val="nil"/>
              <w:right w:val="nil"/>
            </w:tcBorders>
            <w:shd w:val="clear" w:color="auto" w:fill="auto"/>
            <w:hideMark/>
          </w:tcPr>
          <w:p w14:paraId="51FF27CD" w14:textId="77777777" w:rsidR="00976284" w:rsidRDefault="00976284" w:rsidP="005B39D0">
            <w:pPr>
              <w:spacing w:after="0" w:line="240" w:lineRule="auto"/>
              <w:jc w:val="right"/>
              <w:rPr>
                <w:rFonts w:ascii="Arial" w:eastAsia="Times New Roman" w:hAnsi="Arial" w:cs="Arial"/>
                <w:sz w:val="20"/>
                <w:szCs w:val="20"/>
                <w:lang w:eastAsia="en-GB"/>
              </w:rPr>
            </w:pPr>
          </w:p>
          <w:p w14:paraId="44A6CACC" w14:textId="77777777" w:rsidR="00976284" w:rsidRPr="000F6386" w:rsidRDefault="00976284" w:rsidP="005B39D0">
            <w:pPr>
              <w:spacing w:after="0" w:line="240" w:lineRule="auto"/>
              <w:jc w:val="right"/>
              <w:rPr>
                <w:rFonts w:ascii="Arial" w:eastAsia="Times New Roman" w:hAnsi="Arial" w:cs="Arial"/>
                <w:sz w:val="20"/>
                <w:szCs w:val="20"/>
                <w:lang w:eastAsia="en-GB"/>
              </w:rPr>
            </w:pPr>
            <w:r w:rsidRPr="000F6386">
              <w:rPr>
                <w:rFonts w:ascii="Arial" w:eastAsia="Times New Roman" w:hAnsi="Arial" w:cs="Arial"/>
                <w:sz w:val="20"/>
                <w:szCs w:val="20"/>
                <w:lang w:eastAsia="en-GB"/>
              </w:rPr>
              <w:t>Assets under construction</w:t>
            </w:r>
          </w:p>
        </w:tc>
        <w:tc>
          <w:tcPr>
            <w:tcW w:w="1217" w:type="dxa"/>
            <w:tcBorders>
              <w:top w:val="single" w:sz="4" w:space="0" w:color="auto"/>
              <w:left w:val="nil"/>
              <w:bottom w:val="nil"/>
              <w:right w:val="nil"/>
            </w:tcBorders>
            <w:shd w:val="clear" w:color="auto" w:fill="auto"/>
            <w:hideMark/>
          </w:tcPr>
          <w:p w14:paraId="4DBEE075" w14:textId="77777777" w:rsidR="00976284" w:rsidRDefault="00976284" w:rsidP="005B39D0">
            <w:pPr>
              <w:spacing w:after="0" w:line="240" w:lineRule="auto"/>
              <w:jc w:val="right"/>
              <w:rPr>
                <w:rFonts w:ascii="Arial" w:eastAsia="Times New Roman" w:hAnsi="Arial" w:cs="Arial"/>
                <w:sz w:val="20"/>
                <w:szCs w:val="20"/>
                <w:lang w:eastAsia="en-GB"/>
              </w:rPr>
            </w:pPr>
          </w:p>
          <w:p w14:paraId="2EB5B502" w14:textId="77777777" w:rsidR="00976284" w:rsidRDefault="00976284" w:rsidP="005B39D0">
            <w:pPr>
              <w:spacing w:after="0" w:line="240" w:lineRule="auto"/>
              <w:jc w:val="right"/>
              <w:rPr>
                <w:rFonts w:ascii="Arial" w:eastAsia="Times New Roman" w:hAnsi="Arial" w:cs="Arial"/>
                <w:sz w:val="20"/>
                <w:szCs w:val="20"/>
                <w:lang w:eastAsia="en-GB"/>
              </w:rPr>
            </w:pPr>
            <w:r w:rsidRPr="000F6386">
              <w:rPr>
                <w:rFonts w:ascii="Arial" w:eastAsia="Times New Roman" w:hAnsi="Arial" w:cs="Arial"/>
                <w:sz w:val="20"/>
                <w:szCs w:val="20"/>
                <w:lang w:eastAsia="en-GB"/>
              </w:rPr>
              <w:t>Equipment</w:t>
            </w:r>
          </w:p>
          <w:p w14:paraId="0BEDD2AA" w14:textId="77777777" w:rsidR="00976284" w:rsidRPr="000F6386" w:rsidRDefault="00976284" w:rsidP="005B39D0">
            <w:pPr>
              <w:spacing w:after="0" w:line="240" w:lineRule="auto"/>
              <w:jc w:val="right"/>
              <w:rPr>
                <w:rFonts w:ascii="Arial" w:eastAsia="Times New Roman" w:hAnsi="Arial" w:cs="Arial"/>
                <w:sz w:val="20"/>
                <w:szCs w:val="20"/>
                <w:lang w:eastAsia="en-GB"/>
              </w:rPr>
            </w:pPr>
            <w:r w:rsidRPr="000F6386">
              <w:rPr>
                <w:rFonts w:ascii="Arial" w:eastAsia="Times New Roman" w:hAnsi="Arial" w:cs="Arial"/>
                <w:sz w:val="20"/>
                <w:szCs w:val="20"/>
                <w:lang w:eastAsia="en-GB"/>
              </w:rPr>
              <w:t xml:space="preserve"> and vehicles</w:t>
            </w:r>
          </w:p>
        </w:tc>
        <w:tc>
          <w:tcPr>
            <w:tcW w:w="1217" w:type="dxa"/>
            <w:tcBorders>
              <w:top w:val="single" w:sz="4" w:space="0" w:color="auto"/>
              <w:left w:val="nil"/>
              <w:bottom w:val="nil"/>
              <w:right w:val="nil"/>
            </w:tcBorders>
            <w:shd w:val="clear" w:color="auto" w:fill="auto"/>
            <w:hideMark/>
          </w:tcPr>
          <w:p w14:paraId="3DB77B6E" w14:textId="77777777" w:rsidR="00976284" w:rsidRDefault="00976284" w:rsidP="005B39D0">
            <w:pPr>
              <w:spacing w:after="0" w:line="240" w:lineRule="auto"/>
              <w:jc w:val="right"/>
              <w:rPr>
                <w:rFonts w:ascii="Arial" w:eastAsia="Times New Roman" w:hAnsi="Arial" w:cs="Arial"/>
                <w:sz w:val="20"/>
                <w:szCs w:val="20"/>
                <w:lang w:eastAsia="en-GB"/>
              </w:rPr>
            </w:pPr>
          </w:p>
          <w:p w14:paraId="4307033A" w14:textId="77777777" w:rsidR="00976284" w:rsidRPr="000F6386" w:rsidRDefault="00976284" w:rsidP="005B39D0">
            <w:pPr>
              <w:spacing w:after="0" w:line="240" w:lineRule="auto"/>
              <w:jc w:val="right"/>
              <w:rPr>
                <w:rFonts w:ascii="Arial" w:eastAsia="Times New Roman" w:hAnsi="Arial" w:cs="Arial"/>
                <w:sz w:val="20"/>
                <w:szCs w:val="20"/>
                <w:lang w:eastAsia="en-GB"/>
              </w:rPr>
            </w:pPr>
            <w:r w:rsidRPr="000F6386">
              <w:rPr>
                <w:rFonts w:ascii="Arial" w:eastAsia="Times New Roman" w:hAnsi="Arial" w:cs="Arial"/>
                <w:sz w:val="20"/>
                <w:szCs w:val="20"/>
                <w:lang w:eastAsia="en-GB"/>
              </w:rPr>
              <w:t>Fixtures and fittings</w:t>
            </w:r>
          </w:p>
        </w:tc>
        <w:tc>
          <w:tcPr>
            <w:tcW w:w="961" w:type="dxa"/>
            <w:tcBorders>
              <w:top w:val="single" w:sz="4" w:space="0" w:color="auto"/>
              <w:left w:val="nil"/>
              <w:bottom w:val="nil"/>
              <w:right w:val="nil"/>
            </w:tcBorders>
            <w:shd w:val="clear" w:color="auto" w:fill="auto"/>
            <w:hideMark/>
          </w:tcPr>
          <w:p w14:paraId="7F13A0DB" w14:textId="77777777" w:rsidR="00976284" w:rsidRDefault="00976284" w:rsidP="005B39D0">
            <w:pPr>
              <w:spacing w:after="0" w:line="240" w:lineRule="auto"/>
              <w:jc w:val="right"/>
              <w:rPr>
                <w:rFonts w:ascii="Arial" w:eastAsia="Times New Roman" w:hAnsi="Arial" w:cs="Arial"/>
                <w:sz w:val="20"/>
                <w:szCs w:val="20"/>
                <w:lang w:eastAsia="en-GB"/>
              </w:rPr>
            </w:pPr>
          </w:p>
          <w:p w14:paraId="2F0EFB21" w14:textId="77777777" w:rsidR="00976284" w:rsidRPr="000F6386" w:rsidRDefault="00976284" w:rsidP="005B39D0">
            <w:pPr>
              <w:spacing w:after="0" w:line="240" w:lineRule="auto"/>
              <w:jc w:val="right"/>
              <w:rPr>
                <w:rFonts w:ascii="Arial" w:eastAsia="Times New Roman" w:hAnsi="Arial" w:cs="Arial"/>
                <w:sz w:val="20"/>
                <w:szCs w:val="20"/>
                <w:lang w:eastAsia="en-GB"/>
              </w:rPr>
            </w:pPr>
            <w:r w:rsidRPr="000F6386">
              <w:rPr>
                <w:rFonts w:ascii="Arial" w:eastAsia="Times New Roman" w:hAnsi="Arial" w:cs="Arial"/>
                <w:sz w:val="20"/>
                <w:szCs w:val="20"/>
                <w:lang w:eastAsia="en-GB"/>
              </w:rPr>
              <w:t>Total</w:t>
            </w:r>
          </w:p>
        </w:tc>
      </w:tr>
      <w:tr w:rsidR="00976284" w:rsidRPr="000F6386" w14:paraId="0AE2034C" w14:textId="77777777" w:rsidTr="00161381">
        <w:trPr>
          <w:trHeight w:val="255"/>
          <w:jc w:val="center"/>
        </w:trPr>
        <w:tc>
          <w:tcPr>
            <w:tcW w:w="2376" w:type="dxa"/>
            <w:tcBorders>
              <w:top w:val="nil"/>
              <w:left w:val="nil"/>
              <w:bottom w:val="single" w:sz="4" w:space="0" w:color="auto"/>
              <w:right w:val="nil"/>
            </w:tcBorders>
            <w:shd w:val="clear" w:color="auto" w:fill="auto"/>
            <w:vAlign w:val="center"/>
            <w:hideMark/>
          </w:tcPr>
          <w:p w14:paraId="58EC0A50" w14:textId="77777777" w:rsidR="00976284" w:rsidRPr="000F6386" w:rsidRDefault="00976284" w:rsidP="001F6984">
            <w:pPr>
              <w:spacing w:after="0" w:line="240" w:lineRule="auto"/>
              <w:rPr>
                <w:rFonts w:ascii="Arial" w:eastAsia="Times New Roman" w:hAnsi="Arial" w:cs="Arial"/>
                <w:sz w:val="20"/>
                <w:szCs w:val="20"/>
                <w:lang w:eastAsia="en-GB"/>
              </w:rPr>
            </w:pPr>
            <w:r w:rsidRPr="000F6386">
              <w:rPr>
                <w:rFonts w:ascii="Arial" w:eastAsia="Times New Roman" w:hAnsi="Arial" w:cs="Arial"/>
                <w:sz w:val="20"/>
                <w:szCs w:val="20"/>
                <w:lang w:eastAsia="en-GB"/>
              </w:rPr>
              <w:t> </w:t>
            </w:r>
          </w:p>
        </w:tc>
        <w:tc>
          <w:tcPr>
            <w:tcW w:w="1452" w:type="dxa"/>
            <w:tcBorders>
              <w:top w:val="nil"/>
              <w:left w:val="nil"/>
              <w:bottom w:val="single" w:sz="4" w:space="0" w:color="auto"/>
              <w:right w:val="nil"/>
            </w:tcBorders>
            <w:shd w:val="clear" w:color="auto" w:fill="auto"/>
            <w:vAlign w:val="center"/>
            <w:hideMark/>
          </w:tcPr>
          <w:p w14:paraId="725475E7" w14:textId="77777777" w:rsidR="00976284" w:rsidRPr="000F6386" w:rsidRDefault="00976284" w:rsidP="005B39D0">
            <w:pPr>
              <w:spacing w:after="0" w:line="240" w:lineRule="auto"/>
              <w:jc w:val="right"/>
              <w:rPr>
                <w:rFonts w:ascii="Arial" w:eastAsia="Times New Roman" w:hAnsi="Arial" w:cs="Arial"/>
                <w:sz w:val="20"/>
                <w:szCs w:val="20"/>
                <w:lang w:eastAsia="en-GB"/>
              </w:rPr>
            </w:pPr>
            <w:r w:rsidRPr="000F6386">
              <w:rPr>
                <w:rFonts w:ascii="Arial" w:eastAsia="Times New Roman" w:hAnsi="Arial" w:cs="Arial"/>
                <w:sz w:val="20"/>
                <w:szCs w:val="20"/>
                <w:lang w:eastAsia="en-GB"/>
              </w:rPr>
              <w:t>£'000</w:t>
            </w:r>
          </w:p>
        </w:tc>
        <w:tc>
          <w:tcPr>
            <w:tcW w:w="1662" w:type="dxa"/>
            <w:tcBorders>
              <w:top w:val="nil"/>
              <w:left w:val="nil"/>
              <w:bottom w:val="single" w:sz="4" w:space="0" w:color="auto"/>
              <w:right w:val="nil"/>
            </w:tcBorders>
            <w:shd w:val="clear" w:color="auto" w:fill="auto"/>
            <w:vAlign w:val="center"/>
            <w:hideMark/>
          </w:tcPr>
          <w:p w14:paraId="2D3C0CC4" w14:textId="77777777" w:rsidR="00976284" w:rsidRPr="000F6386" w:rsidRDefault="00976284" w:rsidP="005B39D0">
            <w:pPr>
              <w:spacing w:after="0" w:line="240" w:lineRule="auto"/>
              <w:jc w:val="right"/>
              <w:rPr>
                <w:rFonts w:ascii="Arial" w:eastAsia="Times New Roman" w:hAnsi="Arial" w:cs="Arial"/>
                <w:sz w:val="20"/>
                <w:szCs w:val="20"/>
                <w:lang w:eastAsia="en-GB"/>
              </w:rPr>
            </w:pPr>
            <w:r w:rsidRPr="000F6386">
              <w:rPr>
                <w:rFonts w:ascii="Arial" w:eastAsia="Times New Roman" w:hAnsi="Arial" w:cs="Arial"/>
                <w:sz w:val="20"/>
                <w:szCs w:val="20"/>
                <w:lang w:eastAsia="en-GB"/>
              </w:rPr>
              <w:t>£'000</w:t>
            </w:r>
          </w:p>
        </w:tc>
        <w:tc>
          <w:tcPr>
            <w:tcW w:w="1295" w:type="dxa"/>
            <w:tcBorders>
              <w:top w:val="nil"/>
              <w:left w:val="nil"/>
              <w:bottom w:val="single" w:sz="4" w:space="0" w:color="auto"/>
              <w:right w:val="nil"/>
            </w:tcBorders>
            <w:shd w:val="clear" w:color="auto" w:fill="auto"/>
            <w:vAlign w:val="center"/>
            <w:hideMark/>
          </w:tcPr>
          <w:p w14:paraId="73C279C4" w14:textId="77777777" w:rsidR="00976284" w:rsidRPr="000F6386" w:rsidRDefault="00976284" w:rsidP="005B39D0">
            <w:pPr>
              <w:spacing w:after="0" w:line="240" w:lineRule="auto"/>
              <w:jc w:val="right"/>
              <w:rPr>
                <w:rFonts w:ascii="Arial" w:eastAsia="Times New Roman" w:hAnsi="Arial" w:cs="Arial"/>
                <w:sz w:val="20"/>
                <w:szCs w:val="20"/>
                <w:lang w:eastAsia="en-GB"/>
              </w:rPr>
            </w:pPr>
            <w:r w:rsidRPr="000F6386">
              <w:rPr>
                <w:rFonts w:ascii="Arial" w:eastAsia="Times New Roman" w:hAnsi="Arial" w:cs="Arial"/>
                <w:sz w:val="20"/>
                <w:szCs w:val="20"/>
                <w:lang w:eastAsia="en-GB"/>
              </w:rPr>
              <w:t>£'000</w:t>
            </w:r>
          </w:p>
        </w:tc>
        <w:tc>
          <w:tcPr>
            <w:tcW w:w="1217" w:type="dxa"/>
            <w:tcBorders>
              <w:top w:val="nil"/>
              <w:left w:val="nil"/>
              <w:bottom w:val="single" w:sz="4" w:space="0" w:color="auto"/>
              <w:right w:val="nil"/>
            </w:tcBorders>
            <w:shd w:val="clear" w:color="auto" w:fill="auto"/>
            <w:vAlign w:val="center"/>
            <w:hideMark/>
          </w:tcPr>
          <w:p w14:paraId="06C647BF" w14:textId="77777777" w:rsidR="00976284" w:rsidRPr="000F6386" w:rsidRDefault="00976284" w:rsidP="005B39D0">
            <w:pPr>
              <w:spacing w:after="0" w:line="240" w:lineRule="auto"/>
              <w:jc w:val="right"/>
              <w:rPr>
                <w:rFonts w:ascii="Arial" w:eastAsia="Times New Roman" w:hAnsi="Arial" w:cs="Arial"/>
                <w:sz w:val="20"/>
                <w:szCs w:val="20"/>
                <w:lang w:eastAsia="en-GB"/>
              </w:rPr>
            </w:pPr>
            <w:r w:rsidRPr="000F6386">
              <w:rPr>
                <w:rFonts w:ascii="Arial" w:eastAsia="Times New Roman" w:hAnsi="Arial" w:cs="Arial"/>
                <w:sz w:val="20"/>
                <w:szCs w:val="20"/>
                <w:lang w:eastAsia="en-GB"/>
              </w:rPr>
              <w:t>£'000</w:t>
            </w:r>
          </w:p>
        </w:tc>
        <w:tc>
          <w:tcPr>
            <w:tcW w:w="1217" w:type="dxa"/>
            <w:tcBorders>
              <w:top w:val="nil"/>
              <w:left w:val="nil"/>
              <w:bottom w:val="single" w:sz="4" w:space="0" w:color="auto"/>
              <w:right w:val="nil"/>
            </w:tcBorders>
            <w:shd w:val="clear" w:color="auto" w:fill="auto"/>
            <w:vAlign w:val="center"/>
            <w:hideMark/>
          </w:tcPr>
          <w:p w14:paraId="7FBB2175" w14:textId="77777777" w:rsidR="00976284" w:rsidRPr="000F6386" w:rsidRDefault="00976284" w:rsidP="005B39D0">
            <w:pPr>
              <w:spacing w:after="0" w:line="240" w:lineRule="auto"/>
              <w:jc w:val="right"/>
              <w:rPr>
                <w:rFonts w:ascii="Arial" w:eastAsia="Times New Roman" w:hAnsi="Arial" w:cs="Arial"/>
                <w:sz w:val="20"/>
                <w:szCs w:val="20"/>
                <w:lang w:eastAsia="en-GB"/>
              </w:rPr>
            </w:pPr>
            <w:r w:rsidRPr="000F6386">
              <w:rPr>
                <w:rFonts w:ascii="Arial" w:eastAsia="Times New Roman" w:hAnsi="Arial" w:cs="Arial"/>
                <w:sz w:val="20"/>
                <w:szCs w:val="20"/>
                <w:lang w:eastAsia="en-GB"/>
              </w:rPr>
              <w:t>£'000</w:t>
            </w:r>
          </w:p>
        </w:tc>
        <w:tc>
          <w:tcPr>
            <w:tcW w:w="961" w:type="dxa"/>
            <w:tcBorders>
              <w:top w:val="nil"/>
              <w:left w:val="nil"/>
              <w:bottom w:val="single" w:sz="4" w:space="0" w:color="auto"/>
              <w:right w:val="nil"/>
            </w:tcBorders>
            <w:shd w:val="clear" w:color="auto" w:fill="auto"/>
            <w:vAlign w:val="center"/>
            <w:hideMark/>
          </w:tcPr>
          <w:p w14:paraId="48FF72C0" w14:textId="77777777" w:rsidR="00976284" w:rsidRPr="000F6386" w:rsidRDefault="00976284" w:rsidP="005B39D0">
            <w:pPr>
              <w:spacing w:after="0" w:line="240" w:lineRule="auto"/>
              <w:jc w:val="right"/>
              <w:rPr>
                <w:rFonts w:ascii="Arial" w:eastAsia="Times New Roman" w:hAnsi="Arial" w:cs="Arial"/>
                <w:sz w:val="20"/>
                <w:szCs w:val="20"/>
                <w:lang w:eastAsia="en-GB"/>
              </w:rPr>
            </w:pPr>
            <w:r w:rsidRPr="000F6386">
              <w:rPr>
                <w:rFonts w:ascii="Arial" w:eastAsia="Times New Roman" w:hAnsi="Arial" w:cs="Arial"/>
                <w:sz w:val="20"/>
                <w:szCs w:val="20"/>
                <w:lang w:eastAsia="en-GB"/>
              </w:rPr>
              <w:t>£'000</w:t>
            </w:r>
          </w:p>
        </w:tc>
      </w:tr>
      <w:tr w:rsidR="00976284" w:rsidRPr="000F6386" w14:paraId="7ADAA126" w14:textId="77777777" w:rsidTr="00161381">
        <w:trPr>
          <w:trHeight w:val="255"/>
          <w:jc w:val="center"/>
        </w:trPr>
        <w:tc>
          <w:tcPr>
            <w:tcW w:w="2376" w:type="dxa"/>
            <w:tcBorders>
              <w:top w:val="nil"/>
              <w:left w:val="nil"/>
              <w:bottom w:val="nil"/>
              <w:right w:val="nil"/>
            </w:tcBorders>
            <w:shd w:val="clear" w:color="auto" w:fill="auto"/>
            <w:noWrap/>
            <w:vAlign w:val="center"/>
            <w:hideMark/>
          </w:tcPr>
          <w:p w14:paraId="1BA54265" w14:textId="77777777" w:rsidR="00976284" w:rsidRPr="000F6386" w:rsidRDefault="00976284" w:rsidP="001F6984">
            <w:pPr>
              <w:spacing w:after="0" w:line="240" w:lineRule="auto"/>
              <w:rPr>
                <w:rFonts w:ascii="Arial" w:eastAsia="Times New Roman" w:hAnsi="Arial" w:cs="Arial"/>
                <w:b/>
                <w:bCs/>
                <w:sz w:val="20"/>
                <w:szCs w:val="20"/>
                <w:lang w:eastAsia="en-GB"/>
              </w:rPr>
            </w:pPr>
            <w:r w:rsidRPr="000F6386">
              <w:rPr>
                <w:rFonts w:ascii="Arial" w:eastAsia="Times New Roman" w:hAnsi="Arial" w:cs="Arial"/>
                <w:b/>
                <w:bCs/>
                <w:sz w:val="20"/>
                <w:szCs w:val="20"/>
                <w:lang w:eastAsia="en-GB"/>
              </w:rPr>
              <w:t>Cost or valuation</w:t>
            </w:r>
          </w:p>
        </w:tc>
        <w:tc>
          <w:tcPr>
            <w:tcW w:w="1452" w:type="dxa"/>
            <w:tcBorders>
              <w:top w:val="nil"/>
              <w:left w:val="nil"/>
              <w:right w:val="nil"/>
            </w:tcBorders>
            <w:shd w:val="clear" w:color="auto" w:fill="auto"/>
            <w:noWrap/>
            <w:vAlign w:val="center"/>
            <w:hideMark/>
          </w:tcPr>
          <w:p w14:paraId="2DF0D09E" w14:textId="77777777" w:rsidR="00976284" w:rsidRPr="000F6386" w:rsidRDefault="00976284" w:rsidP="005B39D0">
            <w:pPr>
              <w:spacing w:after="0" w:line="240" w:lineRule="auto"/>
              <w:jc w:val="right"/>
              <w:rPr>
                <w:rFonts w:ascii="Arial" w:eastAsia="Times New Roman" w:hAnsi="Arial" w:cs="Arial"/>
                <w:b/>
                <w:bCs/>
                <w:sz w:val="20"/>
                <w:szCs w:val="20"/>
                <w:lang w:eastAsia="en-GB"/>
              </w:rPr>
            </w:pPr>
          </w:p>
        </w:tc>
        <w:tc>
          <w:tcPr>
            <w:tcW w:w="1662" w:type="dxa"/>
            <w:tcBorders>
              <w:top w:val="nil"/>
              <w:left w:val="nil"/>
              <w:right w:val="nil"/>
            </w:tcBorders>
            <w:shd w:val="clear" w:color="auto" w:fill="auto"/>
            <w:noWrap/>
            <w:vAlign w:val="center"/>
            <w:hideMark/>
          </w:tcPr>
          <w:p w14:paraId="0A801285" w14:textId="77777777" w:rsidR="00976284" w:rsidRPr="000F6386" w:rsidRDefault="00976284" w:rsidP="005B39D0">
            <w:pPr>
              <w:spacing w:after="0" w:line="240" w:lineRule="auto"/>
              <w:jc w:val="right"/>
              <w:rPr>
                <w:rFonts w:ascii="Times New Roman" w:eastAsia="Times New Roman" w:hAnsi="Times New Roman" w:cs="Times New Roman"/>
                <w:sz w:val="20"/>
                <w:szCs w:val="20"/>
                <w:lang w:eastAsia="en-GB"/>
              </w:rPr>
            </w:pPr>
          </w:p>
        </w:tc>
        <w:tc>
          <w:tcPr>
            <w:tcW w:w="1295" w:type="dxa"/>
            <w:tcBorders>
              <w:top w:val="nil"/>
              <w:left w:val="nil"/>
              <w:right w:val="nil"/>
            </w:tcBorders>
            <w:shd w:val="clear" w:color="auto" w:fill="auto"/>
            <w:noWrap/>
            <w:vAlign w:val="center"/>
            <w:hideMark/>
          </w:tcPr>
          <w:p w14:paraId="6E5338FA" w14:textId="77777777" w:rsidR="00976284" w:rsidRPr="000F6386" w:rsidRDefault="00976284" w:rsidP="005B39D0">
            <w:pPr>
              <w:spacing w:after="0" w:line="240" w:lineRule="auto"/>
              <w:jc w:val="right"/>
              <w:rPr>
                <w:rFonts w:ascii="Times New Roman" w:eastAsia="Times New Roman" w:hAnsi="Times New Roman" w:cs="Times New Roman"/>
                <w:sz w:val="20"/>
                <w:szCs w:val="20"/>
                <w:lang w:eastAsia="en-GB"/>
              </w:rPr>
            </w:pPr>
          </w:p>
        </w:tc>
        <w:tc>
          <w:tcPr>
            <w:tcW w:w="1217" w:type="dxa"/>
            <w:tcBorders>
              <w:top w:val="nil"/>
              <w:left w:val="nil"/>
              <w:right w:val="nil"/>
            </w:tcBorders>
            <w:shd w:val="clear" w:color="auto" w:fill="auto"/>
            <w:noWrap/>
            <w:vAlign w:val="center"/>
            <w:hideMark/>
          </w:tcPr>
          <w:p w14:paraId="09BDC5A9" w14:textId="77777777" w:rsidR="00976284" w:rsidRPr="000F6386" w:rsidRDefault="00976284" w:rsidP="005B39D0">
            <w:pPr>
              <w:spacing w:after="0" w:line="240" w:lineRule="auto"/>
              <w:jc w:val="right"/>
              <w:rPr>
                <w:rFonts w:ascii="Times New Roman" w:eastAsia="Times New Roman" w:hAnsi="Times New Roman" w:cs="Times New Roman"/>
                <w:sz w:val="20"/>
                <w:szCs w:val="20"/>
                <w:lang w:eastAsia="en-GB"/>
              </w:rPr>
            </w:pPr>
          </w:p>
        </w:tc>
        <w:tc>
          <w:tcPr>
            <w:tcW w:w="1217" w:type="dxa"/>
            <w:tcBorders>
              <w:top w:val="nil"/>
              <w:left w:val="nil"/>
              <w:right w:val="nil"/>
            </w:tcBorders>
            <w:shd w:val="clear" w:color="auto" w:fill="auto"/>
            <w:noWrap/>
            <w:vAlign w:val="center"/>
            <w:hideMark/>
          </w:tcPr>
          <w:p w14:paraId="50549B2B" w14:textId="77777777" w:rsidR="00976284" w:rsidRPr="000F6386" w:rsidRDefault="00976284" w:rsidP="005B39D0">
            <w:pPr>
              <w:spacing w:after="0" w:line="240" w:lineRule="auto"/>
              <w:jc w:val="right"/>
              <w:rPr>
                <w:rFonts w:ascii="Times New Roman" w:eastAsia="Times New Roman" w:hAnsi="Times New Roman" w:cs="Times New Roman"/>
                <w:sz w:val="20"/>
                <w:szCs w:val="20"/>
                <w:lang w:eastAsia="en-GB"/>
              </w:rPr>
            </w:pPr>
          </w:p>
        </w:tc>
        <w:tc>
          <w:tcPr>
            <w:tcW w:w="961" w:type="dxa"/>
            <w:tcBorders>
              <w:top w:val="nil"/>
              <w:left w:val="nil"/>
              <w:right w:val="nil"/>
            </w:tcBorders>
            <w:shd w:val="clear" w:color="auto" w:fill="auto"/>
            <w:noWrap/>
            <w:vAlign w:val="center"/>
            <w:hideMark/>
          </w:tcPr>
          <w:p w14:paraId="58D191FE" w14:textId="77777777" w:rsidR="00976284" w:rsidRPr="000F6386" w:rsidRDefault="00976284" w:rsidP="005B39D0">
            <w:pPr>
              <w:spacing w:after="0" w:line="240" w:lineRule="auto"/>
              <w:jc w:val="right"/>
              <w:rPr>
                <w:rFonts w:ascii="Times New Roman" w:eastAsia="Times New Roman" w:hAnsi="Times New Roman" w:cs="Times New Roman"/>
                <w:sz w:val="20"/>
                <w:szCs w:val="20"/>
                <w:lang w:eastAsia="en-GB"/>
              </w:rPr>
            </w:pPr>
          </w:p>
        </w:tc>
      </w:tr>
      <w:tr w:rsidR="00976284" w:rsidRPr="000F6386" w14:paraId="712C06DE" w14:textId="77777777" w:rsidTr="00161381">
        <w:trPr>
          <w:trHeight w:val="255"/>
          <w:jc w:val="center"/>
        </w:trPr>
        <w:tc>
          <w:tcPr>
            <w:tcW w:w="2376" w:type="dxa"/>
            <w:tcBorders>
              <w:top w:val="nil"/>
              <w:left w:val="nil"/>
              <w:bottom w:val="nil"/>
              <w:right w:val="nil"/>
            </w:tcBorders>
            <w:shd w:val="clear" w:color="auto" w:fill="auto"/>
            <w:noWrap/>
            <w:vAlign w:val="center"/>
            <w:hideMark/>
          </w:tcPr>
          <w:p w14:paraId="306533E1" w14:textId="77777777" w:rsidR="00976284" w:rsidRPr="000F6386" w:rsidRDefault="00976284" w:rsidP="00F07478">
            <w:pPr>
              <w:spacing w:after="0" w:line="240" w:lineRule="auto"/>
              <w:rPr>
                <w:rFonts w:ascii="Arial" w:eastAsia="Times New Roman" w:hAnsi="Arial" w:cs="Arial"/>
                <w:sz w:val="20"/>
                <w:szCs w:val="20"/>
                <w:lang w:eastAsia="en-GB"/>
              </w:rPr>
            </w:pPr>
            <w:r w:rsidRPr="000F6386">
              <w:rPr>
                <w:rFonts w:ascii="Arial" w:eastAsia="Times New Roman" w:hAnsi="Arial" w:cs="Arial"/>
                <w:sz w:val="20"/>
                <w:szCs w:val="20"/>
                <w:lang w:eastAsia="en-GB"/>
              </w:rPr>
              <w:t xml:space="preserve">At 1 September </w:t>
            </w:r>
            <w:r>
              <w:rPr>
                <w:rFonts w:ascii="Arial" w:eastAsia="Times New Roman" w:hAnsi="Arial" w:cs="Arial"/>
                <w:sz w:val="20"/>
                <w:szCs w:val="20"/>
                <w:lang w:eastAsia="en-GB"/>
              </w:rPr>
              <w:t>2019</w:t>
            </w:r>
          </w:p>
        </w:tc>
        <w:tc>
          <w:tcPr>
            <w:tcW w:w="1452" w:type="dxa"/>
            <w:tcBorders>
              <w:left w:val="nil"/>
              <w:right w:val="nil"/>
            </w:tcBorders>
            <w:shd w:val="clear" w:color="auto" w:fill="auto"/>
            <w:noWrap/>
            <w:vAlign w:val="center"/>
            <w:hideMark/>
          </w:tcPr>
          <w:p w14:paraId="358408FE" w14:textId="77777777" w:rsidR="00976284" w:rsidRPr="00F07478" w:rsidRDefault="00976284" w:rsidP="00F07478">
            <w:pPr>
              <w:spacing w:after="0" w:line="240" w:lineRule="auto"/>
              <w:jc w:val="right"/>
              <w:rPr>
                <w:rFonts w:ascii="Arial" w:eastAsia="Times New Roman" w:hAnsi="Arial" w:cs="Arial"/>
                <w:sz w:val="20"/>
                <w:szCs w:val="20"/>
                <w:lang w:eastAsia="en-GB"/>
              </w:rPr>
            </w:pPr>
            <w:r w:rsidRPr="00F07478">
              <w:rPr>
                <w:rFonts w:ascii="Arial" w:eastAsia="Times New Roman" w:hAnsi="Arial" w:cs="Arial"/>
                <w:bCs/>
                <w:sz w:val="20"/>
                <w:szCs w:val="20"/>
                <w:lang w:eastAsia="en-GB"/>
              </w:rPr>
              <w:t>280</w:t>
            </w:r>
          </w:p>
        </w:tc>
        <w:tc>
          <w:tcPr>
            <w:tcW w:w="1662" w:type="dxa"/>
            <w:tcBorders>
              <w:left w:val="nil"/>
              <w:right w:val="nil"/>
            </w:tcBorders>
            <w:shd w:val="clear" w:color="auto" w:fill="auto"/>
            <w:noWrap/>
            <w:vAlign w:val="center"/>
            <w:hideMark/>
          </w:tcPr>
          <w:p w14:paraId="2559D257" w14:textId="77777777" w:rsidR="00976284" w:rsidRPr="00F07478" w:rsidRDefault="00976284" w:rsidP="00F07478">
            <w:pPr>
              <w:spacing w:after="0" w:line="240" w:lineRule="auto"/>
              <w:jc w:val="right"/>
              <w:rPr>
                <w:rFonts w:ascii="Arial" w:eastAsia="Times New Roman" w:hAnsi="Arial" w:cs="Arial"/>
                <w:sz w:val="20"/>
                <w:szCs w:val="20"/>
                <w:lang w:eastAsia="en-GB"/>
              </w:rPr>
            </w:pPr>
            <w:r w:rsidRPr="00F07478">
              <w:rPr>
                <w:rFonts w:ascii="Arial" w:eastAsia="Times New Roman" w:hAnsi="Arial" w:cs="Arial"/>
                <w:bCs/>
                <w:sz w:val="20"/>
                <w:szCs w:val="20"/>
                <w:lang w:eastAsia="en-GB"/>
              </w:rPr>
              <w:t>3,364</w:t>
            </w:r>
          </w:p>
        </w:tc>
        <w:tc>
          <w:tcPr>
            <w:tcW w:w="1295" w:type="dxa"/>
            <w:tcBorders>
              <w:left w:val="nil"/>
              <w:right w:val="nil"/>
            </w:tcBorders>
            <w:shd w:val="clear" w:color="auto" w:fill="auto"/>
            <w:noWrap/>
            <w:vAlign w:val="center"/>
            <w:hideMark/>
          </w:tcPr>
          <w:p w14:paraId="01E713D3" w14:textId="77777777" w:rsidR="00976284" w:rsidRPr="00F07478" w:rsidRDefault="00976284" w:rsidP="00F07478">
            <w:pPr>
              <w:spacing w:after="0" w:line="240" w:lineRule="auto"/>
              <w:jc w:val="right"/>
              <w:rPr>
                <w:rFonts w:ascii="Arial" w:eastAsia="Times New Roman" w:hAnsi="Arial" w:cs="Arial"/>
                <w:sz w:val="20"/>
                <w:szCs w:val="20"/>
                <w:lang w:eastAsia="en-GB"/>
              </w:rPr>
            </w:pPr>
            <w:r w:rsidRPr="00F07478">
              <w:rPr>
                <w:rFonts w:ascii="Arial" w:eastAsia="Times New Roman" w:hAnsi="Arial" w:cs="Arial"/>
                <w:bCs/>
                <w:sz w:val="20"/>
                <w:szCs w:val="20"/>
                <w:lang w:eastAsia="en-GB"/>
              </w:rPr>
              <w:t>224</w:t>
            </w:r>
          </w:p>
        </w:tc>
        <w:tc>
          <w:tcPr>
            <w:tcW w:w="1217" w:type="dxa"/>
            <w:tcBorders>
              <w:left w:val="nil"/>
              <w:right w:val="nil"/>
            </w:tcBorders>
            <w:shd w:val="clear" w:color="auto" w:fill="auto"/>
            <w:noWrap/>
            <w:vAlign w:val="center"/>
            <w:hideMark/>
          </w:tcPr>
          <w:p w14:paraId="18F02C51" w14:textId="77777777" w:rsidR="00976284" w:rsidRPr="00F07478" w:rsidRDefault="00976284" w:rsidP="00F07478">
            <w:pPr>
              <w:spacing w:after="0" w:line="240" w:lineRule="auto"/>
              <w:jc w:val="right"/>
              <w:rPr>
                <w:rFonts w:ascii="Arial" w:eastAsia="Times New Roman" w:hAnsi="Arial" w:cs="Arial"/>
                <w:sz w:val="20"/>
                <w:szCs w:val="20"/>
                <w:lang w:eastAsia="en-GB"/>
              </w:rPr>
            </w:pPr>
            <w:r w:rsidRPr="00F07478">
              <w:rPr>
                <w:rFonts w:ascii="Arial" w:eastAsia="Times New Roman" w:hAnsi="Arial" w:cs="Arial"/>
                <w:bCs/>
                <w:sz w:val="20"/>
                <w:szCs w:val="20"/>
                <w:lang w:eastAsia="en-GB"/>
              </w:rPr>
              <w:t>592</w:t>
            </w:r>
          </w:p>
        </w:tc>
        <w:tc>
          <w:tcPr>
            <w:tcW w:w="1217" w:type="dxa"/>
            <w:tcBorders>
              <w:left w:val="nil"/>
              <w:right w:val="nil"/>
            </w:tcBorders>
            <w:shd w:val="clear" w:color="auto" w:fill="auto"/>
            <w:noWrap/>
            <w:vAlign w:val="center"/>
            <w:hideMark/>
          </w:tcPr>
          <w:p w14:paraId="50E0EEC7" w14:textId="77777777" w:rsidR="00976284" w:rsidRPr="00F07478" w:rsidRDefault="00976284" w:rsidP="00F07478">
            <w:pPr>
              <w:spacing w:after="0" w:line="240" w:lineRule="auto"/>
              <w:jc w:val="right"/>
              <w:rPr>
                <w:rFonts w:ascii="Arial" w:eastAsia="Times New Roman" w:hAnsi="Arial" w:cs="Arial"/>
                <w:sz w:val="20"/>
                <w:szCs w:val="20"/>
                <w:lang w:eastAsia="en-GB"/>
              </w:rPr>
            </w:pPr>
            <w:r w:rsidRPr="00F07478">
              <w:rPr>
                <w:rFonts w:ascii="Arial" w:eastAsia="Times New Roman" w:hAnsi="Arial" w:cs="Arial"/>
                <w:bCs/>
                <w:sz w:val="20"/>
                <w:szCs w:val="20"/>
                <w:lang w:eastAsia="en-GB"/>
              </w:rPr>
              <w:t>5,190</w:t>
            </w:r>
          </w:p>
        </w:tc>
        <w:tc>
          <w:tcPr>
            <w:tcW w:w="961" w:type="dxa"/>
            <w:tcBorders>
              <w:left w:val="nil"/>
              <w:right w:val="nil"/>
            </w:tcBorders>
            <w:shd w:val="clear" w:color="auto" w:fill="auto"/>
            <w:noWrap/>
            <w:vAlign w:val="center"/>
            <w:hideMark/>
          </w:tcPr>
          <w:p w14:paraId="6035207B" w14:textId="77777777" w:rsidR="00976284" w:rsidRPr="00F07478" w:rsidRDefault="00976284" w:rsidP="00F07478">
            <w:pPr>
              <w:spacing w:after="0" w:line="240" w:lineRule="auto"/>
              <w:jc w:val="right"/>
              <w:rPr>
                <w:rFonts w:ascii="Arial" w:eastAsia="Times New Roman" w:hAnsi="Arial" w:cs="Arial"/>
                <w:sz w:val="20"/>
                <w:szCs w:val="20"/>
                <w:lang w:eastAsia="en-GB"/>
              </w:rPr>
            </w:pPr>
            <w:r w:rsidRPr="00F07478">
              <w:rPr>
                <w:rFonts w:ascii="Arial" w:eastAsia="Times New Roman" w:hAnsi="Arial" w:cs="Arial"/>
                <w:bCs/>
                <w:sz w:val="20"/>
                <w:szCs w:val="20"/>
                <w:lang w:eastAsia="en-GB"/>
              </w:rPr>
              <w:t>9,650</w:t>
            </w:r>
          </w:p>
        </w:tc>
      </w:tr>
      <w:tr w:rsidR="00976284" w:rsidRPr="000F6386" w14:paraId="2F10F6F0" w14:textId="77777777" w:rsidTr="00161381">
        <w:trPr>
          <w:trHeight w:val="255"/>
          <w:jc w:val="center"/>
        </w:trPr>
        <w:tc>
          <w:tcPr>
            <w:tcW w:w="2376" w:type="dxa"/>
            <w:tcBorders>
              <w:top w:val="nil"/>
              <w:left w:val="nil"/>
              <w:bottom w:val="nil"/>
              <w:right w:val="nil"/>
            </w:tcBorders>
            <w:shd w:val="clear" w:color="auto" w:fill="auto"/>
            <w:noWrap/>
            <w:vAlign w:val="center"/>
            <w:hideMark/>
          </w:tcPr>
          <w:p w14:paraId="411059FA" w14:textId="77777777" w:rsidR="00976284" w:rsidRPr="000F6386" w:rsidRDefault="00976284" w:rsidP="001F6984">
            <w:pPr>
              <w:spacing w:after="0" w:line="240" w:lineRule="auto"/>
              <w:rPr>
                <w:rFonts w:ascii="Arial" w:eastAsia="Times New Roman" w:hAnsi="Arial" w:cs="Arial"/>
                <w:sz w:val="20"/>
                <w:szCs w:val="20"/>
                <w:lang w:eastAsia="en-GB"/>
              </w:rPr>
            </w:pPr>
            <w:r w:rsidRPr="000F6386">
              <w:rPr>
                <w:rFonts w:ascii="Arial" w:eastAsia="Times New Roman" w:hAnsi="Arial" w:cs="Arial"/>
                <w:sz w:val="20"/>
                <w:szCs w:val="20"/>
                <w:lang w:eastAsia="en-GB"/>
              </w:rPr>
              <w:t>Additions</w:t>
            </w:r>
          </w:p>
        </w:tc>
        <w:tc>
          <w:tcPr>
            <w:tcW w:w="1452" w:type="dxa"/>
            <w:tcBorders>
              <w:left w:val="nil"/>
              <w:bottom w:val="nil"/>
              <w:right w:val="nil"/>
            </w:tcBorders>
            <w:shd w:val="clear" w:color="auto" w:fill="auto"/>
            <w:noWrap/>
            <w:vAlign w:val="center"/>
          </w:tcPr>
          <w:p w14:paraId="2B5891E1" w14:textId="77777777" w:rsidR="00976284" w:rsidRPr="000F6386" w:rsidRDefault="00976284" w:rsidP="005B39D0">
            <w:pPr>
              <w:spacing w:after="0" w:line="240" w:lineRule="auto"/>
              <w:jc w:val="right"/>
              <w:rPr>
                <w:rFonts w:ascii="Arial" w:eastAsia="Times New Roman" w:hAnsi="Arial" w:cs="Arial"/>
                <w:sz w:val="20"/>
                <w:szCs w:val="20"/>
                <w:lang w:eastAsia="en-GB"/>
              </w:rPr>
            </w:pPr>
            <w:r w:rsidRPr="000F6386">
              <w:rPr>
                <w:rFonts w:ascii="Arial" w:eastAsia="Times New Roman" w:hAnsi="Arial" w:cs="Arial"/>
                <w:sz w:val="20"/>
                <w:szCs w:val="20"/>
                <w:lang w:eastAsia="en-GB"/>
              </w:rPr>
              <w:t>-</w:t>
            </w:r>
          </w:p>
        </w:tc>
        <w:tc>
          <w:tcPr>
            <w:tcW w:w="1662" w:type="dxa"/>
            <w:tcBorders>
              <w:left w:val="nil"/>
              <w:bottom w:val="nil"/>
              <w:right w:val="nil"/>
            </w:tcBorders>
            <w:shd w:val="clear" w:color="auto" w:fill="auto"/>
            <w:noWrap/>
            <w:vAlign w:val="center"/>
          </w:tcPr>
          <w:p w14:paraId="7FE13834" w14:textId="77777777" w:rsidR="00976284" w:rsidRPr="000F6386" w:rsidRDefault="00976284" w:rsidP="005B39D0">
            <w:pPr>
              <w:spacing w:after="0" w:line="240" w:lineRule="auto"/>
              <w:jc w:val="right"/>
              <w:rPr>
                <w:rFonts w:ascii="Arial" w:eastAsia="Times New Roman" w:hAnsi="Arial" w:cs="Arial"/>
                <w:sz w:val="20"/>
                <w:szCs w:val="20"/>
                <w:lang w:eastAsia="en-GB"/>
              </w:rPr>
            </w:pPr>
            <w:r w:rsidRPr="000F6386">
              <w:rPr>
                <w:rFonts w:ascii="Arial" w:eastAsia="Times New Roman" w:hAnsi="Arial" w:cs="Arial"/>
                <w:sz w:val="20"/>
                <w:szCs w:val="20"/>
                <w:lang w:eastAsia="en-GB"/>
              </w:rPr>
              <w:t>-</w:t>
            </w:r>
          </w:p>
        </w:tc>
        <w:tc>
          <w:tcPr>
            <w:tcW w:w="1295" w:type="dxa"/>
            <w:tcBorders>
              <w:left w:val="nil"/>
              <w:bottom w:val="nil"/>
              <w:right w:val="nil"/>
            </w:tcBorders>
            <w:shd w:val="clear" w:color="auto" w:fill="auto"/>
            <w:noWrap/>
            <w:vAlign w:val="center"/>
          </w:tcPr>
          <w:p w14:paraId="7E36306D" w14:textId="77777777" w:rsidR="00976284" w:rsidRPr="000F6386" w:rsidRDefault="00976284" w:rsidP="005B39D0">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11</w:t>
            </w:r>
          </w:p>
        </w:tc>
        <w:tc>
          <w:tcPr>
            <w:tcW w:w="1217" w:type="dxa"/>
            <w:tcBorders>
              <w:left w:val="nil"/>
              <w:bottom w:val="nil"/>
              <w:right w:val="nil"/>
            </w:tcBorders>
            <w:shd w:val="clear" w:color="auto" w:fill="auto"/>
            <w:noWrap/>
            <w:vAlign w:val="center"/>
          </w:tcPr>
          <w:p w14:paraId="7FECCA71" w14:textId="77777777" w:rsidR="00976284" w:rsidRPr="000F6386" w:rsidRDefault="00976284" w:rsidP="005B39D0">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w:t>
            </w:r>
          </w:p>
        </w:tc>
        <w:tc>
          <w:tcPr>
            <w:tcW w:w="1217" w:type="dxa"/>
            <w:tcBorders>
              <w:left w:val="nil"/>
              <w:bottom w:val="nil"/>
              <w:right w:val="nil"/>
            </w:tcBorders>
            <w:shd w:val="clear" w:color="auto" w:fill="auto"/>
            <w:noWrap/>
            <w:vAlign w:val="center"/>
          </w:tcPr>
          <w:p w14:paraId="3A1F5334" w14:textId="77777777" w:rsidR="00976284" w:rsidRPr="000F6386" w:rsidRDefault="00976284" w:rsidP="005B39D0">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104</w:t>
            </w:r>
          </w:p>
        </w:tc>
        <w:tc>
          <w:tcPr>
            <w:tcW w:w="961" w:type="dxa"/>
            <w:tcBorders>
              <w:left w:val="nil"/>
              <w:bottom w:val="nil"/>
              <w:right w:val="nil"/>
            </w:tcBorders>
            <w:shd w:val="clear" w:color="auto" w:fill="auto"/>
            <w:noWrap/>
            <w:vAlign w:val="center"/>
          </w:tcPr>
          <w:p w14:paraId="5EC7B8FF" w14:textId="77777777" w:rsidR="00976284" w:rsidRPr="000F6386" w:rsidRDefault="00976284" w:rsidP="005B39D0">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115</w:t>
            </w:r>
          </w:p>
        </w:tc>
      </w:tr>
      <w:tr w:rsidR="00976284" w:rsidRPr="000F6386" w14:paraId="424CE7E0" w14:textId="77777777" w:rsidTr="00161381">
        <w:trPr>
          <w:trHeight w:val="255"/>
          <w:jc w:val="center"/>
        </w:trPr>
        <w:tc>
          <w:tcPr>
            <w:tcW w:w="2376" w:type="dxa"/>
            <w:tcBorders>
              <w:top w:val="nil"/>
              <w:left w:val="nil"/>
              <w:bottom w:val="nil"/>
              <w:right w:val="nil"/>
            </w:tcBorders>
            <w:shd w:val="clear" w:color="auto" w:fill="auto"/>
            <w:noWrap/>
            <w:vAlign w:val="center"/>
          </w:tcPr>
          <w:p w14:paraId="38DE2908" w14:textId="77777777" w:rsidR="00976284" w:rsidRPr="000F6386" w:rsidRDefault="00976284" w:rsidP="001F6984">
            <w:pPr>
              <w:spacing w:after="0" w:line="240" w:lineRule="auto"/>
              <w:rPr>
                <w:rFonts w:ascii="Arial" w:eastAsia="Times New Roman" w:hAnsi="Arial" w:cs="Arial"/>
                <w:sz w:val="20"/>
                <w:szCs w:val="20"/>
                <w:lang w:eastAsia="en-GB"/>
              </w:rPr>
            </w:pPr>
            <w:r w:rsidRPr="000F6386">
              <w:rPr>
                <w:rFonts w:ascii="Arial" w:eastAsia="Times New Roman" w:hAnsi="Arial" w:cs="Arial"/>
                <w:sz w:val="20"/>
                <w:szCs w:val="20"/>
                <w:lang w:eastAsia="en-GB"/>
              </w:rPr>
              <w:t>Transfers</w:t>
            </w:r>
          </w:p>
        </w:tc>
        <w:tc>
          <w:tcPr>
            <w:tcW w:w="1452" w:type="dxa"/>
            <w:tcBorders>
              <w:top w:val="nil"/>
              <w:left w:val="nil"/>
              <w:bottom w:val="nil"/>
              <w:right w:val="nil"/>
            </w:tcBorders>
            <w:shd w:val="clear" w:color="auto" w:fill="auto"/>
            <w:noWrap/>
            <w:vAlign w:val="center"/>
          </w:tcPr>
          <w:p w14:paraId="3DD8FB90" w14:textId="77777777" w:rsidR="00976284" w:rsidRPr="00543D10" w:rsidRDefault="00976284" w:rsidP="005B39D0">
            <w:pPr>
              <w:spacing w:after="0" w:line="240" w:lineRule="auto"/>
              <w:jc w:val="right"/>
              <w:rPr>
                <w:rFonts w:ascii="Arial" w:eastAsia="Times New Roman" w:hAnsi="Arial" w:cs="Arial"/>
                <w:sz w:val="20"/>
                <w:szCs w:val="20"/>
                <w:lang w:eastAsia="en-GB"/>
              </w:rPr>
            </w:pPr>
            <w:r w:rsidRPr="00543D10">
              <w:rPr>
                <w:rFonts w:ascii="Arial" w:eastAsia="Times New Roman" w:hAnsi="Arial" w:cs="Arial"/>
                <w:sz w:val="20"/>
                <w:szCs w:val="20"/>
                <w:lang w:eastAsia="en-GB"/>
              </w:rPr>
              <w:t>-</w:t>
            </w:r>
          </w:p>
        </w:tc>
        <w:tc>
          <w:tcPr>
            <w:tcW w:w="1662" w:type="dxa"/>
            <w:tcBorders>
              <w:top w:val="nil"/>
              <w:left w:val="nil"/>
              <w:bottom w:val="nil"/>
              <w:right w:val="nil"/>
            </w:tcBorders>
            <w:shd w:val="clear" w:color="auto" w:fill="auto"/>
            <w:noWrap/>
            <w:vAlign w:val="center"/>
          </w:tcPr>
          <w:p w14:paraId="48378D1E" w14:textId="77777777" w:rsidR="00976284" w:rsidRPr="00543D10" w:rsidRDefault="00976284" w:rsidP="005B39D0">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(47)</w:t>
            </w:r>
          </w:p>
        </w:tc>
        <w:tc>
          <w:tcPr>
            <w:tcW w:w="1295" w:type="dxa"/>
            <w:tcBorders>
              <w:top w:val="nil"/>
              <w:left w:val="nil"/>
              <w:bottom w:val="nil"/>
              <w:right w:val="nil"/>
            </w:tcBorders>
            <w:shd w:val="clear" w:color="auto" w:fill="auto"/>
            <w:noWrap/>
            <w:vAlign w:val="center"/>
          </w:tcPr>
          <w:p w14:paraId="162D8E85" w14:textId="77777777" w:rsidR="00976284" w:rsidRPr="00543D10" w:rsidRDefault="00976284" w:rsidP="005B39D0">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w:t>
            </w:r>
          </w:p>
        </w:tc>
        <w:tc>
          <w:tcPr>
            <w:tcW w:w="1217" w:type="dxa"/>
            <w:tcBorders>
              <w:top w:val="nil"/>
              <w:left w:val="nil"/>
              <w:bottom w:val="nil"/>
              <w:right w:val="nil"/>
            </w:tcBorders>
            <w:shd w:val="clear" w:color="auto" w:fill="auto"/>
            <w:noWrap/>
            <w:vAlign w:val="center"/>
          </w:tcPr>
          <w:p w14:paraId="6CC136E4" w14:textId="77777777" w:rsidR="00976284" w:rsidRPr="00543D10" w:rsidRDefault="00976284" w:rsidP="005B39D0">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w:t>
            </w:r>
          </w:p>
        </w:tc>
        <w:tc>
          <w:tcPr>
            <w:tcW w:w="1217" w:type="dxa"/>
            <w:tcBorders>
              <w:top w:val="nil"/>
              <w:left w:val="nil"/>
              <w:bottom w:val="nil"/>
              <w:right w:val="nil"/>
            </w:tcBorders>
            <w:shd w:val="clear" w:color="auto" w:fill="auto"/>
            <w:noWrap/>
            <w:vAlign w:val="center"/>
          </w:tcPr>
          <w:p w14:paraId="4B63B9F8" w14:textId="77777777" w:rsidR="00976284" w:rsidRPr="00543D10" w:rsidRDefault="00976284" w:rsidP="005B39D0">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(3)</w:t>
            </w:r>
          </w:p>
        </w:tc>
        <w:tc>
          <w:tcPr>
            <w:tcW w:w="961" w:type="dxa"/>
            <w:tcBorders>
              <w:top w:val="nil"/>
              <w:left w:val="nil"/>
              <w:bottom w:val="nil"/>
              <w:right w:val="nil"/>
            </w:tcBorders>
            <w:shd w:val="clear" w:color="auto" w:fill="auto"/>
            <w:noWrap/>
            <w:vAlign w:val="center"/>
          </w:tcPr>
          <w:p w14:paraId="4BE243B9" w14:textId="77777777" w:rsidR="00976284" w:rsidRPr="00543D10" w:rsidRDefault="00976284" w:rsidP="005B39D0">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(50)</w:t>
            </w:r>
          </w:p>
        </w:tc>
      </w:tr>
      <w:tr w:rsidR="00976284" w:rsidRPr="000F6386" w14:paraId="158A0DD6" w14:textId="77777777" w:rsidTr="00161381">
        <w:trPr>
          <w:trHeight w:val="255"/>
          <w:jc w:val="center"/>
        </w:trPr>
        <w:tc>
          <w:tcPr>
            <w:tcW w:w="2376" w:type="dxa"/>
            <w:tcBorders>
              <w:top w:val="nil"/>
              <w:left w:val="nil"/>
              <w:bottom w:val="nil"/>
              <w:right w:val="nil"/>
            </w:tcBorders>
            <w:shd w:val="clear" w:color="auto" w:fill="auto"/>
            <w:noWrap/>
            <w:vAlign w:val="center"/>
            <w:hideMark/>
          </w:tcPr>
          <w:p w14:paraId="1B6843C9" w14:textId="77777777" w:rsidR="00976284" w:rsidRPr="000F6386" w:rsidRDefault="00976284" w:rsidP="001F6984">
            <w:pPr>
              <w:spacing w:after="0" w:line="240" w:lineRule="auto"/>
              <w:rPr>
                <w:rFonts w:ascii="Arial" w:eastAsia="Times New Roman" w:hAnsi="Arial" w:cs="Arial"/>
                <w:sz w:val="20"/>
                <w:szCs w:val="20"/>
                <w:lang w:eastAsia="en-GB"/>
              </w:rPr>
            </w:pPr>
            <w:r w:rsidRPr="000F6386">
              <w:rPr>
                <w:rFonts w:ascii="Arial" w:eastAsia="Times New Roman" w:hAnsi="Arial" w:cs="Arial"/>
                <w:sz w:val="20"/>
                <w:szCs w:val="20"/>
                <w:lang w:eastAsia="en-GB"/>
              </w:rPr>
              <w:t>Disposals</w:t>
            </w:r>
          </w:p>
        </w:tc>
        <w:tc>
          <w:tcPr>
            <w:tcW w:w="1452" w:type="dxa"/>
            <w:tcBorders>
              <w:top w:val="nil"/>
              <w:left w:val="nil"/>
              <w:bottom w:val="nil"/>
              <w:right w:val="nil"/>
            </w:tcBorders>
            <w:shd w:val="clear" w:color="auto" w:fill="auto"/>
            <w:noWrap/>
            <w:vAlign w:val="center"/>
          </w:tcPr>
          <w:p w14:paraId="09FD2D78" w14:textId="77777777" w:rsidR="00976284" w:rsidRPr="00543D10" w:rsidRDefault="00976284" w:rsidP="005B39D0">
            <w:pPr>
              <w:spacing w:after="0" w:line="240" w:lineRule="auto"/>
              <w:jc w:val="right"/>
              <w:rPr>
                <w:rFonts w:ascii="Arial" w:eastAsia="Times New Roman" w:hAnsi="Arial" w:cs="Arial"/>
                <w:sz w:val="20"/>
                <w:szCs w:val="20"/>
                <w:lang w:eastAsia="en-GB"/>
              </w:rPr>
            </w:pPr>
            <w:r w:rsidRPr="00543D10">
              <w:rPr>
                <w:rFonts w:ascii="Arial" w:eastAsia="Times New Roman" w:hAnsi="Arial" w:cs="Arial"/>
                <w:sz w:val="20"/>
                <w:szCs w:val="20"/>
                <w:lang w:eastAsia="en-GB"/>
              </w:rPr>
              <w:t>-</w:t>
            </w:r>
          </w:p>
        </w:tc>
        <w:tc>
          <w:tcPr>
            <w:tcW w:w="1662" w:type="dxa"/>
            <w:tcBorders>
              <w:top w:val="nil"/>
              <w:left w:val="nil"/>
              <w:bottom w:val="nil"/>
              <w:right w:val="nil"/>
            </w:tcBorders>
            <w:shd w:val="clear" w:color="auto" w:fill="auto"/>
            <w:noWrap/>
            <w:vAlign w:val="center"/>
          </w:tcPr>
          <w:p w14:paraId="50C617F4" w14:textId="77777777" w:rsidR="00976284" w:rsidRPr="00543D10" w:rsidRDefault="00976284" w:rsidP="005B39D0">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(212)</w:t>
            </w:r>
          </w:p>
        </w:tc>
        <w:tc>
          <w:tcPr>
            <w:tcW w:w="1295" w:type="dxa"/>
            <w:tcBorders>
              <w:top w:val="nil"/>
              <w:left w:val="nil"/>
              <w:bottom w:val="nil"/>
              <w:right w:val="nil"/>
            </w:tcBorders>
            <w:shd w:val="clear" w:color="auto" w:fill="auto"/>
            <w:noWrap/>
            <w:vAlign w:val="center"/>
          </w:tcPr>
          <w:p w14:paraId="5A91D0CB" w14:textId="77777777" w:rsidR="00976284" w:rsidRPr="00543D10" w:rsidRDefault="00976284" w:rsidP="005B39D0">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w:t>
            </w:r>
          </w:p>
        </w:tc>
        <w:tc>
          <w:tcPr>
            <w:tcW w:w="1217" w:type="dxa"/>
            <w:tcBorders>
              <w:top w:val="nil"/>
              <w:left w:val="nil"/>
              <w:bottom w:val="nil"/>
              <w:right w:val="nil"/>
            </w:tcBorders>
            <w:shd w:val="clear" w:color="auto" w:fill="auto"/>
            <w:noWrap/>
            <w:vAlign w:val="center"/>
          </w:tcPr>
          <w:p w14:paraId="2703DDD4" w14:textId="77777777" w:rsidR="00976284" w:rsidRPr="00543D10" w:rsidRDefault="00976284" w:rsidP="005B39D0">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(40)</w:t>
            </w:r>
          </w:p>
        </w:tc>
        <w:tc>
          <w:tcPr>
            <w:tcW w:w="1217" w:type="dxa"/>
            <w:tcBorders>
              <w:top w:val="nil"/>
              <w:left w:val="nil"/>
              <w:bottom w:val="nil"/>
              <w:right w:val="nil"/>
            </w:tcBorders>
            <w:shd w:val="clear" w:color="auto" w:fill="auto"/>
            <w:noWrap/>
            <w:vAlign w:val="center"/>
          </w:tcPr>
          <w:p w14:paraId="5A61DEF0" w14:textId="77777777" w:rsidR="00976284" w:rsidRPr="00543D10" w:rsidRDefault="00976284" w:rsidP="005B39D0">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(596)</w:t>
            </w:r>
          </w:p>
        </w:tc>
        <w:tc>
          <w:tcPr>
            <w:tcW w:w="961" w:type="dxa"/>
            <w:tcBorders>
              <w:top w:val="nil"/>
              <w:left w:val="nil"/>
              <w:bottom w:val="nil"/>
              <w:right w:val="nil"/>
            </w:tcBorders>
            <w:shd w:val="clear" w:color="auto" w:fill="auto"/>
            <w:noWrap/>
            <w:vAlign w:val="center"/>
          </w:tcPr>
          <w:p w14:paraId="77B27D9E" w14:textId="77777777" w:rsidR="00976284" w:rsidRPr="00543D10" w:rsidRDefault="00976284" w:rsidP="005B39D0">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(848)</w:t>
            </w:r>
          </w:p>
        </w:tc>
      </w:tr>
      <w:tr w:rsidR="00976284" w:rsidRPr="000F6386" w14:paraId="02F5D00F" w14:textId="77777777" w:rsidTr="00161381">
        <w:trPr>
          <w:trHeight w:val="255"/>
          <w:jc w:val="center"/>
        </w:trPr>
        <w:tc>
          <w:tcPr>
            <w:tcW w:w="2376" w:type="dxa"/>
            <w:tcBorders>
              <w:top w:val="single" w:sz="4" w:space="0" w:color="auto"/>
              <w:left w:val="nil"/>
              <w:bottom w:val="single" w:sz="4" w:space="0" w:color="auto"/>
              <w:right w:val="nil"/>
            </w:tcBorders>
            <w:shd w:val="clear" w:color="auto" w:fill="auto"/>
            <w:noWrap/>
            <w:vAlign w:val="center"/>
            <w:hideMark/>
          </w:tcPr>
          <w:p w14:paraId="6C4192E5" w14:textId="77777777" w:rsidR="00976284" w:rsidRPr="000F6386" w:rsidRDefault="00976284" w:rsidP="001F6984">
            <w:pPr>
              <w:spacing w:after="0" w:line="240" w:lineRule="auto"/>
              <w:rPr>
                <w:rFonts w:ascii="Arial" w:eastAsia="Times New Roman" w:hAnsi="Arial" w:cs="Arial"/>
                <w:b/>
                <w:bCs/>
                <w:sz w:val="20"/>
                <w:szCs w:val="20"/>
                <w:lang w:eastAsia="en-GB"/>
              </w:rPr>
            </w:pPr>
            <w:r w:rsidRPr="000F6386">
              <w:rPr>
                <w:rFonts w:ascii="Arial" w:eastAsia="Times New Roman" w:hAnsi="Arial" w:cs="Arial"/>
                <w:b/>
                <w:bCs/>
                <w:sz w:val="20"/>
                <w:szCs w:val="20"/>
                <w:lang w:eastAsia="en-GB"/>
              </w:rPr>
              <w:t xml:space="preserve">At 31 August </w:t>
            </w:r>
            <w:r>
              <w:rPr>
                <w:rFonts w:ascii="Arial" w:eastAsia="Times New Roman" w:hAnsi="Arial" w:cs="Arial"/>
                <w:b/>
                <w:bCs/>
                <w:sz w:val="20"/>
                <w:szCs w:val="20"/>
                <w:lang w:eastAsia="en-GB"/>
              </w:rPr>
              <w:t>2020</w:t>
            </w:r>
          </w:p>
        </w:tc>
        <w:tc>
          <w:tcPr>
            <w:tcW w:w="1452" w:type="dxa"/>
            <w:tcBorders>
              <w:top w:val="single" w:sz="4" w:space="0" w:color="auto"/>
              <w:left w:val="nil"/>
              <w:bottom w:val="single" w:sz="4" w:space="0" w:color="auto"/>
              <w:right w:val="nil"/>
            </w:tcBorders>
            <w:shd w:val="clear" w:color="auto" w:fill="auto"/>
            <w:noWrap/>
            <w:vAlign w:val="center"/>
          </w:tcPr>
          <w:p w14:paraId="2AAD5853" w14:textId="77777777" w:rsidR="00976284" w:rsidRPr="00543D10" w:rsidRDefault="00976284" w:rsidP="005B39D0">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280</w:t>
            </w:r>
          </w:p>
        </w:tc>
        <w:tc>
          <w:tcPr>
            <w:tcW w:w="1662" w:type="dxa"/>
            <w:tcBorders>
              <w:top w:val="single" w:sz="4" w:space="0" w:color="auto"/>
              <w:left w:val="nil"/>
              <w:bottom w:val="single" w:sz="4" w:space="0" w:color="auto"/>
              <w:right w:val="nil"/>
            </w:tcBorders>
            <w:shd w:val="clear" w:color="auto" w:fill="auto"/>
            <w:noWrap/>
            <w:vAlign w:val="center"/>
          </w:tcPr>
          <w:p w14:paraId="572228D0" w14:textId="77777777" w:rsidR="00976284" w:rsidRPr="00543D10" w:rsidRDefault="00976284" w:rsidP="005B39D0">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3,105</w:t>
            </w:r>
          </w:p>
        </w:tc>
        <w:tc>
          <w:tcPr>
            <w:tcW w:w="1295" w:type="dxa"/>
            <w:tcBorders>
              <w:top w:val="single" w:sz="4" w:space="0" w:color="auto"/>
              <w:left w:val="nil"/>
              <w:bottom w:val="single" w:sz="4" w:space="0" w:color="auto"/>
              <w:right w:val="nil"/>
            </w:tcBorders>
            <w:shd w:val="clear" w:color="auto" w:fill="auto"/>
            <w:noWrap/>
            <w:vAlign w:val="center"/>
          </w:tcPr>
          <w:p w14:paraId="5484AA66" w14:textId="77777777" w:rsidR="00976284" w:rsidRPr="00543D10" w:rsidRDefault="00976284" w:rsidP="005B39D0">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235</w:t>
            </w:r>
          </w:p>
        </w:tc>
        <w:tc>
          <w:tcPr>
            <w:tcW w:w="1217" w:type="dxa"/>
            <w:tcBorders>
              <w:top w:val="single" w:sz="4" w:space="0" w:color="auto"/>
              <w:left w:val="nil"/>
              <w:bottom w:val="single" w:sz="4" w:space="0" w:color="auto"/>
              <w:right w:val="nil"/>
            </w:tcBorders>
            <w:shd w:val="clear" w:color="auto" w:fill="auto"/>
            <w:noWrap/>
            <w:vAlign w:val="center"/>
          </w:tcPr>
          <w:p w14:paraId="0089E80B" w14:textId="77777777" w:rsidR="00976284" w:rsidRPr="00543D10" w:rsidRDefault="00976284" w:rsidP="005B39D0">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552</w:t>
            </w:r>
          </w:p>
        </w:tc>
        <w:tc>
          <w:tcPr>
            <w:tcW w:w="1217" w:type="dxa"/>
            <w:tcBorders>
              <w:top w:val="single" w:sz="4" w:space="0" w:color="auto"/>
              <w:left w:val="nil"/>
              <w:bottom w:val="single" w:sz="4" w:space="0" w:color="auto"/>
              <w:right w:val="nil"/>
            </w:tcBorders>
            <w:shd w:val="clear" w:color="auto" w:fill="auto"/>
            <w:noWrap/>
            <w:vAlign w:val="center"/>
          </w:tcPr>
          <w:p w14:paraId="4597B16E" w14:textId="77777777" w:rsidR="00976284" w:rsidRPr="00543D10" w:rsidRDefault="00976284" w:rsidP="005B39D0">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4,695</w:t>
            </w:r>
          </w:p>
        </w:tc>
        <w:tc>
          <w:tcPr>
            <w:tcW w:w="961" w:type="dxa"/>
            <w:tcBorders>
              <w:top w:val="single" w:sz="4" w:space="0" w:color="auto"/>
              <w:left w:val="nil"/>
              <w:bottom w:val="single" w:sz="4" w:space="0" w:color="auto"/>
              <w:right w:val="nil"/>
            </w:tcBorders>
            <w:shd w:val="clear" w:color="auto" w:fill="auto"/>
            <w:noWrap/>
            <w:vAlign w:val="center"/>
          </w:tcPr>
          <w:p w14:paraId="677EB515" w14:textId="77777777" w:rsidR="00976284" w:rsidRPr="00543D10" w:rsidRDefault="00976284" w:rsidP="005B39D0">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8,867</w:t>
            </w:r>
          </w:p>
        </w:tc>
      </w:tr>
      <w:tr w:rsidR="00976284" w:rsidRPr="000F6386" w14:paraId="34D3021F" w14:textId="77777777" w:rsidTr="00161381">
        <w:trPr>
          <w:trHeight w:val="255"/>
          <w:jc w:val="center"/>
        </w:trPr>
        <w:tc>
          <w:tcPr>
            <w:tcW w:w="2376" w:type="dxa"/>
            <w:tcBorders>
              <w:top w:val="nil"/>
              <w:left w:val="nil"/>
              <w:bottom w:val="nil"/>
              <w:right w:val="nil"/>
            </w:tcBorders>
            <w:shd w:val="clear" w:color="auto" w:fill="auto"/>
            <w:noWrap/>
            <w:vAlign w:val="center"/>
            <w:hideMark/>
          </w:tcPr>
          <w:p w14:paraId="2B3B725E" w14:textId="77777777" w:rsidR="00976284" w:rsidRPr="000F6386" w:rsidRDefault="00976284" w:rsidP="001F6984">
            <w:pPr>
              <w:spacing w:after="0" w:line="240" w:lineRule="auto"/>
              <w:rPr>
                <w:rFonts w:ascii="Times New Roman" w:eastAsia="Times New Roman" w:hAnsi="Times New Roman" w:cs="Times New Roman"/>
                <w:sz w:val="20"/>
                <w:szCs w:val="20"/>
                <w:lang w:eastAsia="en-GB"/>
              </w:rPr>
            </w:pPr>
          </w:p>
        </w:tc>
        <w:tc>
          <w:tcPr>
            <w:tcW w:w="1452" w:type="dxa"/>
            <w:tcBorders>
              <w:top w:val="nil"/>
              <w:left w:val="nil"/>
              <w:bottom w:val="nil"/>
              <w:right w:val="nil"/>
            </w:tcBorders>
            <w:shd w:val="clear" w:color="auto" w:fill="auto"/>
            <w:noWrap/>
            <w:vAlign w:val="center"/>
            <w:hideMark/>
          </w:tcPr>
          <w:p w14:paraId="229F4C5B" w14:textId="77777777" w:rsidR="00976284" w:rsidRPr="00543D10" w:rsidRDefault="00976284" w:rsidP="001F6984">
            <w:pPr>
              <w:spacing w:after="0" w:line="240" w:lineRule="auto"/>
              <w:rPr>
                <w:rFonts w:ascii="Times New Roman" w:eastAsia="Times New Roman" w:hAnsi="Times New Roman" w:cs="Times New Roman"/>
                <w:sz w:val="20"/>
                <w:szCs w:val="20"/>
                <w:lang w:eastAsia="en-GB"/>
              </w:rPr>
            </w:pPr>
          </w:p>
        </w:tc>
        <w:tc>
          <w:tcPr>
            <w:tcW w:w="1662" w:type="dxa"/>
            <w:tcBorders>
              <w:top w:val="nil"/>
              <w:left w:val="nil"/>
              <w:bottom w:val="nil"/>
              <w:right w:val="nil"/>
            </w:tcBorders>
            <w:shd w:val="clear" w:color="auto" w:fill="auto"/>
            <w:noWrap/>
            <w:vAlign w:val="center"/>
            <w:hideMark/>
          </w:tcPr>
          <w:p w14:paraId="5440FF1F" w14:textId="77777777" w:rsidR="00976284" w:rsidRPr="00543D10" w:rsidRDefault="00976284" w:rsidP="001F6984">
            <w:pPr>
              <w:spacing w:after="0" w:line="240" w:lineRule="auto"/>
              <w:rPr>
                <w:rFonts w:ascii="Times New Roman" w:eastAsia="Times New Roman" w:hAnsi="Times New Roman" w:cs="Times New Roman"/>
                <w:sz w:val="20"/>
                <w:szCs w:val="20"/>
                <w:lang w:eastAsia="en-GB"/>
              </w:rPr>
            </w:pPr>
          </w:p>
        </w:tc>
        <w:tc>
          <w:tcPr>
            <w:tcW w:w="1295" w:type="dxa"/>
            <w:tcBorders>
              <w:top w:val="nil"/>
              <w:left w:val="nil"/>
              <w:bottom w:val="nil"/>
              <w:right w:val="nil"/>
            </w:tcBorders>
            <w:shd w:val="clear" w:color="auto" w:fill="auto"/>
            <w:noWrap/>
            <w:vAlign w:val="center"/>
            <w:hideMark/>
          </w:tcPr>
          <w:p w14:paraId="5C882DB7" w14:textId="77777777" w:rsidR="00976284" w:rsidRPr="00543D10" w:rsidRDefault="00976284" w:rsidP="001F6984">
            <w:pPr>
              <w:spacing w:after="0" w:line="240" w:lineRule="auto"/>
              <w:rPr>
                <w:rFonts w:ascii="Times New Roman" w:eastAsia="Times New Roman" w:hAnsi="Times New Roman" w:cs="Times New Roman"/>
                <w:sz w:val="20"/>
                <w:szCs w:val="20"/>
                <w:lang w:eastAsia="en-GB"/>
              </w:rPr>
            </w:pPr>
          </w:p>
        </w:tc>
        <w:tc>
          <w:tcPr>
            <w:tcW w:w="1217" w:type="dxa"/>
            <w:tcBorders>
              <w:top w:val="nil"/>
              <w:left w:val="nil"/>
              <w:bottom w:val="nil"/>
              <w:right w:val="nil"/>
            </w:tcBorders>
            <w:shd w:val="clear" w:color="auto" w:fill="auto"/>
            <w:noWrap/>
            <w:vAlign w:val="center"/>
            <w:hideMark/>
          </w:tcPr>
          <w:p w14:paraId="6F4E9D12" w14:textId="77777777" w:rsidR="00976284" w:rsidRPr="00543D10" w:rsidRDefault="00976284" w:rsidP="001F6984">
            <w:pPr>
              <w:spacing w:after="0" w:line="240" w:lineRule="auto"/>
              <w:rPr>
                <w:rFonts w:ascii="Times New Roman" w:eastAsia="Times New Roman" w:hAnsi="Times New Roman" w:cs="Times New Roman"/>
                <w:sz w:val="20"/>
                <w:szCs w:val="20"/>
                <w:lang w:eastAsia="en-GB"/>
              </w:rPr>
            </w:pPr>
          </w:p>
        </w:tc>
        <w:tc>
          <w:tcPr>
            <w:tcW w:w="1217" w:type="dxa"/>
            <w:tcBorders>
              <w:top w:val="nil"/>
              <w:left w:val="nil"/>
              <w:bottom w:val="nil"/>
              <w:right w:val="nil"/>
            </w:tcBorders>
            <w:shd w:val="clear" w:color="auto" w:fill="auto"/>
            <w:noWrap/>
            <w:vAlign w:val="center"/>
            <w:hideMark/>
          </w:tcPr>
          <w:p w14:paraId="35ECA257" w14:textId="77777777" w:rsidR="00976284" w:rsidRPr="00543D10" w:rsidRDefault="00976284" w:rsidP="001F6984">
            <w:pPr>
              <w:spacing w:after="0" w:line="240" w:lineRule="auto"/>
              <w:rPr>
                <w:rFonts w:ascii="Times New Roman" w:eastAsia="Times New Roman" w:hAnsi="Times New Roman" w:cs="Times New Roman"/>
                <w:sz w:val="20"/>
                <w:szCs w:val="20"/>
                <w:lang w:eastAsia="en-GB"/>
              </w:rPr>
            </w:pPr>
          </w:p>
        </w:tc>
        <w:tc>
          <w:tcPr>
            <w:tcW w:w="961" w:type="dxa"/>
            <w:tcBorders>
              <w:top w:val="nil"/>
              <w:left w:val="nil"/>
              <w:bottom w:val="nil"/>
              <w:right w:val="nil"/>
            </w:tcBorders>
            <w:shd w:val="clear" w:color="auto" w:fill="auto"/>
            <w:noWrap/>
            <w:vAlign w:val="center"/>
            <w:hideMark/>
          </w:tcPr>
          <w:p w14:paraId="521CC589" w14:textId="77777777" w:rsidR="00976284" w:rsidRPr="00543D10" w:rsidRDefault="00976284" w:rsidP="001F6984">
            <w:pPr>
              <w:spacing w:after="0" w:line="240" w:lineRule="auto"/>
              <w:rPr>
                <w:rFonts w:ascii="Times New Roman" w:eastAsia="Times New Roman" w:hAnsi="Times New Roman" w:cs="Times New Roman"/>
                <w:sz w:val="20"/>
                <w:szCs w:val="20"/>
                <w:lang w:eastAsia="en-GB"/>
              </w:rPr>
            </w:pPr>
          </w:p>
        </w:tc>
      </w:tr>
      <w:tr w:rsidR="00976284" w:rsidRPr="000F6386" w14:paraId="43C90B49" w14:textId="77777777" w:rsidTr="00161381">
        <w:trPr>
          <w:trHeight w:val="255"/>
          <w:jc w:val="center"/>
        </w:trPr>
        <w:tc>
          <w:tcPr>
            <w:tcW w:w="3828" w:type="dxa"/>
            <w:gridSpan w:val="2"/>
            <w:tcBorders>
              <w:top w:val="nil"/>
              <w:left w:val="nil"/>
              <w:bottom w:val="nil"/>
              <w:right w:val="nil"/>
            </w:tcBorders>
            <w:shd w:val="clear" w:color="auto" w:fill="auto"/>
            <w:noWrap/>
            <w:vAlign w:val="center"/>
            <w:hideMark/>
          </w:tcPr>
          <w:p w14:paraId="1E052193" w14:textId="77777777" w:rsidR="00976284" w:rsidRPr="00543D10" w:rsidRDefault="00976284" w:rsidP="001F6984">
            <w:pPr>
              <w:spacing w:after="0" w:line="240" w:lineRule="auto"/>
              <w:rPr>
                <w:rFonts w:ascii="Arial" w:eastAsia="Times New Roman" w:hAnsi="Arial" w:cs="Arial"/>
                <w:b/>
                <w:bCs/>
                <w:sz w:val="20"/>
                <w:szCs w:val="20"/>
                <w:lang w:eastAsia="en-GB"/>
              </w:rPr>
            </w:pPr>
            <w:r w:rsidRPr="00543D10">
              <w:rPr>
                <w:rFonts w:ascii="Arial" w:eastAsia="Times New Roman" w:hAnsi="Arial" w:cs="Arial"/>
                <w:b/>
                <w:bCs/>
                <w:sz w:val="20"/>
                <w:szCs w:val="20"/>
                <w:lang w:eastAsia="en-GB"/>
              </w:rPr>
              <w:t>Accumulated depreciation</w:t>
            </w:r>
          </w:p>
        </w:tc>
        <w:tc>
          <w:tcPr>
            <w:tcW w:w="1662" w:type="dxa"/>
            <w:tcBorders>
              <w:top w:val="nil"/>
              <w:left w:val="nil"/>
              <w:bottom w:val="nil"/>
              <w:right w:val="nil"/>
            </w:tcBorders>
            <w:shd w:val="clear" w:color="auto" w:fill="auto"/>
            <w:noWrap/>
            <w:vAlign w:val="center"/>
            <w:hideMark/>
          </w:tcPr>
          <w:p w14:paraId="45E5D4BA" w14:textId="77777777" w:rsidR="00976284" w:rsidRPr="00543D10" w:rsidRDefault="00976284" w:rsidP="001F6984">
            <w:pPr>
              <w:spacing w:after="0" w:line="240" w:lineRule="auto"/>
              <w:rPr>
                <w:rFonts w:ascii="Arial" w:eastAsia="Times New Roman" w:hAnsi="Arial" w:cs="Arial"/>
                <w:b/>
                <w:bCs/>
                <w:sz w:val="20"/>
                <w:szCs w:val="20"/>
                <w:lang w:eastAsia="en-GB"/>
              </w:rPr>
            </w:pPr>
          </w:p>
        </w:tc>
        <w:tc>
          <w:tcPr>
            <w:tcW w:w="1295" w:type="dxa"/>
            <w:tcBorders>
              <w:top w:val="nil"/>
              <w:left w:val="nil"/>
              <w:bottom w:val="nil"/>
              <w:right w:val="nil"/>
            </w:tcBorders>
            <w:shd w:val="clear" w:color="auto" w:fill="auto"/>
            <w:noWrap/>
            <w:vAlign w:val="center"/>
            <w:hideMark/>
          </w:tcPr>
          <w:p w14:paraId="1D1EB29F" w14:textId="77777777" w:rsidR="00976284" w:rsidRPr="00543D10" w:rsidRDefault="00976284" w:rsidP="001F6984">
            <w:pPr>
              <w:spacing w:after="0" w:line="240" w:lineRule="auto"/>
              <w:rPr>
                <w:rFonts w:ascii="Times New Roman" w:eastAsia="Times New Roman" w:hAnsi="Times New Roman" w:cs="Times New Roman"/>
                <w:sz w:val="20"/>
                <w:szCs w:val="20"/>
                <w:lang w:eastAsia="en-GB"/>
              </w:rPr>
            </w:pPr>
          </w:p>
        </w:tc>
        <w:tc>
          <w:tcPr>
            <w:tcW w:w="1217" w:type="dxa"/>
            <w:tcBorders>
              <w:top w:val="nil"/>
              <w:left w:val="nil"/>
              <w:bottom w:val="nil"/>
              <w:right w:val="nil"/>
            </w:tcBorders>
            <w:shd w:val="clear" w:color="auto" w:fill="auto"/>
            <w:noWrap/>
            <w:vAlign w:val="center"/>
            <w:hideMark/>
          </w:tcPr>
          <w:p w14:paraId="3DB74971" w14:textId="77777777" w:rsidR="00976284" w:rsidRPr="00543D10" w:rsidRDefault="00976284" w:rsidP="001F6984">
            <w:pPr>
              <w:spacing w:after="0" w:line="240" w:lineRule="auto"/>
              <w:rPr>
                <w:rFonts w:ascii="Times New Roman" w:eastAsia="Times New Roman" w:hAnsi="Times New Roman" w:cs="Times New Roman"/>
                <w:sz w:val="20"/>
                <w:szCs w:val="20"/>
                <w:lang w:eastAsia="en-GB"/>
              </w:rPr>
            </w:pPr>
          </w:p>
        </w:tc>
        <w:tc>
          <w:tcPr>
            <w:tcW w:w="1217" w:type="dxa"/>
            <w:tcBorders>
              <w:top w:val="nil"/>
              <w:left w:val="nil"/>
              <w:bottom w:val="nil"/>
              <w:right w:val="nil"/>
            </w:tcBorders>
            <w:shd w:val="clear" w:color="auto" w:fill="auto"/>
            <w:noWrap/>
            <w:vAlign w:val="center"/>
            <w:hideMark/>
          </w:tcPr>
          <w:p w14:paraId="3B89390F" w14:textId="77777777" w:rsidR="00976284" w:rsidRPr="00543D10" w:rsidRDefault="00976284" w:rsidP="001F6984">
            <w:pPr>
              <w:spacing w:after="0" w:line="240" w:lineRule="auto"/>
              <w:rPr>
                <w:rFonts w:ascii="Times New Roman" w:eastAsia="Times New Roman" w:hAnsi="Times New Roman" w:cs="Times New Roman"/>
                <w:sz w:val="20"/>
                <w:szCs w:val="20"/>
                <w:lang w:eastAsia="en-GB"/>
              </w:rPr>
            </w:pPr>
          </w:p>
        </w:tc>
        <w:tc>
          <w:tcPr>
            <w:tcW w:w="961" w:type="dxa"/>
            <w:tcBorders>
              <w:top w:val="nil"/>
              <w:left w:val="nil"/>
              <w:bottom w:val="nil"/>
              <w:right w:val="nil"/>
            </w:tcBorders>
            <w:shd w:val="clear" w:color="auto" w:fill="auto"/>
            <w:noWrap/>
            <w:vAlign w:val="center"/>
            <w:hideMark/>
          </w:tcPr>
          <w:p w14:paraId="1A5ED975" w14:textId="77777777" w:rsidR="00976284" w:rsidRPr="00543D10" w:rsidRDefault="00976284" w:rsidP="001F6984">
            <w:pPr>
              <w:spacing w:after="0" w:line="240" w:lineRule="auto"/>
              <w:rPr>
                <w:rFonts w:ascii="Times New Roman" w:eastAsia="Times New Roman" w:hAnsi="Times New Roman" w:cs="Times New Roman"/>
                <w:sz w:val="20"/>
                <w:szCs w:val="20"/>
                <w:lang w:eastAsia="en-GB"/>
              </w:rPr>
            </w:pPr>
          </w:p>
        </w:tc>
      </w:tr>
      <w:tr w:rsidR="00976284" w:rsidRPr="000F6386" w14:paraId="468101A5" w14:textId="77777777" w:rsidTr="00161381">
        <w:trPr>
          <w:trHeight w:val="255"/>
          <w:jc w:val="center"/>
        </w:trPr>
        <w:tc>
          <w:tcPr>
            <w:tcW w:w="2376" w:type="dxa"/>
            <w:tcBorders>
              <w:top w:val="nil"/>
              <w:left w:val="nil"/>
              <w:bottom w:val="nil"/>
              <w:right w:val="nil"/>
            </w:tcBorders>
            <w:shd w:val="clear" w:color="auto" w:fill="auto"/>
            <w:noWrap/>
            <w:vAlign w:val="center"/>
            <w:hideMark/>
          </w:tcPr>
          <w:p w14:paraId="12C2C8B0" w14:textId="77777777" w:rsidR="00976284" w:rsidRPr="000F6386" w:rsidRDefault="00976284" w:rsidP="00F07478">
            <w:pPr>
              <w:spacing w:after="0" w:line="240" w:lineRule="auto"/>
              <w:rPr>
                <w:rFonts w:ascii="Arial" w:eastAsia="Times New Roman" w:hAnsi="Arial" w:cs="Arial"/>
                <w:sz w:val="20"/>
                <w:szCs w:val="20"/>
                <w:lang w:eastAsia="en-GB"/>
              </w:rPr>
            </w:pPr>
            <w:r w:rsidRPr="000F6386">
              <w:rPr>
                <w:rFonts w:ascii="Arial" w:eastAsia="Times New Roman" w:hAnsi="Arial" w:cs="Arial"/>
                <w:sz w:val="20"/>
                <w:szCs w:val="20"/>
                <w:lang w:eastAsia="en-GB"/>
              </w:rPr>
              <w:t xml:space="preserve">At 1 September </w:t>
            </w:r>
            <w:r>
              <w:rPr>
                <w:rFonts w:ascii="Arial" w:eastAsia="Times New Roman" w:hAnsi="Arial" w:cs="Arial"/>
                <w:sz w:val="20"/>
                <w:szCs w:val="20"/>
                <w:lang w:eastAsia="en-GB"/>
              </w:rPr>
              <w:t>2019</w:t>
            </w:r>
          </w:p>
        </w:tc>
        <w:tc>
          <w:tcPr>
            <w:tcW w:w="1452" w:type="dxa"/>
            <w:tcBorders>
              <w:left w:val="nil"/>
              <w:right w:val="nil"/>
            </w:tcBorders>
            <w:shd w:val="clear" w:color="auto" w:fill="auto"/>
            <w:noWrap/>
            <w:vAlign w:val="center"/>
            <w:hideMark/>
          </w:tcPr>
          <w:p w14:paraId="5599C142" w14:textId="77777777" w:rsidR="00976284" w:rsidRPr="00F07478" w:rsidRDefault="00976284" w:rsidP="00F07478">
            <w:pPr>
              <w:spacing w:after="0" w:line="240" w:lineRule="auto"/>
              <w:jc w:val="right"/>
              <w:rPr>
                <w:rFonts w:ascii="Arial" w:eastAsia="Times New Roman" w:hAnsi="Arial" w:cs="Arial"/>
                <w:sz w:val="20"/>
                <w:szCs w:val="20"/>
                <w:lang w:eastAsia="en-GB"/>
              </w:rPr>
            </w:pPr>
            <w:r w:rsidRPr="00F07478">
              <w:rPr>
                <w:rFonts w:ascii="Arial" w:eastAsia="Times New Roman" w:hAnsi="Arial" w:cs="Arial"/>
                <w:bCs/>
                <w:sz w:val="20"/>
                <w:szCs w:val="20"/>
                <w:lang w:eastAsia="en-GB"/>
              </w:rPr>
              <w:t>(73)</w:t>
            </w:r>
          </w:p>
        </w:tc>
        <w:tc>
          <w:tcPr>
            <w:tcW w:w="1662" w:type="dxa"/>
            <w:tcBorders>
              <w:left w:val="nil"/>
              <w:right w:val="nil"/>
            </w:tcBorders>
            <w:shd w:val="clear" w:color="auto" w:fill="auto"/>
            <w:noWrap/>
            <w:vAlign w:val="center"/>
            <w:hideMark/>
          </w:tcPr>
          <w:p w14:paraId="0697D919" w14:textId="77777777" w:rsidR="00976284" w:rsidRPr="00F07478" w:rsidRDefault="00976284" w:rsidP="00F07478">
            <w:pPr>
              <w:spacing w:after="0" w:line="240" w:lineRule="auto"/>
              <w:jc w:val="right"/>
              <w:rPr>
                <w:rFonts w:ascii="Arial" w:eastAsia="Times New Roman" w:hAnsi="Arial" w:cs="Arial"/>
                <w:sz w:val="20"/>
                <w:szCs w:val="20"/>
                <w:lang w:eastAsia="en-GB"/>
              </w:rPr>
            </w:pPr>
            <w:r w:rsidRPr="00F07478">
              <w:rPr>
                <w:rFonts w:ascii="Arial" w:eastAsia="Times New Roman" w:hAnsi="Arial" w:cs="Arial"/>
                <w:bCs/>
                <w:sz w:val="20"/>
                <w:szCs w:val="20"/>
                <w:lang w:eastAsia="en-GB"/>
              </w:rPr>
              <w:t>(1,409)</w:t>
            </w:r>
          </w:p>
        </w:tc>
        <w:tc>
          <w:tcPr>
            <w:tcW w:w="1295" w:type="dxa"/>
            <w:tcBorders>
              <w:left w:val="nil"/>
              <w:right w:val="nil"/>
            </w:tcBorders>
            <w:shd w:val="clear" w:color="auto" w:fill="auto"/>
            <w:noWrap/>
            <w:vAlign w:val="center"/>
            <w:hideMark/>
          </w:tcPr>
          <w:p w14:paraId="0A703893" w14:textId="77777777" w:rsidR="00976284" w:rsidRPr="00F07478" w:rsidRDefault="00976284" w:rsidP="00F07478">
            <w:pPr>
              <w:spacing w:after="0" w:line="240" w:lineRule="auto"/>
              <w:jc w:val="right"/>
              <w:rPr>
                <w:rFonts w:ascii="Arial" w:eastAsia="Times New Roman" w:hAnsi="Arial" w:cs="Arial"/>
                <w:sz w:val="20"/>
                <w:szCs w:val="20"/>
                <w:lang w:eastAsia="en-GB"/>
              </w:rPr>
            </w:pPr>
            <w:r w:rsidRPr="00F07478">
              <w:rPr>
                <w:rFonts w:ascii="Arial" w:eastAsia="Times New Roman" w:hAnsi="Arial" w:cs="Arial"/>
                <w:bCs/>
                <w:sz w:val="20"/>
                <w:szCs w:val="20"/>
                <w:lang w:eastAsia="en-GB"/>
              </w:rPr>
              <w:t>-</w:t>
            </w:r>
          </w:p>
        </w:tc>
        <w:tc>
          <w:tcPr>
            <w:tcW w:w="1217" w:type="dxa"/>
            <w:tcBorders>
              <w:left w:val="nil"/>
              <w:right w:val="nil"/>
            </w:tcBorders>
            <w:shd w:val="clear" w:color="auto" w:fill="auto"/>
            <w:noWrap/>
            <w:vAlign w:val="center"/>
            <w:hideMark/>
          </w:tcPr>
          <w:p w14:paraId="0E37247D" w14:textId="77777777" w:rsidR="00976284" w:rsidRPr="00F07478" w:rsidRDefault="00976284" w:rsidP="00F07478">
            <w:pPr>
              <w:spacing w:after="0" w:line="240" w:lineRule="auto"/>
              <w:jc w:val="right"/>
              <w:rPr>
                <w:rFonts w:ascii="Arial" w:eastAsia="Times New Roman" w:hAnsi="Arial" w:cs="Arial"/>
                <w:sz w:val="20"/>
                <w:szCs w:val="20"/>
                <w:lang w:eastAsia="en-GB"/>
              </w:rPr>
            </w:pPr>
            <w:r w:rsidRPr="00F07478">
              <w:rPr>
                <w:rFonts w:ascii="Arial" w:eastAsia="Times New Roman" w:hAnsi="Arial" w:cs="Arial"/>
                <w:bCs/>
                <w:sz w:val="20"/>
                <w:szCs w:val="20"/>
                <w:lang w:eastAsia="en-GB"/>
              </w:rPr>
              <w:t>(548)</w:t>
            </w:r>
          </w:p>
        </w:tc>
        <w:tc>
          <w:tcPr>
            <w:tcW w:w="1217" w:type="dxa"/>
            <w:tcBorders>
              <w:left w:val="nil"/>
              <w:right w:val="nil"/>
            </w:tcBorders>
            <w:shd w:val="clear" w:color="auto" w:fill="auto"/>
            <w:noWrap/>
            <w:vAlign w:val="center"/>
            <w:hideMark/>
          </w:tcPr>
          <w:p w14:paraId="747F9504" w14:textId="77777777" w:rsidR="00976284" w:rsidRPr="00F07478" w:rsidRDefault="00976284" w:rsidP="00F07478">
            <w:pPr>
              <w:spacing w:after="0" w:line="240" w:lineRule="auto"/>
              <w:jc w:val="right"/>
              <w:rPr>
                <w:rFonts w:ascii="Arial" w:eastAsia="Times New Roman" w:hAnsi="Arial" w:cs="Arial"/>
                <w:sz w:val="20"/>
                <w:szCs w:val="20"/>
                <w:lang w:eastAsia="en-GB"/>
              </w:rPr>
            </w:pPr>
            <w:r w:rsidRPr="00F07478">
              <w:rPr>
                <w:rFonts w:ascii="Arial" w:eastAsia="Times New Roman" w:hAnsi="Arial" w:cs="Arial"/>
                <w:bCs/>
                <w:sz w:val="20"/>
                <w:szCs w:val="20"/>
                <w:lang w:eastAsia="en-GB"/>
              </w:rPr>
              <w:t>(4,137)</w:t>
            </w:r>
          </w:p>
        </w:tc>
        <w:tc>
          <w:tcPr>
            <w:tcW w:w="961" w:type="dxa"/>
            <w:tcBorders>
              <w:left w:val="nil"/>
              <w:right w:val="nil"/>
            </w:tcBorders>
            <w:shd w:val="clear" w:color="auto" w:fill="auto"/>
            <w:noWrap/>
            <w:vAlign w:val="center"/>
            <w:hideMark/>
          </w:tcPr>
          <w:p w14:paraId="5D84B0D7" w14:textId="77777777" w:rsidR="00976284" w:rsidRPr="00F07478" w:rsidRDefault="00976284" w:rsidP="00F07478">
            <w:pPr>
              <w:spacing w:after="0" w:line="240" w:lineRule="auto"/>
              <w:jc w:val="right"/>
              <w:rPr>
                <w:rFonts w:ascii="Arial" w:eastAsia="Times New Roman" w:hAnsi="Arial" w:cs="Arial"/>
                <w:sz w:val="20"/>
                <w:szCs w:val="20"/>
                <w:lang w:eastAsia="en-GB"/>
              </w:rPr>
            </w:pPr>
            <w:r w:rsidRPr="00F07478">
              <w:rPr>
                <w:rFonts w:ascii="Arial" w:eastAsia="Times New Roman" w:hAnsi="Arial" w:cs="Arial"/>
                <w:bCs/>
                <w:sz w:val="20"/>
                <w:szCs w:val="20"/>
                <w:lang w:eastAsia="en-GB"/>
              </w:rPr>
              <w:t>(6,167)</w:t>
            </w:r>
          </w:p>
        </w:tc>
      </w:tr>
      <w:tr w:rsidR="00976284" w:rsidRPr="000F6386" w14:paraId="387FAD6F" w14:textId="77777777" w:rsidTr="00161381">
        <w:trPr>
          <w:trHeight w:val="255"/>
          <w:jc w:val="center"/>
        </w:trPr>
        <w:tc>
          <w:tcPr>
            <w:tcW w:w="2376" w:type="dxa"/>
            <w:tcBorders>
              <w:left w:val="nil"/>
              <w:bottom w:val="nil"/>
              <w:right w:val="nil"/>
            </w:tcBorders>
            <w:shd w:val="clear" w:color="auto" w:fill="auto"/>
            <w:noWrap/>
            <w:vAlign w:val="center"/>
            <w:hideMark/>
          </w:tcPr>
          <w:p w14:paraId="5E28F31A" w14:textId="77777777" w:rsidR="00976284" w:rsidRPr="000F6386" w:rsidRDefault="00976284" w:rsidP="001F6984">
            <w:pPr>
              <w:spacing w:after="0" w:line="240" w:lineRule="auto"/>
              <w:rPr>
                <w:rFonts w:ascii="Arial" w:eastAsia="Times New Roman" w:hAnsi="Arial" w:cs="Arial"/>
                <w:sz w:val="20"/>
                <w:szCs w:val="20"/>
                <w:lang w:eastAsia="en-GB"/>
              </w:rPr>
            </w:pPr>
            <w:r w:rsidRPr="000F6386">
              <w:rPr>
                <w:rFonts w:ascii="Arial" w:eastAsia="Times New Roman" w:hAnsi="Arial" w:cs="Arial"/>
                <w:sz w:val="20"/>
                <w:szCs w:val="20"/>
                <w:lang w:eastAsia="en-GB"/>
              </w:rPr>
              <w:t>Charge for the year</w:t>
            </w:r>
          </w:p>
        </w:tc>
        <w:tc>
          <w:tcPr>
            <w:tcW w:w="1452" w:type="dxa"/>
            <w:tcBorders>
              <w:left w:val="nil"/>
              <w:bottom w:val="nil"/>
              <w:right w:val="nil"/>
            </w:tcBorders>
            <w:shd w:val="clear" w:color="auto" w:fill="auto"/>
            <w:noWrap/>
            <w:vAlign w:val="center"/>
          </w:tcPr>
          <w:p w14:paraId="64031651" w14:textId="77777777" w:rsidR="00976284" w:rsidRPr="00543D10" w:rsidRDefault="00976284" w:rsidP="005B39D0">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(7)</w:t>
            </w:r>
          </w:p>
        </w:tc>
        <w:tc>
          <w:tcPr>
            <w:tcW w:w="1662" w:type="dxa"/>
            <w:tcBorders>
              <w:left w:val="nil"/>
              <w:bottom w:val="nil"/>
              <w:right w:val="nil"/>
            </w:tcBorders>
            <w:shd w:val="clear" w:color="auto" w:fill="auto"/>
            <w:noWrap/>
            <w:vAlign w:val="center"/>
          </w:tcPr>
          <w:p w14:paraId="657C1484" w14:textId="77777777" w:rsidR="00976284" w:rsidRPr="00543D10" w:rsidRDefault="00976284" w:rsidP="005B39D0">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(52)</w:t>
            </w:r>
          </w:p>
        </w:tc>
        <w:tc>
          <w:tcPr>
            <w:tcW w:w="1295" w:type="dxa"/>
            <w:tcBorders>
              <w:left w:val="nil"/>
              <w:bottom w:val="nil"/>
              <w:right w:val="nil"/>
            </w:tcBorders>
            <w:shd w:val="clear" w:color="auto" w:fill="auto"/>
            <w:noWrap/>
            <w:vAlign w:val="center"/>
          </w:tcPr>
          <w:p w14:paraId="642BE5CA" w14:textId="77777777" w:rsidR="00976284" w:rsidRPr="00543D10" w:rsidRDefault="00976284" w:rsidP="005B39D0">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w:t>
            </w:r>
          </w:p>
        </w:tc>
        <w:tc>
          <w:tcPr>
            <w:tcW w:w="1217" w:type="dxa"/>
            <w:tcBorders>
              <w:left w:val="nil"/>
              <w:bottom w:val="nil"/>
              <w:right w:val="nil"/>
            </w:tcBorders>
            <w:shd w:val="clear" w:color="auto" w:fill="auto"/>
            <w:noWrap/>
            <w:vAlign w:val="center"/>
          </w:tcPr>
          <w:p w14:paraId="031B6E6C" w14:textId="77777777" w:rsidR="00976284" w:rsidRPr="00543D10" w:rsidRDefault="00976284" w:rsidP="005B39D0">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(21)</w:t>
            </w:r>
          </w:p>
        </w:tc>
        <w:tc>
          <w:tcPr>
            <w:tcW w:w="1217" w:type="dxa"/>
            <w:tcBorders>
              <w:left w:val="nil"/>
              <w:bottom w:val="nil"/>
              <w:right w:val="nil"/>
            </w:tcBorders>
            <w:shd w:val="clear" w:color="auto" w:fill="auto"/>
            <w:noWrap/>
            <w:vAlign w:val="center"/>
          </w:tcPr>
          <w:p w14:paraId="4E67D843" w14:textId="77777777" w:rsidR="00976284" w:rsidRPr="00543D10" w:rsidRDefault="00976284" w:rsidP="005B39D0">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(257)</w:t>
            </w:r>
          </w:p>
        </w:tc>
        <w:tc>
          <w:tcPr>
            <w:tcW w:w="961" w:type="dxa"/>
            <w:tcBorders>
              <w:left w:val="nil"/>
              <w:bottom w:val="nil"/>
              <w:right w:val="nil"/>
            </w:tcBorders>
            <w:shd w:val="clear" w:color="auto" w:fill="auto"/>
            <w:noWrap/>
            <w:vAlign w:val="center"/>
          </w:tcPr>
          <w:p w14:paraId="00E05092" w14:textId="77777777" w:rsidR="00976284" w:rsidRPr="00543D10" w:rsidRDefault="00976284" w:rsidP="005B39D0">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(337)</w:t>
            </w:r>
          </w:p>
        </w:tc>
      </w:tr>
      <w:tr w:rsidR="00976284" w:rsidRPr="00543D10" w14:paraId="3CE69537" w14:textId="77777777" w:rsidTr="00161381">
        <w:trPr>
          <w:trHeight w:val="255"/>
          <w:jc w:val="center"/>
        </w:trPr>
        <w:tc>
          <w:tcPr>
            <w:tcW w:w="2376" w:type="dxa"/>
            <w:tcBorders>
              <w:top w:val="nil"/>
              <w:left w:val="nil"/>
              <w:bottom w:val="nil"/>
              <w:right w:val="nil"/>
            </w:tcBorders>
            <w:shd w:val="clear" w:color="auto" w:fill="auto"/>
            <w:noWrap/>
            <w:vAlign w:val="center"/>
          </w:tcPr>
          <w:p w14:paraId="152D3E3D" w14:textId="77777777" w:rsidR="00976284" w:rsidRPr="000F6386" w:rsidRDefault="00976284" w:rsidP="002367A2">
            <w:pPr>
              <w:spacing w:after="0" w:line="240" w:lineRule="auto"/>
              <w:rPr>
                <w:rFonts w:ascii="Arial" w:eastAsia="Times New Roman" w:hAnsi="Arial" w:cs="Arial"/>
                <w:sz w:val="20"/>
                <w:szCs w:val="20"/>
                <w:lang w:eastAsia="en-GB"/>
              </w:rPr>
            </w:pPr>
            <w:r w:rsidRPr="000F6386">
              <w:rPr>
                <w:rFonts w:ascii="Arial" w:eastAsia="Times New Roman" w:hAnsi="Arial" w:cs="Arial"/>
                <w:sz w:val="20"/>
                <w:szCs w:val="20"/>
                <w:lang w:eastAsia="en-GB"/>
              </w:rPr>
              <w:t>Transfers</w:t>
            </w:r>
          </w:p>
        </w:tc>
        <w:tc>
          <w:tcPr>
            <w:tcW w:w="1452" w:type="dxa"/>
            <w:tcBorders>
              <w:top w:val="nil"/>
              <w:left w:val="nil"/>
              <w:bottom w:val="nil"/>
              <w:right w:val="nil"/>
            </w:tcBorders>
            <w:shd w:val="clear" w:color="auto" w:fill="auto"/>
            <w:noWrap/>
            <w:vAlign w:val="center"/>
          </w:tcPr>
          <w:p w14:paraId="03B970F9" w14:textId="77777777" w:rsidR="00976284" w:rsidRPr="00543D10" w:rsidRDefault="00976284" w:rsidP="002367A2">
            <w:pPr>
              <w:spacing w:after="0" w:line="240" w:lineRule="auto"/>
              <w:jc w:val="right"/>
              <w:rPr>
                <w:rFonts w:ascii="Arial" w:eastAsia="Times New Roman" w:hAnsi="Arial" w:cs="Arial"/>
                <w:sz w:val="20"/>
                <w:szCs w:val="20"/>
                <w:lang w:eastAsia="en-GB"/>
              </w:rPr>
            </w:pPr>
            <w:r w:rsidRPr="00543D10">
              <w:rPr>
                <w:rFonts w:ascii="Arial" w:eastAsia="Times New Roman" w:hAnsi="Arial" w:cs="Arial"/>
                <w:sz w:val="20"/>
                <w:szCs w:val="20"/>
                <w:lang w:eastAsia="en-GB"/>
              </w:rPr>
              <w:t>-</w:t>
            </w:r>
          </w:p>
        </w:tc>
        <w:tc>
          <w:tcPr>
            <w:tcW w:w="1662" w:type="dxa"/>
            <w:tcBorders>
              <w:top w:val="nil"/>
              <w:left w:val="nil"/>
              <w:bottom w:val="nil"/>
              <w:right w:val="nil"/>
            </w:tcBorders>
            <w:shd w:val="clear" w:color="auto" w:fill="auto"/>
            <w:noWrap/>
            <w:vAlign w:val="center"/>
          </w:tcPr>
          <w:p w14:paraId="7C2FA684" w14:textId="77777777" w:rsidR="00976284" w:rsidRPr="00543D10" w:rsidRDefault="00976284" w:rsidP="002367A2">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43</w:t>
            </w:r>
          </w:p>
        </w:tc>
        <w:tc>
          <w:tcPr>
            <w:tcW w:w="1295" w:type="dxa"/>
            <w:tcBorders>
              <w:top w:val="nil"/>
              <w:left w:val="nil"/>
              <w:bottom w:val="nil"/>
              <w:right w:val="nil"/>
            </w:tcBorders>
            <w:shd w:val="clear" w:color="auto" w:fill="auto"/>
            <w:noWrap/>
            <w:vAlign w:val="center"/>
          </w:tcPr>
          <w:p w14:paraId="4B1420A5" w14:textId="77777777" w:rsidR="00976284" w:rsidRPr="00543D10" w:rsidRDefault="00976284" w:rsidP="002367A2">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w:t>
            </w:r>
          </w:p>
        </w:tc>
        <w:tc>
          <w:tcPr>
            <w:tcW w:w="1217" w:type="dxa"/>
            <w:tcBorders>
              <w:top w:val="nil"/>
              <w:left w:val="nil"/>
              <w:bottom w:val="nil"/>
              <w:right w:val="nil"/>
            </w:tcBorders>
            <w:shd w:val="clear" w:color="auto" w:fill="auto"/>
            <w:noWrap/>
            <w:vAlign w:val="center"/>
          </w:tcPr>
          <w:p w14:paraId="5E353C2C" w14:textId="77777777" w:rsidR="00976284" w:rsidRPr="00543D10" w:rsidRDefault="00976284" w:rsidP="002367A2">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w:t>
            </w:r>
          </w:p>
        </w:tc>
        <w:tc>
          <w:tcPr>
            <w:tcW w:w="1217" w:type="dxa"/>
            <w:tcBorders>
              <w:top w:val="nil"/>
              <w:left w:val="nil"/>
              <w:bottom w:val="nil"/>
              <w:right w:val="nil"/>
            </w:tcBorders>
            <w:shd w:val="clear" w:color="auto" w:fill="auto"/>
            <w:noWrap/>
            <w:vAlign w:val="center"/>
          </w:tcPr>
          <w:p w14:paraId="3B5242D8" w14:textId="77777777" w:rsidR="00976284" w:rsidRPr="00543D10" w:rsidRDefault="00976284" w:rsidP="002367A2">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1</w:t>
            </w:r>
          </w:p>
        </w:tc>
        <w:tc>
          <w:tcPr>
            <w:tcW w:w="961" w:type="dxa"/>
            <w:tcBorders>
              <w:top w:val="nil"/>
              <w:left w:val="nil"/>
              <w:bottom w:val="nil"/>
              <w:right w:val="nil"/>
            </w:tcBorders>
            <w:shd w:val="clear" w:color="auto" w:fill="auto"/>
            <w:noWrap/>
            <w:vAlign w:val="center"/>
          </w:tcPr>
          <w:p w14:paraId="5DDB30A8" w14:textId="77777777" w:rsidR="00976284" w:rsidRPr="00543D10" w:rsidRDefault="00976284" w:rsidP="002367A2">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44</w:t>
            </w:r>
          </w:p>
        </w:tc>
      </w:tr>
      <w:tr w:rsidR="00976284" w:rsidRPr="000F6386" w14:paraId="1F92C09B" w14:textId="77777777" w:rsidTr="00161381">
        <w:trPr>
          <w:trHeight w:val="255"/>
          <w:jc w:val="center"/>
        </w:trPr>
        <w:tc>
          <w:tcPr>
            <w:tcW w:w="2376" w:type="dxa"/>
            <w:tcBorders>
              <w:top w:val="nil"/>
              <w:left w:val="nil"/>
              <w:bottom w:val="nil"/>
              <w:right w:val="nil"/>
            </w:tcBorders>
            <w:shd w:val="clear" w:color="auto" w:fill="auto"/>
            <w:noWrap/>
            <w:vAlign w:val="center"/>
            <w:hideMark/>
          </w:tcPr>
          <w:p w14:paraId="74F7464E" w14:textId="77777777" w:rsidR="00976284" w:rsidRPr="000F6386" w:rsidRDefault="00976284" w:rsidP="001F6984">
            <w:pPr>
              <w:spacing w:after="0" w:line="240" w:lineRule="auto"/>
              <w:rPr>
                <w:rFonts w:ascii="Arial" w:eastAsia="Times New Roman" w:hAnsi="Arial" w:cs="Arial"/>
                <w:sz w:val="20"/>
                <w:szCs w:val="20"/>
                <w:lang w:eastAsia="en-GB"/>
              </w:rPr>
            </w:pPr>
            <w:r w:rsidRPr="000F6386">
              <w:rPr>
                <w:rFonts w:ascii="Arial" w:eastAsia="Times New Roman" w:hAnsi="Arial" w:cs="Arial"/>
                <w:sz w:val="20"/>
                <w:szCs w:val="20"/>
                <w:lang w:eastAsia="en-GB"/>
              </w:rPr>
              <w:t>Disposals</w:t>
            </w:r>
          </w:p>
        </w:tc>
        <w:tc>
          <w:tcPr>
            <w:tcW w:w="1452" w:type="dxa"/>
            <w:tcBorders>
              <w:top w:val="nil"/>
              <w:left w:val="nil"/>
              <w:bottom w:val="nil"/>
              <w:right w:val="nil"/>
            </w:tcBorders>
            <w:shd w:val="clear" w:color="auto" w:fill="auto"/>
            <w:noWrap/>
            <w:vAlign w:val="center"/>
          </w:tcPr>
          <w:p w14:paraId="4D510AAF" w14:textId="77777777" w:rsidR="00976284" w:rsidRPr="00543D10" w:rsidRDefault="00976284" w:rsidP="005B39D0">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w:t>
            </w:r>
          </w:p>
        </w:tc>
        <w:tc>
          <w:tcPr>
            <w:tcW w:w="1662" w:type="dxa"/>
            <w:tcBorders>
              <w:top w:val="nil"/>
              <w:left w:val="nil"/>
              <w:bottom w:val="nil"/>
              <w:right w:val="nil"/>
            </w:tcBorders>
            <w:shd w:val="clear" w:color="auto" w:fill="auto"/>
            <w:noWrap/>
            <w:vAlign w:val="center"/>
          </w:tcPr>
          <w:p w14:paraId="3913A83A" w14:textId="77777777" w:rsidR="00976284" w:rsidRPr="00543D10" w:rsidRDefault="00976284" w:rsidP="005B39D0">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21</w:t>
            </w:r>
          </w:p>
        </w:tc>
        <w:tc>
          <w:tcPr>
            <w:tcW w:w="1295" w:type="dxa"/>
            <w:tcBorders>
              <w:top w:val="nil"/>
              <w:left w:val="nil"/>
              <w:bottom w:val="nil"/>
              <w:right w:val="nil"/>
            </w:tcBorders>
            <w:shd w:val="clear" w:color="auto" w:fill="auto"/>
            <w:noWrap/>
            <w:vAlign w:val="center"/>
          </w:tcPr>
          <w:p w14:paraId="42298BF1" w14:textId="77777777" w:rsidR="00976284" w:rsidRPr="00543D10" w:rsidRDefault="00976284" w:rsidP="005B39D0">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w:t>
            </w:r>
          </w:p>
        </w:tc>
        <w:tc>
          <w:tcPr>
            <w:tcW w:w="1217" w:type="dxa"/>
            <w:tcBorders>
              <w:top w:val="nil"/>
              <w:left w:val="nil"/>
              <w:bottom w:val="nil"/>
              <w:right w:val="nil"/>
            </w:tcBorders>
            <w:shd w:val="clear" w:color="auto" w:fill="auto"/>
            <w:noWrap/>
            <w:vAlign w:val="center"/>
          </w:tcPr>
          <w:p w14:paraId="4EEA7258" w14:textId="77777777" w:rsidR="00976284" w:rsidRPr="00543D10" w:rsidRDefault="00976284" w:rsidP="005B39D0">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35</w:t>
            </w:r>
          </w:p>
        </w:tc>
        <w:tc>
          <w:tcPr>
            <w:tcW w:w="1217" w:type="dxa"/>
            <w:tcBorders>
              <w:top w:val="nil"/>
              <w:left w:val="nil"/>
              <w:bottom w:val="nil"/>
              <w:right w:val="nil"/>
            </w:tcBorders>
            <w:shd w:val="clear" w:color="auto" w:fill="auto"/>
            <w:noWrap/>
            <w:vAlign w:val="center"/>
          </w:tcPr>
          <w:p w14:paraId="133172FD" w14:textId="77777777" w:rsidR="00976284" w:rsidRPr="00543D10" w:rsidRDefault="00976284">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561</w:t>
            </w:r>
          </w:p>
        </w:tc>
        <w:tc>
          <w:tcPr>
            <w:tcW w:w="961" w:type="dxa"/>
            <w:tcBorders>
              <w:top w:val="nil"/>
              <w:left w:val="nil"/>
              <w:bottom w:val="nil"/>
              <w:right w:val="nil"/>
            </w:tcBorders>
            <w:shd w:val="clear" w:color="auto" w:fill="auto"/>
            <w:noWrap/>
            <w:vAlign w:val="center"/>
          </w:tcPr>
          <w:p w14:paraId="6B14FF4B" w14:textId="77777777" w:rsidR="00976284" w:rsidRPr="00543D10" w:rsidRDefault="00976284" w:rsidP="005B39D0">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617</w:t>
            </w:r>
          </w:p>
        </w:tc>
      </w:tr>
      <w:tr w:rsidR="00976284" w:rsidRPr="000F6386" w14:paraId="4FABCE84" w14:textId="77777777" w:rsidTr="00161381">
        <w:trPr>
          <w:trHeight w:val="255"/>
          <w:jc w:val="center"/>
        </w:trPr>
        <w:tc>
          <w:tcPr>
            <w:tcW w:w="2376" w:type="dxa"/>
            <w:tcBorders>
              <w:top w:val="single" w:sz="4" w:space="0" w:color="auto"/>
              <w:left w:val="nil"/>
              <w:bottom w:val="single" w:sz="4" w:space="0" w:color="auto"/>
              <w:right w:val="nil"/>
            </w:tcBorders>
            <w:shd w:val="clear" w:color="auto" w:fill="auto"/>
            <w:noWrap/>
            <w:vAlign w:val="center"/>
            <w:hideMark/>
          </w:tcPr>
          <w:p w14:paraId="5BF3C490" w14:textId="77777777" w:rsidR="00976284" w:rsidRPr="000F6386" w:rsidRDefault="00976284" w:rsidP="001F6984">
            <w:pPr>
              <w:spacing w:after="0" w:line="240" w:lineRule="auto"/>
              <w:rPr>
                <w:rFonts w:ascii="Arial" w:eastAsia="Times New Roman" w:hAnsi="Arial" w:cs="Arial"/>
                <w:b/>
                <w:bCs/>
                <w:sz w:val="20"/>
                <w:szCs w:val="20"/>
                <w:lang w:eastAsia="en-GB"/>
              </w:rPr>
            </w:pPr>
            <w:r w:rsidRPr="000F6386">
              <w:rPr>
                <w:rFonts w:ascii="Arial" w:eastAsia="Times New Roman" w:hAnsi="Arial" w:cs="Arial"/>
                <w:b/>
                <w:bCs/>
                <w:sz w:val="20"/>
                <w:szCs w:val="20"/>
                <w:lang w:eastAsia="en-GB"/>
              </w:rPr>
              <w:t xml:space="preserve">At 31 August </w:t>
            </w:r>
            <w:r>
              <w:rPr>
                <w:rFonts w:ascii="Arial" w:eastAsia="Times New Roman" w:hAnsi="Arial" w:cs="Arial"/>
                <w:b/>
                <w:bCs/>
                <w:sz w:val="20"/>
                <w:szCs w:val="20"/>
                <w:lang w:eastAsia="en-GB"/>
              </w:rPr>
              <w:t>2020</w:t>
            </w:r>
          </w:p>
        </w:tc>
        <w:tc>
          <w:tcPr>
            <w:tcW w:w="1452" w:type="dxa"/>
            <w:tcBorders>
              <w:top w:val="single" w:sz="4" w:space="0" w:color="auto"/>
              <w:left w:val="nil"/>
              <w:bottom w:val="single" w:sz="4" w:space="0" w:color="auto"/>
              <w:right w:val="nil"/>
            </w:tcBorders>
            <w:shd w:val="clear" w:color="auto" w:fill="auto"/>
            <w:noWrap/>
            <w:vAlign w:val="center"/>
          </w:tcPr>
          <w:p w14:paraId="31C8A261" w14:textId="77777777" w:rsidR="00976284" w:rsidRPr="00543D10" w:rsidRDefault="00976284" w:rsidP="005B39D0">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(80)</w:t>
            </w:r>
          </w:p>
        </w:tc>
        <w:tc>
          <w:tcPr>
            <w:tcW w:w="1662" w:type="dxa"/>
            <w:tcBorders>
              <w:top w:val="single" w:sz="4" w:space="0" w:color="auto"/>
              <w:left w:val="nil"/>
              <w:bottom w:val="single" w:sz="4" w:space="0" w:color="auto"/>
              <w:right w:val="nil"/>
            </w:tcBorders>
            <w:shd w:val="clear" w:color="auto" w:fill="auto"/>
            <w:noWrap/>
            <w:vAlign w:val="center"/>
          </w:tcPr>
          <w:p w14:paraId="790A2373" w14:textId="77777777" w:rsidR="00976284" w:rsidRPr="00543D10" w:rsidRDefault="00976284" w:rsidP="005B39D0">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(1,397)</w:t>
            </w:r>
          </w:p>
        </w:tc>
        <w:tc>
          <w:tcPr>
            <w:tcW w:w="1295" w:type="dxa"/>
            <w:tcBorders>
              <w:top w:val="single" w:sz="4" w:space="0" w:color="auto"/>
              <w:left w:val="nil"/>
              <w:bottom w:val="single" w:sz="4" w:space="0" w:color="auto"/>
              <w:right w:val="nil"/>
            </w:tcBorders>
            <w:shd w:val="clear" w:color="auto" w:fill="auto"/>
            <w:noWrap/>
            <w:vAlign w:val="center"/>
          </w:tcPr>
          <w:p w14:paraId="14FEE62B" w14:textId="77777777" w:rsidR="00976284" w:rsidRPr="00543D10" w:rsidRDefault="00976284" w:rsidP="005B39D0">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w:t>
            </w:r>
          </w:p>
        </w:tc>
        <w:tc>
          <w:tcPr>
            <w:tcW w:w="1217" w:type="dxa"/>
            <w:tcBorders>
              <w:top w:val="single" w:sz="4" w:space="0" w:color="auto"/>
              <w:left w:val="nil"/>
              <w:bottom w:val="single" w:sz="4" w:space="0" w:color="auto"/>
              <w:right w:val="nil"/>
            </w:tcBorders>
            <w:shd w:val="clear" w:color="auto" w:fill="auto"/>
            <w:noWrap/>
            <w:vAlign w:val="center"/>
          </w:tcPr>
          <w:p w14:paraId="11D0CEF9" w14:textId="77777777" w:rsidR="00976284" w:rsidRPr="00543D10" w:rsidRDefault="00976284" w:rsidP="005B39D0">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(534)</w:t>
            </w:r>
          </w:p>
        </w:tc>
        <w:tc>
          <w:tcPr>
            <w:tcW w:w="1217" w:type="dxa"/>
            <w:tcBorders>
              <w:top w:val="single" w:sz="4" w:space="0" w:color="auto"/>
              <w:left w:val="nil"/>
              <w:bottom w:val="single" w:sz="4" w:space="0" w:color="auto"/>
              <w:right w:val="nil"/>
            </w:tcBorders>
            <w:shd w:val="clear" w:color="auto" w:fill="auto"/>
            <w:noWrap/>
            <w:vAlign w:val="center"/>
          </w:tcPr>
          <w:p w14:paraId="12A0E7A6" w14:textId="77777777" w:rsidR="00976284" w:rsidRPr="00543D10" w:rsidRDefault="00976284" w:rsidP="005B39D0">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(3,832)</w:t>
            </w:r>
          </w:p>
        </w:tc>
        <w:tc>
          <w:tcPr>
            <w:tcW w:w="961" w:type="dxa"/>
            <w:tcBorders>
              <w:top w:val="single" w:sz="4" w:space="0" w:color="auto"/>
              <w:left w:val="nil"/>
              <w:bottom w:val="single" w:sz="4" w:space="0" w:color="auto"/>
              <w:right w:val="nil"/>
            </w:tcBorders>
            <w:shd w:val="clear" w:color="auto" w:fill="auto"/>
            <w:noWrap/>
            <w:vAlign w:val="center"/>
          </w:tcPr>
          <w:p w14:paraId="41E37FD4" w14:textId="77777777" w:rsidR="00976284" w:rsidRPr="00543D10" w:rsidRDefault="00976284" w:rsidP="005B39D0">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(5,843)</w:t>
            </w:r>
          </w:p>
        </w:tc>
      </w:tr>
      <w:tr w:rsidR="00976284" w:rsidRPr="000F6386" w14:paraId="1468B4AF" w14:textId="77777777" w:rsidTr="00161381">
        <w:trPr>
          <w:trHeight w:val="255"/>
          <w:jc w:val="center"/>
        </w:trPr>
        <w:tc>
          <w:tcPr>
            <w:tcW w:w="2376" w:type="dxa"/>
            <w:tcBorders>
              <w:top w:val="nil"/>
              <w:left w:val="nil"/>
              <w:bottom w:val="nil"/>
              <w:right w:val="nil"/>
            </w:tcBorders>
            <w:shd w:val="clear" w:color="auto" w:fill="auto"/>
            <w:noWrap/>
            <w:vAlign w:val="center"/>
            <w:hideMark/>
          </w:tcPr>
          <w:p w14:paraId="0D1E8A61" w14:textId="77777777" w:rsidR="00976284" w:rsidRDefault="00976284" w:rsidP="001F6984">
            <w:pPr>
              <w:spacing w:after="0" w:line="240" w:lineRule="auto"/>
              <w:rPr>
                <w:rFonts w:ascii="Arial" w:eastAsia="Times New Roman" w:hAnsi="Arial" w:cs="Arial"/>
                <w:b/>
                <w:bCs/>
                <w:sz w:val="20"/>
                <w:szCs w:val="20"/>
                <w:lang w:eastAsia="en-GB"/>
              </w:rPr>
            </w:pPr>
          </w:p>
          <w:p w14:paraId="67AF5858" w14:textId="77777777" w:rsidR="00976284" w:rsidRPr="000F6386" w:rsidRDefault="00976284" w:rsidP="001F6984">
            <w:pPr>
              <w:spacing w:after="0" w:line="240" w:lineRule="auto"/>
              <w:rPr>
                <w:rFonts w:ascii="Arial" w:eastAsia="Times New Roman" w:hAnsi="Arial" w:cs="Arial"/>
                <w:b/>
                <w:bCs/>
                <w:sz w:val="20"/>
                <w:szCs w:val="20"/>
                <w:lang w:eastAsia="en-GB"/>
              </w:rPr>
            </w:pPr>
            <w:r w:rsidRPr="000F6386">
              <w:rPr>
                <w:rFonts w:ascii="Arial" w:eastAsia="Times New Roman" w:hAnsi="Arial" w:cs="Arial"/>
                <w:b/>
                <w:bCs/>
                <w:sz w:val="20"/>
                <w:szCs w:val="20"/>
                <w:lang w:eastAsia="en-GB"/>
              </w:rPr>
              <w:t>Net book value</w:t>
            </w:r>
          </w:p>
        </w:tc>
        <w:tc>
          <w:tcPr>
            <w:tcW w:w="1452" w:type="dxa"/>
            <w:tcBorders>
              <w:top w:val="nil"/>
              <w:left w:val="nil"/>
              <w:bottom w:val="nil"/>
              <w:right w:val="nil"/>
            </w:tcBorders>
            <w:shd w:val="clear" w:color="auto" w:fill="auto"/>
            <w:noWrap/>
            <w:vAlign w:val="center"/>
          </w:tcPr>
          <w:p w14:paraId="4CDD0F25" w14:textId="77777777" w:rsidR="00976284" w:rsidRPr="00543D10" w:rsidRDefault="00976284" w:rsidP="005B39D0">
            <w:pPr>
              <w:spacing w:after="0" w:line="240" w:lineRule="auto"/>
              <w:jc w:val="right"/>
              <w:rPr>
                <w:rFonts w:ascii="Arial" w:eastAsia="Times New Roman" w:hAnsi="Arial" w:cs="Arial"/>
                <w:b/>
                <w:bCs/>
                <w:sz w:val="20"/>
                <w:szCs w:val="20"/>
                <w:lang w:eastAsia="en-GB"/>
              </w:rPr>
            </w:pPr>
          </w:p>
        </w:tc>
        <w:tc>
          <w:tcPr>
            <w:tcW w:w="1662" w:type="dxa"/>
            <w:tcBorders>
              <w:top w:val="nil"/>
              <w:left w:val="nil"/>
              <w:bottom w:val="nil"/>
              <w:right w:val="nil"/>
            </w:tcBorders>
            <w:shd w:val="clear" w:color="auto" w:fill="auto"/>
            <w:noWrap/>
            <w:vAlign w:val="center"/>
          </w:tcPr>
          <w:p w14:paraId="579ADCDA" w14:textId="77777777" w:rsidR="00976284" w:rsidRPr="00543D10" w:rsidRDefault="00976284" w:rsidP="005B39D0">
            <w:pPr>
              <w:spacing w:after="0" w:line="240" w:lineRule="auto"/>
              <w:jc w:val="right"/>
              <w:rPr>
                <w:rFonts w:ascii="Times New Roman" w:eastAsia="Times New Roman" w:hAnsi="Times New Roman" w:cs="Times New Roman"/>
                <w:sz w:val="20"/>
                <w:szCs w:val="20"/>
                <w:lang w:eastAsia="en-GB"/>
              </w:rPr>
            </w:pPr>
          </w:p>
        </w:tc>
        <w:tc>
          <w:tcPr>
            <w:tcW w:w="1295" w:type="dxa"/>
            <w:tcBorders>
              <w:top w:val="nil"/>
              <w:left w:val="nil"/>
              <w:bottom w:val="nil"/>
              <w:right w:val="nil"/>
            </w:tcBorders>
            <w:shd w:val="clear" w:color="auto" w:fill="auto"/>
            <w:noWrap/>
            <w:vAlign w:val="center"/>
          </w:tcPr>
          <w:p w14:paraId="6B176BF0" w14:textId="77777777" w:rsidR="00976284" w:rsidRPr="00543D10" w:rsidRDefault="00976284" w:rsidP="005B39D0">
            <w:pPr>
              <w:spacing w:after="0" w:line="240" w:lineRule="auto"/>
              <w:jc w:val="right"/>
              <w:rPr>
                <w:rFonts w:ascii="Times New Roman" w:eastAsia="Times New Roman" w:hAnsi="Times New Roman" w:cs="Times New Roman"/>
                <w:sz w:val="20"/>
                <w:szCs w:val="20"/>
                <w:lang w:eastAsia="en-GB"/>
              </w:rPr>
            </w:pPr>
          </w:p>
        </w:tc>
        <w:tc>
          <w:tcPr>
            <w:tcW w:w="1217" w:type="dxa"/>
            <w:tcBorders>
              <w:top w:val="nil"/>
              <w:left w:val="nil"/>
              <w:bottom w:val="nil"/>
              <w:right w:val="nil"/>
            </w:tcBorders>
            <w:shd w:val="clear" w:color="auto" w:fill="auto"/>
            <w:noWrap/>
            <w:vAlign w:val="center"/>
          </w:tcPr>
          <w:p w14:paraId="7C94C0BB" w14:textId="77777777" w:rsidR="00976284" w:rsidRPr="00543D10" w:rsidRDefault="00976284" w:rsidP="005B39D0">
            <w:pPr>
              <w:spacing w:after="0" w:line="240" w:lineRule="auto"/>
              <w:jc w:val="right"/>
              <w:rPr>
                <w:rFonts w:ascii="Times New Roman" w:eastAsia="Times New Roman" w:hAnsi="Times New Roman" w:cs="Times New Roman"/>
                <w:sz w:val="20"/>
                <w:szCs w:val="20"/>
                <w:lang w:eastAsia="en-GB"/>
              </w:rPr>
            </w:pPr>
          </w:p>
        </w:tc>
        <w:tc>
          <w:tcPr>
            <w:tcW w:w="1217" w:type="dxa"/>
            <w:tcBorders>
              <w:top w:val="nil"/>
              <w:left w:val="nil"/>
              <w:bottom w:val="nil"/>
              <w:right w:val="nil"/>
            </w:tcBorders>
            <w:shd w:val="clear" w:color="auto" w:fill="auto"/>
            <w:noWrap/>
            <w:vAlign w:val="center"/>
          </w:tcPr>
          <w:p w14:paraId="71B2D186" w14:textId="77777777" w:rsidR="00976284" w:rsidRPr="00543D10" w:rsidRDefault="00976284" w:rsidP="005B39D0">
            <w:pPr>
              <w:spacing w:after="0" w:line="240" w:lineRule="auto"/>
              <w:jc w:val="right"/>
              <w:rPr>
                <w:rFonts w:ascii="Times New Roman" w:eastAsia="Times New Roman" w:hAnsi="Times New Roman" w:cs="Times New Roman"/>
                <w:sz w:val="20"/>
                <w:szCs w:val="20"/>
                <w:lang w:eastAsia="en-GB"/>
              </w:rPr>
            </w:pPr>
          </w:p>
        </w:tc>
        <w:tc>
          <w:tcPr>
            <w:tcW w:w="961" w:type="dxa"/>
            <w:tcBorders>
              <w:top w:val="nil"/>
              <w:left w:val="nil"/>
              <w:bottom w:val="nil"/>
              <w:right w:val="nil"/>
            </w:tcBorders>
            <w:shd w:val="clear" w:color="auto" w:fill="auto"/>
            <w:noWrap/>
            <w:vAlign w:val="center"/>
          </w:tcPr>
          <w:p w14:paraId="741CEACD" w14:textId="77777777" w:rsidR="00976284" w:rsidRPr="00543D10" w:rsidRDefault="00976284" w:rsidP="005B39D0">
            <w:pPr>
              <w:spacing w:after="0" w:line="240" w:lineRule="auto"/>
              <w:jc w:val="right"/>
              <w:rPr>
                <w:rFonts w:ascii="Times New Roman" w:eastAsia="Times New Roman" w:hAnsi="Times New Roman" w:cs="Times New Roman"/>
                <w:sz w:val="20"/>
                <w:szCs w:val="20"/>
                <w:lang w:eastAsia="en-GB"/>
              </w:rPr>
            </w:pPr>
          </w:p>
        </w:tc>
      </w:tr>
      <w:tr w:rsidR="00976284" w:rsidRPr="000F6386" w14:paraId="28970066" w14:textId="77777777" w:rsidTr="00161381">
        <w:trPr>
          <w:trHeight w:val="255"/>
          <w:jc w:val="center"/>
        </w:trPr>
        <w:tc>
          <w:tcPr>
            <w:tcW w:w="2376" w:type="dxa"/>
            <w:tcBorders>
              <w:top w:val="nil"/>
              <w:left w:val="nil"/>
              <w:bottom w:val="single" w:sz="4" w:space="0" w:color="auto"/>
              <w:right w:val="nil"/>
            </w:tcBorders>
            <w:shd w:val="clear" w:color="auto" w:fill="auto"/>
            <w:noWrap/>
            <w:vAlign w:val="center"/>
            <w:hideMark/>
          </w:tcPr>
          <w:p w14:paraId="0FE85AF2" w14:textId="77777777" w:rsidR="00976284" w:rsidRPr="000F6386" w:rsidRDefault="00976284" w:rsidP="001F6984">
            <w:pPr>
              <w:spacing w:after="0" w:line="240" w:lineRule="auto"/>
              <w:rPr>
                <w:rFonts w:ascii="Arial" w:eastAsia="Times New Roman" w:hAnsi="Arial" w:cs="Arial"/>
                <w:b/>
                <w:bCs/>
                <w:sz w:val="20"/>
                <w:szCs w:val="20"/>
                <w:lang w:eastAsia="en-GB"/>
              </w:rPr>
            </w:pPr>
            <w:r w:rsidRPr="000F6386">
              <w:rPr>
                <w:rFonts w:ascii="Arial" w:eastAsia="Times New Roman" w:hAnsi="Arial" w:cs="Arial"/>
                <w:b/>
                <w:bCs/>
                <w:sz w:val="20"/>
                <w:szCs w:val="20"/>
                <w:lang w:eastAsia="en-GB"/>
              </w:rPr>
              <w:t xml:space="preserve">At 31 August </w:t>
            </w:r>
            <w:r>
              <w:rPr>
                <w:rFonts w:ascii="Arial" w:eastAsia="Times New Roman" w:hAnsi="Arial" w:cs="Arial"/>
                <w:b/>
                <w:bCs/>
                <w:sz w:val="20"/>
                <w:szCs w:val="20"/>
                <w:lang w:eastAsia="en-GB"/>
              </w:rPr>
              <w:t>2020</w:t>
            </w:r>
          </w:p>
        </w:tc>
        <w:tc>
          <w:tcPr>
            <w:tcW w:w="1452" w:type="dxa"/>
            <w:tcBorders>
              <w:top w:val="nil"/>
              <w:left w:val="nil"/>
              <w:bottom w:val="single" w:sz="4" w:space="0" w:color="auto"/>
              <w:right w:val="nil"/>
            </w:tcBorders>
            <w:shd w:val="clear" w:color="auto" w:fill="auto"/>
            <w:noWrap/>
            <w:vAlign w:val="center"/>
          </w:tcPr>
          <w:p w14:paraId="5FF5A052" w14:textId="77777777" w:rsidR="00976284" w:rsidRPr="00543D10" w:rsidRDefault="00976284" w:rsidP="005B39D0">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200</w:t>
            </w:r>
          </w:p>
        </w:tc>
        <w:tc>
          <w:tcPr>
            <w:tcW w:w="1662" w:type="dxa"/>
            <w:tcBorders>
              <w:top w:val="nil"/>
              <w:left w:val="nil"/>
              <w:bottom w:val="single" w:sz="4" w:space="0" w:color="auto"/>
              <w:right w:val="nil"/>
            </w:tcBorders>
            <w:shd w:val="clear" w:color="auto" w:fill="auto"/>
            <w:noWrap/>
            <w:vAlign w:val="center"/>
          </w:tcPr>
          <w:p w14:paraId="6D1462A5" w14:textId="77777777" w:rsidR="00976284" w:rsidRPr="00543D10" w:rsidRDefault="00976284" w:rsidP="005B39D0">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1,708</w:t>
            </w:r>
          </w:p>
        </w:tc>
        <w:tc>
          <w:tcPr>
            <w:tcW w:w="1295" w:type="dxa"/>
            <w:tcBorders>
              <w:top w:val="nil"/>
              <w:left w:val="nil"/>
              <w:bottom w:val="single" w:sz="4" w:space="0" w:color="auto"/>
              <w:right w:val="nil"/>
            </w:tcBorders>
            <w:shd w:val="clear" w:color="auto" w:fill="auto"/>
            <w:noWrap/>
            <w:vAlign w:val="center"/>
          </w:tcPr>
          <w:p w14:paraId="4219539F" w14:textId="77777777" w:rsidR="00976284" w:rsidRPr="00543D10" w:rsidRDefault="00976284" w:rsidP="005B39D0">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235</w:t>
            </w:r>
          </w:p>
        </w:tc>
        <w:tc>
          <w:tcPr>
            <w:tcW w:w="1217" w:type="dxa"/>
            <w:tcBorders>
              <w:top w:val="nil"/>
              <w:left w:val="nil"/>
              <w:bottom w:val="single" w:sz="4" w:space="0" w:color="auto"/>
              <w:right w:val="nil"/>
            </w:tcBorders>
            <w:shd w:val="clear" w:color="auto" w:fill="auto"/>
            <w:noWrap/>
            <w:vAlign w:val="center"/>
          </w:tcPr>
          <w:p w14:paraId="60A9C204" w14:textId="77777777" w:rsidR="00976284" w:rsidRPr="00543D10" w:rsidRDefault="00976284" w:rsidP="005B39D0">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18</w:t>
            </w:r>
          </w:p>
        </w:tc>
        <w:tc>
          <w:tcPr>
            <w:tcW w:w="1217" w:type="dxa"/>
            <w:tcBorders>
              <w:top w:val="nil"/>
              <w:left w:val="nil"/>
              <w:bottom w:val="single" w:sz="4" w:space="0" w:color="auto"/>
              <w:right w:val="nil"/>
            </w:tcBorders>
            <w:shd w:val="clear" w:color="auto" w:fill="auto"/>
            <w:noWrap/>
            <w:vAlign w:val="center"/>
          </w:tcPr>
          <w:p w14:paraId="6B8509B0" w14:textId="77777777" w:rsidR="00976284" w:rsidRPr="00543D10" w:rsidRDefault="00976284" w:rsidP="005B39D0">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863</w:t>
            </w:r>
          </w:p>
        </w:tc>
        <w:tc>
          <w:tcPr>
            <w:tcW w:w="961" w:type="dxa"/>
            <w:tcBorders>
              <w:top w:val="nil"/>
              <w:left w:val="nil"/>
              <w:bottom w:val="single" w:sz="4" w:space="0" w:color="auto"/>
              <w:right w:val="nil"/>
            </w:tcBorders>
            <w:shd w:val="clear" w:color="auto" w:fill="auto"/>
            <w:noWrap/>
            <w:vAlign w:val="center"/>
          </w:tcPr>
          <w:p w14:paraId="69D196E7" w14:textId="77777777" w:rsidR="00976284" w:rsidRPr="00543D10" w:rsidRDefault="00976284" w:rsidP="005B39D0">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3,024</w:t>
            </w:r>
          </w:p>
        </w:tc>
      </w:tr>
      <w:tr w:rsidR="00976284" w:rsidRPr="000F6386" w14:paraId="301EFD3F" w14:textId="77777777" w:rsidTr="00161381">
        <w:trPr>
          <w:trHeight w:val="255"/>
          <w:jc w:val="center"/>
        </w:trPr>
        <w:tc>
          <w:tcPr>
            <w:tcW w:w="2376" w:type="dxa"/>
            <w:tcBorders>
              <w:top w:val="nil"/>
              <w:left w:val="nil"/>
              <w:bottom w:val="single" w:sz="4" w:space="0" w:color="auto"/>
              <w:right w:val="nil"/>
            </w:tcBorders>
            <w:shd w:val="clear" w:color="auto" w:fill="auto"/>
            <w:noWrap/>
            <w:vAlign w:val="center"/>
            <w:hideMark/>
          </w:tcPr>
          <w:p w14:paraId="43F712C9" w14:textId="77777777" w:rsidR="00976284" w:rsidRPr="000F6386" w:rsidRDefault="00976284" w:rsidP="00F07478">
            <w:pPr>
              <w:spacing w:after="0" w:line="240" w:lineRule="auto"/>
              <w:rPr>
                <w:rFonts w:ascii="Arial" w:eastAsia="Times New Roman" w:hAnsi="Arial" w:cs="Arial"/>
                <w:sz w:val="20"/>
                <w:szCs w:val="20"/>
                <w:lang w:eastAsia="en-GB"/>
              </w:rPr>
            </w:pPr>
            <w:r w:rsidRPr="000F6386">
              <w:rPr>
                <w:rFonts w:ascii="Arial" w:eastAsia="Times New Roman" w:hAnsi="Arial" w:cs="Arial"/>
                <w:sz w:val="20"/>
                <w:szCs w:val="20"/>
                <w:lang w:eastAsia="en-GB"/>
              </w:rPr>
              <w:t xml:space="preserve">At 1 September </w:t>
            </w:r>
            <w:r>
              <w:rPr>
                <w:rFonts w:ascii="Arial" w:eastAsia="Times New Roman" w:hAnsi="Arial" w:cs="Arial"/>
                <w:sz w:val="20"/>
                <w:szCs w:val="20"/>
                <w:lang w:eastAsia="en-GB"/>
              </w:rPr>
              <w:t>2019</w:t>
            </w:r>
          </w:p>
        </w:tc>
        <w:tc>
          <w:tcPr>
            <w:tcW w:w="1452" w:type="dxa"/>
            <w:tcBorders>
              <w:top w:val="nil"/>
              <w:left w:val="nil"/>
              <w:bottom w:val="single" w:sz="4" w:space="0" w:color="auto"/>
              <w:right w:val="nil"/>
            </w:tcBorders>
            <w:shd w:val="clear" w:color="auto" w:fill="auto"/>
            <w:noWrap/>
            <w:vAlign w:val="center"/>
            <w:hideMark/>
          </w:tcPr>
          <w:p w14:paraId="789878AA" w14:textId="77777777" w:rsidR="00976284" w:rsidRPr="00F07478" w:rsidRDefault="00976284" w:rsidP="00F07478">
            <w:pPr>
              <w:spacing w:after="0" w:line="240" w:lineRule="auto"/>
              <w:jc w:val="right"/>
              <w:rPr>
                <w:rFonts w:ascii="Arial" w:eastAsia="Times New Roman" w:hAnsi="Arial" w:cs="Arial"/>
                <w:sz w:val="20"/>
                <w:szCs w:val="20"/>
                <w:lang w:eastAsia="en-GB"/>
              </w:rPr>
            </w:pPr>
            <w:r w:rsidRPr="00F07478">
              <w:rPr>
                <w:rFonts w:ascii="Arial" w:eastAsia="Times New Roman" w:hAnsi="Arial" w:cs="Arial"/>
                <w:bCs/>
                <w:sz w:val="20"/>
                <w:szCs w:val="20"/>
                <w:lang w:eastAsia="en-GB"/>
              </w:rPr>
              <w:t>207</w:t>
            </w:r>
          </w:p>
        </w:tc>
        <w:tc>
          <w:tcPr>
            <w:tcW w:w="1662" w:type="dxa"/>
            <w:tcBorders>
              <w:top w:val="nil"/>
              <w:left w:val="nil"/>
              <w:bottom w:val="single" w:sz="4" w:space="0" w:color="auto"/>
              <w:right w:val="nil"/>
            </w:tcBorders>
            <w:shd w:val="clear" w:color="auto" w:fill="auto"/>
            <w:noWrap/>
            <w:vAlign w:val="center"/>
            <w:hideMark/>
          </w:tcPr>
          <w:p w14:paraId="0C5A152F" w14:textId="77777777" w:rsidR="00976284" w:rsidRPr="00F07478" w:rsidRDefault="00976284" w:rsidP="00F07478">
            <w:pPr>
              <w:spacing w:after="0" w:line="240" w:lineRule="auto"/>
              <w:jc w:val="right"/>
              <w:rPr>
                <w:rFonts w:ascii="Arial" w:eastAsia="Times New Roman" w:hAnsi="Arial" w:cs="Arial"/>
                <w:sz w:val="20"/>
                <w:szCs w:val="20"/>
                <w:lang w:eastAsia="en-GB"/>
              </w:rPr>
            </w:pPr>
            <w:r w:rsidRPr="00F07478">
              <w:rPr>
                <w:rFonts w:ascii="Arial" w:eastAsia="Times New Roman" w:hAnsi="Arial" w:cs="Arial"/>
                <w:bCs/>
                <w:sz w:val="20"/>
                <w:szCs w:val="20"/>
                <w:lang w:eastAsia="en-GB"/>
              </w:rPr>
              <w:t>1,955</w:t>
            </w:r>
          </w:p>
        </w:tc>
        <w:tc>
          <w:tcPr>
            <w:tcW w:w="1295" w:type="dxa"/>
            <w:tcBorders>
              <w:top w:val="nil"/>
              <w:left w:val="nil"/>
              <w:bottom w:val="single" w:sz="4" w:space="0" w:color="auto"/>
              <w:right w:val="nil"/>
            </w:tcBorders>
            <w:shd w:val="clear" w:color="auto" w:fill="auto"/>
            <w:noWrap/>
            <w:vAlign w:val="center"/>
            <w:hideMark/>
          </w:tcPr>
          <w:p w14:paraId="76EB76A0" w14:textId="77777777" w:rsidR="00976284" w:rsidRPr="00F07478" w:rsidRDefault="00976284" w:rsidP="00F07478">
            <w:pPr>
              <w:spacing w:after="0" w:line="240" w:lineRule="auto"/>
              <w:jc w:val="right"/>
              <w:rPr>
                <w:rFonts w:ascii="Arial" w:eastAsia="Times New Roman" w:hAnsi="Arial" w:cs="Arial"/>
                <w:sz w:val="20"/>
                <w:szCs w:val="20"/>
                <w:lang w:eastAsia="en-GB"/>
              </w:rPr>
            </w:pPr>
            <w:r w:rsidRPr="00F07478">
              <w:rPr>
                <w:rFonts w:ascii="Arial" w:eastAsia="Times New Roman" w:hAnsi="Arial" w:cs="Arial"/>
                <w:bCs/>
                <w:sz w:val="20"/>
                <w:szCs w:val="20"/>
                <w:lang w:eastAsia="en-GB"/>
              </w:rPr>
              <w:t>224</w:t>
            </w:r>
          </w:p>
        </w:tc>
        <w:tc>
          <w:tcPr>
            <w:tcW w:w="1217" w:type="dxa"/>
            <w:tcBorders>
              <w:top w:val="nil"/>
              <w:left w:val="nil"/>
              <w:bottom w:val="single" w:sz="4" w:space="0" w:color="auto"/>
              <w:right w:val="nil"/>
            </w:tcBorders>
            <w:shd w:val="clear" w:color="auto" w:fill="auto"/>
            <w:noWrap/>
            <w:vAlign w:val="center"/>
            <w:hideMark/>
          </w:tcPr>
          <w:p w14:paraId="4232CE10" w14:textId="77777777" w:rsidR="00976284" w:rsidRPr="00F07478" w:rsidRDefault="00976284" w:rsidP="00F07478">
            <w:pPr>
              <w:spacing w:after="0" w:line="240" w:lineRule="auto"/>
              <w:jc w:val="right"/>
              <w:rPr>
                <w:rFonts w:ascii="Arial" w:eastAsia="Times New Roman" w:hAnsi="Arial" w:cs="Arial"/>
                <w:sz w:val="20"/>
                <w:szCs w:val="20"/>
                <w:lang w:eastAsia="en-GB"/>
              </w:rPr>
            </w:pPr>
            <w:r w:rsidRPr="00F07478">
              <w:rPr>
                <w:rFonts w:ascii="Arial" w:eastAsia="Times New Roman" w:hAnsi="Arial" w:cs="Arial"/>
                <w:bCs/>
                <w:sz w:val="20"/>
                <w:szCs w:val="20"/>
                <w:lang w:eastAsia="en-GB"/>
              </w:rPr>
              <w:t>44</w:t>
            </w:r>
          </w:p>
        </w:tc>
        <w:tc>
          <w:tcPr>
            <w:tcW w:w="1217" w:type="dxa"/>
            <w:tcBorders>
              <w:top w:val="nil"/>
              <w:left w:val="nil"/>
              <w:bottom w:val="single" w:sz="4" w:space="0" w:color="auto"/>
              <w:right w:val="nil"/>
            </w:tcBorders>
            <w:shd w:val="clear" w:color="auto" w:fill="auto"/>
            <w:noWrap/>
            <w:vAlign w:val="center"/>
            <w:hideMark/>
          </w:tcPr>
          <w:p w14:paraId="3218120E" w14:textId="77777777" w:rsidR="00976284" w:rsidRPr="00F07478" w:rsidRDefault="00976284" w:rsidP="00F07478">
            <w:pPr>
              <w:spacing w:after="0" w:line="240" w:lineRule="auto"/>
              <w:jc w:val="right"/>
              <w:rPr>
                <w:rFonts w:ascii="Arial" w:eastAsia="Times New Roman" w:hAnsi="Arial" w:cs="Arial"/>
                <w:sz w:val="20"/>
                <w:szCs w:val="20"/>
                <w:lang w:eastAsia="en-GB"/>
              </w:rPr>
            </w:pPr>
            <w:r>
              <w:rPr>
                <w:rFonts w:ascii="Arial" w:eastAsia="Times New Roman" w:hAnsi="Arial" w:cs="Arial"/>
                <w:bCs/>
                <w:sz w:val="20"/>
                <w:szCs w:val="20"/>
                <w:lang w:eastAsia="en-GB"/>
              </w:rPr>
              <w:t>1,053</w:t>
            </w:r>
          </w:p>
        </w:tc>
        <w:tc>
          <w:tcPr>
            <w:tcW w:w="961" w:type="dxa"/>
            <w:tcBorders>
              <w:top w:val="nil"/>
              <w:left w:val="nil"/>
              <w:bottom w:val="single" w:sz="4" w:space="0" w:color="auto"/>
              <w:right w:val="nil"/>
            </w:tcBorders>
            <w:shd w:val="clear" w:color="auto" w:fill="auto"/>
            <w:noWrap/>
            <w:vAlign w:val="center"/>
            <w:hideMark/>
          </w:tcPr>
          <w:p w14:paraId="60797F8C" w14:textId="77777777" w:rsidR="00976284" w:rsidRPr="00F07478" w:rsidRDefault="00976284" w:rsidP="00F07478">
            <w:pPr>
              <w:spacing w:after="0" w:line="240" w:lineRule="auto"/>
              <w:jc w:val="right"/>
              <w:rPr>
                <w:rFonts w:ascii="Arial" w:eastAsia="Times New Roman" w:hAnsi="Arial" w:cs="Arial"/>
                <w:sz w:val="20"/>
                <w:szCs w:val="20"/>
                <w:lang w:eastAsia="en-GB"/>
              </w:rPr>
            </w:pPr>
            <w:r w:rsidRPr="00F07478">
              <w:rPr>
                <w:rFonts w:ascii="Arial" w:eastAsia="Times New Roman" w:hAnsi="Arial" w:cs="Arial"/>
                <w:bCs/>
                <w:sz w:val="20"/>
                <w:szCs w:val="20"/>
                <w:lang w:eastAsia="en-GB"/>
              </w:rPr>
              <w:t>3,483</w:t>
            </w:r>
          </w:p>
        </w:tc>
      </w:tr>
    </w:tbl>
    <w:p w14:paraId="2FE61621" w14:textId="77777777" w:rsidR="00742289" w:rsidRDefault="00742289" w:rsidP="00015A88">
      <w:pPr>
        <w:tabs>
          <w:tab w:val="left" w:pos="567"/>
        </w:tabs>
        <w:ind w:left="567" w:hanging="567"/>
        <w:rPr>
          <w:rFonts w:ascii="Arial" w:hAnsi="Arial" w:cs="Arial"/>
          <w:b/>
          <w:i/>
          <w:sz w:val="24"/>
          <w:szCs w:val="24"/>
        </w:rPr>
      </w:pPr>
    </w:p>
    <w:p w14:paraId="28EBCB54" w14:textId="1CD07EDA" w:rsidR="006C07DD" w:rsidRDefault="006C07DD" w:rsidP="00F230D9">
      <w:pPr>
        <w:spacing w:after="0" w:line="240" w:lineRule="auto"/>
        <w:rPr>
          <w:rFonts w:ascii="Arial" w:hAnsi="Arial" w:cs="Arial"/>
          <w:b/>
          <w:i/>
          <w:sz w:val="24"/>
          <w:szCs w:val="24"/>
        </w:rPr>
      </w:pPr>
      <w:r w:rsidRPr="0088736E">
        <w:rPr>
          <w:rFonts w:ascii="Arial" w:hAnsi="Arial" w:cs="Arial"/>
          <w:b/>
          <w:i/>
          <w:sz w:val="24"/>
          <w:szCs w:val="24"/>
        </w:rPr>
        <w:lastRenderedPageBreak/>
        <w:t xml:space="preserve">Notes to the financial </w:t>
      </w:r>
      <w:r>
        <w:rPr>
          <w:rFonts w:ascii="Arial" w:hAnsi="Arial" w:cs="Arial"/>
          <w:b/>
          <w:i/>
          <w:sz w:val="24"/>
          <w:szCs w:val="24"/>
        </w:rPr>
        <w:t>statements</w:t>
      </w:r>
      <w:r w:rsidRPr="0088736E">
        <w:rPr>
          <w:rFonts w:ascii="Arial" w:hAnsi="Arial" w:cs="Arial"/>
          <w:b/>
          <w:i/>
          <w:sz w:val="24"/>
          <w:szCs w:val="24"/>
        </w:rPr>
        <w:t xml:space="preserve"> (continued)</w:t>
      </w:r>
    </w:p>
    <w:p w14:paraId="059F27AC" w14:textId="77777777" w:rsidR="00F230D9" w:rsidRDefault="00F230D9" w:rsidP="00F230D9">
      <w:pPr>
        <w:spacing w:after="0" w:line="240" w:lineRule="auto"/>
        <w:rPr>
          <w:rFonts w:ascii="Arial" w:hAnsi="Arial" w:cs="Arial"/>
          <w:b/>
          <w:i/>
          <w:sz w:val="24"/>
          <w:szCs w:val="24"/>
        </w:rPr>
      </w:pPr>
    </w:p>
    <w:p w14:paraId="61A3CE23" w14:textId="5419CA74" w:rsidR="00015A88" w:rsidRDefault="00015A88" w:rsidP="00F230D9">
      <w:pPr>
        <w:autoSpaceDE w:val="0"/>
        <w:autoSpaceDN w:val="0"/>
        <w:adjustRightInd w:val="0"/>
        <w:spacing w:after="0" w:line="240" w:lineRule="auto"/>
        <w:rPr>
          <w:rFonts w:ascii="Arial" w:eastAsia="Times New Roman" w:hAnsi="Arial" w:cs="Arial"/>
          <w:b/>
          <w:bCs/>
          <w:sz w:val="24"/>
          <w:szCs w:val="24"/>
          <w:lang w:eastAsia="en-GB"/>
        </w:rPr>
      </w:pPr>
      <w:r>
        <w:rPr>
          <w:rFonts w:ascii="Arial" w:eastAsia="Times New Roman" w:hAnsi="Arial" w:cs="Arial"/>
          <w:b/>
          <w:bCs/>
          <w:sz w:val="24"/>
          <w:szCs w:val="24"/>
          <w:lang w:eastAsia="en-GB"/>
        </w:rPr>
        <w:t>8</w:t>
      </w:r>
      <w:r w:rsidRPr="004B18B9">
        <w:rPr>
          <w:rFonts w:ascii="Arial" w:eastAsia="Times New Roman" w:hAnsi="Arial" w:cs="Arial"/>
          <w:b/>
          <w:bCs/>
          <w:sz w:val="24"/>
          <w:szCs w:val="24"/>
          <w:lang w:eastAsia="en-GB"/>
        </w:rPr>
        <w:t>. Tangible Assets (continued)</w:t>
      </w:r>
    </w:p>
    <w:p w14:paraId="7C789BA7" w14:textId="77777777" w:rsidR="00E6025B" w:rsidRPr="004B18B9" w:rsidRDefault="00E6025B" w:rsidP="00F230D9">
      <w:pPr>
        <w:autoSpaceDE w:val="0"/>
        <w:autoSpaceDN w:val="0"/>
        <w:adjustRightInd w:val="0"/>
        <w:spacing w:after="0" w:line="240" w:lineRule="auto"/>
        <w:rPr>
          <w:rFonts w:ascii="Arial" w:eastAsia="Times New Roman" w:hAnsi="Arial" w:cs="Arial"/>
          <w:b/>
          <w:bCs/>
          <w:sz w:val="24"/>
          <w:szCs w:val="24"/>
          <w:lang w:eastAsia="en-GB"/>
        </w:rPr>
      </w:pPr>
    </w:p>
    <w:p w14:paraId="642810DE" w14:textId="77777777" w:rsidR="001F6984" w:rsidRPr="006674F4" w:rsidRDefault="001F6984" w:rsidP="00004D5F">
      <w:pPr>
        <w:autoSpaceDE w:val="0"/>
        <w:autoSpaceDN w:val="0"/>
        <w:adjustRightInd w:val="0"/>
        <w:spacing w:after="240" w:line="240" w:lineRule="auto"/>
        <w:ind w:right="-46"/>
        <w:jc w:val="both"/>
        <w:rPr>
          <w:rFonts w:ascii="Arial" w:hAnsi="Arial" w:cs="Arial"/>
          <w:sz w:val="24"/>
          <w:szCs w:val="24"/>
        </w:rPr>
      </w:pPr>
      <w:r w:rsidRPr="006674F4">
        <w:rPr>
          <w:rFonts w:ascii="Arial" w:hAnsi="Arial" w:cs="Arial"/>
          <w:sz w:val="24"/>
          <w:szCs w:val="24"/>
        </w:rPr>
        <w:t>Land and buildings transferred to Shaw Education Trust (SET) as part of the Academies programme are reflected within freehold or long leasehold fixed assets at the point of transfer.</w:t>
      </w:r>
    </w:p>
    <w:p w14:paraId="701C1406" w14:textId="77777777" w:rsidR="001F6984" w:rsidRPr="006674F4" w:rsidRDefault="001F6984" w:rsidP="00004D5F">
      <w:pPr>
        <w:autoSpaceDE w:val="0"/>
        <w:autoSpaceDN w:val="0"/>
        <w:adjustRightInd w:val="0"/>
        <w:spacing w:after="240" w:line="240" w:lineRule="auto"/>
        <w:ind w:right="-46"/>
        <w:jc w:val="both"/>
        <w:rPr>
          <w:rFonts w:ascii="Arial" w:hAnsi="Arial" w:cs="Arial"/>
          <w:sz w:val="24"/>
          <w:szCs w:val="24"/>
        </w:rPr>
      </w:pPr>
      <w:r w:rsidRPr="006674F4">
        <w:rPr>
          <w:rFonts w:ascii="Arial" w:hAnsi="Arial" w:cs="Arial"/>
          <w:sz w:val="24"/>
          <w:szCs w:val="24"/>
        </w:rPr>
        <w:t>The land and buildings transferred as part of the Academies programme are subject to the provisions of the individual academy funding agreements and the master funding agreement.</w:t>
      </w:r>
    </w:p>
    <w:p w14:paraId="0039224B" w14:textId="77777777" w:rsidR="001F6984" w:rsidRPr="006674F4" w:rsidRDefault="001F6984" w:rsidP="00004D5F">
      <w:pPr>
        <w:autoSpaceDE w:val="0"/>
        <w:autoSpaceDN w:val="0"/>
        <w:adjustRightInd w:val="0"/>
        <w:spacing w:after="240" w:line="240" w:lineRule="auto"/>
        <w:ind w:right="-46"/>
        <w:jc w:val="both"/>
        <w:rPr>
          <w:rFonts w:ascii="Arial" w:hAnsi="Arial" w:cs="Arial"/>
          <w:sz w:val="24"/>
          <w:szCs w:val="24"/>
        </w:rPr>
      </w:pPr>
      <w:r w:rsidRPr="006674F4">
        <w:rPr>
          <w:rFonts w:ascii="Arial" w:hAnsi="Arial" w:cs="Arial"/>
          <w:sz w:val="24"/>
          <w:szCs w:val="24"/>
        </w:rPr>
        <w:t>These provisions may include preventing the company from selling the land and buildings. Upon termination of a funding agreement, whether as a result of the Secretary of State for Education or the SET serving notice, the assets relating to that agreement will return to the Secretary of State.</w:t>
      </w:r>
    </w:p>
    <w:p w14:paraId="2AE55151" w14:textId="77777777" w:rsidR="001F6984" w:rsidRPr="006674F4" w:rsidRDefault="001F6984" w:rsidP="00004D5F">
      <w:pPr>
        <w:autoSpaceDE w:val="0"/>
        <w:autoSpaceDN w:val="0"/>
        <w:adjustRightInd w:val="0"/>
        <w:spacing w:after="240" w:line="240" w:lineRule="auto"/>
        <w:ind w:right="-46"/>
        <w:jc w:val="both"/>
        <w:rPr>
          <w:rFonts w:ascii="Arial" w:hAnsi="Arial" w:cs="Arial"/>
          <w:sz w:val="24"/>
          <w:szCs w:val="24"/>
        </w:rPr>
      </w:pPr>
      <w:r w:rsidRPr="006674F4">
        <w:rPr>
          <w:rFonts w:ascii="Arial" w:hAnsi="Arial" w:cs="Arial"/>
          <w:sz w:val="24"/>
          <w:szCs w:val="24"/>
        </w:rPr>
        <w:t>The value of the land and buildings to which these Academy agreements apply is £</w:t>
      </w:r>
      <w:r w:rsidR="00920BD0" w:rsidRPr="00920BD0">
        <w:rPr>
          <w:rFonts w:ascii="Arial" w:hAnsi="Arial" w:cs="Arial"/>
          <w:sz w:val="24"/>
          <w:szCs w:val="24"/>
        </w:rPr>
        <w:t>158,333,000</w:t>
      </w:r>
      <w:r w:rsidRPr="00920BD0">
        <w:rPr>
          <w:rFonts w:ascii="Arial" w:hAnsi="Arial" w:cs="Arial"/>
          <w:sz w:val="24"/>
          <w:szCs w:val="24"/>
        </w:rPr>
        <w:t>.</w:t>
      </w:r>
      <w:r w:rsidR="00B33B87" w:rsidRPr="00B33B87">
        <w:rPr>
          <w:rFonts w:ascii="Arial" w:hAnsi="Arial" w:cs="Arial"/>
          <w:sz w:val="24"/>
          <w:szCs w:val="24"/>
        </w:rPr>
        <w:t xml:space="preserve"> </w:t>
      </w:r>
      <w:r w:rsidR="00B33B87">
        <w:rPr>
          <w:rFonts w:ascii="Arial" w:hAnsi="Arial" w:cs="Arial"/>
          <w:sz w:val="24"/>
          <w:szCs w:val="24"/>
        </w:rPr>
        <w:t>(2019: £124,569,000).</w:t>
      </w:r>
    </w:p>
    <w:p w14:paraId="3A6D6180" w14:textId="77777777" w:rsidR="001F6984" w:rsidRPr="006674F4" w:rsidRDefault="001F6984" w:rsidP="00004D5F">
      <w:pPr>
        <w:autoSpaceDE w:val="0"/>
        <w:autoSpaceDN w:val="0"/>
        <w:adjustRightInd w:val="0"/>
        <w:spacing w:after="240" w:line="240" w:lineRule="auto"/>
        <w:ind w:right="-46"/>
        <w:jc w:val="both"/>
        <w:rPr>
          <w:rFonts w:ascii="Arial" w:hAnsi="Arial" w:cs="Arial"/>
          <w:sz w:val="24"/>
          <w:szCs w:val="24"/>
        </w:rPr>
      </w:pPr>
      <w:r w:rsidRPr="006674F4">
        <w:rPr>
          <w:rFonts w:ascii="Arial" w:hAnsi="Arial" w:cs="Arial"/>
          <w:sz w:val="24"/>
          <w:szCs w:val="24"/>
        </w:rPr>
        <w:t>The value of the transferred assets has been recognised in the Statem</w:t>
      </w:r>
      <w:r w:rsidR="00D07E98">
        <w:rPr>
          <w:rFonts w:ascii="Arial" w:hAnsi="Arial" w:cs="Arial"/>
          <w:sz w:val="24"/>
          <w:szCs w:val="24"/>
        </w:rPr>
        <w:t>ent of Financial Activities as N</w:t>
      </w:r>
      <w:r w:rsidRPr="006674F4">
        <w:rPr>
          <w:rFonts w:ascii="Arial" w:hAnsi="Arial" w:cs="Arial"/>
          <w:sz w:val="24"/>
          <w:szCs w:val="24"/>
        </w:rPr>
        <w:t>et assets taken on with mergers and transfers.</w:t>
      </w:r>
    </w:p>
    <w:p w14:paraId="114241E5" w14:textId="77777777" w:rsidR="009E661B" w:rsidRDefault="009E661B" w:rsidP="00004D5F">
      <w:pPr>
        <w:autoSpaceDE w:val="0"/>
        <w:autoSpaceDN w:val="0"/>
        <w:adjustRightInd w:val="0"/>
        <w:spacing w:after="240" w:line="240" w:lineRule="auto"/>
        <w:ind w:right="-46"/>
        <w:jc w:val="both"/>
        <w:rPr>
          <w:rFonts w:ascii="Arial" w:hAnsi="Arial" w:cs="Arial"/>
          <w:color w:val="000000" w:themeColor="text1"/>
          <w:sz w:val="24"/>
          <w:szCs w:val="24"/>
        </w:rPr>
      </w:pPr>
      <w:r>
        <w:rPr>
          <w:rFonts w:ascii="Arial" w:hAnsi="Arial" w:cs="Arial"/>
          <w:color w:val="000000" w:themeColor="text1"/>
          <w:sz w:val="24"/>
          <w:szCs w:val="24"/>
        </w:rPr>
        <w:t xml:space="preserve">The </w:t>
      </w:r>
      <w:proofErr w:type="spellStart"/>
      <w:r>
        <w:rPr>
          <w:rFonts w:ascii="Arial" w:hAnsi="Arial" w:cs="Arial"/>
          <w:color w:val="000000" w:themeColor="text1"/>
          <w:sz w:val="24"/>
          <w:szCs w:val="24"/>
        </w:rPr>
        <w:t>Gabbitas</w:t>
      </w:r>
      <w:proofErr w:type="spellEnd"/>
      <w:r>
        <w:rPr>
          <w:rFonts w:ascii="Arial" w:hAnsi="Arial" w:cs="Arial"/>
          <w:color w:val="000000" w:themeColor="text1"/>
          <w:sz w:val="24"/>
          <w:szCs w:val="24"/>
        </w:rPr>
        <w:t xml:space="preserve"> group of subsidiary companies was disposed of during the year resulting in a disposal of the assets and their associated accumulated depreciation.</w:t>
      </w:r>
    </w:p>
    <w:p w14:paraId="35E6B23A" w14:textId="77777777" w:rsidR="00406314" w:rsidRDefault="00406314" w:rsidP="00406314">
      <w:pPr>
        <w:rPr>
          <w:rFonts w:ascii="Arial" w:hAnsi="Arial" w:cs="Arial"/>
          <w:sz w:val="24"/>
          <w:szCs w:val="24"/>
        </w:rPr>
      </w:pPr>
      <w:r w:rsidRPr="00A36D65">
        <w:rPr>
          <w:rFonts w:ascii="Arial" w:hAnsi="Arial" w:cs="Arial"/>
          <w:sz w:val="24"/>
          <w:szCs w:val="24"/>
        </w:rPr>
        <w:t>Balances previously disclosed in the prior year financial statements, have been reclassified to better reflect the nature of the balances.</w:t>
      </w:r>
    </w:p>
    <w:tbl>
      <w:tblPr>
        <w:tblW w:w="9238" w:type="dxa"/>
        <w:jc w:val="center"/>
        <w:tblLook w:val="04A0" w:firstRow="1" w:lastRow="0" w:firstColumn="1" w:lastColumn="0" w:noHBand="0" w:noVBand="1"/>
      </w:tblPr>
      <w:tblGrid>
        <w:gridCol w:w="6768"/>
        <w:gridCol w:w="272"/>
        <w:gridCol w:w="615"/>
        <w:gridCol w:w="272"/>
        <w:gridCol w:w="346"/>
        <w:gridCol w:w="836"/>
        <w:gridCol w:w="129"/>
      </w:tblGrid>
      <w:tr w:rsidR="00B26C0A" w:rsidRPr="006E562B" w14:paraId="3869C498" w14:textId="77777777" w:rsidTr="00004D5F">
        <w:trPr>
          <w:gridAfter w:val="5"/>
          <w:wAfter w:w="2198" w:type="dxa"/>
          <w:trHeight w:val="323"/>
          <w:jc w:val="center"/>
        </w:trPr>
        <w:tc>
          <w:tcPr>
            <w:tcW w:w="6768" w:type="dxa"/>
            <w:tcBorders>
              <w:top w:val="nil"/>
              <w:left w:val="nil"/>
              <w:bottom w:val="nil"/>
              <w:right w:val="nil"/>
            </w:tcBorders>
            <w:shd w:val="clear" w:color="auto" w:fill="auto"/>
            <w:noWrap/>
            <w:vAlign w:val="center"/>
            <w:hideMark/>
          </w:tcPr>
          <w:p w14:paraId="6E503236" w14:textId="77777777" w:rsidR="00356764" w:rsidRDefault="00356764" w:rsidP="00004D5F">
            <w:pPr>
              <w:spacing w:after="0" w:line="240" w:lineRule="auto"/>
              <w:rPr>
                <w:rFonts w:ascii="Arial" w:eastAsia="Times New Roman" w:hAnsi="Arial" w:cs="Arial"/>
                <w:b/>
                <w:bCs/>
                <w:sz w:val="24"/>
                <w:szCs w:val="24"/>
                <w:lang w:eastAsia="en-GB"/>
              </w:rPr>
            </w:pPr>
          </w:p>
          <w:p w14:paraId="15A324FA" w14:textId="77777777" w:rsidR="00B26C0A" w:rsidRPr="006E562B" w:rsidRDefault="00BE0959" w:rsidP="00004D5F">
            <w:pPr>
              <w:spacing w:after="0" w:line="240" w:lineRule="auto"/>
              <w:rPr>
                <w:rFonts w:ascii="Arial" w:eastAsia="Times New Roman" w:hAnsi="Arial" w:cs="Arial"/>
                <w:b/>
                <w:bCs/>
                <w:sz w:val="24"/>
                <w:szCs w:val="24"/>
                <w:lang w:eastAsia="en-GB"/>
              </w:rPr>
            </w:pPr>
            <w:r>
              <w:rPr>
                <w:rFonts w:ascii="Arial" w:eastAsia="Times New Roman" w:hAnsi="Arial" w:cs="Arial"/>
                <w:b/>
                <w:bCs/>
                <w:sz w:val="24"/>
                <w:szCs w:val="24"/>
                <w:lang w:eastAsia="en-GB"/>
              </w:rPr>
              <w:t>9</w:t>
            </w:r>
            <w:r w:rsidR="00B26C0A" w:rsidRPr="006E562B">
              <w:rPr>
                <w:rFonts w:ascii="Arial" w:eastAsia="Times New Roman" w:hAnsi="Arial" w:cs="Arial"/>
                <w:b/>
                <w:bCs/>
                <w:sz w:val="24"/>
                <w:szCs w:val="24"/>
                <w:lang w:eastAsia="en-GB"/>
              </w:rPr>
              <w:t>. Investments</w:t>
            </w:r>
            <w:r w:rsidR="00B26C0A">
              <w:rPr>
                <w:rFonts w:ascii="Arial" w:eastAsia="Times New Roman" w:hAnsi="Arial" w:cs="Arial"/>
                <w:b/>
                <w:bCs/>
                <w:sz w:val="24"/>
                <w:szCs w:val="24"/>
                <w:lang w:eastAsia="en-GB"/>
              </w:rPr>
              <w:t xml:space="preserve"> in Subsidiary Undertakings</w:t>
            </w:r>
            <w:r w:rsidR="00513609">
              <w:rPr>
                <w:rFonts w:ascii="Arial" w:eastAsia="Times New Roman" w:hAnsi="Arial" w:cs="Arial"/>
                <w:b/>
                <w:bCs/>
                <w:sz w:val="24"/>
                <w:szCs w:val="24"/>
                <w:lang w:eastAsia="en-GB"/>
              </w:rPr>
              <w:t xml:space="preserve"> and Joint Ventures</w:t>
            </w:r>
          </w:p>
        </w:tc>
        <w:tc>
          <w:tcPr>
            <w:tcW w:w="272" w:type="dxa"/>
            <w:tcBorders>
              <w:top w:val="nil"/>
              <w:left w:val="nil"/>
              <w:bottom w:val="nil"/>
              <w:right w:val="nil"/>
            </w:tcBorders>
            <w:shd w:val="clear" w:color="auto" w:fill="auto"/>
            <w:noWrap/>
            <w:vAlign w:val="center"/>
            <w:hideMark/>
          </w:tcPr>
          <w:p w14:paraId="2ECE38E7" w14:textId="77777777" w:rsidR="00B26C0A" w:rsidRPr="006E562B" w:rsidRDefault="00B26C0A" w:rsidP="00004D5F">
            <w:pPr>
              <w:spacing w:after="0" w:line="240" w:lineRule="auto"/>
              <w:rPr>
                <w:rFonts w:ascii="Arial" w:eastAsia="Times New Roman" w:hAnsi="Arial" w:cs="Arial"/>
                <w:b/>
                <w:bCs/>
                <w:sz w:val="24"/>
                <w:szCs w:val="24"/>
                <w:lang w:eastAsia="en-GB"/>
              </w:rPr>
            </w:pPr>
          </w:p>
        </w:tc>
      </w:tr>
      <w:tr w:rsidR="00B37319" w:rsidRPr="006E562B" w14:paraId="04092C2E" w14:textId="77777777" w:rsidTr="00004D5F">
        <w:trPr>
          <w:gridAfter w:val="5"/>
          <w:wAfter w:w="2198" w:type="dxa"/>
          <w:trHeight w:val="323"/>
          <w:jc w:val="center"/>
        </w:trPr>
        <w:tc>
          <w:tcPr>
            <w:tcW w:w="6768" w:type="dxa"/>
            <w:tcBorders>
              <w:top w:val="nil"/>
              <w:left w:val="nil"/>
              <w:bottom w:val="nil"/>
              <w:right w:val="nil"/>
            </w:tcBorders>
            <w:shd w:val="clear" w:color="auto" w:fill="auto"/>
            <w:noWrap/>
            <w:vAlign w:val="center"/>
          </w:tcPr>
          <w:p w14:paraId="4CA7CA6B" w14:textId="77777777" w:rsidR="00B37319" w:rsidRDefault="00B37319" w:rsidP="00004D5F">
            <w:pPr>
              <w:spacing w:after="0" w:line="240" w:lineRule="auto"/>
              <w:rPr>
                <w:rFonts w:ascii="Arial" w:eastAsia="Times New Roman" w:hAnsi="Arial" w:cs="Arial"/>
                <w:b/>
                <w:bCs/>
                <w:sz w:val="24"/>
                <w:szCs w:val="24"/>
                <w:lang w:eastAsia="en-GB"/>
              </w:rPr>
            </w:pPr>
          </w:p>
        </w:tc>
        <w:tc>
          <w:tcPr>
            <w:tcW w:w="272" w:type="dxa"/>
            <w:tcBorders>
              <w:top w:val="nil"/>
              <w:left w:val="nil"/>
              <w:bottom w:val="nil"/>
              <w:right w:val="nil"/>
            </w:tcBorders>
            <w:shd w:val="clear" w:color="auto" w:fill="auto"/>
            <w:noWrap/>
            <w:vAlign w:val="center"/>
          </w:tcPr>
          <w:p w14:paraId="5C0D447C" w14:textId="77777777" w:rsidR="00B37319" w:rsidRPr="006E562B" w:rsidRDefault="00B37319" w:rsidP="00004D5F">
            <w:pPr>
              <w:spacing w:after="0" w:line="240" w:lineRule="auto"/>
              <w:rPr>
                <w:rFonts w:ascii="Arial" w:eastAsia="Times New Roman" w:hAnsi="Arial" w:cs="Arial"/>
                <w:b/>
                <w:bCs/>
                <w:sz w:val="24"/>
                <w:szCs w:val="24"/>
                <w:lang w:eastAsia="en-GB"/>
              </w:rPr>
            </w:pPr>
          </w:p>
        </w:tc>
      </w:tr>
      <w:tr w:rsidR="00B26C0A" w:rsidRPr="006E562B" w14:paraId="2888C773" w14:textId="77777777" w:rsidTr="00004D5F">
        <w:trPr>
          <w:trHeight w:val="323"/>
          <w:jc w:val="center"/>
        </w:trPr>
        <w:tc>
          <w:tcPr>
            <w:tcW w:w="6768" w:type="dxa"/>
            <w:tcBorders>
              <w:top w:val="nil"/>
              <w:left w:val="nil"/>
              <w:bottom w:val="nil"/>
              <w:right w:val="nil"/>
            </w:tcBorders>
            <w:shd w:val="clear" w:color="auto" w:fill="auto"/>
            <w:noWrap/>
            <w:vAlign w:val="center"/>
            <w:hideMark/>
          </w:tcPr>
          <w:p w14:paraId="6EF0A019" w14:textId="77777777" w:rsidR="00B26C0A" w:rsidRPr="006E562B" w:rsidRDefault="00B26C0A" w:rsidP="00004D5F">
            <w:pPr>
              <w:spacing w:after="0" w:line="240" w:lineRule="auto"/>
              <w:rPr>
                <w:rFonts w:ascii="Arial" w:eastAsia="Times New Roman" w:hAnsi="Arial" w:cs="Arial"/>
                <w:sz w:val="20"/>
                <w:szCs w:val="20"/>
                <w:lang w:eastAsia="en-GB"/>
              </w:rPr>
            </w:pPr>
            <w:r w:rsidRPr="006E562B">
              <w:rPr>
                <w:rFonts w:ascii="Arial" w:eastAsia="Times New Roman" w:hAnsi="Arial" w:cs="Arial"/>
                <w:sz w:val="20"/>
                <w:szCs w:val="20"/>
                <w:lang w:eastAsia="en-GB"/>
              </w:rPr>
              <w:t>Company interests in group undertakings</w:t>
            </w:r>
          </w:p>
        </w:tc>
        <w:tc>
          <w:tcPr>
            <w:tcW w:w="272" w:type="dxa"/>
            <w:tcBorders>
              <w:top w:val="nil"/>
              <w:left w:val="nil"/>
              <w:bottom w:val="nil"/>
              <w:right w:val="nil"/>
            </w:tcBorders>
            <w:shd w:val="clear" w:color="auto" w:fill="auto"/>
            <w:noWrap/>
            <w:vAlign w:val="center"/>
            <w:hideMark/>
          </w:tcPr>
          <w:p w14:paraId="203AD28C" w14:textId="77777777" w:rsidR="00B26C0A" w:rsidRPr="006E562B" w:rsidRDefault="00B26C0A" w:rsidP="00004D5F">
            <w:pPr>
              <w:spacing w:after="0" w:line="240" w:lineRule="auto"/>
              <w:rPr>
                <w:rFonts w:ascii="Arial" w:eastAsia="Times New Roman" w:hAnsi="Arial" w:cs="Arial"/>
                <w:sz w:val="20"/>
                <w:szCs w:val="20"/>
                <w:lang w:eastAsia="en-GB"/>
              </w:rPr>
            </w:pPr>
          </w:p>
        </w:tc>
        <w:tc>
          <w:tcPr>
            <w:tcW w:w="1233" w:type="dxa"/>
            <w:gridSpan w:val="3"/>
            <w:tcBorders>
              <w:top w:val="nil"/>
              <w:left w:val="nil"/>
              <w:bottom w:val="nil"/>
              <w:right w:val="nil"/>
            </w:tcBorders>
            <w:shd w:val="clear" w:color="auto" w:fill="auto"/>
            <w:noWrap/>
            <w:vAlign w:val="center"/>
            <w:hideMark/>
          </w:tcPr>
          <w:p w14:paraId="0BAC1B41" w14:textId="77777777" w:rsidR="00B26C0A" w:rsidRPr="006E562B" w:rsidRDefault="00B26C0A" w:rsidP="00004D5F">
            <w:pPr>
              <w:spacing w:after="0" w:line="240" w:lineRule="auto"/>
              <w:rPr>
                <w:rFonts w:ascii="Times New Roman" w:eastAsia="Times New Roman" w:hAnsi="Times New Roman" w:cs="Times New Roman"/>
                <w:sz w:val="20"/>
                <w:szCs w:val="20"/>
                <w:lang w:eastAsia="en-GB"/>
              </w:rPr>
            </w:pPr>
          </w:p>
        </w:tc>
        <w:tc>
          <w:tcPr>
            <w:tcW w:w="965" w:type="dxa"/>
            <w:gridSpan w:val="2"/>
            <w:tcBorders>
              <w:top w:val="nil"/>
              <w:left w:val="nil"/>
              <w:bottom w:val="nil"/>
              <w:right w:val="nil"/>
            </w:tcBorders>
            <w:shd w:val="clear" w:color="auto" w:fill="auto"/>
            <w:noWrap/>
            <w:vAlign w:val="center"/>
            <w:hideMark/>
          </w:tcPr>
          <w:p w14:paraId="649E50A5" w14:textId="77777777" w:rsidR="00B26C0A" w:rsidRPr="006E562B" w:rsidRDefault="00B26C0A" w:rsidP="00004D5F">
            <w:pPr>
              <w:spacing w:after="0" w:line="240" w:lineRule="auto"/>
              <w:rPr>
                <w:rFonts w:ascii="Times New Roman" w:eastAsia="Times New Roman" w:hAnsi="Times New Roman" w:cs="Times New Roman"/>
                <w:sz w:val="20"/>
                <w:szCs w:val="20"/>
                <w:lang w:eastAsia="en-GB"/>
              </w:rPr>
            </w:pPr>
          </w:p>
        </w:tc>
      </w:tr>
      <w:tr w:rsidR="000F6386" w:rsidRPr="006E562B" w14:paraId="7436DCA0" w14:textId="77777777" w:rsidTr="00004D5F">
        <w:trPr>
          <w:gridAfter w:val="1"/>
          <w:wAfter w:w="129" w:type="dxa"/>
          <w:trHeight w:val="323"/>
          <w:jc w:val="center"/>
        </w:trPr>
        <w:tc>
          <w:tcPr>
            <w:tcW w:w="7655" w:type="dxa"/>
            <w:gridSpan w:val="3"/>
            <w:tcBorders>
              <w:top w:val="nil"/>
              <w:left w:val="nil"/>
              <w:bottom w:val="nil"/>
              <w:right w:val="nil"/>
            </w:tcBorders>
            <w:shd w:val="clear" w:color="auto" w:fill="auto"/>
            <w:noWrap/>
            <w:vAlign w:val="center"/>
            <w:hideMark/>
          </w:tcPr>
          <w:p w14:paraId="225843C5" w14:textId="77777777" w:rsidR="000F6386" w:rsidRPr="006E562B" w:rsidRDefault="000F6386" w:rsidP="00004D5F">
            <w:pPr>
              <w:spacing w:after="0" w:line="240" w:lineRule="auto"/>
              <w:rPr>
                <w:rFonts w:ascii="Arial" w:eastAsia="Times New Roman" w:hAnsi="Arial" w:cs="Arial"/>
                <w:b/>
                <w:bCs/>
                <w:sz w:val="20"/>
                <w:szCs w:val="20"/>
                <w:lang w:eastAsia="en-GB"/>
              </w:rPr>
            </w:pPr>
          </w:p>
        </w:tc>
        <w:tc>
          <w:tcPr>
            <w:tcW w:w="272" w:type="dxa"/>
            <w:tcBorders>
              <w:top w:val="nil"/>
              <w:left w:val="nil"/>
              <w:bottom w:val="nil"/>
              <w:right w:val="nil"/>
            </w:tcBorders>
            <w:shd w:val="clear" w:color="auto" w:fill="auto"/>
            <w:noWrap/>
            <w:vAlign w:val="center"/>
            <w:hideMark/>
          </w:tcPr>
          <w:p w14:paraId="2F2CB0DD" w14:textId="77777777" w:rsidR="000F6386" w:rsidRPr="006E562B" w:rsidRDefault="000F6386" w:rsidP="00004D5F">
            <w:pPr>
              <w:spacing w:after="0" w:line="240" w:lineRule="auto"/>
              <w:rPr>
                <w:rFonts w:ascii="Times New Roman" w:eastAsia="Times New Roman" w:hAnsi="Times New Roman" w:cs="Times New Roman"/>
                <w:sz w:val="20"/>
                <w:szCs w:val="20"/>
                <w:lang w:eastAsia="en-GB"/>
              </w:rPr>
            </w:pPr>
          </w:p>
        </w:tc>
        <w:tc>
          <w:tcPr>
            <w:tcW w:w="1182" w:type="dxa"/>
            <w:gridSpan w:val="2"/>
            <w:tcBorders>
              <w:top w:val="nil"/>
              <w:left w:val="nil"/>
              <w:right w:val="nil"/>
            </w:tcBorders>
            <w:shd w:val="clear" w:color="auto" w:fill="auto"/>
            <w:noWrap/>
            <w:vAlign w:val="center"/>
            <w:hideMark/>
          </w:tcPr>
          <w:p w14:paraId="6089CF06" w14:textId="77777777" w:rsidR="000F6386" w:rsidRDefault="0037645F" w:rsidP="00004D5F">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2020</w:t>
            </w:r>
          </w:p>
          <w:p w14:paraId="21D7F0A0" w14:textId="77777777" w:rsidR="000F6386" w:rsidRPr="006E562B" w:rsidRDefault="000F6386" w:rsidP="00004D5F">
            <w:pPr>
              <w:spacing w:after="0" w:line="240" w:lineRule="auto"/>
              <w:jc w:val="right"/>
              <w:rPr>
                <w:rFonts w:ascii="Arial" w:eastAsia="Times New Roman" w:hAnsi="Arial" w:cs="Arial"/>
                <w:b/>
                <w:bCs/>
                <w:sz w:val="20"/>
                <w:szCs w:val="20"/>
                <w:lang w:eastAsia="en-GB"/>
              </w:rPr>
            </w:pPr>
            <w:r w:rsidRPr="006E562B">
              <w:rPr>
                <w:rFonts w:ascii="Arial" w:eastAsia="Times New Roman" w:hAnsi="Arial" w:cs="Arial"/>
                <w:b/>
                <w:bCs/>
                <w:sz w:val="20"/>
                <w:szCs w:val="20"/>
                <w:lang w:eastAsia="en-GB"/>
              </w:rPr>
              <w:t>£'000</w:t>
            </w:r>
          </w:p>
        </w:tc>
      </w:tr>
      <w:tr w:rsidR="00004D5F" w:rsidRPr="006E562B" w14:paraId="1CA68964" w14:textId="77777777" w:rsidTr="00004D5F">
        <w:trPr>
          <w:gridAfter w:val="1"/>
          <w:wAfter w:w="129" w:type="dxa"/>
          <w:trHeight w:val="323"/>
          <w:jc w:val="center"/>
        </w:trPr>
        <w:tc>
          <w:tcPr>
            <w:tcW w:w="7655" w:type="dxa"/>
            <w:gridSpan w:val="3"/>
            <w:tcBorders>
              <w:top w:val="nil"/>
              <w:left w:val="nil"/>
              <w:bottom w:val="nil"/>
              <w:right w:val="nil"/>
            </w:tcBorders>
            <w:shd w:val="clear" w:color="auto" w:fill="auto"/>
            <w:noWrap/>
            <w:vAlign w:val="center"/>
          </w:tcPr>
          <w:p w14:paraId="77BAD04C" w14:textId="77777777" w:rsidR="00004D5F" w:rsidRPr="00AE5ACF" w:rsidRDefault="00004D5F" w:rsidP="00004D5F">
            <w:pPr>
              <w:spacing w:after="0" w:line="240" w:lineRule="auto"/>
              <w:rPr>
                <w:rFonts w:ascii="Arial" w:eastAsia="Times New Roman" w:hAnsi="Arial" w:cs="Arial"/>
                <w:sz w:val="20"/>
                <w:szCs w:val="20"/>
                <w:highlight w:val="yellow"/>
                <w:lang w:eastAsia="en-GB"/>
              </w:rPr>
            </w:pPr>
          </w:p>
        </w:tc>
        <w:tc>
          <w:tcPr>
            <w:tcW w:w="272" w:type="dxa"/>
            <w:tcBorders>
              <w:top w:val="nil"/>
              <w:left w:val="nil"/>
              <w:bottom w:val="nil"/>
              <w:right w:val="nil"/>
            </w:tcBorders>
            <w:shd w:val="clear" w:color="auto" w:fill="auto"/>
            <w:noWrap/>
            <w:vAlign w:val="center"/>
          </w:tcPr>
          <w:p w14:paraId="54D5DC49" w14:textId="77777777" w:rsidR="00004D5F" w:rsidRPr="006E562B" w:rsidRDefault="00004D5F" w:rsidP="00004D5F">
            <w:pPr>
              <w:spacing w:after="0" w:line="240" w:lineRule="auto"/>
              <w:rPr>
                <w:rFonts w:ascii="Arial" w:eastAsia="Times New Roman" w:hAnsi="Arial" w:cs="Arial"/>
                <w:sz w:val="20"/>
                <w:szCs w:val="20"/>
                <w:lang w:eastAsia="en-GB"/>
              </w:rPr>
            </w:pPr>
          </w:p>
        </w:tc>
        <w:tc>
          <w:tcPr>
            <w:tcW w:w="1182" w:type="dxa"/>
            <w:gridSpan w:val="2"/>
            <w:tcBorders>
              <w:top w:val="nil"/>
              <w:left w:val="nil"/>
              <w:bottom w:val="nil"/>
              <w:right w:val="nil"/>
            </w:tcBorders>
            <w:shd w:val="clear" w:color="auto" w:fill="auto"/>
            <w:noWrap/>
            <w:vAlign w:val="center"/>
          </w:tcPr>
          <w:p w14:paraId="2B70ACEB" w14:textId="77777777" w:rsidR="00004D5F" w:rsidRPr="006E562B" w:rsidRDefault="00004D5F" w:rsidP="00004D5F">
            <w:pPr>
              <w:spacing w:after="0" w:line="240" w:lineRule="auto"/>
              <w:jc w:val="right"/>
              <w:rPr>
                <w:rFonts w:ascii="Arial" w:eastAsia="Times New Roman" w:hAnsi="Arial" w:cs="Arial"/>
                <w:sz w:val="20"/>
                <w:szCs w:val="20"/>
                <w:lang w:eastAsia="en-GB"/>
              </w:rPr>
            </w:pPr>
          </w:p>
        </w:tc>
      </w:tr>
      <w:tr w:rsidR="000F6386" w:rsidRPr="006E562B" w14:paraId="06D369F8" w14:textId="77777777" w:rsidTr="00004D5F">
        <w:trPr>
          <w:gridAfter w:val="1"/>
          <w:wAfter w:w="129" w:type="dxa"/>
          <w:trHeight w:val="323"/>
          <w:jc w:val="center"/>
        </w:trPr>
        <w:tc>
          <w:tcPr>
            <w:tcW w:w="7655" w:type="dxa"/>
            <w:gridSpan w:val="3"/>
            <w:tcBorders>
              <w:top w:val="nil"/>
              <w:left w:val="nil"/>
              <w:bottom w:val="nil"/>
              <w:right w:val="nil"/>
            </w:tcBorders>
            <w:shd w:val="clear" w:color="auto" w:fill="auto"/>
            <w:noWrap/>
            <w:vAlign w:val="center"/>
            <w:hideMark/>
          </w:tcPr>
          <w:p w14:paraId="3BF188E3" w14:textId="77777777" w:rsidR="000F6386" w:rsidRPr="006647C2" w:rsidRDefault="000F6386" w:rsidP="00004D5F">
            <w:pPr>
              <w:spacing w:after="0" w:line="240" w:lineRule="auto"/>
              <w:rPr>
                <w:rFonts w:ascii="Arial" w:eastAsia="Times New Roman" w:hAnsi="Arial" w:cs="Arial"/>
                <w:sz w:val="20"/>
                <w:szCs w:val="20"/>
                <w:lang w:eastAsia="en-GB"/>
              </w:rPr>
            </w:pPr>
            <w:r w:rsidRPr="006647C2">
              <w:rPr>
                <w:rFonts w:ascii="Arial" w:eastAsia="Times New Roman" w:hAnsi="Arial" w:cs="Arial"/>
                <w:sz w:val="20"/>
                <w:szCs w:val="20"/>
                <w:lang w:eastAsia="en-GB"/>
              </w:rPr>
              <w:t xml:space="preserve">At 1 September </w:t>
            </w:r>
            <w:r w:rsidR="0037645F" w:rsidRPr="006647C2">
              <w:rPr>
                <w:rFonts w:ascii="Arial" w:eastAsia="Times New Roman" w:hAnsi="Arial" w:cs="Arial"/>
                <w:sz w:val="20"/>
                <w:szCs w:val="20"/>
                <w:lang w:eastAsia="en-GB"/>
              </w:rPr>
              <w:t>2019</w:t>
            </w:r>
          </w:p>
        </w:tc>
        <w:tc>
          <w:tcPr>
            <w:tcW w:w="272" w:type="dxa"/>
            <w:tcBorders>
              <w:top w:val="nil"/>
              <w:left w:val="nil"/>
              <w:bottom w:val="nil"/>
              <w:right w:val="nil"/>
            </w:tcBorders>
            <w:shd w:val="clear" w:color="auto" w:fill="auto"/>
            <w:noWrap/>
            <w:vAlign w:val="center"/>
            <w:hideMark/>
          </w:tcPr>
          <w:p w14:paraId="3C1D31D9" w14:textId="77777777" w:rsidR="000F6386" w:rsidRPr="006E562B" w:rsidRDefault="000F6386" w:rsidP="00004D5F">
            <w:pPr>
              <w:spacing w:after="0" w:line="240" w:lineRule="auto"/>
              <w:rPr>
                <w:rFonts w:ascii="Arial" w:eastAsia="Times New Roman" w:hAnsi="Arial" w:cs="Arial"/>
                <w:sz w:val="20"/>
                <w:szCs w:val="20"/>
                <w:lang w:eastAsia="en-GB"/>
              </w:rPr>
            </w:pPr>
          </w:p>
        </w:tc>
        <w:tc>
          <w:tcPr>
            <w:tcW w:w="1182" w:type="dxa"/>
            <w:gridSpan w:val="2"/>
            <w:tcBorders>
              <w:top w:val="nil"/>
              <w:left w:val="nil"/>
              <w:bottom w:val="nil"/>
              <w:right w:val="nil"/>
            </w:tcBorders>
            <w:shd w:val="clear" w:color="auto" w:fill="auto"/>
            <w:noWrap/>
            <w:vAlign w:val="center"/>
            <w:hideMark/>
          </w:tcPr>
          <w:p w14:paraId="470E3350" w14:textId="77777777" w:rsidR="000F6386" w:rsidRPr="006E562B" w:rsidRDefault="000F6386" w:rsidP="00004D5F">
            <w:pPr>
              <w:spacing w:after="0" w:line="240" w:lineRule="auto"/>
              <w:jc w:val="right"/>
              <w:rPr>
                <w:rFonts w:ascii="Arial" w:eastAsia="Times New Roman" w:hAnsi="Arial" w:cs="Arial"/>
                <w:sz w:val="20"/>
                <w:szCs w:val="20"/>
                <w:lang w:eastAsia="en-GB"/>
              </w:rPr>
            </w:pPr>
            <w:r w:rsidRPr="006E562B">
              <w:rPr>
                <w:rFonts w:ascii="Arial" w:eastAsia="Times New Roman" w:hAnsi="Arial" w:cs="Arial"/>
                <w:sz w:val="20"/>
                <w:szCs w:val="20"/>
                <w:lang w:eastAsia="en-GB"/>
              </w:rPr>
              <w:t>19,955</w:t>
            </w:r>
          </w:p>
        </w:tc>
      </w:tr>
      <w:tr w:rsidR="000F6386" w:rsidRPr="006E562B" w14:paraId="41391B70" w14:textId="77777777" w:rsidTr="00004D5F">
        <w:trPr>
          <w:gridAfter w:val="1"/>
          <w:wAfter w:w="129" w:type="dxa"/>
          <w:trHeight w:val="323"/>
          <w:jc w:val="center"/>
        </w:trPr>
        <w:tc>
          <w:tcPr>
            <w:tcW w:w="7655" w:type="dxa"/>
            <w:gridSpan w:val="3"/>
            <w:tcBorders>
              <w:top w:val="nil"/>
              <w:left w:val="nil"/>
              <w:bottom w:val="single" w:sz="4" w:space="0" w:color="auto"/>
              <w:right w:val="nil"/>
            </w:tcBorders>
            <w:shd w:val="clear" w:color="auto" w:fill="auto"/>
            <w:noWrap/>
            <w:vAlign w:val="center"/>
            <w:hideMark/>
          </w:tcPr>
          <w:p w14:paraId="779503C4" w14:textId="77777777" w:rsidR="000F6386" w:rsidRPr="006647C2" w:rsidRDefault="000F6386" w:rsidP="00004D5F">
            <w:pPr>
              <w:spacing w:after="0" w:line="240" w:lineRule="auto"/>
              <w:rPr>
                <w:rFonts w:ascii="Arial" w:eastAsia="Times New Roman" w:hAnsi="Arial" w:cs="Arial"/>
                <w:b/>
                <w:bCs/>
                <w:sz w:val="20"/>
                <w:szCs w:val="20"/>
                <w:lang w:eastAsia="en-GB"/>
              </w:rPr>
            </w:pPr>
            <w:r w:rsidRPr="006647C2">
              <w:rPr>
                <w:rFonts w:ascii="Arial" w:eastAsia="Times New Roman" w:hAnsi="Arial" w:cs="Arial"/>
                <w:b/>
                <w:bCs/>
                <w:sz w:val="20"/>
                <w:szCs w:val="20"/>
                <w:lang w:eastAsia="en-GB"/>
              </w:rPr>
              <w:t xml:space="preserve">At 31 August </w:t>
            </w:r>
            <w:r w:rsidR="0037645F" w:rsidRPr="006647C2">
              <w:rPr>
                <w:rFonts w:ascii="Arial" w:eastAsia="Times New Roman" w:hAnsi="Arial" w:cs="Arial"/>
                <w:b/>
                <w:bCs/>
                <w:sz w:val="20"/>
                <w:szCs w:val="20"/>
                <w:lang w:eastAsia="en-GB"/>
              </w:rPr>
              <w:t>2020</w:t>
            </w:r>
          </w:p>
        </w:tc>
        <w:tc>
          <w:tcPr>
            <w:tcW w:w="272" w:type="dxa"/>
            <w:tcBorders>
              <w:top w:val="nil"/>
              <w:left w:val="nil"/>
              <w:bottom w:val="single" w:sz="4" w:space="0" w:color="auto"/>
              <w:right w:val="nil"/>
            </w:tcBorders>
            <w:shd w:val="clear" w:color="auto" w:fill="auto"/>
            <w:noWrap/>
            <w:vAlign w:val="center"/>
            <w:hideMark/>
          </w:tcPr>
          <w:p w14:paraId="2ABE6AA5" w14:textId="77777777" w:rsidR="000F6386" w:rsidRPr="006E562B" w:rsidRDefault="000F6386" w:rsidP="00004D5F">
            <w:pPr>
              <w:spacing w:after="0" w:line="240" w:lineRule="auto"/>
              <w:rPr>
                <w:rFonts w:ascii="Arial" w:eastAsia="Times New Roman" w:hAnsi="Arial" w:cs="Arial"/>
                <w:b/>
                <w:bCs/>
                <w:sz w:val="20"/>
                <w:szCs w:val="20"/>
                <w:lang w:eastAsia="en-GB"/>
              </w:rPr>
            </w:pPr>
            <w:r w:rsidRPr="006E562B">
              <w:rPr>
                <w:rFonts w:ascii="Arial" w:eastAsia="Times New Roman" w:hAnsi="Arial" w:cs="Arial"/>
                <w:b/>
                <w:bCs/>
                <w:sz w:val="20"/>
                <w:szCs w:val="20"/>
                <w:lang w:eastAsia="en-GB"/>
              </w:rPr>
              <w:t> </w:t>
            </w:r>
          </w:p>
        </w:tc>
        <w:tc>
          <w:tcPr>
            <w:tcW w:w="1182" w:type="dxa"/>
            <w:gridSpan w:val="2"/>
            <w:tcBorders>
              <w:left w:val="nil"/>
              <w:bottom w:val="single" w:sz="4" w:space="0" w:color="auto"/>
              <w:right w:val="nil"/>
            </w:tcBorders>
            <w:shd w:val="clear" w:color="auto" w:fill="auto"/>
            <w:noWrap/>
            <w:vAlign w:val="center"/>
            <w:hideMark/>
          </w:tcPr>
          <w:p w14:paraId="660DF9E8" w14:textId="77777777" w:rsidR="000F6386" w:rsidRPr="006E562B" w:rsidRDefault="000F6386" w:rsidP="00004D5F">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19,955</w:t>
            </w:r>
          </w:p>
        </w:tc>
      </w:tr>
      <w:tr w:rsidR="00543D10" w:rsidRPr="00543D10" w14:paraId="11BBC5F8" w14:textId="77777777" w:rsidTr="00004D5F">
        <w:trPr>
          <w:gridAfter w:val="1"/>
          <w:wAfter w:w="129" w:type="dxa"/>
          <w:trHeight w:val="323"/>
          <w:jc w:val="center"/>
        </w:trPr>
        <w:tc>
          <w:tcPr>
            <w:tcW w:w="7655" w:type="dxa"/>
            <w:gridSpan w:val="3"/>
            <w:tcBorders>
              <w:top w:val="nil"/>
              <w:left w:val="nil"/>
              <w:bottom w:val="nil"/>
              <w:right w:val="nil"/>
            </w:tcBorders>
            <w:shd w:val="clear" w:color="auto" w:fill="auto"/>
            <w:noWrap/>
            <w:vAlign w:val="center"/>
            <w:hideMark/>
          </w:tcPr>
          <w:p w14:paraId="46DE6F94" w14:textId="77777777" w:rsidR="000F6386" w:rsidRPr="00543D10" w:rsidRDefault="000F6386" w:rsidP="00004D5F">
            <w:pPr>
              <w:spacing w:after="0" w:line="240" w:lineRule="auto"/>
              <w:rPr>
                <w:rFonts w:ascii="Arial" w:eastAsia="Times New Roman" w:hAnsi="Arial" w:cs="Arial"/>
                <w:b/>
                <w:bCs/>
                <w:sz w:val="20"/>
                <w:szCs w:val="20"/>
                <w:lang w:eastAsia="en-GB"/>
              </w:rPr>
            </w:pPr>
          </w:p>
        </w:tc>
        <w:tc>
          <w:tcPr>
            <w:tcW w:w="272" w:type="dxa"/>
            <w:tcBorders>
              <w:top w:val="nil"/>
              <w:left w:val="nil"/>
              <w:bottom w:val="nil"/>
              <w:right w:val="nil"/>
            </w:tcBorders>
            <w:shd w:val="clear" w:color="auto" w:fill="auto"/>
            <w:noWrap/>
            <w:vAlign w:val="center"/>
            <w:hideMark/>
          </w:tcPr>
          <w:p w14:paraId="5E6B5D13" w14:textId="77777777" w:rsidR="000F6386" w:rsidRPr="00543D10" w:rsidRDefault="000F6386" w:rsidP="00004D5F">
            <w:pPr>
              <w:spacing w:after="0" w:line="240" w:lineRule="auto"/>
              <w:rPr>
                <w:rFonts w:ascii="Times New Roman" w:eastAsia="Times New Roman" w:hAnsi="Times New Roman" w:cs="Times New Roman"/>
                <w:sz w:val="20"/>
                <w:szCs w:val="20"/>
                <w:lang w:eastAsia="en-GB"/>
              </w:rPr>
            </w:pPr>
          </w:p>
        </w:tc>
        <w:tc>
          <w:tcPr>
            <w:tcW w:w="1182" w:type="dxa"/>
            <w:gridSpan w:val="2"/>
            <w:tcBorders>
              <w:top w:val="nil"/>
              <w:left w:val="nil"/>
              <w:bottom w:val="nil"/>
              <w:right w:val="nil"/>
            </w:tcBorders>
            <w:shd w:val="clear" w:color="auto" w:fill="auto"/>
            <w:noWrap/>
            <w:vAlign w:val="center"/>
            <w:hideMark/>
          </w:tcPr>
          <w:p w14:paraId="57DE99B6" w14:textId="77777777" w:rsidR="000F6386" w:rsidRPr="00543D10" w:rsidRDefault="000F6386" w:rsidP="00004D5F">
            <w:pPr>
              <w:spacing w:after="0" w:line="240" w:lineRule="auto"/>
              <w:jc w:val="right"/>
              <w:rPr>
                <w:rFonts w:ascii="Times New Roman" w:eastAsia="Times New Roman" w:hAnsi="Times New Roman" w:cs="Times New Roman"/>
                <w:sz w:val="20"/>
                <w:szCs w:val="20"/>
                <w:lang w:eastAsia="en-GB"/>
              </w:rPr>
            </w:pPr>
          </w:p>
        </w:tc>
      </w:tr>
      <w:tr w:rsidR="00543D10" w:rsidRPr="00543D10" w14:paraId="1220968F" w14:textId="77777777" w:rsidTr="007A37E6">
        <w:trPr>
          <w:gridAfter w:val="1"/>
          <w:wAfter w:w="129" w:type="dxa"/>
          <w:trHeight w:val="323"/>
          <w:jc w:val="center"/>
        </w:trPr>
        <w:tc>
          <w:tcPr>
            <w:tcW w:w="7655" w:type="dxa"/>
            <w:gridSpan w:val="3"/>
            <w:tcBorders>
              <w:top w:val="nil"/>
              <w:left w:val="nil"/>
              <w:bottom w:val="nil"/>
              <w:right w:val="nil"/>
            </w:tcBorders>
            <w:shd w:val="clear" w:color="auto" w:fill="auto"/>
            <w:noWrap/>
            <w:vAlign w:val="center"/>
            <w:hideMark/>
          </w:tcPr>
          <w:p w14:paraId="6BA66F51" w14:textId="77777777" w:rsidR="000F6386" w:rsidRPr="00543D10" w:rsidRDefault="000F6386" w:rsidP="00004D5F">
            <w:pPr>
              <w:spacing w:after="0" w:line="240" w:lineRule="auto"/>
              <w:rPr>
                <w:rFonts w:ascii="Arial" w:eastAsia="Times New Roman" w:hAnsi="Arial" w:cs="Arial"/>
                <w:sz w:val="20"/>
                <w:szCs w:val="20"/>
                <w:lang w:eastAsia="en-GB"/>
              </w:rPr>
            </w:pPr>
            <w:r w:rsidRPr="00543D10">
              <w:rPr>
                <w:rFonts w:ascii="Arial" w:eastAsia="Times New Roman" w:hAnsi="Arial" w:cs="Arial"/>
                <w:sz w:val="20"/>
                <w:szCs w:val="20"/>
                <w:lang w:eastAsia="en-GB"/>
              </w:rPr>
              <w:t>Amortisation</w:t>
            </w:r>
          </w:p>
        </w:tc>
        <w:tc>
          <w:tcPr>
            <w:tcW w:w="272" w:type="dxa"/>
            <w:tcBorders>
              <w:top w:val="nil"/>
              <w:left w:val="nil"/>
              <w:bottom w:val="nil"/>
              <w:right w:val="nil"/>
            </w:tcBorders>
            <w:shd w:val="clear" w:color="auto" w:fill="auto"/>
            <w:noWrap/>
            <w:vAlign w:val="center"/>
            <w:hideMark/>
          </w:tcPr>
          <w:p w14:paraId="6B09676A" w14:textId="77777777" w:rsidR="000F6386" w:rsidRPr="00543D10" w:rsidRDefault="000F6386" w:rsidP="00004D5F">
            <w:pPr>
              <w:spacing w:after="0" w:line="240" w:lineRule="auto"/>
              <w:rPr>
                <w:rFonts w:ascii="Arial" w:eastAsia="Times New Roman" w:hAnsi="Arial" w:cs="Arial"/>
                <w:sz w:val="20"/>
                <w:szCs w:val="20"/>
                <w:lang w:eastAsia="en-GB"/>
              </w:rPr>
            </w:pPr>
          </w:p>
        </w:tc>
        <w:tc>
          <w:tcPr>
            <w:tcW w:w="1182" w:type="dxa"/>
            <w:gridSpan w:val="2"/>
            <w:tcBorders>
              <w:top w:val="nil"/>
              <w:left w:val="nil"/>
              <w:right w:val="nil"/>
            </w:tcBorders>
            <w:shd w:val="clear" w:color="auto" w:fill="auto"/>
            <w:noWrap/>
            <w:vAlign w:val="center"/>
            <w:hideMark/>
          </w:tcPr>
          <w:p w14:paraId="62D14A69" w14:textId="77777777" w:rsidR="000F6386" w:rsidRPr="00543D10" w:rsidRDefault="000F6386" w:rsidP="00004D5F">
            <w:pPr>
              <w:spacing w:after="0" w:line="240" w:lineRule="auto"/>
              <w:jc w:val="right"/>
              <w:rPr>
                <w:rFonts w:ascii="Times New Roman" w:eastAsia="Times New Roman" w:hAnsi="Times New Roman" w:cs="Times New Roman"/>
                <w:sz w:val="20"/>
                <w:szCs w:val="20"/>
                <w:lang w:eastAsia="en-GB"/>
              </w:rPr>
            </w:pPr>
          </w:p>
        </w:tc>
      </w:tr>
      <w:tr w:rsidR="00F07478" w:rsidRPr="00543D10" w14:paraId="2AF3E5FC" w14:textId="77777777" w:rsidTr="007A37E6">
        <w:trPr>
          <w:gridAfter w:val="1"/>
          <w:wAfter w:w="129" w:type="dxa"/>
          <w:trHeight w:val="323"/>
          <w:jc w:val="center"/>
        </w:trPr>
        <w:tc>
          <w:tcPr>
            <w:tcW w:w="7655" w:type="dxa"/>
            <w:gridSpan w:val="3"/>
            <w:tcBorders>
              <w:top w:val="nil"/>
              <w:left w:val="nil"/>
              <w:right w:val="nil"/>
            </w:tcBorders>
            <w:shd w:val="clear" w:color="auto" w:fill="auto"/>
            <w:noWrap/>
            <w:vAlign w:val="center"/>
            <w:hideMark/>
          </w:tcPr>
          <w:p w14:paraId="073C9B75" w14:textId="77777777" w:rsidR="00F07478" w:rsidRPr="00543D10" w:rsidRDefault="00F07478" w:rsidP="00004D5F">
            <w:pPr>
              <w:spacing w:after="0" w:line="240" w:lineRule="auto"/>
              <w:rPr>
                <w:rFonts w:ascii="Arial" w:eastAsia="Times New Roman" w:hAnsi="Arial" w:cs="Arial"/>
                <w:sz w:val="20"/>
                <w:szCs w:val="20"/>
                <w:lang w:eastAsia="en-GB"/>
              </w:rPr>
            </w:pPr>
            <w:r w:rsidRPr="00543D10">
              <w:rPr>
                <w:rFonts w:ascii="Arial" w:eastAsia="Times New Roman" w:hAnsi="Arial" w:cs="Arial"/>
                <w:sz w:val="20"/>
                <w:szCs w:val="20"/>
                <w:lang w:eastAsia="en-GB"/>
              </w:rPr>
              <w:t xml:space="preserve">At 1 September </w:t>
            </w:r>
            <w:r>
              <w:rPr>
                <w:rFonts w:ascii="Arial" w:eastAsia="Times New Roman" w:hAnsi="Arial" w:cs="Arial"/>
                <w:sz w:val="20"/>
                <w:szCs w:val="20"/>
                <w:lang w:eastAsia="en-GB"/>
              </w:rPr>
              <w:t>2019</w:t>
            </w:r>
          </w:p>
        </w:tc>
        <w:tc>
          <w:tcPr>
            <w:tcW w:w="272" w:type="dxa"/>
            <w:tcBorders>
              <w:top w:val="nil"/>
              <w:left w:val="nil"/>
              <w:right w:val="nil"/>
            </w:tcBorders>
            <w:shd w:val="clear" w:color="auto" w:fill="auto"/>
            <w:noWrap/>
            <w:vAlign w:val="center"/>
            <w:hideMark/>
          </w:tcPr>
          <w:p w14:paraId="3B249120" w14:textId="77777777" w:rsidR="00F07478" w:rsidRPr="00543D10" w:rsidRDefault="00F07478" w:rsidP="00004D5F">
            <w:pPr>
              <w:spacing w:after="0" w:line="240" w:lineRule="auto"/>
              <w:rPr>
                <w:rFonts w:ascii="Arial" w:eastAsia="Times New Roman" w:hAnsi="Arial" w:cs="Arial"/>
                <w:sz w:val="20"/>
                <w:szCs w:val="20"/>
                <w:lang w:eastAsia="en-GB"/>
              </w:rPr>
            </w:pPr>
          </w:p>
        </w:tc>
        <w:tc>
          <w:tcPr>
            <w:tcW w:w="1182" w:type="dxa"/>
            <w:gridSpan w:val="2"/>
            <w:tcBorders>
              <w:left w:val="nil"/>
              <w:right w:val="nil"/>
            </w:tcBorders>
            <w:shd w:val="clear" w:color="auto" w:fill="auto"/>
            <w:noWrap/>
            <w:vAlign w:val="center"/>
            <w:hideMark/>
          </w:tcPr>
          <w:p w14:paraId="04E04641" w14:textId="77777777" w:rsidR="00F07478" w:rsidRPr="00F07478" w:rsidRDefault="00F07478" w:rsidP="00004D5F">
            <w:pPr>
              <w:spacing w:after="0" w:line="240" w:lineRule="auto"/>
              <w:jc w:val="right"/>
              <w:rPr>
                <w:rFonts w:ascii="Arial" w:eastAsia="Times New Roman" w:hAnsi="Arial" w:cs="Arial"/>
                <w:sz w:val="20"/>
                <w:szCs w:val="20"/>
                <w:lang w:eastAsia="en-GB"/>
              </w:rPr>
            </w:pPr>
            <w:r w:rsidRPr="00F07478">
              <w:rPr>
                <w:rFonts w:ascii="Arial" w:eastAsia="Times New Roman" w:hAnsi="Arial" w:cs="Arial"/>
                <w:bCs/>
                <w:sz w:val="20"/>
                <w:szCs w:val="20"/>
                <w:lang w:eastAsia="en-GB"/>
              </w:rPr>
              <w:t>(600)</w:t>
            </w:r>
          </w:p>
        </w:tc>
      </w:tr>
      <w:tr w:rsidR="00F07478" w:rsidRPr="00543D10" w14:paraId="485D176C" w14:textId="77777777" w:rsidTr="007A37E6">
        <w:trPr>
          <w:gridAfter w:val="1"/>
          <w:wAfter w:w="129" w:type="dxa"/>
          <w:trHeight w:val="312"/>
          <w:jc w:val="center"/>
        </w:trPr>
        <w:tc>
          <w:tcPr>
            <w:tcW w:w="7655" w:type="dxa"/>
            <w:gridSpan w:val="3"/>
            <w:tcBorders>
              <w:top w:val="nil"/>
              <w:left w:val="nil"/>
              <w:bottom w:val="single" w:sz="4" w:space="0" w:color="auto"/>
              <w:right w:val="nil"/>
            </w:tcBorders>
            <w:shd w:val="clear" w:color="auto" w:fill="auto"/>
            <w:noWrap/>
            <w:vAlign w:val="center"/>
            <w:hideMark/>
          </w:tcPr>
          <w:p w14:paraId="69CABB21" w14:textId="77777777" w:rsidR="00F07478" w:rsidRPr="00543D10" w:rsidRDefault="00F07478" w:rsidP="00004D5F">
            <w:pPr>
              <w:spacing w:after="0" w:line="240" w:lineRule="auto"/>
              <w:rPr>
                <w:rFonts w:ascii="Arial" w:eastAsia="Times New Roman" w:hAnsi="Arial" w:cs="Arial"/>
                <w:b/>
                <w:bCs/>
                <w:sz w:val="20"/>
                <w:szCs w:val="20"/>
                <w:lang w:eastAsia="en-GB"/>
              </w:rPr>
            </w:pPr>
            <w:r w:rsidRPr="00543D10">
              <w:rPr>
                <w:rFonts w:ascii="Arial" w:eastAsia="Times New Roman" w:hAnsi="Arial" w:cs="Arial"/>
                <w:b/>
                <w:bCs/>
                <w:sz w:val="20"/>
                <w:szCs w:val="20"/>
                <w:lang w:eastAsia="en-GB"/>
              </w:rPr>
              <w:t xml:space="preserve">At 31 August </w:t>
            </w:r>
            <w:r>
              <w:rPr>
                <w:rFonts w:ascii="Arial" w:eastAsia="Times New Roman" w:hAnsi="Arial" w:cs="Arial"/>
                <w:b/>
                <w:bCs/>
                <w:sz w:val="20"/>
                <w:szCs w:val="20"/>
                <w:lang w:eastAsia="en-GB"/>
              </w:rPr>
              <w:t>2020</w:t>
            </w:r>
          </w:p>
        </w:tc>
        <w:tc>
          <w:tcPr>
            <w:tcW w:w="272" w:type="dxa"/>
            <w:tcBorders>
              <w:top w:val="nil"/>
              <w:left w:val="nil"/>
              <w:bottom w:val="single" w:sz="4" w:space="0" w:color="auto"/>
              <w:right w:val="nil"/>
            </w:tcBorders>
            <w:shd w:val="clear" w:color="auto" w:fill="auto"/>
            <w:noWrap/>
            <w:vAlign w:val="center"/>
            <w:hideMark/>
          </w:tcPr>
          <w:p w14:paraId="2179BEE0" w14:textId="77777777" w:rsidR="00F07478" w:rsidRPr="00543D10" w:rsidRDefault="00F07478" w:rsidP="00004D5F">
            <w:pPr>
              <w:spacing w:after="0" w:line="240" w:lineRule="auto"/>
              <w:rPr>
                <w:rFonts w:ascii="Arial" w:eastAsia="Times New Roman" w:hAnsi="Arial" w:cs="Arial"/>
                <w:b/>
                <w:bCs/>
                <w:sz w:val="20"/>
                <w:szCs w:val="20"/>
                <w:lang w:eastAsia="en-GB"/>
              </w:rPr>
            </w:pPr>
            <w:r w:rsidRPr="00543D10">
              <w:rPr>
                <w:rFonts w:ascii="Arial" w:eastAsia="Times New Roman" w:hAnsi="Arial" w:cs="Arial"/>
                <w:b/>
                <w:bCs/>
                <w:sz w:val="20"/>
                <w:szCs w:val="20"/>
                <w:lang w:eastAsia="en-GB"/>
              </w:rPr>
              <w:t> </w:t>
            </w:r>
          </w:p>
        </w:tc>
        <w:tc>
          <w:tcPr>
            <w:tcW w:w="1182" w:type="dxa"/>
            <w:gridSpan w:val="2"/>
            <w:tcBorders>
              <w:left w:val="nil"/>
              <w:bottom w:val="single" w:sz="4" w:space="0" w:color="auto"/>
              <w:right w:val="nil"/>
            </w:tcBorders>
            <w:shd w:val="clear" w:color="auto" w:fill="auto"/>
            <w:noWrap/>
            <w:vAlign w:val="center"/>
          </w:tcPr>
          <w:p w14:paraId="569C61B4" w14:textId="77777777" w:rsidR="00F07478" w:rsidRPr="00543D10" w:rsidRDefault="00473C72" w:rsidP="00004D5F">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(600)</w:t>
            </w:r>
          </w:p>
        </w:tc>
      </w:tr>
      <w:tr w:rsidR="00F07478" w:rsidRPr="00543D10" w14:paraId="4F070F4A" w14:textId="77777777" w:rsidTr="007A37E6">
        <w:trPr>
          <w:gridAfter w:val="1"/>
          <w:wAfter w:w="129" w:type="dxa"/>
          <w:trHeight w:val="323"/>
          <w:jc w:val="center"/>
        </w:trPr>
        <w:tc>
          <w:tcPr>
            <w:tcW w:w="7655" w:type="dxa"/>
            <w:gridSpan w:val="3"/>
            <w:tcBorders>
              <w:top w:val="nil"/>
              <w:left w:val="nil"/>
              <w:bottom w:val="nil"/>
              <w:right w:val="nil"/>
            </w:tcBorders>
            <w:shd w:val="clear" w:color="auto" w:fill="auto"/>
            <w:noWrap/>
            <w:vAlign w:val="center"/>
            <w:hideMark/>
          </w:tcPr>
          <w:p w14:paraId="36586CB1" w14:textId="77777777" w:rsidR="00F07478" w:rsidRPr="00543D10" w:rsidRDefault="00F07478" w:rsidP="00004D5F">
            <w:pPr>
              <w:spacing w:after="0" w:line="240" w:lineRule="auto"/>
              <w:rPr>
                <w:rFonts w:ascii="Arial" w:eastAsia="Times New Roman" w:hAnsi="Arial" w:cs="Arial"/>
                <w:b/>
                <w:bCs/>
                <w:sz w:val="20"/>
                <w:szCs w:val="20"/>
                <w:lang w:eastAsia="en-GB"/>
              </w:rPr>
            </w:pPr>
          </w:p>
        </w:tc>
        <w:tc>
          <w:tcPr>
            <w:tcW w:w="272" w:type="dxa"/>
            <w:tcBorders>
              <w:top w:val="nil"/>
              <w:left w:val="nil"/>
              <w:bottom w:val="nil"/>
              <w:right w:val="nil"/>
            </w:tcBorders>
            <w:shd w:val="clear" w:color="auto" w:fill="auto"/>
            <w:noWrap/>
            <w:vAlign w:val="center"/>
            <w:hideMark/>
          </w:tcPr>
          <w:p w14:paraId="794E8FB3" w14:textId="77777777" w:rsidR="00F07478" w:rsidRPr="00543D10" w:rsidRDefault="00F07478" w:rsidP="00004D5F">
            <w:pPr>
              <w:spacing w:after="0" w:line="240" w:lineRule="auto"/>
              <w:rPr>
                <w:rFonts w:ascii="Times New Roman" w:eastAsia="Times New Roman" w:hAnsi="Times New Roman" w:cs="Times New Roman"/>
                <w:sz w:val="20"/>
                <w:szCs w:val="20"/>
                <w:lang w:eastAsia="en-GB"/>
              </w:rPr>
            </w:pPr>
          </w:p>
        </w:tc>
        <w:tc>
          <w:tcPr>
            <w:tcW w:w="1182" w:type="dxa"/>
            <w:gridSpan w:val="2"/>
            <w:tcBorders>
              <w:top w:val="single" w:sz="4" w:space="0" w:color="auto"/>
              <w:left w:val="nil"/>
              <w:bottom w:val="nil"/>
              <w:right w:val="nil"/>
            </w:tcBorders>
            <w:shd w:val="clear" w:color="auto" w:fill="auto"/>
            <w:noWrap/>
            <w:vAlign w:val="center"/>
            <w:hideMark/>
          </w:tcPr>
          <w:p w14:paraId="55EBB838" w14:textId="77777777" w:rsidR="00F07478" w:rsidRPr="00543D10" w:rsidRDefault="00F07478" w:rsidP="00004D5F">
            <w:pPr>
              <w:spacing w:after="0" w:line="240" w:lineRule="auto"/>
              <w:jc w:val="right"/>
              <w:rPr>
                <w:rFonts w:ascii="Times New Roman" w:eastAsia="Times New Roman" w:hAnsi="Times New Roman" w:cs="Times New Roman"/>
                <w:sz w:val="20"/>
                <w:szCs w:val="20"/>
                <w:lang w:eastAsia="en-GB"/>
              </w:rPr>
            </w:pPr>
          </w:p>
        </w:tc>
      </w:tr>
      <w:tr w:rsidR="00F07478" w:rsidRPr="00543D10" w14:paraId="629CEE1F" w14:textId="77777777" w:rsidTr="00004D5F">
        <w:trPr>
          <w:gridAfter w:val="1"/>
          <w:wAfter w:w="129" w:type="dxa"/>
          <w:trHeight w:val="323"/>
          <w:jc w:val="center"/>
        </w:trPr>
        <w:tc>
          <w:tcPr>
            <w:tcW w:w="7655" w:type="dxa"/>
            <w:gridSpan w:val="3"/>
            <w:tcBorders>
              <w:top w:val="nil"/>
              <w:left w:val="nil"/>
              <w:bottom w:val="nil"/>
              <w:right w:val="nil"/>
            </w:tcBorders>
            <w:shd w:val="clear" w:color="auto" w:fill="auto"/>
            <w:noWrap/>
            <w:vAlign w:val="center"/>
            <w:hideMark/>
          </w:tcPr>
          <w:p w14:paraId="5CE266A5" w14:textId="77777777" w:rsidR="00F07478" w:rsidRPr="00543D10" w:rsidRDefault="00F07478" w:rsidP="00004D5F">
            <w:pPr>
              <w:spacing w:after="0" w:line="240" w:lineRule="auto"/>
              <w:rPr>
                <w:rFonts w:ascii="Arial" w:eastAsia="Times New Roman" w:hAnsi="Arial" w:cs="Arial"/>
                <w:b/>
                <w:bCs/>
                <w:sz w:val="20"/>
                <w:szCs w:val="20"/>
                <w:lang w:eastAsia="en-GB"/>
              </w:rPr>
            </w:pPr>
            <w:r w:rsidRPr="00543D10">
              <w:rPr>
                <w:rFonts w:ascii="Arial" w:eastAsia="Times New Roman" w:hAnsi="Arial" w:cs="Arial"/>
                <w:b/>
                <w:bCs/>
                <w:sz w:val="20"/>
                <w:szCs w:val="20"/>
                <w:lang w:eastAsia="en-GB"/>
              </w:rPr>
              <w:t>Net book value</w:t>
            </w:r>
          </w:p>
        </w:tc>
        <w:tc>
          <w:tcPr>
            <w:tcW w:w="272" w:type="dxa"/>
            <w:tcBorders>
              <w:top w:val="nil"/>
              <w:left w:val="nil"/>
              <w:bottom w:val="nil"/>
              <w:right w:val="nil"/>
            </w:tcBorders>
            <w:shd w:val="clear" w:color="auto" w:fill="auto"/>
            <w:noWrap/>
            <w:vAlign w:val="center"/>
            <w:hideMark/>
          </w:tcPr>
          <w:p w14:paraId="74889CD5" w14:textId="77777777" w:rsidR="00F07478" w:rsidRPr="00543D10" w:rsidRDefault="00F07478" w:rsidP="00004D5F">
            <w:pPr>
              <w:spacing w:after="0" w:line="240" w:lineRule="auto"/>
              <w:rPr>
                <w:rFonts w:ascii="Arial" w:eastAsia="Times New Roman" w:hAnsi="Arial" w:cs="Arial"/>
                <w:b/>
                <w:bCs/>
                <w:sz w:val="20"/>
                <w:szCs w:val="20"/>
                <w:lang w:eastAsia="en-GB"/>
              </w:rPr>
            </w:pPr>
          </w:p>
        </w:tc>
        <w:tc>
          <w:tcPr>
            <w:tcW w:w="1182" w:type="dxa"/>
            <w:gridSpan w:val="2"/>
            <w:tcBorders>
              <w:top w:val="nil"/>
              <w:left w:val="nil"/>
              <w:bottom w:val="nil"/>
              <w:right w:val="nil"/>
            </w:tcBorders>
            <w:shd w:val="clear" w:color="auto" w:fill="auto"/>
            <w:noWrap/>
            <w:vAlign w:val="center"/>
            <w:hideMark/>
          </w:tcPr>
          <w:p w14:paraId="37F58FDD" w14:textId="77777777" w:rsidR="00F07478" w:rsidRPr="00543D10" w:rsidRDefault="00F07478" w:rsidP="00004D5F">
            <w:pPr>
              <w:spacing w:after="0" w:line="240" w:lineRule="auto"/>
              <w:jc w:val="right"/>
              <w:rPr>
                <w:rFonts w:ascii="Times New Roman" w:eastAsia="Times New Roman" w:hAnsi="Times New Roman" w:cs="Times New Roman"/>
                <w:sz w:val="20"/>
                <w:szCs w:val="20"/>
                <w:lang w:eastAsia="en-GB"/>
              </w:rPr>
            </w:pPr>
          </w:p>
        </w:tc>
      </w:tr>
      <w:tr w:rsidR="00F07478" w:rsidRPr="00543D10" w14:paraId="422BCA95" w14:textId="77777777" w:rsidTr="00004D5F">
        <w:trPr>
          <w:gridAfter w:val="1"/>
          <w:wAfter w:w="129" w:type="dxa"/>
          <w:trHeight w:val="323"/>
          <w:jc w:val="center"/>
        </w:trPr>
        <w:tc>
          <w:tcPr>
            <w:tcW w:w="7655" w:type="dxa"/>
            <w:gridSpan w:val="3"/>
            <w:tcBorders>
              <w:top w:val="nil"/>
              <w:left w:val="nil"/>
              <w:bottom w:val="single" w:sz="4" w:space="0" w:color="auto"/>
              <w:right w:val="nil"/>
            </w:tcBorders>
            <w:shd w:val="clear" w:color="auto" w:fill="auto"/>
            <w:noWrap/>
            <w:vAlign w:val="center"/>
            <w:hideMark/>
          </w:tcPr>
          <w:p w14:paraId="3967F720" w14:textId="77777777" w:rsidR="00F07478" w:rsidRPr="00543D10" w:rsidRDefault="00F07478" w:rsidP="00004D5F">
            <w:pPr>
              <w:spacing w:after="0" w:line="240" w:lineRule="auto"/>
              <w:rPr>
                <w:rFonts w:ascii="Arial" w:eastAsia="Times New Roman" w:hAnsi="Arial" w:cs="Arial"/>
                <w:b/>
                <w:bCs/>
                <w:sz w:val="20"/>
                <w:szCs w:val="20"/>
                <w:lang w:eastAsia="en-GB"/>
              </w:rPr>
            </w:pPr>
            <w:r w:rsidRPr="00543D10">
              <w:rPr>
                <w:rFonts w:ascii="Arial" w:eastAsia="Times New Roman" w:hAnsi="Arial" w:cs="Arial"/>
                <w:b/>
                <w:bCs/>
                <w:sz w:val="20"/>
                <w:szCs w:val="20"/>
                <w:lang w:eastAsia="en-GB"/>
              </w:rPr>
              <w:t xml:space="preserve">At 31 August </w:t>
            </w:r>
            <w:r>
              <w:rPr>
                <w:rFonts w:ascii="Arial" w:eastAsia="Times New Roman" w:hAnsi="Arial" w:cs="Arial"/>
                <w:b/>
                <w:bCs/>
                <w:sz w:val="20"/>
                <w:szCs w:val="20"/>
                <w:lang w:eastAsia="en-GB"/>
              </w:rPr>
              <w:t>2020</w:t>
            </w:r>
          </w:p>
        </w:tc>
        <w:tc>
          <w:tcPr>
            <w:tcW w:w="272" w:type="dxa"/>
            <w:tcBorders>
              <w:top w:val="nil"/>
              <w:left w:val="nil"/>
              <w:bottom w:val="single" w:sz="4" w:space="0" w:color="auto"/>
              <w:right w:val="nil"/>
            </w:tcBorders>
            <w:shd w:val="clear" w:color="auto" w:fill="auto"/>
            <w:noWrap/>
            <w:vAlign w:val="center"/>
            <w:hideMark/>
          </w:tcPr>
          <w:p w14:paraId="648054A0" w14:textId="77777777" w:rsidR="00F07478" w:rsidRPr="00543D10" w:rsidRDefault="00F07478" w:rsidP="00004D5F">
            <w:pPr>
              <w:spacing w:after="0" w:line="240" w:lineRule="auto"/>
              <w:rPr>
                <w:rFonts w:ascii="Arial" w:eastAsia="Times New Roman" w:hAnsi="Arial" w:cs="Arial"/>
                <w:b/>
                <w:bCs/>
                <w:sz w:val="20"/>
                <w:szCs w:val="20"/>
                <w:lang w:eastAsia="en-GB"/>
              </w:rPr>
            </w:pPr>
            <w:r w:rsidRPr="00543D10">
              <w:rPr>
                <w:rFonts w:ascii="Arial" w:eastAsia="Times New Roman" w:hAnsi="Arial" w:cs="Arial"/>
                <w:b/>
                <w:bCs/>
                <w:sz w:val="20"/>
                <w:szCs w:val="20"/>
                <w:lang w:eastAsia="en-GB"/>
              </w:rPr>
              <w:t> </w:t>
            </w:r>
          </w:p>
        </w:tc>
        <w:tc>
          <w:tcPr>
            <w:tcW w:w="1182" w:type="dxa"/>
            <w:gridSpan w:val="2"/>
            <w:tcBorders>
              <w:top w:val="nil"/>
              <w:left w:val="nil"/>
              <w:bottom w:val="single" w:sz="4" w:space="0" w:color="auto"/>
              <w:right w:val="nil"/>
            </w:tcBorders>
            <w:shd w:val="clear" w:color="auto" w:fill="auto"/>
            <w:noWrap/>
            <w:vAlign w:val="center"/>
            <w:hideMark/>
          </w:tcPr>
          <w:p w14:paraId="2A3B5B56" w14:textId="77777777" w:rsidR="00F07478" w:rsidRPr="00543D10" w:rsidRDefault="00473C72" w:rsidP="00004D5F">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19,355</w:t>
            </w:r>
          </w:p>
        </w:tc>
      </w:tr>
      <w:tr w:rsidR="00F07478" w:rsidRPr="00543D10" w14:paraId="45C18B76" w14:textId="77777777" w:rsidTr="00004D5F">
        <w:trPr>
          <w:gridAfter w:val="1"/>
          <w:wAfter w:w="129" w:type="dxa"/>
          <w:trHeight w:val="323"/>
          <w:jc w:val="center"/>
        </w:trPr>
        <w:tc>
          <w:tcPr>
            <w:tcW w:w="7655" w:type="dxa"/>
            <w:gridSpan w:val="3"/>
            <w:tcBorders>
              <w:top w:val="nil"/>
              <w:left w:val="nil"/>
              <w:bottom w:val="single" w:sz="4" w:space="0" w:color="auto"/>
              <w:right w:val="nil"/>
            </w:tcBorders>
            <w:shd w:val="clear" w:color="auto" w:fill="auto"/>
            <w:noWrap/>
            <w:vAlign w:val="center"/>
            <w:hideMark/>
          </w:tcPr>
          <w:p w14:paraId="250795E4" w14:textId="77777777" w:rsidR="00F07478" w:rsidRPr="00543D10" w:rsidRDefault="00F07478" w:rsidP="00004D5F">
            <w:pPr>
              <w:spacing w:after="0" w:line="240" w:lineRule="auto"/>
              <w:rPr>
                <w:rFonts w:ascii="Arial" w:eastAsia="Times New Roman" w:hAnsi="Arial" w:cs="Arial"/>
                <w:sz w:val="20"/>
                <w:szCs w:val="20"/>
                <w:lang w:eastAsia="en-GB"/>
              </w:rPr>
            </w:pPr>
            <w:r w:rsidRPr="00543D10">
              <w:rPr>
                <w:rFonts w:ascii="Arial" w:eastAsia="Times New Roman" w:hAnsi="Arial" w:cs="Arial"/>
                <w:sz w:val="20"/>
                <w:szCs w:val="20"/>
                <w:lang w:eastAsia="en-GB"/>
              </w:rPr>
              <w:t xml:space="preserve">At 1 September </w:t>
            </w:r>
            <w:r>
              <w:rPr>
                <w:rFonts w:ascii="Arial" w:eastAsia="Times New Roman" w:hAnsi="Arial" w:cs="Arial"/>
                <w:sz w:val="20"/>
                <w:szCs w:val="20"/>
                <w:lang w:eastAsia="en-GB"/>
              </w:rPr>
              <w:t>2019</w:t>
            </w:r>
          </w:p>
        </w:tc>
        <w:tc>
          <w:tcPr>
            <w:tcW w:w="272" w:type="dxa"/>
            <w:tcBorders>
              <w:top w:val="nil"/>
              <w:left w:val="nil"/>
              <w:bottom w:val="single" w:sz="4" w:space="0" w:color="auto"/>
              <w:right w:val="nil"/>
            </w:tcBorders>
            <w:shd w:val="clear" w:color="auto" w:fill="auto"/>
            <w:noWrap/>
            <w:vAlign w:val="center"/>
            <w:hideMark/>
          </w:tcPr>
          <w:p w14:paraId="2F0E048D" w14:textId="77777777" w:rsidR="00F07478" w:rsidRPr="00543D10" w:rsidRDefault="00F07478" w:rsidP="00004D5F">
            <w:pPr>
              <w:spacing w:after="0" w:line="240" w:lineRule="auto"/>
              <w:rPr>
                <w:rFonts w:ascii="Arial" w:eastAsia="Times New Roman" w:hAnsi="Arial" w:cs="Arial"/>
                <w:sz w:val="20"/>
                <w:szCs w:val="20"/>
                <w:lang w:eastAsia="en-GB"/>
              </w:rPr>
            </w:pPr>
            <w:r w:rsidRPr="00543D10">
              <w:rPr>
                <w:rFonts w:ascii="Arial" w:eastAsia="Times New Roman" w:hAnsi="Arial" w:cs="Arial"/>
                <w:sz w:val="20"/>
                <w:szCs w:val="20"/>
                <w:lang w:eastAsia="en-GB"/>
              </w:rPr>
              <w:t> </w:t>
            </w:r>
          </w:p>
        </w:tc>
        <w:tc>
          <w:tcPr>
            <w:tcW w:w="1182" w:type="dxa"/>
            <w:gridSpan w:val="2"/>
            <w:tcBorders>
              <w:top w:val="nil"/>
              <w:left w:val="nil"/>
              <w:bottom w:val="single" w:sz="4" w:space="0" w:color="auto"/>
              <w:right w:val="nil"/>
            </w:tcBorders>
            <w:shd w:val="clear" w:color="auto" w:fill="auto"/>
            <w:noWrap/>
            <w:vAlign w:val="center"/>
            <w:hideMark/>
          </w:tcPr>
          <w:p w14:paraId="47D15BF4" w14:textId="77777777" w:rsidR="00F07478" w:rsidRPr="00265730" w:rsidRDefault="00265730" w:rsidP="00004D5F">
            <w:pPr>
              <w:spacing w:after="0" w:line="240" w:lineRule="auto"/>
              <w:jc w:val="right"/>
              <w:rPr>
                <w:rFonts w:ascii="Arial" w:eastAsia="Times New Roman" w:hAnsi="Arial" w:cs="Arial"/>
                <w:sz w:val="20"/>
                <w:szCs w:val="20"/>
                <w:lang w:eastAsia="en-GB"/>
              </w:rPr>
            </w:pPr>
            <w:r w:rsidRPr="00265730">
              <w:rPr>
                <w:rFonts w:ascii="Arial" w:eastAsia="Times New Roman" w:hAnsi="Arial" w:cs="Arial"/>
                <w:bCs/>
                <w:sz w:val="20"/>
                <w:szCs w:val="20"/>
                <w:lang w:eastAsia="en-GB"/>
              </w:rPr>
              <w:t>19,355</w:t>
            </w:r>
          </w:p>
        </w:tc>
      </w:tr>
    </w:tbl>
    <w:p w14:paraId="2D101652" w14:textId="77777777" w:rsidR="00780E99" w:rsidRDefault="00780E99" w:rsidP="001F6984">
      <w:pPr>
        <w:autoSpaceDE w:val="0"/>
        <w:autoSpaceDN w:val="0"/>
        <w:adjustRightInd w:val="0"/>
        <w:spacing w:after="0" w:line="240" w:lineRule="auto"/>
        <w:rPr>
          <w:rFonts w:ascii="Arial" w:hAnsi="Arial" w:cs="Arial"/>
          <w:sz w:val="20"/>
          <w:szCs w:val="20"/>
        </w:rPr>
      </w:pPr>
    </w:p>
    <w:p w14:paraId="5D350335" w14:textId="77777777" w:rsidR="00780E99" w:rsidRDefault="00780E99" w:rsidP="001F6984">
      <w:pPr>
        <w:autoSpaceDE w:val="0"/>
        <w:autoSpaceDN w:val="0"/>
        <w:adjustRightInd w:val="0"/>
        <w:spacing w:after="0" w:line="240" w:lineRule="auto"/>
        <w:rPr>
          <w:rFonts w:ascii="Arial" w:hAnsi="Arial" w:cs="Arial"/>
          <w:sz w:val="20"/>
          <w:szCs w:val="20"/>
        </w:rPr>
      </w:pPr>
    </w:p>
    <w:p w14:paraId="55C8E3AA" w14:textId="77777777" w:rsidR="00780E99" w:rsidRDefault="00780E99" w:rsidP="001F6984">
      <w:pPr>
        <w:autoSpaceDE w:val="0"/>
        <w:autoSpaceDN w:val="0"/>
        <w:adjustRightInd w:val="0"/>
        <w:spacing w:after="0" w:line="240" w:lineRule="auto"/>
        <w:rPr>
          <w:rFonts w:ascii="Arial" w:hAnsi="Arial" w:cs="Arial"/>
          <w:sz w:val="20"/>
          <w:szCs w:val="20"/>
        </w:rPr>
      </w:pPr>
    </w:p>
    <w:p w14:paraId="16D2E1AD" w14:textId="77777777" w:rsidR="00780E99" w:rsidRPr="00543D10" w:rsidRDefault="00780E99" w:rsidP="001F6984">
      <w:pPr>
        <w:autoSpaceDE w:val="0"/>
        <w:autoSpaceDN w:val="0"/>
        <w:adjustRightInd w:val="0"/>
        <w:spacing w:after="0" w:line="240" w:lineRule="auto"/>
        <w:rPr>
          <w:rFonts w:ascii="Arial" w:hAnsi="Arial" w:cs="Arial"/>
          <w:sz w:val="20"/>
          <w:szCs w:val="20"/>
        </w:rPr>
      </w:pPr>
    </w:p>
    <w:p w14:paraId="3328796C" w14:textId="77777777" w:rsidR="006C07DD" w:rsidRDefault="006C07DD" w:rsidP="00E6025B">
      <w:pPr>
        <w:spacing w:after="0" w:line="240" w:lineRule="auto"/>
        <w:rPr>
          <w:rFonts w:ascii="Arial" w:hAnsi="Arial" w:cs="Arial"/>
          <w:b/>
          <w:i/>
          <w:sz w:val="24"/>
          <w:szCs w:val="24"/>
        </w:rPr>
      </w:pPr>
      <w:r w:rsidRPr="0088736E">
        <w:rPr>
          <w:rFonts w:ascii="Arial" w:hAnsi="Arial" w:cs="Arial"/>
          <w:b/>
          <w:i/>
          <w:sz w:val="24"/>
          <w:szCs w:val="24"/>
        </w:rPr>
        <w:lastRenderedPageBreak/>
        <w:t xml:space="preserve">Notes to the financial </w:t>
      </w:r>
      <w:r>
        <w:rPr>
          <w:rFonts w:ascii="Arial" w:hAnsi="Arial" w:cs="Arial"/>
          <w:b/>
          <w:i/>
          <w:sz w:val="24"/>
          <w:szCs w:val="24"/>
        </w:rPr>
        <w:t>statements</w:t>
      </w:r>
      <w:r w:rsidRPr="0088736E">
        <w:rPr>
          <w:rFonts w:ascii="Arial" w:hAnsi="Arial" w:cs="Arial"/>
          <w:b/>
          <w:i/>
          <w:sz w:val="24"/>
          <w:szCs w:val="24"/>
        </w:rPr>
        <w:t xml:space="preserve"> (continued)</w:t>
      </w:r>
    </w:p>
    <w:p w14:paraId="32C6FA54" w14:textId="77777777" w:rsidR="00AE28DD" w:rsidRPr="0088736E" w:rsidRDefault="00AE28DD" w:rsidP="00E6025B">
      <w:pPr>
        <w:spacing w:after="0" w:line="240" w:lineRule="auto"/>
        <w:rPr>
          <w:rFonts w:ascii="Arial" w:hAnsi="Arial" w:cs="Arial"/>
          <w:b/>
          <w:i/>
          <w:sz w:val="24"/>
          <w:szCs w:val="24"/>
        </w:rPr>
      </w:pPr>
    </w:p>
    <w:p w14:paraId="167E370B" w14:textId="2650CD45" w:rsidR="00356764" w:rsidRDefault="00BE0959" w:rsidP="00E6025B">
      <w:pPr>
        <w:autoSpaceDE w:val="0"/>
        <w:autoSpaceDN w:val="0"/>
        <w:adjustRightInd w:val="0"/>
        <w:spacing w:after="0" w:line="240" w:lineRule="auto"/>
        <w:rPr>
          <w:rFonts w:ascii="Arial" w:eastAsia="Times New Roman" w:hAnsi="Arial" w:cs="Arial"/>
          <w:b/>
          <w:bCs/>
          <w:sz w:val="24"/>
          <w:szCs w:val="24"/>
          <w:lang w:eastAsia="en-GB"/>
        </w:rPr>
      </w:pPr>
      <w:r>
        <w:rPr>
          <w:rFonts w:ascii="Arial" w:eastAsia="Times New Roman" w:hAnsi="Arial" w:cs="Arial"/>
          <w:b/>
          <w:bCs/>
          <w:sz w:val="24"/>
          <w:szCs w:val="24"/>
          <w:lang w:eastAsia="en-GB"/>
        </w:rPr>
        <w:t>9</w:t>
      </w:r>
      <w:r w:rsidR="00356764" w:rsidRPr="004B18B9">
        <w:rPr>
          <w:rFonts w:ascii="Arial" w:eastAsia="Times New Roman" w:hAnsi="Arial" w:cs="Arial"/>
          <w:b/>
          <w:bCs/>
          <w:sz w:val="24"/>
          <w:szCs w:val="24"/>
          <w:lang w:eastAsia="en-GB"/>
        </w:rPr>
        <w:t>. Investments in Subsidiary Undertakings</w:t>
      </w:r>
      <w:r w:rsidR="00356764">
        <w:rPr>
          <w:rFonts w:ascii="Arial" w:eastAsia="Times New Roman" w:hAnsi="Arial" w:cs="Arial"/>
          <w:b/>
          <w:bCs/>
          <w:sz w:val="24"/>
          <w:szCs w:val="24"/>
          <w:lang w:eastAsia="en-GB"/>
        </w:rPr>
        <w:t xml:space="preserve"> </w:t>
      </w:r>
      <w:r w:rsidR="00356764" w:rsidRPr="00513609">
        <w:rPr>
          <w:rFonts w:ascii="Arial" w:eastAsia="Times New Roman" w:hAnsi="Arial" w:cs="Arial"/>
          <w:b/>
          <w:bCs/>
          <w:sz w:val="24"/>
          <w:szCs w:val="24"/>
          <w:lang w:eastAsia="en-GB"/>
        </w:rPr>
        <w:t>and Joint Ventures</w:t>
      </w:r>
      <w:r w:rsidR="00356764">
        <w:rPr>
          <w:rFonts w:ascii="Arial" w:eastAsia="Times New Roman" w:hAnsi="Arial" w:cs="Arial"/>
          <w:b/>
          <w:bCs/>
          <w:sz w:val="24"/>
          <w:szCs w:val="24"/>
          <w:lang w:eastAsia="en-GB"/>
        </w:rPr>
        <w:t xml:space="preserve"> </w:t>
      </w:r>
      <w:r w:rsidR="00356764" w:rsidRPr="004B18B9">
        <w:rPr>
          <w:rFonts w:ascii="Arial" w:eastAsia="Times New Roman" w:hAnsi="Arial" w:cs="Arial"/>
          <w:b/>
          <w:bCs/>
          <w:sz w:val="24"/>
          <w:szCs w:val="24"/>
          <w:lang w:eastAsia="en-GB"/>
        </w:rPr>
        <w:t>(continued)</w:t>
      </w:r>
    </w:p>
    <w:p w14:paraId="04DF9C1F" w14:textId="77777777" w:rsidR="00E6025B" w:rsidRPr="004B18B9" w:rsidRDefault="00E6025B" w:rsidP="00E6025B">
      <w:pPr>
        <w:autoSpaceDE w:val="0"/>
        <w:autoSpaceDN w:val="0"/>
        <w:adjustRightInd w:val="0"/>
        <w:spacing w:after="0" w:line="240" w:lineRule="auto"/>
        <w:rPr>
          <w:rFonts w:ascii="Arial" w:hAnsi="Arial" w:cs="Arial"/>
          <w:sz w:val="24"/>
          <w:szCs w:val="24"/>
        </w:rPr>
      </w:pPr>
    </w:p>
    <w:p w14:paraId="03126243" w14:textId="77777777" w:rsidR="001F6984" w:rsidRPr="006674F4" w:rsidRDefault="001F6984" w:rsidP="00004D5F">
      <w:pPr>
        <w:autoSpaceDE w:val="0"/>
        <w:autoSpaceDN w:val="0"/>
        <w:adjustRightInd w:val="0"/>
        <w:spacing w:after="240" w:line="240" w:lineRule="auto"/>
        <w:jc w:val="both"/>
        <w:rPr>
          <w:rFonts w:ascii="Arial" w:hAnsi="Arial" w:cs="Arial"/>
          <w:sz w:val="24"/>
          <w:szCs w:val="24"/>
        </w:rPr>
      </w:pPr>
      <w:r w:rsidRPr="006674F4">
        <w:rPr>
          <w:rFonts w:ascii="Arial" w:hAnsi="Arial" w:cs="Arial"/>
          <w:sz w:val="24"/>
          <w:szCs w:val="24"/>
        </w:rPr>
        <w:t>On 28 November 2014 the Trust acquired a further 40% of the shares in CDG – WISE Ability Limited for £600,000, taking the Trust’s shareholding to 90%. The investment was amortised over a period of four and a half ye</w:t>
      </w:r>
      <w:r w:rsidRPr="003F7DE9">
        <w:rPr>
          <w:rFonts w:ascii="Arial" w:hAnsi="Arial" w:cs="Arial"/>
          <w:sz w:val="24"/>
          <w:szCs w:val="24"/>
        </w:rPr>
        <w:t>ars.</w:t>
      </w:r>
      <w:r w:rsidR="00A808ED" w:rsidRPr="003F7DE9">
        <w:rPr>
          <w:rFonts w:ascii="Arial" w:hAnsi="Arial" w:cs="Arial"/>
          <w:sz w:val="24"/>
          <w:szCs w:val="24"/>
        </w:rPr>
        <w:t xml:space="preserve"> </w:t>
      </w:r>
      <w:r w:rsidR="00EC04BE" w:rsidRPr="003F7DE9">
        <w:rPr>
          <w:rFonts w:ascii="Arial" w:hAnsi="Arial" w:cs="Arial"/>
          <w:sz w:val="24"/>
          <w:szCs w:val="24"/>
        </w:rPr>
        <w:t xml:space="preserve">The </w:t>
      </w:r>
      <w:r w:rsidR="003F7DE9" w:rsidRPr="003F7DE9">
        <w:rPr>
          <w:rFonts w:ascii="Arial" w:hAnsi="Arial" w:cs="Arial"/>
          <w:sz w:val="24"/>
          <w:szCs w:val="24"/>
        </w:rPr>
        <w:t xml:space="preserve">Work Choice contract for which CDG – WISE Ability </w:t>
      </w:r>
      <w:r w:rsidR="00EC04BE" w:rsidRPr="003F7DE9">
        <w:rPr>
          <w:rFonts w:ascii="Arial" w:hAnsi="Arial" w:cs="Arial"/>
          <w:sz w:val="24"/>
          <w:szCs w:val="24"/>
        </w:rPr>
        <w:t xml:space="preserve">was established came to an end in </w:t>
      </w:r>
      <w:r w:rsidR="003F7DE9" w:rsidRPr="003F7DE9">
        <w:rPr>
          <w:rFonts w:ascii="Arial" w:hAnsi="Arial" w:cs="Arial"/>
          <w:sz w:val="24"/>
          <w:szCs w:val="24"/>
        </w:rPr>
        <w:t>2019</w:t>
      </w:r>
      <w:r w:rsidR="00EC04BE" w:rsidRPr="003F7DE9">
        <w:rPr>
          <w:rFonts w:ascii="Arial" w:hAnsi="Arial" w:cs="Arial"/>
          <w:sz w:val="24"/>
          <w:szCs w:val="24"/>
        </w:rPr>
        <w:t xml:space="preserve"> resulting in the remainder of the investment being impaired.  </w:t>
      </w:r>
    </w:p>
    <w:p w14:paraId="73505FD5" w14:textId="77777777" w:rsidR="001F6984" w:rsidRPr="006674F4" w:rsidRDefault="001F6984" w:rsidP="00004D5F">
      <w:pPr>
        <w:autoSpaceDE w:val="0"/>
        <w:autoSpaceDN w:val="0"/>
        <w:adjustRightInd w:val="0"/>
        <w:spacing w:after="0" w:line="240" w:lineRule="auto"/>
        <w:jc w:val="both"/>
        <w:rPr>
          <w:rFonts w:ascii="Arial" w:hAnsi="Arial" w:cs="Arial"/>
          <w:sz w:val="24"/>
          <w:szCs w:val="24"/>
        </w:rPr>
      </w:pPr>
      <w:r w:rsidRPr="006674F4">
        <w:rPr>
          <w:rFonts w:ascii="Arial" w:hAnsi="Arial" w:cs="Arial"/>
          <w:sz w:val="24"/>
          <w:szCs w:val="24"/>
        </w:rPr>
        <w:t>The Trust has the following wholly owned subsidiaries and joint ventures. All subsidiaries, other than those that are dormant, are included in the consolidated financial statements.</w:t>
      </w:r>
    </w:p>
    <w:p w14:paraId="6D7950C2" w14:textId="77777777" w:rsidR="001F6984" w:rsidRPr="00510DC7" w:rsidRDefault="001F6984" w:rsidP="001F6984">
      <w:pPr>
        <w:autoSpaceDE w:val="0"/>
        <w:autoSpaceDN w:val="0"/>
        <w:adjustRightInd w:val="0"/>
        <w:spacing w:after="0" w:line="240" w:lineRule="auto"/>
        <w:rPr>
          <w:rFonts w:ascii="Arial" w:hAnsi="Arial" w:cs="Arial"/>
        </w:rPr>
      </w:pPr>
    </w:p>
    <w:tbl>
      <w:tblPr>
        <w:tblW w:w="9514" w:type="dxa"/>
        <w:tblInd w:w="-142" w:type="dxa"/>
        <w:tblLook w:val="04A0" w:firstRow="1" w:lastRow="0" w:firstColumn="1" w:lastColumn="0" w:noHBand="0" w:noVBand="1"/>
      </w:tblPr>
      <w:tblGrid>
        <w:gridCol w:w="2410"/>
        <w:gridCol w:w="2164"/>
        <w:gridCol w:w="1162"/>
        <w:gridCol w:w="1373"/>
        <w:gridCol w:w="1239"/>
        <w:gridCol w:w="1166"/>
      </w:tblGrid>
      <w:tr w:rsidR="001F6984" w:rsidRPr="00524E42" w14:paraId="2C08B5F7" w14:textId="77777777" w:rsidTr="00004D5F">
        <w:trPr>
          <w:trHeight w:val="616"/>
        </w:trPr>
        <w:tc>
          <w:tcPr>
            <w:tcW w:w="2410" w:type="dxa"/>
            <w:tcBorders>
              <w:top w:val="nil"/>
              <w:left w:val="nil"/>
              <w:bottom w:val="single" w:sz="4" w:space="0" w:color="auto"/>
              <w:right w:val="nil"/>
            </w:tcBorders>
            <w:shd w:val="clear" w:color="auto" w:fill="auto"/>
            <w:noWrap/>
            <w:vAlign w:val="center"/>
            <w:hideMark/>
          </w:tcPr>
          <w:p w14:paraId="621C2646" w14:textId="77777777" w:rsidR="001F6984" w:rsidRPr="00524E42" w:rsidRDefault="001F6984" w:rsidP="001F6984">
            <w:pPr>
              <w:spacing w:after="0" w:line="240" w:lineRule="auto"/>
              <w:rPr>
                <w:rFonts w:ascii="Arial" w:eastAsia="Times New Roman" w:hAnsi="Arial" w:cs="Arial"/>
                <w:sz w:val="20"/>
                <w:szCs w:val="20"/>
                <w:lang w:eastAsia="en-GB"/>
              </w:rPr>
            </w:pPr>
            <w:r w:rsidRPr="00524E42">
              <w:rPr>
                <w:rFonts w:ascii="Arial" w:eastAsia="Times New Roman" w:hAnsi="Arial" w:cs="Arial"/>
                <w:sz w:val="20"/>
                <w:szCs w:val="20"/>
                <w:lang w:eastAsia="en-GB"/>
              </w:rPr>
              <w:t>Name of subsidiary</w:t>
            </w:r>
          </w:p>
        </w:tc>
        <w:tc>
          <w:tcPr>
            <w:tcW w:w="2164" w:type="dxa"/>
            <w:tcBorders>
              <w:top w:val="nil"/>
              <w:left w:val="nil"/>
              <w:bottom w:val="single" w:sz="4" w:space="0" w:color="auto"/>
              <w:right w:val="nil"/>
            </w:tcBorders>
            <w:shd w:val="clear" w:color="auto" w:fill="auto"/>
            <w:noWrap/>
            <w:vAlign w:val="center"/>
            <w:hideMark/>
          </w:tcPr>
          <w:p w14:paraId="6CF538BF" w14:textId="77777777" w:rsidR="001F6984" w:rsidRPr="00524E42" w:rsidRDefault="001F6984" w:rsidP="005B39D0">
            <w:pPr>
              <w:spacing w:after="0" w:line="240" w:lineRule="auto"/>
              <w:rPr>
                <w:rFonts w:ascii="Arial" w:eastAsia="Times New Roman" w:hAnsi="Arial" w:cs="Arial"/>
                <w:sz w:val="20"/>
                <w:szCs w:val="20"/>
                <w:lang w:eastAsia="en-GB"/>
              </w:rPr>
            </w:pPr>
            <w:r w:rsidRPr="00524E42">
              <w:rPr>
                <w:rFonts w:ascii="Arial" w:eastAsia="Times New Roman" w:hAnsi="Arial" w:cs="Arial"/>
                <w:sz w:val="20"/>
                <w:szCs w:val="20"/>
                <w:lang w:eastAsia="en-GB"/>
              </w:rPr>
              <w:t xml:space="preserve">Company </w:t>
            </w:r>
            <w:r w:rsidR="000F6386">
              <w:rPr>
                <w:rFonts w:ascii="Arial" w:eastAsia="Times New Roman" w:hAnsi="Arial" w:cs="Arial"/>
                <w:sz w:val="20"/>
                <w:szCs w:val="20"/>
                <w:lang w:eastAsia="en-GB"/>
              </w:rPr>
              <w:br/>
            </w:r>
            <w:r w:rsidRPr="00524E42">
              <w:rPr>
                <w:rFonts w:ascii="Arial" w:eastAsia="Times New Roman" w:hAnsi="Arial" w:cs="Arial"/>
                <w:sz w:val="20"/>
                <w:szCs w:val="20"/>
                <w:lang w:eastAsia="en-GB"/>
              </w:rPr>
              <w:t>Number</w:t>
            </w:r>
          </w:p>
        </w:tc>
        <w:tc>
          <w:tcPr>
            <w:tcW w:w="1162" w:type="dxa"/>
            <w:tcBorders>
              <w:top w:val="nil"/>
              <w:left w:val="nil"/>
              <w:bottom w:val="single" w:sz="4" w:space="0" w:color="auto"/>
              <w:right w:val="nil"/>
            </w:tcBorders>
          </w:tcPr>
          <w:p w14:paraId="168EF81E" w14:textId="77777777" w:rsidR="001F6984" w:rsidRPr="00524E42" w:rsidRDefault="001F6984" w:rsidP="005B39D0">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Charity Number</w:t>
            </w:r>
          </w:p>
        </w:tc>
        <w:tc>
          <w:tcPr>
            <w:tcW w:w="1373" w:type="dxa"/>
            <w:tcBorders>
              <w:top w:val="nil"/>
              <w:left w:val="nil"/>
              <w:bottom w:val="single" w:sz="4" w:space="0" w:color="auto"/>
              <w:right w:val="nil"/>
            </w:tcBorders>
            <w:shd w:val="clear" w:color="auto" w:fill="auto"/>
            <w:vAlign w:val="center"/>
            <w:hideMark/>
          </w:tcPr>
          <w:p w14:paraId="05D14CC7" w14:textId="77777777" w:rsidR="001F6984" w:rsidRPr="00524E42" w:rsidRDefault="001F6984" w:rsidP="005B39D0">
            <w:pPr>
              <w:spacing w:after="0" w:line="240" w:lineRule="auto"/>
              <w:rPr>
                <w:rFonts w:ascii="Arial" w:eastAsia="Times New Roman" w:hAnsi="Arial" w:cs="Arial"/>
                <w:sz w:val="20"/>
                <w:szCs w:val="20"/>
                <w:lang w:eastAsia="en-GB"/>
              </w:rPr>
            </w:pPr>
            <w:r w:rsidRPr="00524E42">
              <w:rPr>
                <w:rFonts w:ascii="Arial" w:eastAsia="Times New Roman" w:hAnsi="Arial" w:cs="Arial"/>
                <w:sz w:val="20"/>
                <w:szCs w:val="20"/>
                <w:lang w:eastAsia="en-GB"/>
              </w:rPr>
              <w:t>Country of incorporation</w:t>
            </w:r>
          </w:p>
        </w:tc>
        <w:tc>
          <w:tcPr>
            <w:tcW w:w="1239" w:type="dxa"/>
            <w:tcBorders>
              <w:top w:val="nil"/>
              <w:left w:val="nil"/>
              <w:bottom w:val="single" w:sz="4" w:space="0" w:color="auto"/>
              <w:right w:val="nil"/>
            </w:tcBorders>
            <w:shd w:val="clear" w:color="auto" w:fill="auto"/>
            <w:vAlign w:val="center"/>
            <w:hideMark/>
          </w:tcPr>
          <w:p w14:paraId="497B1268" w14:textId="77777777" w:rsidR="001F6984" w:rsidRPr="00524E42" w:rsidRDefault="001F6984" w:rsidP="000F6386">
            <w:pPr>
              <w:spacing w:after="0" w:line="240" w:lineRule="auto"/>
              <w:jc w:val="center"/>
              <w:rPr>
                <w:rFonts w:ascii="Arial" w:eastAsia="Times New Roman" w:hAnsi="Arial" w:cs="Arial"/>
                <w:sz w:val="20"/>
                <w:szCs w:val="20"/>
                <w:lang w:eastAsia="en-GB"/>
              </w:rPr>
            </w:pPr>
            <w:r w:rsidRPr="00524E42">
              <w:rPr>
                <w:rFonts w:ascii="Arial" w:eastAsia="Times New Roman" w:hAnsi="Arial" w:cs="Arial"/>
                <w:sz w:val="20"/>
                <w:szCs w:val="20"/>
                <w:lang w:eastAsia="en-GB"/>
              </w:rPr>
              <w:t>Percentage of control</w:t>
            </w:r>
          </w:p>
        </w:tc>
        <w:tc>
          <w:tcPr>
            <w:tcW w:w="1166" w:type="dxa"/>
            <w:tcBorders>
              <w:top w:val="nil"/>
              <w:left w:val="nil"/>
              <w:bottom w:val="single" w:sz="4" w:space="0" w:color="auto"/>
              <w:right w:val="nil"/>
            </w:tcBorders>
            <w:shd w:val="clear" w:color="auto" w:fill="auto"/>
            <w:noWrap/>
            <w:vAlign w:val="center"/>
            <w:hideMark/>
          </w:tcPr>
          <w:p w14:paraId="117E0EC1" w14:textId="77777777" w:rsidR="001F6984" w:rsidRPr="00524E42" w:rsidRDefault="001F6984" w:rsidP="005B39D0">
            <w:pPr>
              <w:spacing w:after="0" w:line="240" w:lineRule="auto"/>
              <w:rPr>
                <w:rFonts w:ascii="Arial" w:eastAsia="Times New Roman" w:hAnsi="Arial" w:cs="Arial"/>
                <w:sz w:val="20"/>
                <w:szCs w:val="20"/>
                <w:lang w:eastAsia="en-GB"/>
              </w:rPr>
            </w:pPr>
            <w:r w:rsidRPr="00524E42">
              <w:rPr>
                <w:rFonts w:ascii="Arial" w:eastAsia="Times New Roman" w:hAnsi="Arial" w:cs="Arial"/>
                <w:sz w:val="20"/>
                <w:szCs w:val="20"/>
                <w:lang w:eastAsia="en-GB"/>
              </w:rPr>
              <w:t>Nature of business</w:t>
            </w:r>
          </w:p>
        </w:tc>
      </w:tr>
      <w:tr w:rsidR="001F6984" w:rsidRPr="00524E42" w14:paraId="1BCB5C9D" w14:textId="77777777" w:rsidTr="00004D5F">
        <w:trPr>
          <w:trHeight w:val="499"/>
        </w:trPr>
        <w:tc>
          <w:tcPr>
            <w:tcW w:w="2410" w:type="dxa"/>
            <w:tcBorders>
              <w:top w:val="nil"/>
              <w:left w:val="nil"/>
              <w:bottom w:val="nil"/>
              <w:right w:val="nil"/>
            </w:tcBorders>
            <w:shd w:val="clear" w:color="auto" w:fill="auto"/>
            <w:vAlign w:val="center"/>
            <w:hideMark/>
          </w:tcPr>
          <w:p w14:paraId="653992E1" w14:textId="77777777" w:rsidR="001F6984" w:rsidRPr="00524E42" w:rsidRDefault="001F6984" w:rsidP="001F6984">
            <w:pPr>
              <w:spacing w:after="0" w:line="240" w:lineRule="auto"/>
              <w:rPr>
                <w:rFonts w:ascii="Arial" w:eastAsia="Times New Roman" w:hAnsi="Arial" w:cs="Arial"/>
                <w:sz w:val="20"/>
                <w:szCs w:val="20"/>
                <w:lang w:eastAsia="en-GB"/>
              </w:rPr>
            </w:pPr>
            <w:r w:rsidRPr="00524E42">
              <w:rPr>
                <w:rFonts w:ascii="Arial" w:eastAsia="Times New Roman" w:hAnsi="Arial" w:cs="Arial"/>
                <w:sz w:val="20"/>
                <w:szCs w:val="20"/>
                <w:lang w:eastAsia="en-GB"/>
              </w:rPr>
              <w:t>Shaw Trust International Partnerships Limited</w:t>
            </w:r>
          </w:p>
        </w:tc>
        <w:tc>
          <w:tcPr>
            <w:tcW w:w="2164" w:type="dxa"/>
            <w:tcBorders>
              <w:top w:val="nil"/>
              <w:left w:val="nil"/>
              <w:bottom w:val="nil"/>
              <w:right w:val="nil"/>
            </w:tcBorders>
            <w:shd w:val="clear" w:color="auto" w:fill="auto"/>
            <w:noWrap/>
            <w:vAlign w:val="center"/>
            <w:hideMark/>
          </w:tcPr>
          <w:p w14:paraId="6CC4ACE2" w14:textId="77777777" w:rsidR="001F6984" w:rsidRPr="00524E42" w:rsidRDefault="001F6984" w:rsidP="005B39D0">
            <w:pPr>
              <w:spacing w:after="0" w:line="240" w:lineRule="auto"/>
              <w:rPr>
                <w:rFonts w:ascii="Arial" w:eastAsia="Times New Roman" w:hAnsi="Arial" w:cs="Arial"/>
                <w:sz w:val="20"/>
                <w:szCs w:val="20"/>
                <w:lang w:eastAsia="en-GB"/>
              </w:rPr>
            </w:pPr>
            <w:r w:rsidRPr="00524E42">
              <w:rPr>
                <w:rFonts w:ascii="Arial" w:eastAsia="Times New Roman" w:hAnsi="Arial" w:cs="Arial"/>
                <w:sz w:val="20"/>
                <w:szCs w:val="20"/>
                <w:lang w:eastAsia="en-GB"/>
              </w:rPr>
              <w:t>5859747</w:t>
            </w:r>
          </w:p>
        </w:tc>
        <w:tc>
          <w:tcPr>
            <w:tcW w:w="1162" w:type="dxa"/>
            <w:tcBorders>
              <w:top w:val="nil"/>
              <w:left w:val="nil"/>
              <w:bottom w:val="nil"/>
              <w:right w:val="nil"/>
            </w:tcBorders>
          </w:tcPr>
          <w:p w14:paraId="50295090" w14:textId="77777777" w:rsidR="001F6984" w:rsidRPr="00524E42" w:rsidRDefault="001F6984" w:rsidP="005B39D0">
            <w:pPr>
              <w:spacing w:after="0" w:line="240" w:lineRule="auto"/>
              <w:rPr>
                <w:rFonts w:ascii="Arial" w:eastAsia="Times New Roman" w:hAnsi="Arial" w:cs="Arial"/>
                <w:sz w:val="20"/>
                <w:szCs w:val="20"/>
                <w:lang w:eastAsia="en-GB"/>
              </w:rPr>
            </w:pPr>
          </w:p>
        </w:tc>
        <w:tc>
          <w:tcPr>
            <w:tcW w:w="1373" w:type="dxa"/>
            <w:tcBorders>
              <w:top w:val="nil"/>
              <w:left w:val="nil"/>
              <w:bottom w:val="nil"/>
              <w:right w:val="nil"/>
            </w:tcBorders>
            <w:shd w:val="clear" w:color="auto" w:fill="auto"/>
            <w:noWrap/>
            <w:vAlign w:val="center"/>
            <w:hideMark/>
          </w:tcPr>
          <w:p w14:paraId="5C0484E5" w14:textId="77777777" w:rsidR="001F6984" w:rsidRPr="00524E42" w:rsidRDefault="001F6984" w:rsidP="005B39D0">
            <w:pPr>
              <w:spacing w:after="0" w:line="240" w:lineRule="auto"/>
              <w:rPr>
                <w:rFonts w:ascii="Arial" w:eastAsia="Times New Roman" w:hAnsi="Arial" w:cs="Arial"/>
                <w:sz w:val="20"/>
                <w:szCs w:val="20"/>
                <w:lang w:eastAsia="en-GB"/>
              </w:rPr>
            </w:pPr>
            <w:r w:rsidRPr="00524E42">
              <w:rPr>
                <w:rFonts w:ascii="Arial" w:eastAsia="Times New Roman" w:hAnsi="Arial" w:cs="Arial"/>
                <w:sz w:val="20"/>
                <w:szCs w:val="20"/>
                <w:lang w:eastAsia="en-GB"/>
              </w:rPr>
              <w:t>England and Wales</w:t>
            </w:r>
          </w:p>
        </w:tc>
        <w:tc>
          <w:tcPr>
            <w:tcW w:w="1239" w:type="dxa"/>
            <w:tcBorders>
              <w:top w:val="nil"/>
              <w:left w:val="nil"/>
              <w:bottom w:val="nil"/>
              <w:right w:val="nil"/>
            </w:tcBorders>
            <w:shd w:val="clear" w:color="auto" w:fill="auto"/>
            <w:noWrap/>
            <w:vAlign w:val="center"/>
            <w:hideMark/>
          </w:tcPr>
          <w:p w14:paraId="346B2434" w14:textId="77777777" w:rsidR="001F6984" w:rsidRPr="00524E42" w:rsidRDefault="001F6984" w:rsidP="000F6386">
            <w:pPr>
              <w:spacing w:after="0" w:line="240" w:lineRule="auto"/>
              <w:jc w:val="center"/>
              <w:rPr>
                <w:rFonts w:ascii="Arial" w:eastAsia="Times New Roman" w:hAnsi="Arial" w:cs="Arial"/>
                <w:sz w:val="20"/>
                <w:szCs w:val="20"/>
                <w:lang w:eastAsia="en-GB"/>
              </w:rPr>
            </w:pPr>
            <w:r w:rsidRPr="00524E42">
              <w:rPr>
                <w:rFonts w:ascii="Arial" w:eastAsia="Times New Roman" w:hAnsi="Arial" w:cs="Arial"/>
                <w:sz w:val="20"/>
                <w:szCs w:val="20"/>
                <w:lang w:eastAsia="en-GB"/>
              </w:rPr>
              <w:t>100%</w:t>
            </w:r>
          </w:p>
        </w:tc>
        <w:tc>
          <w:tcPr>
            <w:tcW w:w="1166" w:type="dxa"/>
            <w:tcBorders>
              <w:top w:val="nil"/>
              <w:left w:val="nil"/>
              <w:bottom w:val="nil"/>
              <w:right w:val="nil"/>
            </w:tcBorders>
            <w:shd w:val="clear" w:color="auto" w:fill="auto"/>
            <w:noWrap/>
            <w:vAlign w:val="center"/>
            <w:hideMark/>
          </w:tcPr>
          <w:p w14:paraId="0D589EA8" w14:textId="77777777" w:rsidR="001F6984" w:rsidRPr="00524E42" w:rsidRDefault="001F6984" w:rsidP="005B39D0">
            <w:pPr>
              <w:spacing w:after="0" w:line="240" w:lineRule="auto"/>
              <w:rPr>
                <w:rFonts w:ascii="Arial" w:eastAsia="Times New Roman" w:hAnsi="Arial" w:cs="Arial"/>
                <w:sz w:val="20"/>
                <w:szCs w:val="20"/>
                <w:lang w:eastAsia="en-GB"/>
              </w:rPr>
            </w:pPr>
            <w:r w:rsidRPr="00524E42">
              <w:rPr>
                <w:rFonts w:ascii="Arial" w:eastAsia="Times New Roman" w:hAnsi="Arial" w:cs="Arial"/>
                <w:sz w:val="20"/>
                <w:szCs w:val="20"/>
                <w:lang w:eastAsia="en-GB"/>
              </w:rPr>
              <w:t>Dormant</w:t>
            </w:r>
          </w:p>
        </w:tc>
      </w:tr>
      <w:tr w:rsidR="001F6984" w:rsidRPr="00524E42" w14:paraId="71C16854" w14:textId="77777777" w:rsidTr="00004D5F">
        <w:trPr>
          <w:trHeight w:val="316"/>
        </w:trPr>
        <w:tc>
          <w:tcPr>
            <w:tcW w:w="2410" w:type="dxa"/>
            <w:tcBorders>
              <w:top w:val="nil"/>
              <w:left w:val="nil"/>
              <w:bottom w:val="nil"/>
              <w:right w:val="nil"/>
            </w:tcBorders>
            <w:shd w:val="clear" w:color="auto" w:fill="auto"/>
            <w:noWrap/>
            <w:vAlign w:val="center"/>
            <w:hideMark/>
          </w:tcPr>
          <w:p w14:paraId="63ACB4BF" w14:textId="77777777" w:rsidR="001F6984" w:rsidRPr="00524E42" w:rsidRDefault="001F6984" w:rsidP="001F6984">
            <w:pPr>
              <w:spacing w:after="0" w:line="240" w:lineRule="auto"/>
              <w:rPr>
                <w:rFonts w:ascii="Arial" w:eastAsia="Times New Roman" w:hAnsi="Arial" w:cs="Arial"/>
                <w:sz w:val="20"/>
                <w:szCs w:val="20"/>
                <w:lang w:eastAsia="en-GB"/>
              </w:rPr>
            </w:pPr>
            <w:r w:rsidRPr="00524E42">
              <w:rPr>
                <w:rFonts w:ascii="Arial" w:eastAsia="Times New Roman" w:hAnsi="Arial" w:cs="Arial"/>
                <w:sz w:val="20"/>
                <w:szCs w:val="20"/>
                <w:lang w:eastAsia="en-GB"/>
              </w:rPr>
              <w:t>Disabled Living Foundation</w:t>
            </w:r>
          </w:p>
        </w:tc>
        <w:tc>
          <w:tcPr>
            <w:tcW w:w="2164" w:type="dxa"/>
            <w:tcBorders>
              <w:top w:val="nil"/>
              <w:left w:val="nil"/>
              <w:bottom w:val="nil"/>
              <w:right w:val="nil"/>
            </w:tcBorders>
            <w:shd w:val="clear" w:color="auto" w:fill="auto"/>
            <w:noWrap/>
            <w:vAlign w:val="center"/>
            <w:hideMark/>
          </w:tcPr>
          <w:p w14:paraId="739EE8B0" w14:textId="77777777" w:rsidR="001F6984" w:rsidRPr="00524E42" w:rsidRDefault="001F6984" w:rsidP="005B39D0">
            <w:pPr>
              <w:spacing w:after="0" w:line="240" w:lineRule="auto"/>
              <w:rPr>
                <w:rFonts w:ascii="Arial" w:eastAsia="Times New Roman" w:hAnsi="Arial" w:cs="Arial"/>
                <w:sz w:val="20"/>
                <w:szCs w:val="20"/>
                <w:lang w:eastAsia="en-GB"/>
              </w:rPr>
            </w:pPr>
            <w:r w:rsidRPr="00524E42">
              <w:rPr>
                <w:rFonts w:ascii="Arial" w:eastAsia="Times New Roman" w:hAnsi="Arial" w:cs="Arial"/>
                <w:sz w:val="20"/>
                <w:szCs w:val="20"/>
                <w:lang w:eastAsia="en-GB"/>
              </w:rPr>
              <w:t>1837993</w:t>
            </w:r>
          </w:p>
        </w:tc>
        <w:tc>
          <w:tcPr>
            <w:tcW w:w="1162" w:type="dxa"/>
            <w:tcBorders>
              <w:top w:val="nil"/>
              <w:left w:val="nil"/>
              <w:bottom w:val="nil"/>
              <w:right w:val="nil"/>
            </w:tcBorders>
          </w:tcPr>
          <w:p w14:paraId="325197F5" w14:textId="77777777" w:rsidR="001F6984" w:rsidRPr="00524E42" w:rsidRDefault="001F6984" w:rsidP="005B39D0">
            <w:pPr>
              <w:spacing w:after="0" w:line="240" w:lineRule="auto"/>
              <w:rPr>
                <w:rFonts w:ascii="Arial" w:eastAsia="Times New Roman" w:hAnsi="Arial" w:cs="Arial"/>
                <w:sz w:val="20"/>
                <w:szCs w:val="20"/>
                <w:lang w:eastAsia="en-GB"/>
              </w:rPr>
            </w:pPr>
          </w:p>
        </w:tc>
        <w:tc>
          <w:tcPr>
            <w:tcW w:w="1373" w:type="dxa"/>
            <w:tcBorders>
              <w:top w:val="nil"/>
              <w:left w:val="nil"/>
              <w:bottom w:val="nil"/>
              <w:right w:val="nil"/>
            </w:tcBorders>
            <w:shd w:val="clear" w:color="auto" w:fill="auto"/>
            <w:noWrap/>
            <w:vAlign w:val="center"/>
            <w:hideMark/>
          </w:tcPr>
          <w:p w14:paraId="7F3F5AC1" w14:textId="77777777" w:rsidR="001F6984" w:rsidRPr="00524E42" w:rsidRDefault="001F6984" w:rsidP="005B39D0">
            <w:pPr>
              <w:spacing w:after="0" w:line="240" w:lineRule="auto"/>
              <w:rPr>
                <w:rFonts w:ascii="Arial" w:eastAsia="Times New Roman" w:hAnsi="Arial" w:cs="Arial"/>
                <w:sz w:val="20"/>
                <w:szCs w:val="20"/>
                <w:lang w:eastAsia="en-GB"/>
              </w:rPr>
            </w:pPr>
            <w:r w:rsidRPr="00524E42">
              <w:rPr>
                <w:rFonts w:ascii="Arial" w:eastAsia="Times New Roman" w:hAnsi="Arial" w:cs="Arial"/>
                <w:sz w:val="20"/>
                <w:szCs w:val="20"/>
                <w:lang w:eastAsia="en-GB"/>
              </w:rPr>
              <w:t>England and Wales</w:t>
            </w:r>
          </w:p>
        </w:tc>
        <w:tc>
          <w:tcPr>
            <w:tcW w:w="1239" w:type="dxa"/>
            <w:tcBorders>
              <w:top w:val="nil"/>
              <w:left w:val="nil"/>
              <w:bottom w:val="nil"/>
              <w:right w:val="nil"/>
            </w:tcBorders>
            <w:shd w:val="clear" w:color="auto" w:fill="auto"/>
            <w:noWrap/>
            <w:vAlign w:val="center"/>
            <w:hideMark/>
          </w:tcPr>
          <w:p w14:paraId="3C89ACA1" w14:textId="77777777" w:rsidR="001F6984" w:rsidRPr="00524E42" w:rsidRDefault="001F6984" w:rsidP="000F6386">
            <w:pPr>
              <w:spacing w:after="0" w:line="240" w:lineRule="auto"/>
              <w:jc w:val="center"/>
              <w:rPr>
                <w:rFonts w:ascii="Arial" w:eastAsia="Times New Roman" w:hAnsi="Arial" w:cs="Arial"/>
                <w:sz w:val="20"/>
                <w:szCs w:val="20"/>
                <w:lang w:eastAsia="en-GB"/>
              </w:rPr>
            </w:pPr>
            <w:r w:rsidRPr="00524E42">
              <w:rPr>
                <w:rFonts w:ascii="Arial" w:eastAsia="Times New Roman" w:hAnsi="Arial" w:cs="Arial"/>
                <w:sz w:val="20"/>
                <w:szCs w:val="20"/>
                <w:lang w:eastAsia="en-GB"/>
              </w:rPr>
              <w:t>100%</w:t>
            </w:r>
          </w:p>
        </w:tc>
        <w:tc>
          <w:tcPr>
            <w:tcW w:w="1166" w:type="dxa"/>
            <w:tcBorders>
              <w:top w:val="nil"/>
              <w:left w:val="nil"/>
              <w:bottom w:val="nil"/>
              <w:right w:val="nil"/>
            </w:tcBorders>
            <w:shd w:val="clear" w:color="auto" w:fill="auto"/>
            <w:noWrap/>
            <w:vAlign w:val="center"/>
            <w:hideMark/>
          </w:tcPr>
          <w:p w14:paraId="08B0628D" w14:textId="77777777" w:rsidR="001F6984" w:rsidRPr="00524E42" w:rsidRDefault="001F6984" w:rsidP="005B39D0">
            <w:pPr>
              <w:spacing w:after="0" w:line="240" w:lineRule="auto"/>
              <w:rPr>
                <w:rFonts w:ascii="Arial" w:eastAsia="Times New Roman" w:hAnsi="Arial" w:cs="Arial"/>
                <w:sz w:val="20"/>
                <w:szCs w:val="20"/>
                <w:lang w:eastAsia="en-GB"/>
              </w:rPr>
            </w:pPr>
            <w:r w:rsidRPr="00524E42">
              <w:rPr>
                <w:rFonts w:ascii="Arial" w:eastAsia="Times New Roman" w:hAnsi="Arial" w:cs="Arial"/>
                <w:sz w:val="20"/>
                <w:szCs w:val="20"/>
                <w:lang w:eastAsia="en-GB"/>
              </w:rPr>
              <w:t>Dormant</w:t>
            </w:r>
          </w:p>
        </w:tc>
      </w:tr>
      <w:tr w:rsidR="001F6984" w:rsidRPr="00524E42" w14:paraId="40A95788" w14:textId="77777777" w:rsidTr="00004D5F">
        <w:trPr>
          <w:trHeight w:val="316"/>
        </w:trPr>
        <w:tc>
          <w:tcPr>
            <w:tcW w:w="2410" w:type="dxa"/>
            <w:tcBorders>
              <w:top w:val="nil"/>
              <w:left w:val="nil"/>
              <w:bottom w:val="nil"/>
              <w:right w:val="nil"/>
            </w:tcBorders>
            <w:shd w:val="clear" w:color="auto" w:fill="auto"/>
            <w:noWrap/>
            <w:vAlign w:val="center"/>
            <w:hideMark/>
          </w:tcPr>
          <w:p w14:paraId="23CC45B2" w14:textId="77777777" w:rsidR="001F6984" w:rsidRPr="00524E42" w:rsidRDefault="001F6984" w:rsidP="001F6984">
            <w:pPr>
              <w:spacing w:after="0" w:line="240" w:lineRule="auto"/>
              <w:rPr>
                <w:rFonts w:ascii="Arial" w:eastAsia="Times New Roman" w:hAnsi="Arial" w:cs="Arial"/>
                <w:sz w:val="20"/>
                <w:szCs w:val="20"/>
                <w:lang w:eastAsia="en-GB"/>
              </w:rPr>
            </w:pPr>
            <w:r w:rsidRPr="00524E42">
              <w:rPr>
                <w:rFonts w:ascii="Arial" w:eastAsia="Times New Roman" w:hAnsi="Arial" w:cs="Arial"/>
                <w:sz w:val="20"/>
                <w:szCs w:val="20"/>
                <w:lang w:eastAsia="en-GB"/>
              </w:rPr>
              <w:t>Careers Development Group</w:t>
            </w:r>
          </w:p>
        </w:tc>
        <w:tc>
          <w:tcPr>
            <w:tcW w:w="2164" w:type="dxa"/>
            <w:tcBorders>
              <w:top w:val="nil"/>
              <w:left w:val="nil"/>
              <w:bottom w:val="nil"/>
              <w:right w:val="nil"/>
            </w:tcBorders>
            <w:shd w:val="clear" w:color="auto" w:fill="auto"/>
            <w:noWrap/>
            <w:vAlign w:val="center"/>
            <w:hideMark/>
          </w:tcPr>
          <w:p w14:paraId="6E9A75C8" w14:textId="77777777" w:rsidR="001F6984" w:rsidRPr="00524E42" w:rsidRDefault="001F6984" w:rsidP="005B39D0">
            <w:pPr>
              <w:spacing w:after="0" w:line="240" w:lineRule="auto"/>
              <w:rPr>
                <w:rFonts w:ascii="Arial" w:eastAsia="Times New Roman" w:hAnsi="Arial" w:cs="Arial"/>
                <w:sz w:val="20"/>
                <w:szCs w:val="20"/>
                <w:lang w:eastAsia="en-GB"/>
              </w:rPr>
            </w:pPr>
            <w:r w:rsidRPr="00524E42">
              <w:rPr>
                <w:rFonts w:ascii="Arial" w:eastAsia="Times New Roman" w:hAnsi="Arial" w:cs="Arial"/>
                <w:sz w:val="20"/>
                <w:szCs w:val="20"/>
                <w:lang w:eastAsia="en-GB"/>
              </w:rPr>
              <w:t>1647371</w:t>
            </w:r>
          </w:p>
        </w:tc>
        <w:tc>
          <w:tcPr>
            <w:tcW w:w="1162" w:type="dxa"/>
            <w:tcBorders>
              <w:top w:val="nil"/>
              <w:left w:val="nil"/>
              <w:bottom w:val="nil"/>
              <w:right w:val="nil"/>
            </w:tcBorders>
          </w:tcPr>
          <w:p w14:paraId="36A57BBC" w14:textId="77777777" w:rsidR="001F6984" w:rsidRPr="00524E42" w:rsidRDefault="001F6984" w:rsidP="005B39D0">
            <w:pPr>
              <w:spacing w:after="0" w:line="240" w:lineRule="auto"/>
              <w:rPr>
                <w:rFonts w:ascii="Arial" w:eastAsia="Times New Roman" w:hAnsi="Arial" w:cs="Arial"/>
                <w:sz w:val="20"/>
                <w:szCs w:val="20"/>
                <w:lang w:eastAsia="en-GB"/>
              </w:rPr>
            </w:pPr>
          </w:p>
        </w:tc>
        <w:tc>
          <w:tcPr>
            <w:tcW w:w="1373" w:type="dxa"/>
            <w:tcBorders>
              <w:top w:val="nil"/>
              <w:left w:val="nil"/>
              <w:bottom w:val="nil"/>
              <w:right w:val="nil"/>
            </w:tcBorders>
            <w:shd w:val="clear" w:color="auto" w:fill="auto"/>
            <w:noWrap/>
            <w:vAlign w:val="center"/>
            <w:hideMark/>
          </w:tcPr>
          <w:p w14:paraId="05889B5D" w14:textId="77777777" w:rsidR="001F6984" w:rsidRPr="00524E42" w:rsidRDefault="001F6984" w:rsidP="005B39D0">
            <w:pPr>
              <w:spacing w:after="0" w:line="240" w:lineRule="auto"/>
              <w:rPr>
                <w:rFonts w:ascii="Arial" w:eastAsia="Times New Roman" w:hAnsi="Arial" w:cs="Arial"/>
                <w:sz w:val="20"/>
                <w:szCs w:val="20"/>
                <w:lang w:eastAsia="en-GB"/>
              </w:rPr>
            </w:pPr>
            <w:r w:rsidRPr="00524E42">
              <w:rPr>
                <w:rFonts w:ascii="Arial" w:eastAsia="Times New Roman" w:hAnsi="Arial" w:cs="Arial"/>
                <w:sz w:val="20"/>
                <w:szCs w:val="20"/>
                <w:lang w:eastAsia="en-GB"/>
              </w:rPr>
              <w:t>England and Wales</w:t>
            </w:r>
          </w:p>
        </w:tc>
        <w:tc>
          <w:tcPr>
            <w:tcW w:w="1239" w:type="dxa"/>
            <w:tcBorders>
              <w:top w:val="nil"/>
              <w:left w:val="nil"/>
              <w:bottom w:val="nil"/>
              <w:right w:val="nil"/>
            </w:tcBorders>
            <w:shd w:val="clear" w:color="auto" w:fill="auto"/>
            <w:noWrap/>
            <w:vAlign w:val="center"/>
            <w:hideMark/>
          </w:tcPr>
          <w:p w14:paraId="64BCFDDF" w14:textId="77777777" w:rsidR="001F6984" w:rsidRPr="00524E42" w:rsidRDefault="001F6984" w:rsidP="000F6386">
            <w:pPr>
              <w:spacing w:after="0" w:line="240" w:lineRule="auto"/>
              <w:jc w:val="center"/>
              <w:rPr>
                <w:rFonts w:ascii="Arial" w:eastAsia="Times New Roman" w:hAnsi="Arial" w:cs="Arial"/>
                <w:sz w:val="20"/>
                <w:szCs w:val="20"/>
                <w:lang w:eastAsia="en-GB"/>
              </w:rPr>
            </w:pPr>
            <w:r w:rsidRPr="00524E42">
              <w:rPr>
                <w:rFonts w:ascii="Arial" w:eastAsia="Times New Roman" w:hAnsi="Arial" w:cs="Arial"/>
                <w:sz w:val="20"/>
                <w:szCs w:val="20"/>
                <w:lang w:eastAsia="en-GB"/>
              </w:rPr>
              <w:t>100%</w:t>
            </w:r>
          </w:p>
        </w:tc>
        <w:tc>
          <w:tcPr>
            <w:tcW w:w="1166" w:type="dxa"/>
            <w:tcBorders>
              <w:top w:val="nil"/>
              <w:left w:val="nil"/>
              <w:bottom w:val="nil"/>
              <w:right w:val="nil"/>
            </w:tcBorders>
            <w:shd w:val="clear" w:color="auto" w:fill="auto"/>
            <w:noWrap/>
            <w:vAlign w:val="center"/>
            <w:hideMark/>
          </w:tcPr>
          <w:p w14:paraId="416451F7" w14:textId="77777777" w:rsidR="001F6984" w:rsidRPr="00524E42" w:rsidRDefault="001F6984" w:rsidP="005B39D0">
            <w:pPr>
              <w:spacing w:after="0" w:line="240" w:lineRule="auto"/>
              <w:rPr>
                <w:rFonts w:ascii="Arial" w:eastAsia="Times New Roman" w:hAnsi="Arial" w:cs="Arial"/>
                <w:sz w:val="20"/>
                <w:szCs w:val="20"/>
                <w:lang w:eastAsia="en-GB"/>
              </w:rPr>
            </w:pPr>
            <w:r w:rsidRPr="00524E42">
              <w:rPr>
                <w:rFonts w:ascii="Arial" w:eastAsia="Times New Roman" w:hAnsi="Arial" w:cs="Arial"/>
                <w:sz w:val="20"/>
                <w:szCs w:val="20"/>
                <w:lang w:eastAsia="en-GB"/>
              </w:rPr>
              <w:t>Dormant</w:t>
            </w:r>
          </w:p>
        </w:tc>
      </w:tr>
      <w:tr w:rsidR="001F6984" w:rsidRPr="00524E42" w14:paraId="4A6E3514" w14:textId="77777777" w:rsidTr="00004D5F">
        <w:trPr>
          <w:trHeight w:val="316"/>
        </w:trPr>
        <w:tc>
          <w:tcPr>
            <w:tcW w:w="2410" w:type="dxa"/>
            <w:tcBorders>
              <w:top w:val="nil"/>
              <w:left w:val="nil"/>
              <w:bottom w:val="nil"/>
              <w:right w:val="nil"/>
            </w:tcBorders>
            <w:shd w:val="clear" w:color="auto" w:fill="auto"/>
            <w:noWrap/>
            <w:vAlign w:val="center"/>
            <w:hideMark/>
          </w:tcPr>
          <w:p w14:paraId="3B8FDE57" w14:textId="77777777" w:rsidR="001F6984" w:rsidRPr="00524E42" w:rsidRDefault="001F6984" w:rsidP="001F6984">
            <w:pPr>
              <w:spacing w:after="0" w:line="240" w:lineRule="auto"/>
              <w:rPr>
                <w:rFonts w:ascii="Arial" w:eastAsia="Times New Roman" w:hAnsi="Arial" w:cs="Arial"/>
                <w:sz w:val="20"/>
                <w:szCs w:val="20"/>
                <w:lang w:eastAsia="en-GB"/>
              </w:rPr>
            </w:pPr>
            <w:r w:rsidRPr="00524E42">
              <w:rPr>
                <w:rFonts w:ascii="Arial" w:eastAsia="Times New Roman" w:hAnsi="Arial" w:cs="Arial"/>
                <w:sz w:val="20"/>
                <w:szCs w:val="20"/>
                <w:lang w:eastAsia="en-GB"/>
              </w:rPr>
              <w:t>Shaw Trust Services Limited</w:t>
            </w:r>
          </w:p>
        </w:tc>
        <w:tc>
          <w:tcPr>
            <w:tcW w:w="2164" w:type="dxa"/>
            <w:tcBorders>
              <w:top w:val="nil"/>
              <w:left w:val="nil"/>
              <w:bottom w:val="nil"/>
              <w:right w:val="nil"/>
            </w:tcBorders>
            <w:shd w:val="clear" w:color="auto" w:fill="auto"/>
            <w:noWrap/>
            <w:vAlign w:val="center"/>
            <w:hideMark/>
          </w:tcPr>
          <w:p w14:paraId="19517298" w14:textId="77777777" w:rsidR="001F6984" w:rsidRPr="00524E42" w:rsidRDefault="001F6984" w:rsidP="005B39D0">
            <w:pPr>
              <w:spacing w:after="0" w:line="240" w:lineRule="auto"/>
              <w:rPr>
                <w:rFonts w:ascii="Arial" w:eastAsia="Times New Roman" w:hAnsi="Arial" w:cs="Arial"/>
                <w:sz w:val="20"/>
                <w:szCs w:val="20"/>
                <w:lang w:eastAsia="en-GB"/>
              </w:rPr>
            </w:pPr>
            <w:r w:rsidRPr="00524E42">
              <w:rPr>
                <w:rFonts w:ascii="Arial" w:eastAsia="Times New Roman" w:hAnsi="Arial" w:cs="Arial"/>
                <w:sz w:val="20"/>
                <w:szCs w:val="20"/>
                <w:lang w:eastAsia="en-GB"/>
              </w:rPr>
              <w:t>3176328</w:t>
            </w:r>
          </w:p>
        </w:tc>
        <w:tc>
          <w:tcPr>
            <w:tcW w:w="1162" w:type="dxa"/>
            <w:tcBorders>
              <w:top w:val="nil"/>
              <w:left w:val="nil"/>
              <w:bottom w:val="nil"/>
              <w:right w:val="nil"/>
            </w:tcBorders>
          </w:tcPr>
          <w:p w14:paraId="64A5F387" w14:textId="77777777" w:rsidR="001F6984" w:rsidRPr="00524E42" w:rsidRDefault="001F6984" w:rsidP="005B39D0">
            <w:pPr>
              <w:spacing w:after="0" w:line="240" w:lineRule="auto"/>
              <w:rPr>
                <w:rFonts w:ascii="Arial" w:eastAsia="Times New Roman" w:hAnsi="Arial" w:cs="Arial"/>
                <w:sz w:val="20"/>
                <w:szCs w:val="20"/>
                <w:lang w:eastAsia="en-GB"/>
              </w:rPr>
            </w:pPr>
          </w:p>
        </w:tc>
        <w:tc>
          <w:tcPr>
            <w:tcW w:w="1373" w:type="dxa"/>
            <w:tcBorders>
              <w:top w:val="nil"/>
              <w:left w:val="nil"/>
              <w:bottom w:val="nil"/>
              <w:right w:val="nil"/>
            </w:tcBorders>
            <w:shd w:val="clear" w:color="auto" w:fill="auto"/>
            <w:noWrap/>
            <w:vAlign w:val="center"/>
            <w:hideMark/>
          </w:tcPr>
          <w:p w14:paraId="4D7C78BB" w14:textId="77777777" w:rsidR="001F6984" w:rsidRPr="00524E42" w:rsidRDefault="001F6984" w:rsidP="005B39D0">
            <w:pPr>
              <w:spacing w:after="0" w:line="240" w:lineRule="auto"/>
              <w:rPr>
                <w:rFonts w:ascii="Arial" w:eastAsia="Times New Roman" w:hAnsi="Arial" w:cs="Arial"/>
                <w:sz w:val="20"/>
                <w:szCs w:val="20"/>
                <w:lang w:eastAsia="en-GB"/>
              </w:rPr>
            </w:pPr>
            <w:r w:rsidRPr="00524E42">
              <w:rPr>
                <w:rFonts w:ascii="Arial" w:eastAsia="Times New Roman" w:hAnsi="Arial" w:cs="Arial"/>
                <w:sz w:val="20"/>
                <w:szCs w:val="20"/>
                <w:lang w:eastAsia="en-GB"/>
              </w:rPr>
              <w:t>England and Wales</w:t>
            </w:r>
          </w:p>
        </w:tc>
        <w:tc>
          <w:tcPr>
            <w:tcW w:w="1239" w:type="dxa"/>
            <w:tcBorders>
              <w:top w:val="nil"/>
              <w:left w:val="nil"/>
              <w:bottom w:val="nil"/>
              <w:right w:val="nil"/>
            </w:tcBorders>
            <w:shd w:val="clear" w:color="auto" w:fill="auto"/>
            <w:noWrap/>
            <w:vAlign w:val="center"/>
            <w:hideMark/>
          </w:tcPr>
          <w:p w14:paraId="3B306CFC" w14:textId="77777777" w:rsidR="001F6984" w:rsidRPr="00524E42" w:rsidRDefault="001F6984" w:rsidP="000F6386">
            <w:pPr>
              <w:spacing w:after="0" w:line="240" w:lineRule="auto"/>
              <w:jc w:val="center"/>
              <w:rPr>
                <w:rFonts w:ascii="Arial" w:eastAsia="Times New Roman" w:hAnsi="Arial" w:cs="Arial"/>
                <w:sz w:val="20"/>
                <w:szCs w:val="20"/>
                <w:lang w:eastAsia="en-GB"/>
              </w:rPr>
            </w:pPr>
            <w:r w:rsidRPr="00524E42">
              <w:rPr>
                <w:rFonts w:ascii="Arial" w:eastAsia="Times New Roman" w:hAnsi="Arial" w:cs="Arial"/>
                <w:sz w:val="20"/>
                <w:szCs w:val="20"/>
                <w:lang w:eastAsia="en-GB"/>
              </w:rPr>
              <w:t>100%</w:t>
            </w:r>
          </w:p>
        </w:tc>
        <w:tc>
          <w:tcPr>
            <w:tcW w:w="1166" w:type="dxa"/>
            <w:tcBorders>
              <w:top w:val="nil"/>
              <w:left w:val="nil"/>
              <w:bottom w:val="nil"/>
              <w:right w:val="nil"/>
            </w:tcBorders>
            <w:shd w:val="clear" w:color="auto" w:fill="auto"/>
            <w:noWrap/>
            <w:vAlign w:val="center"/>
            <w:hideMark/>
          </w:tcPr>
          <w:p w14:paraId="4BD1CB39" w14:textId="77777777" w:rsidR="001F6984" w:rsidRPr="00524E42" w:rsidRDefault="001F6984" w:rsidP="005B39D0">
            <w:pPr>
              <w:spacing w:after="0" w:line="240" w:lineRule="auto"/>
              <w:rPr>
                <w:rFonts w:ascii="Arial" w:eastAsia="Times New Roman" w:hAnsi="Arial" w:cs="Arial"/>
                <w:sz w:val="20"/>
                <w:szCs w:val="20"/>
                <w:lang w:eastAsia="en-GB"/>
              </w:rPr>
            </w:pPr>
            <w:r w:rsidRPr="00524E42">
              <w:rPr>
                <w:rFonts w:ascii="Arial" w:eastAsia="Times New Roman" w:hAnsi="Arial" w:cs="Arial"/>
                <w:sz w:val="20"/>
                <w:szCs w:val="20"/>
                <w:lang w:eastAsia="en-GB"/>
              </w:rPr>
              <w:t>Dormant</w:t>
            </w:r>
          </w:p>
        </w:tc>
      </w:tr>
      <w:tr w:rsidR="001F6984" w:rsidRPr="00524E42" w14:paraId="31AAA7F8" w14:textId="77777777" w:rsidTr="00004D5F">
        <w:trPr>
          <w:trHeight w:val="316"/>
        </w:trPr>
        <w:tc>
          <w:tcPr>
            <w:tcW w:w="2410" w:type="dxa"/>
            <w:tcBorders>
              <w:top w:val="nil"/>
              <w:left w:val="nil"/>
              <w:bottom w:val="nil"/>
              <w:right w:val="nil"/>
            </w:tcBorders>
            <w:shd w:val="clear" w:color="auto" w:fill="auto"/>
            <w:noWrap/>
            <w:vAlign w:val="center"/>
            <w:hideMark/>
          </w:tcPr>
          <w:p w14:paraId="00F72546" w14:textId="77777777" w:rsidR="001F6984" w:rsidRPr="00524E42" w:rsidRDefault="001F6984" w:rsidP="001F6984">
            <w:pPr>
              <w:spacing w:after="0" w:line="240" w:lineRule="auto"/>
              <w:rPr>
                <w:rFonts w:ascii="Arial" w:eastAsia="Times New Roman" w:hAnsi="Arial" w:cs="Arial"/>
                <w:sz w:val="20"/>
                <w:szCs w:val="20"/>
                <w:lang w:eastAsia="en-GB"/>
              </w:rPr>
            </w:pPr>
            <w:r w:rsidRPr="00524E42">
              <w:rPr>
                <w:rFonts w:ascii="Arial" w:eastAsia="Times New Roman" w:hAnsi="Arial" w:cs="Arial"/>
                <w:sz w:val="20"/>
                <w:szCs w:val="20"/>
                <w:lang w:eastAsia="en-GB"/>
              </w:rPr>
              <w:t>Shaw Trust Enterprises Limited</w:t>
            </w:r>
          </w:p>
        </w:tc>
        <w:tc>
          <w:tcPr>
            <w:tcW w:w="2164" w:type="dxa"/>
            <w:tcBorders>
              <w:top w:val="nil"/>
              <w:left w:val="nil"/>
              <w:bottom w:val="nil"/>
              <w:right w:val="nil"/>
            </w:tcBorders>
            <w:shd w:val="clear" w:color="auto" w:fill="auto"/>
            <w:noWrap/>
            <w:vAlign w:val="center"/>
            <w:hideMark/>
          </w:tcPr>
          <w:p w14:paraId="245D9C37" w14:textId="77777777" w:rsidR="001F6984" w:rsidRPr="00524E42" w:rsidRDefault="001F6984" w:rsidP="005B39D0">
            <w:pPr>
              <w:spacing w:after="0" w:line="240" w:lineRule="auto"/>
              <w:rPr>
                <w:rFonts w:ascii="Arial" w:eastAsia="Times New Roman" w:hAnsi="Arial" w:cs="Arial"/>
                <w:sz w:val="20"/>
                <w:szCs w:val="20"/>
                <w:lang w:eastAsia="en-GB"/>
              </w:rPr>
            </w:pPr>
            <w:r w:rsidRPr="00524E42">
              <w:rPr>
                <w:rFonts w:ascii="Arial" w:eastAsia="Times New Roman" w:hAnsi="Arial" w:cs="Arial"/>
                <w:sz w:val="20"/>
                <w:szCs w:val="20"/>
                <w:lang w:eastAsia="en-GB"/>
              </w:rPr>
              <w:t>2521307</w:t>
            </w:r>
          </w:p>
        </w:tc>
        <w:tc>
          <w:tcPr>
            <w:tcW w:w="1162" w:type="dxa"/>
            <w:tcBorders>
              <w:top w:val="nil"/>
              <w:left w:val="nil"/>
              <w:bottom w:val="nil"/>
              <w:right w:val="nil"/>
            </w:tcBorders>
          </w:tcPr>
          <w:p w14:paraId="363E9CC9" w14:textId="77777777" w:rsidR="001F6984" w:rsidRPr="00524E42" w:rsidRDefault="001F6984" w:rsidP="005B39D0">
            <w:pPr>
              <w:spacing w:after="0" w:line="240" w:lineRule="auto"/>
              <w:rPr>
                <w:rFonts w:ascii="Arial" w:eastAsia="Times New Roman" w:hAnsi="Arial" w:cs="Arial"/>
                <w:sz w:val="20"/>
                <w:szCs w:val="20"/>
                <w:lang w:eastAsia="en-GB"/>
              </w:rPr>
            </w:pPr>
          </w:p>
        </w:tc>
        <w:tc>
          <w:tcPr>
            <w:tcW w:w="1373" w:type="dxa"/>
            <w:tcBorders>
              <w:top w:val="nil"/>
              <w:left w:val="nil"/>
              <w:bottom w:val="nil"/>
              <w:right w:val="nil"/>
            </w:tcBorders>
            <w:shd w:val="clear" w:color="auto" w:fill="auto"/>
            <w:noWrap/>
            <w:vAlign w:val="center"/>
            <w:hideMark/>
          </w:tcPr>
          <w:p w14:paraId="1B118FD8" w14:textId="77777777" w:rsidR="001F6984" w:rsidRPr="00524E42" w:rsidRDefault="001F6984" w:rsidP="005B39D0">
            <w:pPr>
              <w:spacing w:after="0" w:line="240" w:lineRule="auto"/>
              <w:rPr>
                <w:rFonts w:ascii="Arial" w:eastAsia="Times New Roman" w:hAnsi="Arial" w:cs="Arial"/>
                <w:sz w:val="20"/>
                <w:szCs w:val="20"/>
                <w:lang w:eastAsia="en-GB"/>
              </w:rPr>
            </w:pPr>
            <w:r w:rsidRPr="00524E42">
              <w:rPr>
                <w:rFonts w:ascii="Arial" w:eastAsia="Times New Roman" w:hAnsi="Arial" w:cs="Arial"/>
                <w:sz w:val="20"/>
                <w:szCs w:val="20"/>
                <w:lang w:eastAsia="en-GB"/>
              </w:rPr>
              <w:t>England and Wales</w:t>
            </w:r>
          </w:p>
        </w:tc>
        <w:tc>
          <w:tcPr>
            <w:tcW w:w="1239" w:type="dxa"/>
            <w:tcBorders>
              <w:top w:val="nil"/>
              <w:left w:val="nil"/>
              <w:bottom w:val="nil"/>
              <w:right w:val="nil"/>
            </w:tcBorders>
            <w:shd w:val="clear" w:color="auto" w:fill="auto"/>
            <w:noWrap/>
            <w:vAlign w:val="center"/>
            <w:hideMark/>
          </w:tcPr>
          <w:p w14:paraId="0BC811E9" w14:textId="77777777" w:rsidR="001F6984" w:rsidRPr="00524E42" w:rsidRDefault="001F6984" w:rsidP="000F6386">
            <w:pPr>
              <w:spacing w:after="0" w:line="240" w:lineRule="auto"/>
              <w:jc w:val="center"/>
              <w:rPr>
                <w:rFonts w:ascii="Arial" w:eastAsia="Times New Roman" w:hAnsi="Arial" w:cs="Arial"/>
                <w:sz w:val="20"/>
                <w:szCs w:val="20"/>
                <w:lang w:eastAsia="en-GB"/>
              </w:rPr>
            </w:pPr>
            <w:r w:rsidRPr="00524E42">
              <w:rPr>
                <w:rFonts w:ascii="Arial" w:eastAsia="Times New Roman" w:hAnsi="Arial" w:cs="Arial"/>
                <w:sz w:val="20"/>
                <w:szCs w:val="20"/>
                <w:lang w:eastAsia="en-GB"/>
              </w:rPr>
              <w:t>100%</w:t>
            </w:r>
          </w:p>
        </w:tc>
        <w:tc>
          <w:tcPr>
            <w:tcW w:w="1166" w:type="dxa"/>
            <w:tcBorders>
              <w:top w:val="nil"/>
              <w:left w:val="nil"/>
              <w:bottom w:val="nil"/>
              <w:right w:val="nil"/>
            </w:tcBorders>
            <w:shd w:val="clear" w:color="auto" w:fill="auto"/>
            <w:noWrap/>
            <w:vAlign w:val="center"/>
            <w:hideMark/>
          </w:tcPr>
          <w:p w14:paraId="1563D337" w14:textId="77777777" w:rsidR="001F6984" w:rsidRPr="00524E42" w:rsidRDefault="001F6984" w:rsidP="005B39D0">
            <w:pPr>
              <w:spacing w:after="0" w:line="240" w:lineRule="auto"/>
              <w:rPr>
                <w:rFonts w:ascii="Arial" w:eastAsia="Times New Roman" w:hAnsi="Arial" w:cs="Arial"/>
                <w:sz w:val="20"/>
                <w:szCs w:val="20"/>
                <w:lang w:eastAsia="en-GB"/>
              </w:rPr>
            </w:pPr>
            <w:r w:rsidRPr="004720E7">
              <w:rPr>
                <w:rFonts w:ascii="Arial" w:eastAsia="Times New Roman" w:hAnsi="Arial" w:cs="Arial"/>
                <w:sz w:val="20"/>
                <w:szCs w:val="20"/>
                <w:lang w:eastAsia="en-GB"/>
              </w:rPr>
              <w:t>Dormant</w:t>
            </w:r>
          </w:p>
        </w:tc>
      </w:tr>
      <w:tr w:rsidR="001F6984" w:rsidRPr="00524E42" w14:paraId="3E79AD1B" w14:textId="77777777" w:rsidTr="00004D5F">
        <w:trPr>
          <w:trHeight w:val="316"/>
        </w:trPr>
        <w:tc>
          <w:tcPr>
            <w:tcW w:w="2410" w:type="dxa"/>
            <w:tcBorders>
              <w:top w:val="nil"/>
              <w:left w:val="nil"/>
              <w:bottom w:val="nil"/>
              <w:right w:val="nil"/>
            </w:tcBorders>
            <w:shd w:val="clear" w:color="auto" w:fill="auto"/>
            <w:noWrap/>
            <w:vAlign w:val="center"/>
            <w:hideMark/>
          </w:tcPr>
          <w:p w14:paraId="7AFA9767" w14:textId="77777777" w:rsidR="001F6984" w:rsidRPr="00524E42" w:rsidRDefault="001F6984" w:rsidP="001F6984">
            <w:pPr>
              <w:spacing w:after="0" w:line="240" w:lineRule="auto"/>
              <w:rPr>
                <w:rFonts w:ascii="Arial" w:eastAsia="Times New Roman" w:hAnsi="Arial" w:cs="Arial"/>
                <w:sz w:val="20"/>
                <w:szCs w:val="20"/>
                <w:lang w:eastAsia="en-GB"/>
              </w:rPr>
            </w:pPr>
            <w:r w:rsidRPr="00524E42">
              <w:rPr>
                <w:rFonts w:ascii="Arial" w:eastAsia="Times New Roman" w:hAnsi="Arial" w:cs="Arial"/>
                <w:sz w:val="20"/>
                <w:szCs w:val="20"/>
                <w:lang w:eastAsia="en-GB"/>
              </w:rPr>
              <w:t>Shaw Southern Australia Limited</w:t>
            </w:r>
          </w:p>
        </w:tc>
        <w:tc>
          <w:tcPr>
            <w:tcW w:w="2164" w:type="dxa"/>
            <w:tcBorders>
              <w:top w:val="nil"/>
              <w:left w:val="nil"/>
              <w:bottom w:val="nil"/>
              <w:right w:val="nil"/>
            </w:tcBorders>
            <w:shd w:val="clear" w:color="auto" w:fill="auto"/>
            <w:noWrap/>
            <w:vAlign w:val="center"/>
            <w:hideMark/>
          </w:tcPr>
          <w:p w14:paraId="7A8F411A" w14:textId="77777777" w:rsidR="001F6984" w:rsidRPr="00524E42" w:rsidRDefault="001F6984" w:rsidP="005B39D0">
            <w:pPr>
              <w:spacing w:after="0" w:line="240" w:lineRule="auto"/>
              <w:rPr>
                <w:rFonts w:ascii="Arial" w:eastAsia="Times New Roman" w:hAnsi="Arial" w:cs="Arial"/>
                <w:sz w:val="20"/>
                <w:szCs w:val="20"/>
                <w:lang w:eastAsia="en-GB"/>
              </w:rPr>
            </w:pPr>
            <w:r w:rsidRPr="00524E42">
              <w:rPr>
                <w:rFonts w:ascii="Arial" w:eastAsia="Times New Roman" w:hAnsi="Arial" w:cs="Arial"/>
                <w:sz w:val="20"/>
                <w:szCs w:val="20"/>
                <w:lang w:eastAsia="en-GB"/>
              </w:rPr>
              <w:t>ABN 41 075 242 027</w:t>
            </w:r>
          </w:p>
        </w:tc>
        <w:tc>
          <w:tcPr>
            <w:tcW w:w="1162" w:type="dxa"/>
            <w:tcBorders>
              <w:top w:val="nil"/>
              <w:left w:val="nil"/>
              <w:bottom w:val="nil"/>
              <w:right w:val="nil"/>
            </w:tcBorders>
          </w:tcPr>
          <w:p w14:paraId="64C177DB" w14:textId="77777777" w:rsidR="001F6984" w:rsidRPr="00524E42" w:rsidRDefault="001F6984" w:rsidP="005B39D0">
            <w:pPr>
              <w:spacing w:after="0" w:line="240" w:lineRule="auto"/>
              <w:rPr>
                <w:rFonts w:ascii="Arial" w:eastAsia="Times New Roman" w:hAnsi="Arial" w:cs="Arial"/>
                <w:sz w:val="20"/>
                <w:szCs w:val="20"/>
                <w:lang w:eastAsia="en-GB"/>
              </w:rPr>
            </w:pPr>
          </w:p>
        </w:tc>
        <w:tc>
          <w:tcPr>
            <w:tcW w:w="1373" w:type="dxa"/>
            <w:tcBorders>
              <w:top w:val="nil"/>
              <w:left w:val="nil"/>
              <w:bottom w:val="nil"/>
              <w:right w:val="nil"/>
            </w:tcBorders>
            <w:shd w:val="clear" w:color="auto" w:fill="auto"/>
            <w:noWrap/>
            <w:vAlign w:val="center"/>
            <w:hideMark/>
          </w:tcPr>
          <w:p w14:paraId="6D1FFEAC" w14:textId="77777777" w:rsidR="001F6984" w:rsidRPr="00524E42" w:rsidRDefault="001F6984" w:rsidP="005B39D0">
            <w:pPr>
              <w:spacing w:after="0" w:line="240" w:lineRule="auto"/>
              <w:rPr>
                <w:rFonts w:ascii="Arial" w:eastAsia="Times New Roman" w:hAnsi="Arial" w:cs="Arial"/>
                <w:sz w:val="20"/>
                <w:szCs w:val="20"/>
                <w:lang w:eastAsia="en-GB"/>
              </w:rPr>
            </w:pPr>
            <w:r w:rsidRPr="00524E42">
              <w:rPr>
                <w:rFonts w:ascii="Arial" w:eastAsia="Times New Roman" w:hAnsi="Arial" w:cs="Arial"/>
                <w:sz w:val="20"/>
                <w:szCs w:val="20"/>
                <w:lang w:eastAsia="en-GB"/>
              </w:rPr>
              <w:t>Australia</w:t>
            </w:r>
          </w:p>
        </w:tc>
        <w:tc>
          <w:tcPr>
            <w:tcW w:w="1239" w:type="dxa"/>
            <w:tcBorders>
              <w:top w:val="nil"/>
              <w:left w:val="nil"/>
              <w:bottom w:val="nil"/>
              <w:right w:val="nil"/>
            </w:tcBorders>
            <w:shd w:val="clear" w:color="auto" w:fill="auto"/>
            <w:noWrap/>
            <w:vAlign w:val="center"/>
            <w:hideMark/>
          </w:tcPr>
          <w:p w14:paraId="7F79FED2" w14:textId="77777777" w:rsidR="001F6984" w:rsidRPr="00524E42" w:rsidRDefault="001F6984" w:rsidP="000F6386">
            <w:pPr>
              <w:spacing w:after="0" w:line="240" w:lineRule="auto"/>
              <w:jc w:val="center"/>
              <w:rPr>
                <w:rFonts w:ascii="Arial" w:eastAsia="Times New Roman" w:hAnsi="Arial" w:cs="Arial"/>
                <w:sz w:val="20"/>
                <w:szCs w:val="20"/>
                <w:lang w:eastAsia="en-GB"/>
              </w:rPr>
            </w:pPr>
            <w:r w:rsidRPr="00524E42">
              <w:rPr>
                <w:rFonts w:ascii="Arial" w:eastAsia="Times New Roman" w:hAnsi="Arial" w:cs="Arial"/>
                <w:sz w:val="20"/>
                <w:szCs w:val="20"/>
                <w:lang w:eastAsia="en-GB"/>
              </w:rPr>
              <w:t>100%</w:t>
            </w:r>
          </w:p>
        </w:tc>
        <w:tc>
          <w:tcPr>
            <w:tcW w:w="1166" w:type="dxa"/>
            <w:tcBorders>
              <w:top w:val="nil"/>
              <w:left w:val="nil"/>
              <w:bottom w:val="nil"/>
              <w:right w:val="nil"/>
            </w:tcBorders>
            <w:shd w:val="clear" w:color="auto" w:fill="auto"/>
            <w:noWrap/>
            <w:vAlign w:val="center"/>
            <w:hideMark/>
          </w:tcPr>
          <w:p w14:paraId="0631C5B0" w14:textId="77777777" w:rsidR="001F6984" w:rsidRPr="00524E42" w:rsidRDefault="001F6984" w:rsidP="005B39D0">
            <w:pPr>
              <w:spacing w:after="0" w:line="240" w:lineRule="auto"/>
              <w:rPr>
                <w:rFonts w:ascii="Arial" w:eastAsia="Times New Roman" w:hAnsi="Arial" w:cs="Arial"/>
                <w:sz w:val="20"/>
                <w:szCs w:val="20"/>
                <w:lang w:eastAsia="en-GB"/>
              </w:rPr>
            </w:pPr>
            <w:r w:rsidRPr="00524E42">
              <w:rPr>
                <w:rFonts w:ascii="Arial" w:eastAsia="Times New Roman" w:hAnsi="Arial" w:cs="Arial"/>
                <w:sz w:val="20"/>
                <w:szCs w:val="20"/>
                <w:lang w:eastAsia="en-GB"/>
              </w:rPr>
              <w:t>Dormant</w:t>
            </w:r>
          </w:p>
        </w:tc>
      </w:tr>
      <w:tr w:rsidR="001F6984" w:rsidRPr="00524E42" w14:paraId="35C1BB2F" w14:textId="77777777" w:rsidTr="00004D5F">
        <w:trPr>
          <w:trHeight w:val="316"/>
        </w:trPr>
        <w:tc>
          <w:tcPr>
            <w:tcW w:w="2410" w:type="dxa"/>
            <w:tcBorders>
              <w:top w:val="nil"/>
              <w:left w:val="nil"/>
              <w:bottom w:val="nil"/>
              <w:right w:val="nil"/>
            </w:tcBorders>
            <w:shd w:val="clear" w:color="auto" w:fill="auto"/>
            <w:noWrap/>
            <w:vAlign w:val="center"/>
            <w:hideMark/>
          </w:tcPr>
          <w:p w14:paraId="5CF2B92D" w14:textId="77777777" w:rsidR="001F6984" w:rsidRPr="00524E42" w:rsidRDefault="001F6984" w:rsidP="001F6984">
            <w:pPr>
              <w:spacing w:after="0" w:line="240" w:lineRule="auto"/>
              <w:rPr>
                <w:rFonts w:ascii="Arial" w:eastAsia="Times New Roman" w:hAnsi="Arial" w:cs="Arial"/>
                <w:sz w:val="20"/>
                <w:szCs w:val="20"/>
                <w:lang w:eastAsia="en-GB"/>
              </w:rPr>
            </w:pPr>
            <w:r w:rsidRPr="00524E42">
              <w:rPr>
                <w:rFonts w:ascii="Arial" w:eastAsia="Times New Roman" w:hAnsi="Arial" w:cs="Arial"/>
                <w:sz w:val="20"/>
                <w:szCs w:val="20"/>
                <w:lang w:eastAsia="en-GB"/>
              </w:rPr>
              <w:t>Forth Sector</w:t>
            </w:r>
          </w:p>
        </w:tc>
        <w:tc>
          <w:tcPr>
            <w:tcW w:w="2164" w:type="dxa"/>
            <w:tcBorders>
              <w:top w:val="nil"/>
              <w:left w:val="nil"/>
              <w:bottom w:val="nil"/>
              <w:right w:val="nil"/>
            </w:tcBorders>
            <w:shd w:val="clear" w:color="auto" w:fill="auto"/>
            <w:noWrap/>
            <w:vAlign w:val="center"/>
            <w:hideMark/>
          </w:tcPr>
          <w:p w14:paraId="66B6E16A" w14:textId="77777777" w:rsidR="001F6984" w:rsidRPr="00524E42" w:rsidRDefault="001F6984" w:rsidP="005B39D0">
            <w:pPr>
              <w:spacing w:after="0" w:line="240" w:lineRule="auto"/>
              <w:rPr>
                <w:rFonts w:ascii="Arial" w:eastAsia="Times New Roman" w:hAnsi="Arial" w:cs="Arial"/>
                <w:sz w:val="20"/>
                <w:szCs w:val="20"/>
                <w:lang w:eastAsia="en-GB"/>
              </w:rPr>
            </w:pPr>
            <w:r w:rsidRPr="002A3FCC">
              <w:rPr>
                <w:rFonts w:ascii="Arial" w:eastAsia="Times New Roman" w:hAnsi="Arial" w:cs="Arial"/>
                <w:sz w:val="20"/>
                <w:szCs w:val="20"/>
                <w:lang w:eastAsia="en-GB"/>
              </w:rPr>
              <w:t>SC124791</w:t>
            </w:r>
          </w:p>
        </w:tc>
        <w:tc>
          <w:tcPr>
            <w:tcW w:w="1162" w:type="dxa"/>
            <w:tcBorders>
              <w:top w:val="nil"/>
              <w:left w:val="nil"/>
              <w:bottom w:val="nil"/>
              <w:right w:val="nil"/>
            </w:tcBorders>
          </w:tcPr>
          <w:p w14:paraId="10F29932" w14:textId="77777777" w:rsidR="001F6984" w:rsidRPr="00524E42" w:rsidRDefault="001F6984" w:rsidP="005B39D0">
            <w:pPr>
              <w:spacing w:after="0" w:line="240" w:lineRule="auto"/>
              <w:rPr>
                <w:rFonts w:ascii="Arial" w:eastAsia="Times New Roman" w:hAnsi="Arial" w:cs="Arial"/>
                <w:sz w:val="20"/>
                <w:szCs w:val="20"/>
                <w:lang w:eastAsia="en-GB"/>
              </w:rPr>
            </w:pPr>
            <w:r w:rsidRPr="002A3FCC">
              <w:rPr>
                <w:rFonts w:ascii="Arial" w:eastAsia="Times New Roman" w:hAnsi="Arial" w:cs="Arial"/>
                <w:sz w:val="20"/>
                <w:szCs w:val="20"/>
                <w:lang w:eastAsia="en-GB"/>
              </w:rPr>
              <w:t>SC016414</w:t>
            </w:r>
          </w:p>
        </w:tc>
        <w:tc>
          <w:tcPr>
            <w:tcW w:w="1373" w:type="dxa"/>
            <w:tcBorders>
              <w:top w:val="nil"/>
              <w:left w:val="nil"/>
              <w:bottom w:val="nil"/>
              <w:right w:val="nil"/>
            </w:tcBorders>
            <w:shd w:val="clear" w:color="auto" w:fill="auto"/>
            <w:noWrap/>
            <w:vAlign w:val="center"/>
            <w:hideMark/>
          </w:tcPr>
          <w:p w14:paraId="45EBC60A" w14:textId="77777777" w:rsidR="001F6984" w:rsidRPr="00524E42" w:rsidRDefault="001F6984" w:rsidP="005B39D0">
            <w:pPr>
              <w:spacing w:after="0" w:line="240" w:lineRule="auto"/>
              <w:rPr>
                <w:rFonts w:ascii="Arial" w:eastAsia="Times New Roman" w:hAnsi="Arial" w:cs="Arial"/>
                <w:sz w:val="20"/>
                <w:szCs w:val="20"/>
                <w:lang w:eastAsia="en-GB"/>
              </w:rPr>
            </w:pPr>
            <w:r w:rsidRPr="00524E42">
              <w:rPr>
                <w:rFonts w:ascii="Arial" w:eastAsia="Times New Roman" w:hAnsi="Arial" w:cs="Arial"/>
                <w:sz w:val="20"/>
                <w:szCs w:val="20"/>
                <w:lang w:eastAsia="en-GB"/>
              </w:rPr>
              <w:t>Scotland</w:t>
            </w:r>
          </w:p>
        </w:tc>
        <w:tc>
          <w:tcPr>
            <w:tcW w:w="1239" w:type="dxa"/>
            <w:tcBorders>
              <w:top w:val="nil"/>
              <w:left w:val="nil"/>
              <w:bottom w:val="nil"/>
              <w:right w:val="nil"/>
            </w:tcBorders>
            <w:shd w:val="clear" w:color="auto" w:fill="auto"/>
            <w:noWrap/>
            <w:vAlign w:val="center"/>
            <w:hideMark/>
          </w:tcPr>
          <w:p w14:paraId="0119544A" w14:textId="77777777" w:rsidR="001F6984" w:rsidRPr="00524E42" w:rsidRDefault="001F6984" w:rsidP="000F6386">
            <w:pPr>
              <w:spacing w:after="0" w:line="240" w:lineRule="auto"/>
              <w:jc w:val="center"/>
              <w:rPr>
                <w:rFonts w:ascii="Arial" w:eastAsia="Times New Roman" w:hAnsi="Arial" w:cs="Arial"/>
                <w:sz w:val="20"/>
                <w:szCs w:val="20"/>
                <w:lang w:eastAsia="en-GB"/>
              </w:rPr>
            </w:pPr>
            <w:r w:rsidRPr="00524E42">
              <w:rPr>
                <w:rFonts w:ascii="Arial" w:eastAsia="Times New Roman" w:hAnsi="Arial" w:cs="Arial"/>
                <w:sz w:val="20"/>
                <w:szCs w:val="20"/>
                <w:lang w:eastAsia="en-GB"/>
              </w:rPr>
              <w:t>100%</w:t>
            </w:r>
          </w:p>
        </w:tc>
        <w:tc>
          <w:tcPr>
            <w:tcW w:w="1166" w:type="dxa"/>
            <w:tcBorders>
              <w:top w:val="nil"/>
              <w:left w:val="nil"/>
              <w:bottom w:val="nil"/>
              <w:right w:val="nil"/>
            </w:tcBorders>
            <w:shd w:val="clear" w:color="auto" w:fill="auto"/>
            <w:noWrap/>
            <w:vAlign w:val="center"/>
            <w:hideMark/>
          </w:tcPr>
          <w:p w14:paraId="43C34884" w14:textId="77777777" w:rsidR="001F6984" w:rsidRPr="00524E42" w:rsidRDefault="001F6984" w:rsidP="005B39D0">
            <w:pPr>
              <w:spacing w:after="0" w:line="240" w:lineRule="auto"/>
              <w:rPr>
                <w:rFonts w:ascii="Arial" w:eastAsia="Times New Roman" w:hAnsi="Arial" w:cs="Arial"/>
                <w:sz w:val="20"/>
                <w:szCs w:val="20"/>
                <w:lang w:eastAsia="en-GB"/>
              </w:rPr>
            </w:pPr>
            <w:r w:rsidRPr="00524E42">
              <w:rPr>
                <w:rFonts w:ascii="Arial" w:eastAsia="Times New Roman" w:hAnsi="Arial" w:cs="Arial"/>
                <w:sz w:val="20"/>
                <w:szCs w:val="20"/>
                <w:lang w:eastAsia="en-GB"/>
              </w:rPr>
              <w:t>Charity</w:t>
            </w:r>
          </w:p>
        </w:tc>
      </w:tr>
      <w:tr w:rsidR="001F6984" w:rsidRPr="00524E42" w14:paraId="5B117FC2" w14:textId="77777777" w:rsidTr="00004D5F">
        <w:trPr>
          <w:trHeight w:val="440"/>
        </w:trPr>
        <w:tc>
          <w:tcPr>
            <w:tcW w:w="2410" w:type="dxa"/>
            <w:tcBorders>
              <w:top w:val="nil"/>
              <w:left w:val="nil"/>
              <w:bottom w:val="nil"/>
              <w:right w:val="nil"/>
            </w:tcBorders>
            <w:shd w:val="clear" w:color="auto" w:fill="auto"/>
            <w:noWrap/>
            <w:vAlign w:val="center"/>
            <w:hideMark/>
          </w:tcPr>
          <w:p w14:paraId="6436C719" w14:textId="77777777" w:rsidR="001F6984" w:rsidRPr="00524E42" w:rsidRDefault="001F6984" w:rsidP="001F6984">
            <w:pPr>
              <w:spacing w:after="0" w:line="240" w:lineRule="auto"/>
              <w:rPr>
                <w:rFonts w:ascii="Arial" w:eastAsia="Times New Roman" w:hAnsi="Arial" w:cs="Arial"/>
                <w:sz w:val="20"/>
                <w:szCs w:val="20"/>
                <w:lang w:eastAsia="en-GB"/>
              </w:rPr>
            </w:pPr>
            <w:r w:rsidRPr="00524E42">
              <w:rPr>
                <w:rFonts w:ascii="Arial" w:eastAsia="Times New Roman" w:hAnsi="Arial" w:cs="Arial"/>
                <w:sz w:val="20"/>
                <w:szCs w:val="20"/>
                <w:lang w:eastAsia="en-GB"/>
              </w:rPr>
              <w:t xml:space="preserve">Prospects Group 2011 </w:t>
            </w:r>
            <w:r w:rsidR="00CD5D43">
              <w:rPr>
                <w:rFonts w:ascii="Arial" w:eastAsia="Times New Roman" w:hAnsi="Arial" w:cs="Arial"/>
                <w:sz w:val="20"/>
                <w:szCs w:val="20"/>
                <w:lang w:eastAsia="en-GB"/>
              </w:rPr>
              <w:t>Limited</w:t>
            </w:r>
          </w:p>
        </w:tc>
        <w:tc>
          <w:tcPr>
            <w:tcW w:w="2164" w:type="dxa"/>
            <w:tcBorders>
              <w:top w:val="nil"/>
              <w:left w:val="nil"/>
              <w:bottom w:val="nil"/>
              <w:right w:val="nil"/>
            </w:tcBorders>
            <w:shd w:val="clear" w:color="auto" w:fill="auto"/>
            <w:noWrap/>
            <w:vAlign w:val="center"/>
            <w:hideMark/>
          </w:tcPr>
          <w:p w14:paraId="2480FFCC" w14:textId="77777777" w:rsidR="001F6984" w:rsidRPr="00524E42" w:rsidRDefault="001F6984" w:rsidP="005B39D0">
            <w:pPr>
              <w:spacing w:after="0" w:line="240" w:lineRule="auto"/>
              <w:rPr>
                <w:rFonts w:ascii="Arial" w:eastAsia="Times New Roman" w:hAnsi="Arial" w:cs="Arial"/>
                <w:sz w:val="20"/>
                <w:szCs w:val="20"/>
                <w:lang w:eastAsia="en-GB"/>
              </w:rPr>
            </w:pPr>
            <w:r w:rsidRPr="00524E42">
              <w:rPr>
                <w:rFonts w:ascii="Arial" w:eastAsia="Times New Roman" w:hAnsi="Arial" w:cs="Arial"/>
                <w:sz w:val="20"/>
                <w:szCs w:val="20"/>
                <w:lang w:eastAsia="en-GB"/>
              </w:rPr>
              <w:t>7708678</w:t>
            </w:r>
          </w:p>
        </w:tc>
        <w:tc>
          <w:tcPr>
            <w:tcW w:w="1162" w:type="dxa"/>
            <w:tcBorders>
              <w:top w:val="nil"/>
              <w:left w:val="nil"/>
              <w:bottom w:val="nil"/>
              <w:right w:val="nil"/>
            </w:tcBorders>
          </w:tcPr>
          <w:p w14:paraId="03E1F64D" w14:textId="77777777" w:rsidR="001F6984" w:rsidRPr="00524E42" w:rsidRDefault="001F6984" w:rsidP="005B39D0">
            <w:pPr>
              <w:spacing w:after="0" w:line="240" w:lineRule="auto"/>
              <w:rPr>
                <w:rFonts w:ascii="Arial" w:eastAsia="Times New Roman" w:hAnsi="Arial" w:cs="Arial"/>
                <w:sz w:val="20"/>
                <w:szCs w:val="20"/>
                <w:lang w:eastAsia="en-GB"/>
              </w:rPr>
            </w:pPr>
          </w:p>
        </w:tc>
        <w:tc>
          <w:tcPr>
            <w:tcW w:w="1373" w:type="dxa"/>
            <w:tcBorders>
              <w:top w:val="nil"/>
              <w:left w:val="nil"/>
              <w:bottom w:val="nil"/>
              <w:right w:val="nil"/>
            </w:tcBorders>
            <w:shd w:val="clear" w:color="auto" w:fill="auto"/>
            <w:noWrap/>
            <w:vAlign w:val="center"/>
            <w:hideMark/>
          </w:tcPr>
          <w:p w14:paraId="0EB29C80" w14:textId="77777777" w:rsidR="001F6984" w:rsidRPr="00524E42" w:rsidRDefault="001F6984" w:rsidP="005B39D0">
            <w:pPr>
              <w:spacing w:after="0" w:line="240" w:lineRule="auto"/>
              <w:rPr>
                <w:rFonts w:ascii="Arial" w:eastAsia="Times New Roman" w:hAnsi="Arial" w:cs="Arial"/>
                <w:sz w:val="20"/>
                <w:szCs w:val="20"/>
                <w:lang w:eastAsia="en-GB"/>
              </w:rPr>
            </w:pPr>
            <w:r w:rsidRPr="00524E42">
              <w:rPr>
                <w:rFonts w:ascii="Arial" w:eastAsia="Times New Roman" w:hAnsi="Arial" w:cs="Arial"/>
                <w:sz w:val="20"/>
                <w:szCs w:val="20"/>
                <w:lang w:eastAsia="en-GB"/>
              </w:rPr>
              <w:t>England and Wales</w:t>
            </w:r>
          </w:p>
        </w:tc>
        <w:tc>
          <w:tcPr>
            <w:tcW w:w="1239" w:type="dxa"/>
            <w:tcBorders>
              <w:top w:val="nil"/>
              <w:left w:val="nil"/>
              <w:bottom w:val="nil"/>
              <w:right w:val="nil"/>
            </w:tcBorders>
            <w:shd w:val="clear" w:color="auto" w:fill="auto"/>
            <w:noWrap/>
            <w:vAlign w:val="center"/>
            <w:hideMark/>
          </w:tcPr>
          <w:p w14:paraId="752A9AA3" w14:textId="77777777" w:rsidR="001F6984" w:rsidRPr="00524E42" w:rsidRDefault="001F6984" w:rsidP="000F6386">
            <w:pPr>
              <w:spacing w:after="0" w:line="240" w:lineRule="auto"/>
              <w:jc w:val="center"/>
              <w:rPr>
                <w:rFonts w:ascii="Arial" w:eastAsia="Times New Roman" w:hAnsi="Arial" w:cs="Arial"/>
                <w:sz w:val="20"/>
                <w:szCs w:val="20"/>
                <w:lang w:eastAsia="en-GB"/>
              </w:rPr>
            </w:pPr>
            <w:r w:rsidRPr="00524E42">
              <w:rPr>
                <w:rFonts w:ascii="Arial" w:eastAsia="Times New Roman" w:hAnsi="Arial" w:cs="Arial"/>
                <w:sz w:val="20"/>
                <w:szCs w:val="20"/>
                <w:lang w:eastAsia="en-GB"/>
              </w:rPr>
              <w:t>100%</w:t>
            </w:r>
          </w:p>
        </w:tc>
        <w:tc>
          <w:tcPr>
            <w:tcW w:w="1166" w:type="dxa"/>
            <w:tcBorders>
              <w:top w:val="nil"/>
              <w:left w:val="nil"/>
              <w:bottom w:val="nil"/>
              <w:right w:val="nil"/>
            </w:tcBorders>
            <w:shd w:val="clear" w:color="auto" w:fill="auto"/>
            <w:vAlign w:val="center"/>
            <w:hideMark/>
          </w:tcPr>
          <w:p w14:paraId="7E7B4BA2" w14:textId="77777777" w:rsidR="001F6984" w:rsidRPr="00524E42" w:rsidRDefault="001F6984" w:rsidP="005B39D0">
            <w:pPr>
              <w:spacing w:after="0" w:line="240" w:lineRule="auto"/>
              <w:rPr>
                <w:rFonts w:ascii="Arial" w:eastAsia="Times New Roman" w:hAnsi="Arial" w:cs="Arial"/>
                <w:sz w:val="20"/>
                <w:szCs w:val="20"/>
                <w:lang w:eastAsia="en-GB"/>
              </w:rPr>
            </w:pPr>
            <w:r w:rsidRPr="00524E42">
              <w:rPr>
                <w:rFonts w:ascii="Arial" w:eastAsia="Times New Roman" w:hAnsi="Arial" w:cs="Arial"/>
                <w:sz w:val="20"/>
                <w:szCs w:val="20"/>
                <w:lang w:eastAsia="en-GB"/>
              </w:rPr>
              <w:t>Company Limited by Shares</w:t>
            </w:r>
          </w:p>
        </w:tc>
      </w:tr>
      <w:tr w:rsidR="001F6984" w:rsidRPr="00524E42" w14:paraId="59B1611D" w14:textId="77777777" w:rsidTr="00004D5F">
        <w:trPr>
          <w:trHeight w:val="484"/>
        </w:trPr>
        <w:tc>
          <w:tcPr>
            <w:tcW w:w="2410" w:type="dxa"/>
            <w:tcBorders>
              <w:top w:val="nil"/>
              <w:left w:val="nil"/>
              <w:bottom w:val="nil"/>
              <w:right w:val="nil"/>
            </w:tcBorders>
            <w:shd w:val="clear" w:color="auto" w:fill="auto"/>
            <w:noWrap/>
            <w:vAlign w:val="center"/>
            <w:hideMark/>
          </w:tcPr>
          <w:p w14:paraId="495F23B2" w14:textId="77777777" w:rsidR="001F6984" w:rsidRPr="00524E42" w:rsidRDefault="001F6984" w:rsidP="001F6984">
            <w:pPr>
              <w:spacing w:after="0" w:line="240" w:lineRule="auto"/>
              <w:rPr>
                <w:rFonts w:ascii="Arial" w:eastAsia="Times New Roman" w:hAnsi="Arial" w:cs="Arial"/>
                <w:sz w:val="20"/>
                <w:szCs w:val="20"/>
                <w:lang w:eastAsia="en-GB"/>
              </w:rPr>
            </w:pPr>
            <w:r w:rsidRPr="00524E42">
              <w:rPr>
                <w:rFonts w:ascii="Arial" w:eastAsia="Times New Roman" w:hAnsi="Arial" w:cs="Arial"/>
                <w:sz w:val="20"/>
                <w:szCs w:val="20"/>
                <w:lang w:eastAsia="en-GB"/>
              </w:rPr>
              <w:t xml:space="preserve">Ixion Holdings (Contract) </w:t>
            </w:r>
            <w:r w:rsidR="00CD5D43">
              <w:rPr>
                <w:rFonts w:ascii="Arial" w:eastAsia="Times New Roman" w:hAnsi="Arial" w:cs="Arial"/>
                <w:sz w:val="20"/>
                <w:szCs w:val="20"/>
                <w:lang w:eastAsia="en-GB"/>
              </w:rPr>
              <w:t>Limited</w:t>
            </w:r>
          </w:p>
        </w:tc>
        <w:tc>
          <w:tcPr>
            <w:tcW w:w="2164" w:type="dxa"/>
            <w:tcBorders>
              <w:top w:val="nil"/>
              <w:left w:val="nil"/>
              <w:bottom w:val="nil"/>
              <w:right w:val="nil"/>
            </w:tcBorders>
            <w:shd w:val="clear" w:color="auto" w:fill="auto"/>
            <w:noWrap/>
            <w:vAlign w:val="center"/>
            <w:hideMark/>
          </w:tcPr>
          <w:p w14:paraId="61E944EB" w14:textId="77777777" w:rsidR="001F6984" w:rsidRPr="00524E42" w:rsidRDefault="001F6984" w:rsidP="005B39D0">
            <w:pPr>
              <w:spacing w:after="0" w:line="240" w:lineRule="auto"/>
              <w:rPr>
                <w:rFonts w:ascii="Arial" w:eastAsia="Times New Roman" w:hAnsi="Arial" w:cs="Arial"/>
                <w:sz w:val="20"/>
                <w:szCs w:val="20"/>
                <w:lang w:eastAsia="en-GB"/>
              </w:rPr>
            </w:pPr>
            <w:r w:rsidRPr="00524E42">
              <w:rPr>
                <w:rFonts w:ascii="Arial" w:eastAsia="Times New Roman" w:hAnsi="Arial" w:cs="Arial"/>
                <w:sz w:val="20"/>
                <w:szCs w:val="20"/>
                <w:lang w:eastAsia="en-GB"/>
              </w:rPr>
              <w:t>6886337</w:t>
            </w:r>
          </w:p>
        </w:tc>
        <w:tc>
          <w:tcPr>
            <w:tcW w:w="1162" w:type="dxa"/>
            <w:tcBorders>
              <w:top w:val="nil"/>
              <w:left w:val="nil"/>
              <w:bottom w:val="nil"/>
              <w:right w:val="nil"/>
            </w:tcBorders>
          </w:tcPr>
          <w:p w14:paraId="4D05E2BB" w14:textId="77777777" w:rsidR="001F6984" w:rsidRPr="00524E42" w:rsidRDefault="001F6984" w:rsidP="005B39D0">
            <w:pPr>
              <w:spacing w:after="0" w:line="240" w:lineRule="auto"/>
              <w:rPr>
                <w:rFonts w:ascii="Arial" w:eastAsia="Times New Roman" w:hAnsi="Arial" w:cs="Arial"/>
                <w:sz w:val="20"/>
                <w:szCs w:val="20"/>
                <w:lang w:eastAsia="en-GB"/>
              </w:rPr>
            </w:pPr>
          </w:p>
        </w:tc>
        <w:tc>
          <w:tcPr>
            <w:tcW w:w="1373" w:type="dxa"/>
            <w:tcBorders>
              <w:top w:val="nil"/>
              <w:left w:val="nil"/>
              <w:bottom w:val="nil"/>
              <w:right w:val="nil"/>
            </w:tcBorders>
            <w:shd w:val="clear" w:color="auto" w:fill="auto"/>
            <w:noWrap/>
            <w:vAlign w:val="center"/>
            <w:hideMark/>
          </w:tcPr>
          <w:p w14:paraId="75D80755" w14:textId="77777777" w:rsidR="001F6984" w:rsidRPr="00524E42" w:rsidRDefault="001F6984" w:rsidP="005B39D0">
            <w:pPr>
              <w:spacing w:after="0" w:line="240" w:lineRule="auto"/>
              <w:rPr>
                <w:rFonts w:ascii="Arial" w:eastAsia="Times New Roman" w:hAnsi="Arial" w:cs="Arial"/>
                <w:sz w:val="20"/>
                <w:szCs w:val="20"/>
                <w:lang w:eastAsia="en-GB"/>
              </w:rPr>
            </w:pPr>
            <w:r w:rsidRPr="00524E42">
              <w:rPr>
                <w:rFonts w:ascii="Arial" w:eastAsia="Times New Roman" w:hAnsi="Arial" w:cs="Arial"/>
                <w:sz w:val="20"/>
                <w:szCs w:val="20"/>
                <w:lang w:eastAsia="en-GB"/>
              </w:rPr>
              <w:t>England and Wales</w:t>
            </w:r>
          </w:p>
        </w:tc>
        <w:tc>
          <w:tcPr>
            <w:tcW w:w="1239" w:type="dxa"/>
            <w:tcBorders>
              <w:top w:val="nil"/>
              <w:left w:val="nil"/>
              <w:bottom w:val="nil"/>
              <w:right w:val="nil"/>
            </w:tcBorders>
            <w:shd w:val="clear" w:color="auto" w:fill="auto"/>
            <w:noWrap/>
            <w:vAlign w:val="center"/>
            <w:hideMark/>
          </w:tcPr>
          <w:p w14:paraId="7B9E3B31" w14:textId="77777777" w:rsidR="001F6984" w:rsidRPr="00524E42" w:rsidRDefault="001F6984" w:rsidP="000F6386">
            <w:pPr>
              <w:spacing w:after="0" w:line="240" w:lineRule="auto"/>
              <w:jc w:val="center"/>
              <w:rPr>
                <w:rFonts w:ascii="Arial" w:eastAsia="Times New Roman" w:hAnsi="Arial" w:cs="Arial"/>
                <w:sz w:val="20"/>
                <w:szCs w:val="20"/>
                <w:lang w:eastAsia="en-GB"/>
              </w:rPr>
            </w:pPr>
            <w:r w:rsidRPr="00524E42">
              <w:rPr>
                <w:rFonts w:ascii="Arial" w:eastAsia="Times New Roman" w:hAnsi="Arial" w:cs="Arial"/>
                <w:sz w:val="20"/>
                <w:szCs w:val="20"/>
                <w:lang w:eastAsia="en-GB"/>
              </w:rPr>
              <w:t>100%</w:t>
            </w:r>
          </w:p>
        </w:tc>
        <w:tc>
          <w:tcPr>
            <w:tcW w:w="1166" w:type="dxa"/>
            <w:tcBorders>
              <w:top w:val="nil"/>
              <w:left w:val="nil"/>
              <w:bottom w:val="nil"/>
              <w:right w:val="nil"/>
            </w:tcBorders>
            <w:shd w:val="clear" w:color="auto" w:fill="auto"/>
            <w:vAlign w:val="center"/>
            <w:hideMark/>
          </w:tcPr>
          <w:p w14:paraId="0051B5A0" w14:textId="77777777" w:rsidR="001F6984" w:rsidRPr="00524E42" w:rsidRDefault="001F6984" w:rsidP="005B39D0">
            <w:pPr>
              <w:spacing w:after="0" w:line="240" w:lineRule="auto"/>
              <w:rPr>
                <w:rFonts w:ascii="Arial" w:eastAsia="Times New Roman" w:hAnsi="Arial" w:cs="Arial"/>
                <w:sz w:val="20"/>
                <w:szCs w:val="20"/>
                <w:lang w:eastAsia="en-GB"/>
              </w:rPr>
            </w:pPr>
            <w:r w:rsidRPr="00524E42">
              <w:rPr>
                <w:rFonts w:ascii="Arial" w:eastAsia="Times New Roman" w:hAnsi="Arial" w:cs="Arial"/>
                <w:sz w:val="20"/>
                <w:szCs w:val="20"/>
                <w:lang w:eastAsia="en-GB"/>
              </w:rPr>
              <w:t>Company Limited by Guarantee</w:t>
            </w:r>
          </w:p>
        </w:tc>
      </w:tr>
      <w:tr w:rsidR="001F6984" w:rsidRPr="00524E42" w14:paraId="734C5DEA" w14:textId="77777777" w:rsidTr="00004D5F">
        <w:trPr>
          <w:trHeight w:val="587"/>
        </w:trPr>
        <w:tc>
          <w:tcPr>
            <w:tcW w:w="2410" w:type="dxa"/>
            <w:tcBorders>
              <w:top w:val="nil"/>
              <w:left w:val="nil"/>
              <w:bottom w:val="nil"/>
              <w:right w:val="nil"/>
            </w:tcBorders>
            <w:shd w:val="clear" w:color="auto" w:fill="auto"/>
            <w:noWrap/>
            <w:vAlign w:val="center"/>
            <w:hideMark/>
          </w:tcPr>
          <w:p w14:paraId="04E772E7" w14:textId="77777777" w:rsidR="001F6984" w:rsidRPr="00524E42" w:rsidRDefault="001F6984" w:rsidP="001F6984">
            <w:pPr>
              <w:spacing w:after="0" w:line="240" w:lineRule="auto"/>
              <w:rPr>
                <w:rFonts w:ascii="Arial" w:eastAsia="Times New Roman" w:hAnsi="Arial" w:cs="Arial"/>
                <w:sz w:val="20"/>
                <w:szCs w:val="20"/>
                <w:lang w:eastAsia="en-GB"/>
              </w:rPr>
            </w:pPr>
            <w:r w:rsidRPr="00524E42">
              <w:rPr>
                <w:rFonts w:ascii="Arial" w:eastAsia="Times New Roman" w:hAnsi="Arial" w:cs="Arial"/>
                <w:sz w:val="20"/>
                <w:szCs w:val="20"/>
                <w:lang w:eastAsia="en-GB"/>
              </w:rPr>
              <w:t>CDG-WISE Ability Limited</w:t>
            </w:r>
          </w:p>
        </w:tc>
        <w:tc>
          <w:tcPr>
            <w:tcW w:w="2164" w:type="dxa"/>
            <w:tcBorders>
              <w:top w:val="nil"/>
              <w:left w:val="nil"/>
              <w:bottom w:val="nil"/>
              <w:right w:val="nil"/>
            </w:tcBorders>
            <w:shd w:val="clear" w:color="auto" w:fill="auto"/>
            <w:noWrap/>
            <w:vAlign w:val="center"/>
            <w:hideMark/>
          </w:tcPr>
          <w:p w14:paraId="3E2FAFDB" w14:textId="77777777" w:rsidR="001F6984" w:rsidRPr="00524E42" w:rsidRDefault="001F6984" w:rsidP="005B39D0">
            <w:pPr>
              <w:spacing w:after="0" w:line="240" w:lineRule="auto"/>
              <w:rPr>
                <w:rFonts w:ascii="Arial" w:eastAsia="Times New Roman" w:hAnsi="Arial" w:cs="Arial"/>
                <w:sz w:val="20"/>
                <w:szCs w:val="20"/>
                <w:lang w:eastAsia="en-GB"/>
              </w:rPr>
            </w:pPr>
            <w:r w:rsidRPr="00524E42">
              <w:rPr>
                <w:rFonts w:ascii="Arial" w:eastAsia="Times New Roman" w:hAnsi="Arial" w:cs="Arial"/>
                <w:sz w:val="20"/>
                <w:szCs w:val="20"/>
                <w:lang w:eastAsia="en-GB"/>
              </w:rPr>
              <w:t>7033535</w:t>
            </w:r>
          </w:p>
        </w:tc>
        <w:tc>
          <w:tcPr>
            <w:tcW w:w="1162" w:type="dxa"/>
            <w:tcBorders>
              <w:top w:val="nil"/>
              <w:left w:val="nil"/>
              <w:bottom w:val="nil"/>
              <w:right w:val="nil"/>
            </w:tcBorders>
          </w:tcPr>
          <w:p w14:paraId="467A3748" w14:textId="77777777" w:rsidR="001F6984" w:rsidRPr="00524E42" w:rsidRDefault="001F6984" w:rsidP="005B39D0">
            <w:pPr>
              <w:spacing w:after="0" w:line="240" w:lineRule="auto"/>
              <w:rPr>
                <w:rFonts w:ascii="Arial" w:eastAsia="Times New Roman" w:hAnsi="Arial" w:cs="Arial"/>
                <w:sz w:val="20"/>
                <w:szCs w:val="20"/>
                <w:lang w:eastAsia="en-GB"/>
              </w:rPr>
            </w:pPr>
          </w:p>
        </w:tc>
        <w:tc>
          <w:tcPr>
            <w:tcW w:w="1373" w:type="dxa"/>
            <w:tcBorders>
              <w:top w:val="nil"/>
              <w:left w:val="nil"/>
              <w:bottom w:val="nil"/>
              <w:right w:val="nil"/>
            </w:tcBorders>
            <w:shd w:val="clear" w:color="auto" w:fill="auto"/>
            <w:noWrap/>
            <w:vAlign w:val="center"/>
            <w:hideMark/>
          </w:tcPr>
          <w:p w14:paraId="59A78D03" w14:textId="77777777" w:rsidR="001F6984" w:rsidRPr="00524E42" w:rsidRDefault="001F6984" w:rsidP="005B39D0">
            <w:pPr>
              <w:spacing w:after="0" w:line="240" w:lineRule="auto"/>
              <w:rPr>
                <w:rFonts w:ascii="Arial" w:eastAsia="Times New Roman" w:hAnsi="Arial" w:cs="Arial"/>
                <w:sz w:val="20"/>
                <w:szCs w:val="20"/>
                <w:lang w:eastAsia="en-GB"/>
              </w:rPr>
            </w:pPr>
            <w:r w:rsidRPr="00524E42">
              <w:rPr>
                <w:rFonts w:ascii="Arial" w:eastAsia="Times New Roman" w:hAnsi="Arial" w:cs="Arial"/>
                <w:sz w:val="20"/>
                <w:szCs w:val="20"/>
                <w:lang w:eastAsia="en-GB"/>
              </w:rPr>
              <w:t>England and Wales</w:t>
            </w:r>
          </w:p>
        </w:tc>
        <w:tc>
          <w:tcPr>
            <w:tcW w:w="1239" w:type="dxa"/>
            <w:tcBorders>
              <w:top w:val="nil"/>
              <w:left w:val="nil"/>
              <w:bottom w:val="nil"/>
              <w:right w:val="nil"/>
            </w:tcBorders>
            <w:shd w:val="clear" w:color="auto" w:fill="auto"/>
            <w:noWrap/>
            <w:vAlign w:val="center"/>
            <w:hideMark/>
          </w:tcPr>
          <w:p w14:paraId="0BD98D5A" w14:textId="77777777" w:rsidR="001F6984" w:rsidRPr="00524E42" w:rsidRDefault="001F6984" w:rsidP="000F6386">
            <w:pPr>
              <w:spacing w:after="0" w:line="240" w:lineRule="auto"/>
              <w:jc w:val="center"/>
              <w:rPr>
                <w:rFonts w:ascii="Arial" w:eastAsia="Times New Roman" w:hAnsi="Arial" w:cs="Arial"/>
                <w:sz w:val="20"/>
                <w:szCs w:val="20"/>
                <w:lang w:eastAsia="en-GB"/>
              </w:rPr>
            </w:pPr>
            <w:r w:rsidRPr="00524E42">
              <w:rPr>
                <w:rFonts w:ascii="Arial" w:eastAsia="Times New Roman" w:hAnsi="Arial" w:cs="Arial"/>
                <w:sz w:val="20"/>
                <w:szCs w:val="20"/>
                <w:lang w:eastAsia="en-GB"/>
              </w:rPr>
              <w:t>90%</w:t>
            </w:r>
          </w:p>
        </w:tc>
        <w:tc>
          <w:tcPr>
            <w:tcW w:w="1166" w:type="dxa"/>
            <w:tcBorders>
              <w:top w:val="nil"/>
              <w:left w:val="nil"/>
              <w:bottom w:val="nil"/>
              <w:right w:val="nil"/>
            </w:tcBorders>
            <w:shd w:val="clear" w:color="auto" w:fill="auto"/>
            <w:vAlign w:val="center"/>
            <w:hideMark/>
          </w:tcPr>
          <w:p w14:paraId="34106055" w14:textId="77777777" w:rsidR="001F6984" w:rsidRPr="00524E42" w:rsidRDefault="001F6984" w:rsidP="005B39D0">
            <w:pPr>
              <w:spacing w:after="0" w:line="240" w:lineRule="auto"/>
              <w:rPr>
                <w:rFonts w:ascii="Arial" w:eastAsia="Times New Roman" w:hAnsi="Arial" w:cs="Arial"/>
                <w:sz w:val="20"/>
                <w:szCs w:val="20"/>
                <w:lang w:eastAsia="en-GB"/>
              </w:rPr>
            </w:pPr>
            <w:r w:rsidRPr="00524E42">
              <w:rPr>
                <w:rFonts w:ascii="Arial" w:eastAsia="Times New Roman" w:hAnsi="Arial" w:cs="Arial"/>
                <w:sz w:val="20"/>
                <w:szCs w:val="20"/>
                <w:lang w:eastAsia="en-GB"/>
              </w:rPr>
              <w:t>Company Limited by Guarantee</w:t>
            </w:r>
          </w:p>
        </w:tc>
      </w:tr>
      <w:tr w:rsidR="001F6984" w:rsidRPr="00524E42" w14:paraId="76FA5FDB" w14:textId="77777777" w:rsidTr="00004D5F">
        <w:trPr>
          <w:trHeight w:val="316"/>
        </w:trPr>
        <w:tc>
          <w:tcPr>
            <w:tcW w:w="2410" w:type="dxa"/>
            <w:tcBorders>
              <w:top w:val="nil"/>
              <w:left w:val="nil"/>
              <w:bottom w:val="single" w:sz="4" w:space="0" w:color="auto"/>
              <w:right w:val="nil"/>
            </w:tcBorders>
            <w:shd w:val="clear" w:color="auto" w:fill="auto"/>
            <w:noWrap/>
            <w:vAlign w:val="center"/>
            <w:hideMark/>
          </w:tcPr>
          <w:p w14:paraId="53BBCD52" w14:textId="77777777" w:rsidR="001F6984" w:rsidRPr="00524E42" w:rsidRDefault="001F6984" w:rsidP="001F6984">
            <w:pPr>
              <w:spacing w:after="0" w:line="240" w:lineRule="auto"/>
              <w:rPr>
                <w:rFonts w:ascii="Arial" w:eastAsia="Times New Roman" w:hAnsi="Arial" w:cs="Arial"/>
                <w:sz w:val="20"/>
                <w:szCs w:val="20"/>
                <w:lang w:eastAsia="en-GB"/>
              </w:rPr>
            </w:pPr>
            <w:r w:rsidRPr="00524E42">
              <w:rPr>
                <w:rFonts w:ascii="Arial" w:eastAsia="Times New Roman" w:hAnsi="Arial" w:cs="Arial"/>
                <w:sz w:val="20"/>
                <w:szCs w:val="20"/>
                <w:lang w:eastAsia="en-GB"/>
              </w:rPr>
              <w:t>Shaw Education Trust</w:t>
            </w:r>
          </w:p>
        </w:tc>
        <w:tc>
          <w:tcPr>
            <w:tcW w:w="2164" w:type="dxa"/>
            <w:tcBorders>
              <w:top w:val="nil"/>
              <w:left w:val="nil"/>
              <w:bottom w:val="single" w:sz="4" w:space="0" w:color="auto"/>
              <w:right w:val="nil"/>
            </w:tcBorders>
            <w:shd w:val="clear" w:color="auto" w:fill="auto"/>
            <w:noWrap/>
            <w:vAlign w:val="center"/>
            <w:hideMark/>
          </w:tcPr>
          <w:p w14:paraId="66C0B19B" w14:textId="77777777" w:rsidR="001F6984" w:rsidRPr="00524E42" w:rsidRDefault="001F6984" w:rsidP="005B39D0">
            <w:pPr>
              <w:spacing w:after="0" w:line="240" w:lineRule="auto"/>
              <w:rPr>
                <w:rFonts w:ascii="Arial" w:eastAsia="Times New Roman" w:hAnsi="Arial" w:cs="Arial"/>
                <w:sz w:val="20"/>
                <w:szCs w:val="20"/>
                <w:lang w:eastAsia="en-GB"/>
              </w:rPr>
            </w:pPr>
            <w:r w:rsidRPr="00524E42">
              <w:rPr>
                <w:rFonts w:ascii="Arial" w:eastAsia="Times New Roman" w:hAnsi="Arial" w:cs="Arial"/>
                <w:sz w:val="20"/>
                <w:szCs w:val="20"/>
                <w:lang w:eastAsia="en-GB"/>
              </w:rPr>
              <w:t>9067175</w:t>
            </w:r>
          </w:p>
        </w:tc>
        <w:tc>
          <w:tcPr>
            <w:tcW w:w="1162" w:type="dxa"/>
            <w:tcBorders>
              <w:top w:val="nil"/>
              <w:left w:val="nil"/>
              <w:bottom w:val="single" w:sz="4" w:space="0" w:color="auto"/>
              <w:right w:val="nil"/>
            </w:tcBorders>
          </w:tcPr>
          <w:p w14:paraId="096A79F4" w14:textId="77777777" w:rsidR="001F6984" w:rsidRPr="00524E42" w:rsidRDefault="001F6984" w:rsidP="005B39D0">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Exempt Charity</w:t>
            </w:r>
          </w:p>
        </w:tc>
        <w:tc>
          <w:tcPr>
            <w:tcW w:w="1373" w:type="dxa"/>
            <w:tcBorders>
              <w:top w:val="nil"/>
              <w:left w:val="nil"/>
              <w:bottom w:val="single" w:sz="4" w:space="0" w:color="auto"/>
              <w:right w:val="nil"/>
            </w:tcBorders>
            <w:shd w:val="clear" w:color="auto" w:fill="auto"/>
            <w:noWrap/>
            <w:vAlign w:val="center"/>
            <w:hideMark/>
          </w:tcPr>
          <w:p w14:paraId="54D535AB" w14:textId="77777777" w:rsidR="001F6984" w:rsidRPr="00524E42" w:rsidRDefault="001F6984" w:rsidP="005B39D0">
            <w:pPr>
              <w:spacing w:after="0" w:line="240" w:lineRule="auto"/>
              <w:rPr>
                <w:rFonts w:ascii="Arial" w:eastAsia="Times New Roman" w:hAnsi="Arial" w:cs="Arial"/>
                <w:sz w:val="20"/>
                <w:szCs w:val="20"/>
                <w:lang w:eastAsia="en-GB"/>
              </w:rPr>
            </w:pPr>
            <w:r w:rsidRPr="00524E42">
              <w:rPr>
                <w:rFonts w:ascii="Arial" w:eastAsia="Times New Roman" w:hAnsi="Arial" w:cs="Arial"/>
                <w:sz w:val="20"/>
                <w:szCs w:val="20"/>
                <w:lang w:eastAsia="en-GB"/>
              </w:rPr>
              <w:t>England and Wales</w:t>
            </w:r>
          </w:p>
        </w:tc>
        <w:tc>
          <w:tcPr>
            <w:tcW w:w="1239" w:type="dxa"/>
            <w:tcBorders>
              <w:top w:val="nil"/>
              <w:left w:val="nil"/>
              <w:bottom w:val="single" w:sz="4" w:space="0" w:color="auto"/>
              <w:right w:val="nil"/>
            </w:tcBorders>
            <w:shd w:val="clear" w:color="auto" w:fill="auto"/>
            <w:noWrap/>
            <w:vAlign w:val="center"/>
            <w:hideMark/>
          </w:tcPr>
          <w:p w14:paraId="1278CB86" w14:textId="77777777" w:rsidR="001F6984" w:rsidRPr="00524E42" w:rsidRDefault="001F6984" w:rsidP="000F6386">
            <w:pPr>
              <w:spacing w:after="0" w:line="240" w:lineRule="auto"/>
              <w:jc w:val="center"/>
              <w:rPr>
                <w:rFonts w:ascii="Arial" w:eastAsia="Times New Roman" w:hAnsi="Arial" w:cs="Arial"/>
                <w:sz w:val="20"/>
                <w:szCs w:val="20"/>
                <w:lang w:eastAsia="en-GB"/>
              </w:rPr>
            </w:pPr>
            <w:r w:rsidRPr="00524E42">
              <w:rPr>
                <w:rFonts w:ascii="Arial" w:eastAsia="Times New Roman" w:hAnsi="Arial" w:cs="Arial"/>
                <w:sz w:val="20"/>
                <w:szCs w:val="20"/>
                <w:lang w:eastAsia="en-GB"/>
              </w:rPr>
              <w:t>100%</w:t>
            </w:r>
          </w:p>
        </w:tc>
        <w:tc>
          <w:tcPr>
            <w:tcW w:w="1166" w:type="dxa"/>
            <w:tcBorders>
              <w:top w:val="nil"/>
              <w:left w:val="nil"/>
              <w:bottom w:val="single" w:sz="4" w:space="0" w:color="auto"/>
              <w:right w:val="nil"/>
            </w:tcBorders>
            <w:shd w:val="clear" w:color="auto" w:fill="auto"/>
            <w:noWrap/>
            <w:vAlign w:val="center"/>
            <w:hideMark/>
          </w:tcPr>
          <w:p w14:paraId="3F248475" w14:textId="77777777" w:rsidR="001F6984" w:rsidRPr="00524E42" w:rsidRDefault="001F6984" w:rsidP="005B39D0">
            <w:pPr>
              <w:spacing w:after="0" w:line="240" w:lineRule="auto"/>
              <w:rPr>
                <w:rFonts w:ascii="Arial" w:eastAsia="Times New Roman" w:hAnsi="Arial" w:cs="Arial"/>
                <w:sz w:val="20"/>
                <w:szCs w:val="20"/>
                <w:lang w:eastAsia="en-GB"/>
              </w:rPr>
            </w:pPr>
            <w:r w:rsidRPr="00524E42">
              <w:rPr>
                <w:rFonts w:ascii="Arial" w:eastAsia="Times New Roman" w:hAnsi="Arial" w:cs="Arial"/>
                <w:sz w:val="20"/>
                <w:szCs w:val="20"/>
                <w:lang w:eastAsia="en-GB"/>
              </w:rPr>
              <w:t>Charity</w:t>
            </w:r>
          </w:p>
        </w:tc>
      </w:tr>
    </w:tbl>
    <w:p w14:paraId="7E3C4F36" w14:textId="77777777" w:rsidR="001F6984" w:rsidRDefault="001F6984" w:rsidP="001F6984">
      <w:pPr>
        <w:autoSpaceDE w:val="0"/>
        <w:autoSpaceDN w:val="0"/>
        <w:adjustRightInd w:val="0"/>
        <w:spacing w:after="0" w:line="240" w:lineRule="auto"/>
        <w:rPr>
          <w:rFonts w:ascii="Arial" w:eastAsia="Times New Roman" w:hAnsi="Arial" w:cs="Arial"/>
          <w:b/>
          <w:bCs/>
          <w:sz w:val="24"/>
          <w:szCs w:val="24"/>
          <w:lang w:eastAsia="en-GB"/>
        </w:rPr>
      </w:pPr>
    </w:p>
    <w:p w14:paraId="6AB7D828" w14:textId="77777777" w:rsidR="001F6984" w:rsidRDefault="001F6984" w:rsidP="001F6984">
      <w:pPr>
        <w:autoSpaceDE w:val="0"/>
        <w:autoSpaceDN w:val="0"/>
        <w:adjustRightInd w:val="0"/>
        <w:spacing w:after="0" w:line="240" w:lineRule="auto"/>
        <w:rPr>
          <w:rFonts w:ascii="OpenSans-Light" w:hAnsi="OpenSans-Light" w:cs="OpenSans-Light"/>
          <w:sz w:val="19"/>
          <w:szCs w:val="19"/>
        </w:rPr>
      </w:pPr>
    </w:p>
    <w:p w14:paraId="29EC5504" w14:textId="77777777" w:rsidR="004144A4" w:rsidRPr="00DA537B" w:rsidRDefault="001F6984" w:rsidP="006647C2">
      <w:pPr>
        <w:autoSpaceDE w:val="0"/>
        <w:autoSpaceDN w:val="0"/>
        <w:adjustRightInd w:val="0"/>
        <w:spacing w:after="240" w:line="240" w:lineRule="auto"/>
        <w:jc w:val="both"/>
        <w:rPr>
          <w:rFonts w:ascii="Arial" w:hAnsi="Arial" w:cs="Arial"/>
          <w:sz w:val="24"/>
          <w:szCs w:val="24"/>
        </w:rPr>
      </w:pPr>
      <w:r w:rsidRPr="00DA537B">
        <w:rPr>
          <w:rFonts w:ascii="Arial" w:hAnsi="Arial" w:cs="Arial"/>
          <w:sz w:val="24"/>
          <w:szCs w:val="24"/>
        </w:rPr>
        <w:t xml:space="preserve">The registered address for all of the above subsidiaries (with the exception of the Shaw Education Trust and Forth Sector) is </w:t>
      </w:r>
      <w:r w:rsidR="004144A4" w:rsidRPr="00DA537B">
        <w:rPr>
          <w:rFonts w:ascii="Arial" w:hAnsi="Arial" w:cs="Arial"/>
          <w:color w:val="0B0C0C"/>
          <w:sz w:val="24"/>
          <w:szCs w:val="24"/>
          <w:shd w:val="clear" w:color="auto" w:fill="FFFFFF"/>
        </w:rPr>
        <w:t>Black Country House, Rounds Green Road, Oldbury, B69 2DG.</w:t>
      </w:r>
    </w:p>
    <w:p w14:paraId="6A86562A" w14:textId="77777777" w:rsidR="001F6984" w:rsidRPr="00DA537B" w:rsidRDefault="001F6984" w:rsidP="006647C2">
      <w:pPr>
        <w:autoSpaceDE w:val="0"/>
        <w:autoSpaceDN w:val="0"/>
        <w:adjustRightInd w:val="0"/>
        <w:spacing w:after="240" w:line="240" w:lineRule="auto"/>
        <w:jc w:val="both"/>
        <w:rPr>
          <w:rFonts w:ascii="Arial" w:hAnsi="Arial" w:cs="Arial"/>
          <w:sz w:val="24"/>
          <w:szCs w:val="24"/>
        </w:rPr>
      </w:pPr>
      <w:r w:rsidRPr="00DA537B">
        <w:rPr>
          <w:rFonts w:ascii="Arial" w:hAnsi="Arial" w:cs="Arial"/>
          <w:sz w:val="24"/>
          <w:szCs w:val="24"/>
        </w:rPr>
        <w:t>The registered address for Shaw Education Trust is</w:t>
      </w:r>
      <w:r w:rsidR="004144A4" w:rsidRPr="00DA537B">
        <w:rPr>
          <w:rFonts w:ascii="Arial" w:hAnsi="Arial" w:cs="Arial"/>
          <w:sz w:val="24"/>
          <w:szCs w:val="24"/>
        </w:rPr>
        <w:t xml:space="preserve">; </w:t>
      </w:r>
      <w:proofErr w:type="spellStart"/>
      <w:r w:rsidR="004144A4" w:rsidRPr="00DA537B">
        <w:rPr>
          <w:rFonts w:ascii="Arial" w:hAnsi="Arial" w:cs="Arial"/>
          <w:color w:val="0B0C0C"/>
          <w:sz w:val="24"/>
          <w:szCs w:val="24"/>
          <w:shd w:val="clear" w:color="auto" w:fill="FFFFFF"/>
        </w:rPr>
        <w:t>Kidsgrove</w:t>
      </w:r>
      <w:proofErr w:type="spellEnd"/>
      <w:r w:rsidR="004144A4" w:rsidRPr="00DA537B">
        <w:rPr>
          <w:rFonts w:ascii="Arial" w:hAnsi="Arial" w:cs="Arial"/>
          <w:color w:val="0B0C0C"/>
          <w:sz w:val="24"/>
          <w:szCs w:val="24"/>
          <w:shd w:val="clear" w:color="auto" w:fill="FFFFFF"/>
        </w:rPr>
        <w:t xml:space="preserve"> Secondary School, Gloucester Road, </w:t>
      </w:r>
      <w:proofErr w:type="spellStart"/>
      <w:r w:rsidR="004144A4" w:rsidRPr="00DA537B">
        <w:rPr>
          <w:rFonts w:ascii="Arial" w:hAnsi="Arial" w:cs="Arial"/>
          <w:color w:val="0B0C0C"/>
          <w:sz w:val="24"/>
          <w:szCs w:val="24"/>
          <w:shd w:val="clear" w:color="auto" w:fill="FFFFFF"/>
        </w:rPr>
        <w:t>Kidsgrove</w:t>
      </w:r>
      <w:proofErr w:type="spellEnd"/>
      <w:r w:rsidR="004144A4" w:rsidRPr="00DA537B">
        <w:rPr>
          <w:rFonts w:ascii="Arial" w:hAnsi="Arial" w:cs="Arial"/>
          <w:color w:val="0B0C0C"/>
          <w:sz w:val="24"/>
          <w:szCs w:val="24"/>
          <w:shd w:val="clear" w:color="auto" w:fill="FFFFFF"/>
        </w:rPr>
        <w:t>, Stoke-on-Trent ST7 4DL</w:t>
      </w:r>
      <w:r w:rsidR="004144A4" w:rsidRPr="00DA537B">
        <w:rPr>
          <w:rFonts w:ascii="Arial" w:hAnsi="Arial" w:cs="Arial"/>
          <w:sz w:val="24"/>
          <w:szCs w:val="24"/>
        </w:rPr>
        <w:t>.</w:t>
      </w:r>
    </w:p>
    <w:p w14:paraId="3EA46FAF" w14:textId="77777777" w:rsidR="004144A4" w:rsidRPr="00DA537B" w:rsidRDefault="004144A4" w:rsidP="004144A4">
      <w:pPr>
        <w:autoSpaceDE w:val="0"/>
        <w:autoSpaceDN w:val="0"/>
        <w:adjustRightInd w:val="0"/>
        <w:spacing w:after="240" w:line="240" w:lineRule="auto"/>
        <w:jc w:val="both"/>
        <w:rPr>
          <w:rFonts w:ascii="Arial" w:hAnsi="Arial" w:cs="Arial"/>
          <w:sz w:val="24"/>
          <w:szCs w:val="24"/>
        </w:rPr>
      </w:pPr>
      <w:r w:rsidRPr="00DA537B">
        <w:rPr>
          <w:rFonts w:ascii="Arial" w:hAnsi="Arial" w:cs="Arial"/>
          <w:sz w:val="24"/>
          <w:szCs w:val="24"/>
        </w:rPr>
        <w:t xml:space="preserve">The registered address for Forth Sector is; </w:t>
      </w:r>
      <w:proofErr w:type="spellStart"/>
      <w:r w:rsidRPr="00DA537B">
        <w:rPr>
          <w:rFonts w:ascii="Arial" w:hAnsi="Arial" w:cs="Arial"/>
          <w:sz w:val="24"/>
          <w:szCs w:val="24"/>
        </w:rPr>
        <w:t>Duddingston</w:t>
      </w:r>
      <w:proofErr w:type="spellEnd"/>
      <w:r w:rsidRPr="00DA537B">
        <w:rPr>
          <w:rFonts w:ascii="Arial" w:hAnsi="Arial" w:cs="Arial"/>
          <w:sz w:val="24"/>
          <w:szCs w:val="24"/>
        </w:rPr>
        <w:t xml:space="preserve"> Yards, </w:t>
      </w:r>
      <w:proofErr w:type="spellStart"/>
      <w:r w:rsidRPr="00DA537B">
        <w:rPr>
          <w:rFonts w:ascii="Arial" w:hAnsi="Arial" w:cs="Arial"/>
          <w:sz w:val="24"/>
          <w:szCs w:val="24"/>
        </w:rPr>
        <w:t>Duddingston</w:t>
      </w:r>
      <w:proofErr w:type="spellEnd"/>
      <w:r w:rsidRPr="00DA537B">
        <w:rPr>
          <w:rFonts w:ascii="Arial" w:hAnsi="Arial" w:cs="Arial"/>
          <w:sz w:val="24"/>
          <w:szCs w:val="24"/>
        </w:rPr>
        <w:t xml:space="preserve"> Park South, Edinburgh, Lothian, EH15 3NT </w:t>
      </w:r>
    </w:p>
    <w:p w14:paraId="455D7207" w14:textId="77777777" w:rsidR="00C30227" w:rsidRDefault="00C30227">
      <w:pPr>
        <w:rPr>
          <w:rFonts w:ascii="Arial" w:hAnsi="Arial" w:cs="Arial"/>
          <w:sz w:val="24"/>
          <w:szCs w:val="24"/>
        </w:rPr>
      </w:pPr>
      <w:r>
        <w:rPr>
          <w:rFonts w:ascii="Arial" w:hAnsi="Arial" w:cs="Arial"/>
          <w:sz w:val="24"/>
          <w:szCs w:val="24"/>
        </w:rPr>
        <w:br w:type="page"/>
      </w:r>
    </w:p>
    <w:p w14:paraId="2CEC4E23" w14:textId="7E73D55A" w:rsidR="006C07DD" w:rsidRDefault="006C07DD" w:rsidP="00E6025B">
      <w:pPr>
        <w:spacing w:after="0" w:line="240" w:lineRule="auto"/>
        <w:rPr>
          <w:rFonts w:ascii="Arial" w:hAnsi="Arial" w:cs="Arial"/>
          <w:b/>
          <w:i/>
          <w:sz w:val="24"/>
          <w:szCs w:val="24"/>
        </w:rPr>
      </w:pPr>
      <w:r w:rsidRPr="0088736E">
        <w:rPr>
          <w:rFonts w:ascii="Arial" w:hAnsi="Arial" w:cs="Arial"/>
          <w:b/>
          <w:i/>
          <w:sz w:val="24"/>
          <w:szCs w:val="24"/>
        </w:rPr>
        <w:lastRenderedPageBreak/>
        <w:t xml:space="preserve">Notes to the financial </w:t>
      </w:r>
      <w:r>
        <w:rPr>
          <w:rFonts w:ascii="Arial" w:hAnsi="Arial" w:cs="Arial"/>
          <w:b/>
          <w:i/>
          <w:sz w:val="24"/>
          <w:szCs w:val="24"/>
        </w:rPr>
        <w:t>statements</w:t>
      </w:r>
      <w:r w:rsidRPr="0088736E">
        <w:rPr>
          <w:rFonts w:ascii="Arial" w:hAnsi="Arial" w:cs="Arial"/>
          <w:b/>
          <w:i/>
          <w:sz w:val="24"/>
          <w:szCs w:val="24"/>
        </w:rPr>
        <w:t xml:space="preserve"> (continued)</w:t>
      </w:r>
    </w:p>
    <w:p w14:paraId="3CCCCAF1" w14:textId="77777777" w:rsidR="00E6025B" w:rsidRDefault="00E6025B" w:rsidP="00E6025B">
      <w:pPr>
        <w:spacing w:after="0" w:line="240" w:lineRule="auto"/>
        <w:rPr>
          <w:rFonts w:ascii="Arial" w:hAnsi="Arial" w:cs="Arial"/>
          <w:b/>
          <w:i/>
          <w:sz w:val="24"/>
          <w:szCs w:val="24"/>
        </w:rPr>
      </w:pPr>
    </w:p>
    <w:p w14:paraId="09959B1A" w14:textId="77777777" w:rsidR="00356764" w:rsidRPr="004B18B9" w:rsidRDefault="00BE0959" w:rsidP="00E6025B">
      <w:pPr>
        <w:autoSpaceDE w:val="0"/>
        <w:autoSpaceDN w:val="0"/>
        <w:adjustRightInd w:val="0"/>
        <w:spacing w:after="0" w:line="240" w:lineRule="auto"/>
        <w:rPr>
          <w:rFonts w:ascii="Arial" w:hAnsi="Arial" w:cs="Arial"/>
          <w:sz w:val="24"/>
          <w:szCs w:val="24"/>
        </w:rPr>
      </w:pPr>
      <w:r>
        <w:rPr>
          <w:rFonts w:ascii="Arial" w:eastAsia="Times New Roman" w:hAnsi="Arial" w:cs="Arial"/>
          <w:b/>
          <w:bCs/>
          <w:sz w:val="24"/>
          <w:szCs w:val="24"/>
          <w:lang w:eastAsia="en-GB"/>
        </w:rPr>
        <w:t>9</w:t>
      </w:r>
      <w:r w:rsidR="00356764" w:rsidRPr="004B18B9">
        <w:rPr>
          <w:rFonts w:ascii="Arial" w:eastAsia="Times New Roman" w:hAnsi="Arial" w:cs="Arial"/>
          <w:b/>
          <w:bCs/>
          <w:sz w:val="24"/>
          <w:szCs w:val="24"/>
          <w:lang w:eastAsia="en-GB"/>
        </w:rPr>
        <w:t>. Investments in Subsidiary Undertakings</w:t>
      </w:r>
      <w:r w:rsidR="00356764">
        <w:rPr>
          <w:rFonts w:ascii="Arial" w:eastAsia="Times New Roman" w:hAnsi="Arial" w:cs="Arial"/>
          <w:b/>
          <w:bCs/>
          <w:sz w:val="24"/>
          <w:szCs w:val="24"/>
          <w:lang w:eastAsia="en-GB"/>
        </w:rPr>
        <w:t xml:space="preserve"> </w:t>
      </w:r>
      <w:r w:rsidR="00356764" w:rsidRPr="00513609">
        <w:rPr>
          <w:rFonts w:ascii="Arial" w:eastAsia="Times New Roman" w:hAnsi="Arial" w:cs="Arial"/>
          <w:b/>
          <w:bCs/>
          <w:sz w:val="24"/>
          <w:szCs w:val="24"/>
          <w:lang w:eastAsia="en-GB"/>
        </w:rPr>
        <w:t>and Joint Ventures</w:t>
      </w:r>
      <w:r w:rsidR="00356764">
        <w:rPr>
          <w:rFonts w:ascii="Arial" w:eastAsia="Times New Roman" w:hAnsi="Arial" w:cs="Arial"/>
          <w:b/>
          <w:bCs/>
          <w:sz w:val="24"/>
          <w:szCs w:val="24"/>
          <w:lang w:eastAsia="en-GB"/>
        </w:rPr>
        <w:t xml:space="preserve"> </w:t>
      </w:r>
      <w:r w:rsidR="00356764" w:rsidRPr="004B18B9">
        <w:rPr>
          <w:rFonts w:ascii="Arial" w:eastAsia="Times New Roman" w:hAnsi="Arial" w:cs="Arial"/>
          <w:b/>
          <w:bCs/>
          <w:sz w:val="24"/>
          <w:szCs w:val="24"/>
          <w:lang w:eastAsia="en-GB"/>
        </w:rPr>
        <w:t>(continued)</w:t>
      </w:r>
    </w:p>
    <w:p w14:paraId="4B6BF76F" w14:textId="77777777" w:rsidR="001F6984" w:rsidRPr="004D46F9" w:rsidRDefault="00356764" w:rsidP="006674F4">
      <w:pPr>
        <w:autoSpaceDE w:val="0"/>
        <w:autoSpaceDN w:val="0"/>
        <w:adjustRightInd w:val="0"/>
        <w:spacing w:after="240" w:line="240" w:lineRule="auto"/>
        <w:rPr>
          <w:rFonts w:ascii="Arial" w:hAnsi="Arial" w:cs="Arial"/>
          <w:b/>
          <w:sz w:val="24"/>
          <w:szCs w:val="24"/>
        </w:rPr>
      </w:pPr>
      <w:r w:rsidRPr="004D46F9">
        <w:rPr>
          <w:rFonts w:ascii="Arial" w:hAnsi="Arial" w:cs="Arial"/>
          <w:b/>
          <w:sz w:val="24"/>
          <w:szCs w:val="24"/>
        </w:rPr>
        <w:t>Joint Ventures</w:t>
      </w:r>
    </w:p>
    <w:tbl>
      <w:tblPr>
        <w:tblW w:w="9043" w:type="dxa"/>
        <w:tblLook w:val="04A0" w:firstRow="1" w:lastRow="0" w:firstColumn="1" w:lastColumn="0" w:noHBand="0" w:noVBand="1"/>
      </w:tblPr>
      <w:tblGrid>
        <w:gridCol w:w="3119"/>
        <w:gridCol w:w="1984"/>
        <w:gridCol w:w="1389"/>
        <w:gridCol w:w="1239"/>
        <w:gridCol w:w="1312"/>
      </w:tblGrid>
      <w:tr w:rsidR="001F6984" w:rsidRPr="00524E42" w14:paraId="3E7789A9" w14:textId="77777777" w:rsidTr="006647C2">
        <w:trPr>
          <w:trHeight w:val="570"/>
        </w:trPr>
        <w:tc>
          <w:tcPr>
            <w:tcW w:w="3119" w:type="dxa"/>
            <w:tcBorders>
              <w:top w:val="nil"/>
              <w:left w:val="nil"/>
              <w:bottom w:val="single" w:sz="4" w:space="0" w:color="auto"/>
              <w:right w:val="nil"/>
            </w:tcBorders>
            <w:shd w:val="clear" w:color="auto" w:fill="auto"/>
            <w:noWrap/>
            <w:vAlign w:val="center"/>
            <w:hideMark/>
          </w:tcPr>
          <w:p w14:paraId="08002B24" w14:textId="77777777" w:rsidR="001F6984" w:rsidRPr="00524E42" w:rsidRDefault="001F6984" w:rsidP="001F6984">
            <w:pPr>
              <w:spacing w:after="0" w:line="240" w:lineRule="auto"/>
              <w:rPr>
                <w:rFonts w:ascii="Arial" w:eastAsia="Times New Roman" w:hAnsi="Arial" w:cs="Arial"/>
                <w:sz w:val="20"/>
                <w:szCs w:val="20"/>
                <w:lang w:eastAsia="en-GB"/>
              </w:rPr>
            </w:pPr>
            <w:r w:rsidRPr="00524E42">
              <w:rPr>
                <w:rFonts w:ascii="Arial" w:eastAsia="Times New Roman" w:hAnsi="Arial" w:cs="Arial"/>
                <w:sz w:val="20"/>
                <w:szCs w:val="20"/>
                <w:lang w:eastAsia="en-GB"/>
              </w:rPr>
              <w:t>Name of joint venture</w:t>
            </w:r>
          </w:p>
        </w:tc>
        <w:tc>
          <w:tcPr>
            <w:tcW w:w="1984" w:type="dxa"/>
            <w:tcBorders>
              <w:top w:val="nil"/>
              <w:left w:val="nil"/>
              <w:bottom w:val="single" w:sz="4" w:space="0" w:color="auto"/>
              <w:right w:val="nil"/>
            </w:tcBorders>
            <w:shd w:val="clear" w:color="auto" w:fill="auto"/>
            <w:noWrap/>
            <w:vAlign w:val="center"/>
            <w:hideMark/>
          </w:tcPr>
          <w:p w14:paraId="0983BCBA" w14:textId="77777777" w:rsidR="000F6386" w:rsidRDefault="001F6984" w:rsidP="005B39D0">
            <w:pPr>
              <w:spacing w:after="0" w:line="240" w:lineRule="auto"/>
              <w:jc w:val="right"/>
              <w:rPr>
                <w:rFonts w:ascii="Arial" w:eastAsia="Times New Roman" w:hAnsi="Arial" w:cs="Arial"/>
                <w:sz w:val="20"/>
                <w:szCs w:val="20"/>
                <w:lang w:eastAsia="en-GB"/>
              </w:rPr>
            </w:pPr>
            <w:r w:rsidRPr="00524E42">
              <w:rPr>
                <w:rFonts w:ascii="Arial" w:eastAsia="Times New Roman" w:hAnsi="Arial" w:cs="Arial"/>
                <w:sz w:val="20"/>
                <w:szCs w:val="20"/>
                <w:lang w:eastAsia="en-GB"/>
              </w:rPr>
              <w:t xml:space="preserve">Company </w:t>
            </w:r>
          </w:p>
          <w:p w14:paraId="1DEBEB56" w14:textId="77777777" w:rsidR="001F6984" w:rsidRPr="00524E42" w:rsidRDefault="001F6984" w:rsidP="005B39D0">
            <w:pPr>
              <w:spacing w:after="0" w:line="240" w:lineRule="auto"/>
              <w:jc w:val="right"/>
              <w:rPr>
                <w:rFonts w:ascii="Arial" w:eastAsia="Times New Roman" w:hAnsi="Arial" w:cs="Arial"/>
                <w:sz w:val="20"/>
                <w:szCs w:val="20"/>
                <w:lang w:eastAsia="en-GB"/>
              </w:rPr>
            </w:pPr>
            <w:r w:rsidRPr="00524E42">
              <w:rPr>
                <w:rFonts w:ascii="Arial" w:eastAsia="Times New Roman" w:hAnsi="Arial" w:cs="Arial"/>
                <w:sz w:val="20"/>
                <w:szCs w:val="20"/>
                <w:lang w:eastAsia="en-GB"/>
              </w:rPr>
              <w:t>Number</w:t>
            </w:r>
          </w:p>
        </w:tc>
        <w:tc>
          <w:tcPr>
            <w:tcW w:w="1389" w:type="dxa"/>
            <w:tcBorders>
              <w:top w:val="nil"/>
              <w:left w:val="nil"/>
              <w:bottom w:val="single" w:sz="4" w:space="0" w:color="auto"/>
              <w:right w:val="nil"/>
            </w:tcBorders>
            <w:shd w:val="clear" w:color="auto" w:fill="auto"/>
            <w:vAlign w:val="center"/>
            <w:hideMark/>
          </w:tcPr>
          <w:p w14:paraId="7EB00BD1" w14:textId="77777777" w:rsidR="001F6984" w:rsidRPr="00524E42" w:rsidRDefault="001F6984" w:rsidP="005B39D0">
            <w:pPr>
              <w:spacing w:after="0" w:line="240" w:lineRule="auto"/>
              <w:jc w:val="right"/>
              <w:rPr>
                <w:rFonts w:ascii="Arial" w:eastAsia="Times New Roman" w:hAnsi="Arial" w:cs="Arial"/>
                <w:sz w:val="20"/>
                <w:szCs w:val="20"/>
                <w:lang w:eastAsia="en-GB"/>
              </w:rPr>
            </w:pPr>
            <w:r w:rsidRPr="00524E42">
              <w:rPr>
                <w:rFonts w:ascii="Arial" w:eastAsia="Times New Roman" w:hAnsi="Arial" w:cs="Arial"/>
                <w:sz w:val="20"/>
                <w:szCs w:val="20"/>
                <w:lang w:eastAsia="en-GB"/>
              </w:rPr>
              <w:t>Country of incorporation</w:t>
            </w:r>
          </w:p>
        </w:tc>
        <w:tc>
          <w:tcPr>
            <w:tcW w:w="1239" w:type="dxa"/>
            <w:tcBorders>
              <w:top w:val="nil"/>
              <w:left w:val="nil"/>
              <w:bottom w:val="single" w:sz="4" w:space="0" w:color="auto"/>
              <w:right w:val="nil"/>
            </w:tcBorders>
            <w:shd w:val="clear" w:color="auto" w:fill="auto"/>
            <w:vAlign w:val="center"/>
            <w:hideMark/>
          </w:tcPr>
          <w:p w14:paraId="42C25F5D" w14:textId="77777777" w:rsidR="001F6984" w:rsidRPr="00524E42" w:rsidRDefault="001F6984" w:rsidP="005B39D0">
            <w:pPr>
              <w:spacing w:after="0" w:line="240" w:lineRule="auto"/>
              <w:jc w:val="right"/>
              <w:rPr>
                <w:rFonts w:ascii="Arial" w:eastAsia="Times New Roman" w:hAnsi="Arial" w:cs="Arial"/>
                <w:sz w:val="20"/>
                <w:szCs w:val="20"/>
                <w:lang w:eastAsia="en-GB"/>
              </w:rPr>
            </w:pPr>
            <w:r w:rsidRPr="00524E42">
              <w:rPr>
                <w:rFonts w:ascii="Arial" w:eastAsia="Times New Roman" w:hAnsi="Arial" w:cs="Arial"/>
                <w:sz w:val="20"/>
                <w:szCs w:val="20"/>
                <w:lang w:eastAsia="en-GB"/>
              </w:rPr>
              <w:t>Percentage of control</w:t>
            </w:r>
          </w:p>
        </w:tc>
        <w:tc>
          <w:tcPr>
            <w:tcW w:w="1312" w:type="dxa"/>
            <w:tcBorders>
              <w:top w:val="nil"/>
              <w:left w:val="nil"/>
              <w:bottom w:val="single" w:sz="4" w:space="0" w:color="auto"/>
              <w:right w:val="nil"/>
            </w:tcBorders>
            <w:shd w:val="clear" w:color="auto" w:fill="auto"/>
            <w:noWrap/>
            <w:vAlign w:val="center"/>
            <w:hideMark/>
          </w:tcPr>
          <w:p w14:paraId="35D1582A" w14:textId="77777777" w:rsidR="000F6386" w:rsidRDefault="001F6984" w:rsidP="005B39D0">
            <w:pPr>
              <w:spacing w:after="0" w:line="240" w:lineRule="auto"/>
              <w:jc w:val="right"/>
              <w:rPr>
                <w:rFonts w:ascii="Arial" w:eastAsia="Times New Roman" w:hAnsi="Arial" w:cs="Arial"/>
                <w:sz w:val="20"/>
                <w:szCs w:val="20"/>
                <w:lang w:eastAsia="en-GB"/>
              </w:rPr>
            </w:pPr>
            <w:r w:rsidRPr="00524E42">
              <w:rPr>
                <w:rFonts w:ascii="Arial" w:eastAsia="Times New Roman" w:hAnsi="Arial" w:cs="Arial"/>
                <w:sz w:val="20"/>
                <w:szCs w:val="20"/>
                <w:lang w:eastAsia="en-GB"/>
              </w:rPr>
              <w:t>Nature of</w:t>
            </w:r>
          </w:p>
          <w:p w14:paraId="3B3013E2" w14:textId="77777777" w:rsidR="001F6984" w:rsidRPr="00524E42" w:rsidRDefault="001F6984" w:rsidP="005B39D0">
            <w:pPr>
              <w:spacing w:after="0" w:line="240" w:lineRule="auto"/>
              <w:jc w:val="right"/>
              <w:rPr>
                <w:rFonts w:ascii="Arial" w:eastAsia="Times New Roman" w:hAnsi="Arial" w:cs="Arial"/>
                <w:sz w:val="20"/>
                <w:szCs w:val="20"/>
                <w:lang w:eastAsia="en-GB"/>
              </w:rPr>
            </w:pPr>
            <w:r w:rsidRPr="00524E42">
              <w:rPr>
                <w:rFonts w:ascii="Arial" w:eastAsia="Times New Roman" w:hAnsi="Arial" w:cs="Arial"/>
                <w:sz w:val="20"/>
                <w:szCs w:val="20"/>
                <w:lang w:eastAsia="en-GB"/>
              </w:rPr>
              <w:t>business</w:t>
            </w:r>
          </w:p>
        </w:tc>
      </w:tr>
      <w:tr w:rsidR="001F6984" w:rsidRPr="00524E42" w14:paraId="0AD531EB" w14:textId="77777777" w:rsidTr="006647C2">
        <w:trPr>
          <w:trHeight w:val="323"/>
        </w:trPr>
        <w:tc>
          <w:tcPr>
            <w:tcW w:w="3119" w:type="dxa"/>
            <w:tcBorders>
              <w:top w:val="nil"/>
              <w:left w:val="nil"/>
              <w:bottom w:val="nil"/>
              <w:right w:val="nil"/>
            </w:tcBorders>
            <w:shd w:val="clear" w:color="auto" w:fill="auto"/>
            <w:noWrap/>
            <w:vAlign w:val="center"/>
            <w:hideMark/>
          </w:tcPr>
          <w:p w14:paraId="0AE8F9F4" w14:textId="77777777" w:rsidR="001F6984" w:rsidRPr="00524E42" w:rsidRDefault="001F6984" w:rsidP="001F6984">
            <w:pPr>
              <w:spacing w:after="0" w:line="240" w:lineRule="auto"/>
              <w:rPr>
                <w:rFonts w:ascii="Arial" w:eastAsia="Times New Roman" w:hAnsi="Arial" w:cs="Arial"/>
                <w:sz w:val="20"/>
                <w:szCs w:val="20"/>
                <w:lang w:eastAsia="en-GB"/>
              </w:rPr>
            </w:pPr>
            <w:r w:rsidRPr="00524E42">
              <w:rPr>
                <w:rFonts w:ascii="Arial" w:eastAsia="Times New Roman" w:hAnsi="Arial" w:cs="Arial"/>
                <w:sz w:val="20"/>
                <w:szCs w:val="20"/>
                <w:lang w:eastAsia="en-GB"/>
              </w:rPr>
              <w:t xml:space="preserve">The </w:t>
            </w:r>
            <w:proofErr w:type="spellStart"/>
            <w:r w:rsidRPr="00524E42">
              <w:rPr>
                <w:rFonts w:ascii="Arial" w:eastAsia="Times New Roman" w:hAnsi="Arial" w:cs="Arial"/>
                <w:sz w:val="20"/>
                <w:szCs w:val="20"/>
                <w:lang w:eastAsia="en-GB"/>
              </w:rPr>
              <w:t>Integracja</w:t>
            </w:r>
            <w:proofErr w:type="spellEnd"/>
            <w:r w:rsidRPr="00524E42">
              <w:rPr>
                <w:rFonts w:ascii="Arial" w:eastAsia="Times New Roman" w:hAnsi="Arial" w:cs="Arial"/>
                <w:sz w:val="20"/>
                <w:szCs w:val="20"/>
                <w:lang w:eastAsia="en-GB"/>
              </w:rPr>
              <w:t xml:space="preserve"> Foundation</w:t>
            </w:r>
          </w:p>
        </w:tc>
        <w:tc>
          <w:tcPr>
            <w:tcW w:w="1984" w:type="dxa"/>
            <w:tcBorders>
              <w:top w:val="nil"/>
              <w:left w:val="nil"/>
              <w:bottom w:val="nil"/>
              <w:right w:val="nil"/>
            </w:tcBorders>
            <w:shd w:val="clear" w:color="auto" w:fill="auto"/>
            <w:noWrap/>
            <w:vAlign w:val="center"/>
            <w:hideMark/>
          </w:tcPr>
          <w:p w14:paraId="26C9CC26" w14:textId="77777777" w:rsidR="001F6984" w:rsidRPr="00524E42" w:rsidRDefault="001F6984" w:rsidP="005B39D0">
            <w:pPr>
              <w:spacing w:after="0" w:line="240" w:lineRule="auto"/>
              <w:jc w:val="right"/>
              <w:rPr>
                <w:rFonts w:ascii="Arial" w:eastAsia="Times New Roman" w:hAnsi="Arial" w:cs="Arial"/>
                <w:sz w:val="20"/>
                <w:szCs w:val="20"/>
                <w:lang w:eastAsia="en-GB"/>
              </w:rPr>
            </w:pPr>
            <w:r w:rsidRPr="00524E42">
              <w:rPr>
                <w:rFonts w:ascii="Arial" w:eastAsia="Times New Roman" w:hAnsi="Arial" w:cs="Arial"/>
                <w:sz w:val="20"/>
                <w:szCs w:val="20"/>
                <w:lang w:eastAsia="en-GB"/>
              </w:rPr>
              <w:t>KRS: 0000144578</w:t>
            </w:r>
          </w:p>
        </w:tc>
        <w:tc>
          <w:tcPr>
            <w:tcW w:w="1389" w:type="dxa"/>
            <w:tcBorders>
              <w:top w:val="nil"/>
              <w:left w:val="nil"/>
              <w:bottom w:val="nil"/>
              <w:right w:val="nil"/>
            </w:tcBorders>
            <w:shd w:val="clear" w:color="auto" w:fill="auto"/>
            <w:noWrap/>
            <w:vAlign w:val="center"/>
            <w:hideMark/>
          </w:tcPr>
          <w:p w14:paraId="26A9A4B9" w14:textId="77777777" w:rsidR="001F6984" w:rsidRPr="00524E42" w:rsidRDefault="001F6984" w:rsidP="005B39D0">
            <w:pPr>
              <w:spacing w:after="0" w:line="240" w:lineRule="auto"/>
              <w:jc w:val="right"/>
              <w:rPr>
                <w:rFonts w:ascii="Arial" w:eastAsia="Times New Roman" w:hAnsi="Arial" w:cs="Arial"/>
                <w:sz w:val="20"/>
                <w:szCs w:val="20"/>
                <w:lang w:eastAsia="en-GB"/>
              </w:rPr>
            </w:pPr>
            <w:r w:rsidRPr="00524E42">
              <w:rPr>
                <w:rFonts w:ascii="Arial" w:eastAsia="Times New Roman" w:hAnsi="Arial" w:cs="Arial"/>
                <w:sz w:val="20"/>
                <w:szCs w:val="20"/>
                <w:lang w:eastAsia="en-GB"/>
              </w:rPr>
              <w:t>Poland</w:t>
            </w:r>
          </w:p>
        </w:tc>
        <w:tc>
          <w:tcPr>
            <w:tcW w:w="1239" w:type="dxa"/>
            <w:tcBorders>
              <w:top w:val="nil"/>
              <w:left w:val="nil"/>
              <w:bottom w:val="nil"/>
              <w:right w:val="nil"/>
            </w:tcBorders>
            <w:shd w:val="clear" w:color="auto" w:fill="auto"/>
            <w:noWrap/>
            <w:vAlign w:val="center"/>
            <w:hideMark/>
          </w:tcPr>
          <w:p w14:paraId="55211BA8" w14:textId="77777777" w:rsidR="001F6984" w:rsidRPr="00524E42" w:rsidRDefault="001F6984" w:rsidP="005B39D0">
            <w:pPr>
              <w:spacing w:after="0" w:line="240" w:lineRule="auto"/>
              <w:jc w:val="right"/>
              <w:rPr>
                <w:rFonts w:ascii="Arial" w:eastAsia="Times New Roman" w:hAnsi="Arial" w:cs="Arial"/>
                <w:sz w:val="20"/>
                <w:szCs w:val="20"/>
                <w:lang w:eastAsia="en-GB"/>
              </w:rPr>
            </w:pPr>
            <w:r w:rsidRPr="00524E42">
              <w:rPr>
                <w:rFonts w:ascii="Arial" w:eastAsia="Times New Roman" w:hAnsi="Arial" w:cs="Arial"/>
                <w:sz w:val="20"/>
                <w:szCs w:val="20"/>
                <w:lang w:eastAsia="en-GB"/>
              </w:rPr>
              <w:t>50%</w:t>
            </w:r>
          </w:p>
        </w:tc>
        <w:tc>
          <w:tcPr>
            <w:tcW w:w="1312" w:type="dxa"/>
            <w:tcBorders>
              <w:top w:val="nil"/>
              <w:left w:val="nil"/>
              <w:bottom w:val="nil"/>
              <w:right w:val="nil"/>
            </w:tcBorders>
            <w:shd w:val="clear" w:color="auto" w:fill="auto"/>
            <w:noWrap/>
            <w:vAlign w:val="center"/>
            <w:hideMark/>
          </w:tcPr>
          <w:p w14:paraId="722EDCB0" w14:textId="77777777" w:rsidR="001F6984" w:rsidRPr="00524E42" w:rsidRDefault="001F6984" w:rsidP="005B39D0">
            <w:pPr>
              <w:spacing w:after="0" w:line="240" w:lineRule="auto"/>
              <w:jc w:val="right"/>
              <w:rPr>
                <w:rFonts w:ascii="Arial" w:eastAsia="Times New Roman" w:hAnsi="Arial" w:cs="Arial"/>
                <w:sz w:val="20"/>
                <w:szCs w:val="20"/>
                <w:lang w:eastAsia="en-GB"/>
              </w:rPr>
            </w:pPr>
            <w:r w:rsidRPr="00524E42">
              <w:rPr>
                <w:rFonts w:ascii="Arial" w:eastAsia="Times New Roman" w:hAnsi="Arial" w:cs="Arial"/>
                <w:sz w:val="20"/>
                <w:szCs w:val="20"/>
                <w:lang w:eastAsia="en-GB"/>
              </w:rPr>
              <w:t>Charity</w:t>
            </w:r>
          </w:p>
        </w:tc>
      </w:tr>
      <w:tr w:rsidR="001F6984" w:rsidRPr="00524E42" w14:paraId="4940449B" w14:textId="77777777" w:rsidTr="006647C2">
        <w:trPr>
          <w:trHeight w:val="585"/>
        </w:trPr>
        <w:tc>
          <w:tcPr>
            <w:tcW w:w="3119" w:type="dxa"/>
            <w:tcBorders>
              <w:top w:val="nil"/>
              <w:left w:val="nil"/>
              <w:bottom w:val="single" w:sz="4" w:space="0" w:color="auto"/>
              <w:right w:val="nil"/>
            </w:tcBorders>
            <w:shd w:val="clear" w:color="auto" w:fill="auto"/>
            <w:noWrap/>
            <w:vAlign w:val="center"/>
            <w:hideMark/>
          </w:tcPr>
          <w:p w14:paraId="2FE8C017" w14:textId="77777777" w:rsidR="001F6984" w:rsidRPr="00524E42" w:rsidRDefault="001F6984" w:rsidP="001F6984">
            <w:pPr>
              <w:spacing w:after="0" w:line="240" w:lineRule="auto"/>
              <w:rPr>
                <w:rFonts w:ascii="Arial" w:eastAsia="Times New Roman" w:hAnsi="Arial" w:cs="Arial"/>
                <w:sz w:val="20"/>
                <w:szCs w:val="20"/>
                <w:lang w:eastAsia="en-GB"/>
              </w:rPr>
            </w:pPr>
            <w:r w:rsidRPr="00524E42">
              <w:rPr>
                <w:rFonts w:ascii="Arial" w:eastAsia="Times New Roman" w:hAnsi="Arial" w:cs="Arial"/>
                <w:sz w:val="20"/>
                <w:szCs w:val="20"/>
                <w:lang w:eastAsia="en-GB"/>
              </w:rPr>
              <w:t>STAR</w:t>
            </w:r>
            <w:r w:rsidR="000F1EDA">
              <w:rPr>
                <w:rFonts w:ascii="Arial" w:eastAsia="Times New Roman" w:hAnsi="Arial" w:cs="Arial"/>
                <w:sz w:val="20"/>
                <w:szCs w:val="20"/>
                <w:lang w:eastAsia="en-GB"/>
              </w:rPr>
              <w:t xml:space="preserve"> Skills Limited</w:t>
            </w:r>
          </w:p>
        </w:tc>
        <w:tc>
          <w:tcPr>
            <w:tcW w:w="1984" w:type="dxa"/>
            <w:tcBorders>
              <w:top w:val="nil"/>
              <w:left w:val="nil"/>
              <w:bottom w:val="single" w:sz="4" w:space="0" w:color="auto"/>
              <w:right w:val="nil"/>
            </w:tcBorders>
            <w:shd w:val="clear" w:color="auto" w:fill="auto"/>
            <w:vAlign w:val="center"/>
            <w:hideMark/>
          </w:tcPr>
          <w:p w14:paraId="0F1E0348" w14:textId="77777777" w:rsidR="001F6984" w:rsidRPr="00524E42" w:rsidRDefault="001F6984" w:rsidP="005B39D0">
            <w:pPr>
              <w:spacing w:after="0" w:line="240" w:lineRule="auto"/>
              <w:jc w:val="right"/>
              <w:rPr>
                <w:rFonts w:ascii="Arial" w:eastAsia="Times New Roman" w:hAnsi="Arial" w:cs="Arial"/>
                <w:sz w:val="20"/>
                <w:szCs w:val="20"/>
                <w:lang w:eastAsia="en-GB"/>
              </w:rPr>
            </w:pPr>
            <w:r w:rsidRPr="00524E42">
              <w:rPr>
                <w:rFonts w:ascii="Arial" w:eastAsia="Times New Roman" w:hAnsi="Arial" w:cs="Arial"/>
                <w:sz w:val="20"/>
                <w:szCs w:val="20"/>
                <w:lang w:eastAsia="en-GB"/>
              </w:rPr>
              <w:t>10086962</w:t>
            </w:r>
          </w:p>
        </w:tc>
        <w:tc>
          <w:tcPr>
            <w:tcW w:w="1389" w:type="dxa"/>
            <w:tcBorders>
              <w:top w:val="nil"/>
              <w:left w:val="nil"/>
              <w:bottom w:val="single" w:sz="4" w:space="0" w:color="auto"/>
              <w:right w:val="nil"/>
            </w:tcBorders>
            <w:shd w:val="clear" w:color="auto" w:fill="auto"/>
            <w:noWrap/>
            <w:vAlign w:val="center"/>
            <w:hideMark/>
          </w:tcPr>
          <w:p w14:paraId="0D709B3B" w14:textId="77777777" w:rsidR="001F6984" w:rsidRPr="00524E42" w:rsidRDefault="001F6984" w:rsidP="005B39D0">
            <w:pPr>
              <w:spacing w:after="0" w:line="240" w:lineRule="auto"/>
              <w:jc w:val="right"/>
              <w:rPr>
                <w:rFonts w:ascii="Arial" w:eastAsia="Times New Roman" w:hAnsi="Arial" w:cs="Arial"/>
                <w:sz w:val="20"/>
                <w:szCs w:val="20"/>
                <w:lang w:eastAsia="en-GB"/>
              </w:rPr>
            </w:pPr>
            <w:r w:rsidRPr="00524E42">
              <w:rPr>
                <w:rFonts w:ascii="Arial" w:eastAsia="Times New Roman" w:hAnsi="Arial" w:cs="Arial"/>
                <w:sz w:val="20"/>
                <w:szCs w:val="20"/>
                <w:lang w:eastAsia="en-GB"/>
              </w:rPr>
              <w:t>England and Wales</w:t>
            </w:r>
          </w:p>
        </w:tc>
        <w:tc>
          <w:tcPr>
            <w:tcW w:w="1239" w:type="dxa"/>
            <w:tcBorders>
              <w:top w:val="nil"/>
              <w:left w:val="nil"/>
              <w:bottom w:val="single" w:sz="4" w:space="0" w:color="auto"/>
              <w:right w:val="nil"/>
            </w:tcBorders>
            <w:shd w:val="clear" w:color="auto" w:fill="auto"/>
            <w:noWrap/>
            <w:vAlign w:val="center"/>
            <w:hideMark/>
          </w:tcPr>
          <w:p w14:paraId="33FFD125" w14:textId="77777777" w:rsidR="001F6984" w:rsidRPr="00524E42" w:rsidRDefault="001F6984" w:rsidP="005B39D0">
            <w:pPr>
              <w:spacing w:after="0" w:line="240" w:lineRule="auto"/>
              <w:jc w:val="right"/>
              <w:rPr>
                <w:rFonts w:ascii="Arial" w:eastAsia="Times New Roman" w:hAnsi="Arial" w:cs="Arial"/>
                <w:sz w:val="20"/>
                <w:szCs w:val="20"/>
                <w:lang w:eastAsia="en-GB"/>
              </w:rPr>
            </w:pPr>
            <w:r w:rsidRPr="00524E42">
              <w:rPr>
                <w:rFonts w:ascii="Arial" w:eastAsia="Times New Roman" w:hAnsi="Arial" w:cs="Arial"/>
                <w:sz w:val="20"/>
                <w:szCs w:val="20"/>
                <w:lang w:eastAsia="en-GB"/>
              </w:rPr>
              <w:t>50%</w:t>
            </w:r>
          </w:p>
        </w:tc>
        <w:tc>
          <w:tcPr>
            <w:tcW w:w="1312" w:type="dxa"/>
            <w:tcBorders>
              <w:top w:val="nil"/>
              <w:left w:val="nil"/>
              <w:bottom w:val="single" w:sz="4" w:space="0" w:color="auto"/>
              <w:right w:val="nil"/>
            </w:tcBorders>
            <w:shd w:val="clear" w:color="auto" w:fill="auto"/>
            <w:vAlign w:val="center"/>
            <w:hideMark/>
          </w:tcPr>
          <w:p w14:paraId="78074072" w14:textId="77777777" w:rsidR="001F6984" w:rsidRPr="00524E42" w:rsidRDefault="001F6984" w:rsidP="005B39D0">
            <w:pPr>
              <w:spacing w:after="0" w:line="240" w:lineRule="auto"/>
              <w:jc w:val="right"/>
              <w:rPr>
                <w:rFonts w:ascii="Arial" w:eastAsia="Times New Roman" w:hAnsi="Arial" w:cs="Arial"/>
                <w:sz w:val="20"/>
                <w:szCs w:val="20"/>
                <w:lang w:eastAsia="en-GB"/>
              </w:rPr>
            </w:pPr>
            <w:r w:rsidRPr="00524E42">
              <w:rPr>
                <w:rFonts w:ascii="Arial" w:eastAsia="Times New Roman" w:hAnsi="Arial" w:cs="Arial"/>
                <w:sz w:val="20"/>
                <w:szCs w:val="20"/>
                <w:lang w:eastAsia="en-GB"/>
              </w:rPr>
              <w:t>Private Limited Company</w:t>
            </w:r>
          </w:p>
        </w:tc>
      </w:tr>
    </w:tbl>
    <w:p w14:paraId="4194DD6D" w14:textId="77777777" w:rsidR="001F6984" w:rsidRDefault="001F6984" w:rsidP="001F6984">
      <w:pPr>
        <w:autoSpaceDE w:val="0"/>
        <w:autoSpaceDN w:val="0"/>
        <w:adjustRightInd w:val="0"/>
        <w:spacing w:after="0" w:line="240" w:lineRule="auto"/>
        <w:rPr>
          <w:rFonts w:ascii="Arial" w:hAnsi="Arial" w:cs="Arial"/>
          <w:sz w:val="20"/>
          <w:szCs w:val="20"/>
        </w:rPr>
      </w:pPr>
    </w:p>
    <w:p w14:paraId="06FF86C0" w14:textId="77777777" w:rsidR="001F6984" w:rsidRPr="001F6984" w:rsidRDefault="001F6984" w:rsidP="006647C2">
      <w:pPr>
        <w:autoSpaceDE w:val="0"/>
        <w:autoSpaceDN w:val="0"/>
        <w:adjustRightInd w:val="0"/>
        <w:spacing w:after="240" w:line="240" w:lineRule="auto"/>
        <w:jc w:val="both"/>
        <w:rPr>
          <w:rFonts w:ascii="Arial" w:hAnsi="Arial" w:cs="Arial"/>
          <w:sz w:val="24"/>
          <w:szCs w:val="24"/>
        </w:rPr>
      </w:pPr>
      <w:r w:rsidRPr="001F6984">
        <w:rPr>
          <w:rFonts w:ascii="Arial" w:hAnsi="Arial" w:cs="Arial"/>
          <w:sz w:val="24"/>
          <w:szCs w:val="24"/>
        </w:rPr>
        <w:t xml:space="preserve">The registered address for The </w:t>
      </w:r>
      <w:proofErr w:type="spellStart"/>
      <w:r w:rsidRPr="001F6984">
        <w:rPr>
          <w:rFonts w:ascii="Arial" w:hAnsi="Arial" w:cs="Arial"/>
          <w:sz w:val="24"/>
          <w:szCs w:val="24"/>
        </w:rPr>
        <w:t>Integracja</w:t>
      </w:r>
      <w:proofErr w:type="spellEnd"/>
      <w:r w:rsidRPr="001F6984">
        <w:rPr>
          <w:rFonts w:ascii="Arial" w:hAnsi="Arial" w:cs="Arial"/>
          <w:sz w:val="24"/>
          <w:szCs w:val="24"/>
        </w:rPr>
        <w:t xml:space="preserve"> Foundation is </w:t>
      </w:r>
      <w:proofErr w:type="spellStart"/>
      <w:r w:rsidRPr="001F6984">
        <w:rPr>
          <w:rFonts w:ascii="Arial" w:hAnsi="Arial" w:cs="Arial"/>
          <w:sz w:val="24"/>
          <w:szCs w:val="24"/>
        </w:rPr>
        <w:t>ul</w:t>
      </w:r>
      <w:proofErr w:type="spellEnd"/>
      <w:r w:rsidRPr="001F6984">
        <w:rPr>
          <w:rFonts w:ascii="Arial" w:hAnsi="Arial" w:cs="Arial"/>
          <w:sz w:val="24"/>
          <w:szCs w:val="24"/>
        </w:rPr>
        <w:t xml:space="preserve">. </w:t>
      </w:r>
      <w:proofErr w:type="spellStart"/>
      <w:r w:rsidRPr="001F6984">
        <w:rPr>
          <w:rFonts w:ascii="Arial" w:hAnsi="Arial" w:cs="Arial"/>
          <w:sz w:val="24"/>
          <w:szCs w:val="24"/>
        </w:rPr>
        <w:t>Andersa</w:t>
      </w:r>
      <w:proofErr w:type="spellEnd"/>
      <w:r w:rsidRPr="001F6984">
        <w:rPr>
          <w:rFonts w:ascii="Arial" w:hAnsi="Arial" w:cs="Arial"/>
          <w:sz w:val="24"/>
          <w:szCs w:val="24"/>
        </w:rPr>
        <w:t xml:space="preserve"> 13, 00-159 Warszawa, Poland.</w:t>
      </w:r>
    </w:p>
    <w:p w14:paraId="13E139A9" w14:textId="77777777" w:rsidR="001F6984" w:rsidRPr="001F6984" w:rsidRDefault="001F6984" w:rsidP="006647C2">
      <w:pPr>
        <w:autoSpaceDE w:val="0"/>
        <w:autoSpaceDN w:val="0"/>
        <w:adjustRightInd w:val="0"/>
        <w:spacing w:after="240" w:line="240" w:lineRule="auto"/>
        <w:jc w:val="both"/>
        <w:rPr>
          <w:rFonts w:ascii="Arial" w:hAnsi="Arial" w:cs="Arial"/>
          <w:sz w:val="24"/>
          <w:szCs w:val="24"/>
        </w:rPr>
      </w:pPr>
      <w:r w:rsidRPr="001F6984">
        <w:rPr>
          <w:rFonts w:ascii="Arial" w:hAnsi="Arial" w:cs="Arial"/>
          <w:sz w:val="24"/>
          <w:szCs w:val="24"/>
        </w:rPr>
        <w:t xml:space="preserve">The registered address for STAR </w:t>
      </w:r>
      <w:r w:rsidR="000F1EDA">
        <w:rPr>
          <w:rFonts w:ascii="Arial" w:hAnsi="Arial" w:cs="Arial"/>
          <w:sz w:val="24"/>
          <w:szCs w:val="24"/>
        </w:rPr>
        <w:t xml:space="preserve">Skills Limited </w:t>
      </w:r>
      <w:r w:rsidRPr="001F6984">
        <w:rPr>
          <w:rFonts w:ascii="Arial" w:hAnsi="Arial" w:cs="Arial"/>
          <w:sz w:val="24"/>
          <w:szCs w:val="24"/>
        </w:rPr>
        <w:t>is</w:t>
      </w:r>
      <w:r w:rsidR="00211B01">
        <w:rPr>
          <w:rFonts w:ascii="Arial" w:hAnsi="Arial" w:cs="Arial"/>
          <w:sz w:val="24"/>
          <w:szCs w:val="24"/>
        </w:rPr>
        <w:t xml:space="preserve">; </w:t>
      </w:r>
      <w:r w:rsidR="001761FA">
        <w:rPr>
          <w:rFonts w:ascii="Arial" w:hAnsi="Arial" w:cs="Arial"/>
          <w:sz w:val="24"/>
          <w:szCs w:val="24"/>
        </w:rPr>
        <w:t>Black Country House, Rounds Green Road, Oldbury, West Midlands, B69 2DG.</w:t>
      </w:r>
      <w:r w:rsidR="00193396">
        <w:rPr>
          <w:rFonts w:ascii="Arial" w:hAnsi="Arial" w:cs="Arial"/>
          <w:sz w:val="24"/>
          <w:szCs w:val="24"/>
        </w:rPr>
        <w:t xml:space="preserve">  STAR is a dormant company.</w:t>
      </w:r>
    </w:p>
    <w:tbl>
      <w:tblPr>
        <w:tblW w:w="9144" w:type="dxa"/>
        <w:tblLayout w:type="fixed"/>
        <w:tblLook w:val="04A0" w:firstRow="1" w:lastRow="0" w:firstColumn="1" w:lastColumn="0" w:noHBand="0" w:noVBand="1"/>
      </w:tblPr>
      <w:tblGrid>
        <w:gridCol w:w="3697"/>
        <w:gridCol w:w="1034"/>
        <w:gridCol w:w="739"/>
        <w:gridCol w:w="146"/>
        <w:gridCol w:w="595"/>
        <w:gridCol w:w="364"/>
        <w:gridCol w:w="595"/>
        <w:gridCol w:w="372"/>
        <w:gridCol w:w="148"/>
        <w:gridCol w:w="496"/>
        <w:gridCol w:w="209"/>
        <w:gridCol w:w="54"/>
        <w:gridCol w:w="485"/>
        <w:gridCol w:w="210"/>
      </w:tblGrid>
      <w:tr w:rsidR="00516EB0" w:rsidRPr="003002CD" w14:paraId="7E93763E" w14:textId="77777777" w:rsidTr="00B638C0">
        <w:trPr>
          <w:gridAfter w:val="1"/>
          <w:wAfter w:w="210" w:type="dxa"/>
          <w:trHeight w:val="432"/>
        </w:trPr>
        <w:tc>
          <w:tcPr>
            <w:tcW w:w="3698" w:type="dxa"/>
            <w:tcBorders>
              <w:top w:val="nil"/>
              <w:left w:val="nil"/>
              <w:bottom w:val="nil"/>
              <w:right w:val="nil"/>
            </w:tcBorders>
            <w:shd w:val="clear" w:color="auto" w:fill="auto"/>
            <w:noWrap/>
            <w:vAlign w:val="center"/>
            <w:hideMark/>
          </w:tcPr>
          <w:p w14:paraId="426DCDEE" w14:textId="77777777" w:rsidR="00516EB0" w:rsidRPr="003002CD" w:rsidRDefault="00516EB0" w:rsidP="004A2312">
            <w:pPr>
              <w:spacing w:after="0" w:line="240" w:lineRule="auto"/>
              <w:ind w:hanging="71"/>
              <w:rPr>
                <w:rFonts w:ascii="Times New Roman" w:eastAsia="Times New Roman" w:hAnsi="Times New Roman" w:cs="Times New Roman"/>
                <w:sz w:val="24"/>
                <w:szCs w:val="24"/>
                <w:lang w:eastAsia="en-GB"/>
              </w:rPr>
            </w:pPr>
          </w:p>
        </w:tc>
        <w:tc>
          <w:tcPr>
            <w:tcW w:w="1773" w:type="dxa"/>
            <w:gridSpan w:val="2"/>
            <w:tcBorders>
              <w:top w:val="nil"/>
              <w:left w:val="nil"/>
              <w:bottom w:val="nil"/>
              <w:right w:val="nil"/>
            </w:tcBorders>
            <w:shd w:val="clear" w:color="auto" w:fill="auto"/>
            <w:noWrap/>
            <w:vAlign w:val="center"/>
            <w:hideMark/>
          </w:tcPr>
          <w:p w14:paraId="0981EC85" w14:textId="77777777" w:rsidR="00516EB0" w:rsidRPr="003002CD" w:rsidRDefault="00516EB0" w:rsidP="004A2312">
            <w:pPr>
              <w:spacing w:after="0" w:line="240" w:lineRule="auto"/>
              <w:ind w:hanging="71"/>
              <w:rPr>
                <w:rFonts w:ascii="Times New Roman" w:eastAsia="Times New Roman" w:hAnsi="Times New Roman" w:cs="Times New Roman"/>
                <w:sz w:val="20"/>
                <w:szCs w:val="20"/>
                <w:lang w:eastAsia="en-GB"/>
              </w:rPr>
            </w:pPr>
          </w:p>
        </w:tc>
        <w:tc>
          <w:tcPr>
            <w:tcW w:w="740" w:type="dxa"/>
            <w:gridSpan w:val="2"/>
            <w:tcBorders>
              <w:top w:val="nil"/>
              <w:left w:val="nil"/>
              <w:bottom w:val="nil"/>
              <w:right w:val="nil"/>
            </w:tcBorders>
            <w:shd w:val="clear" w:color="auto" w:fill="auto"/>
            <w:noWrap/>
            <w:vAlign w:val="center"/>
            <w:hideMark/>
          </w:tcPr>
          <w:p w14:paraId="585B619D" w14:textId="77777777" w:rsidR="00516EB0" w:rsidRPr="003002CD" w:rsidRDefault="00516EB0" w:rsidP="004A2312">
            <w:pPr>
              <w:spacing w:after="0" w:line="240" w:lineRule="auto"/>
              <w:ind w:hanging="71"/>
              <w:rPr>
                <w:rFonts w:ascii="Times New Roman" w:eastAsia="Times New Roman" w:hAnsi="Times New Roman" w:cs="Times New Roman"/>
                <w:sz w:val="20"/>
                <w:szCs w:val="20"/>
                <w:lang w:eastAsia="en-GB"/>
              </w:rPr>
            </w:pPr>
          </w:p>
        </w:tc>
        <w:tc>
          <w:tcPr>
            <w:tcW w:w="959" w:type="dxa"/>
            <w:gridSpan w:val="2"/>
            <w:tcBorders>
              <w:top w:val="nil"/>
              <w:left w:val="nil"/>
              <w:bottom w:val="nil"/>
              <w:right w:val="nil"/>
            </w:tcBorders>
            <w:shd w:val="clear" w:color="auto" w:fill="auto"/>
            <w:noWrap/>
            <w:vAlign w:val="center"/>
            <w:hideMark/>
          </w:tcPr>
          <w:p w14:paraId="44BC9FD3" w14:textId="77777777" w:rsidR="00516EB0" w:rsidRPr="003002CD" w:rsidRDefault="00516EB0" w:rsidP="004A2312">
            <w:pPr>
              <w:spacing w:after="0" w:line="240" w:lineRule="auto"/>
              <w:ind w:hanging="71"/>
              <w:rPr>
                <w:rFonts w:ascii="Times New Roman" w:eastAsia="Times New Roman" w:hAnsi="Times New Roman" w:cs="Times New Roman"/>
                <w:sz w:val="20"/>
                <w:szCs w:val="20"/>
                <w:lang w:eastAsia="en-GB"/>
              </w:rPr>
            </w:pPr>
          </w:p>
        </w:tc>
        <w:tc>
          <w:tcPr>
            <w:tcW w:w="1016" w:type="dxa"/>
            <w:gridSpan w:val="3"/>
            <w:tcBorders>
              <w:top w:val="nil"/>
              <w:left w:val="nil"/>
              <w:bottom w:val="nil"/>
              <w:right w:val="nil"/>
            </w:tcBorders>
            <w:shd w:val="clear" w:color="auto" w:fill="auto"/>
            <w:noWrap/>
            <w:vAlign w:val="center"/>
            <w:hideMark/>
          </w:tcPr>
          <w:p w14:paraId="134C28B0" w14:textId="77777777" w:rsidR="00516EB0" w:rsidRPr="003002CD" w:rsidRDefault="00516EB0" w:rsidP="004A2312">
            <w:pPr>
              <w:spacing w:after="0" w:line="240" w:lineRule="auto"/>
              <w:ind w:hanging="71"/>
              <w:rPr>
                <w:rFonts w:ascii="Times New Roman" w:eastAsia="Times New Roman" w:hAnsi="Times New Roman" w:cs="Times New Roman"/>
                <w:sz w:val="20"/>
                <w:szCs w:val="20"/>
                <w:lang w:eastAsia="en-GB"/>
              </w:rPr>
            </w:pPr>
          </w:p>
        </w:tc>
        <w:tc>
          <w:tcPr>
            <w:tcW w:w="748" w:type="dxa"/>
            <w:gridSpan w:val="3"/>
            <w:tcBorders>
              <w:top w:val="nil"/>
              <w:left w:val="nil"/>
              <w:bottom w:val="nil"/>
              <w:right w:val="nil"/>
            </w:tcBorders>
            <w:shd w:val="clear" w:color="auto" w:fill="auto"/>
            <w:noWrap/>
            <w:vAlign w:val="center"/>
            <w:hideMark/>
          </w:tcPr>
          <w:p w14:paraId="6BC1A2E7" w14:textId="77777777" w:rsidR="00516EB0" w:rsidRPr="003002CD" w:rsidRDefault="00516EB0" w:rsidP="004A2312">
            <w:pPr>
              <w:spacing w:after="0" w:line="240" w:lineRule="auto"/>
              <w:ind w:hanging="71"/>
              <w:rPr>
                <w:rFonts w:ascii="Times New Roman" w:eastAsia="Times New Roman" w:hAnsi="Times New Roman" w:cs="Times New Roman"/>
                <w:sz w:val="20"/>
                <w:szCs w:val="20"/>
                <w:lang w:eastAsia="en-GB"/>
              </w:rPr>
            </w:pPr>
          </w:p>
        </w:tc>
      </w:tr>
      <w:tr w:rsidR="00516EB0" w:rsidRPr="003002CD" w14:paraId="4902CDE0" w14:textId="77777777" w:rsidTr="00B638C0">
        <w:trPr>
          <w:gridAfter w:val="2"/>
          <w:wAfter w:w="694" w:type="dxa"/>
          <w:trHeight w:val="588"/>
        </w:trPr>
        <w:tc>
          <w:tcPr>
            <w:tcW w:w="3698" w:type="dxa"/>
            <w:tcBorders>
              <w:top w:val="nil"/>
              <w:left w:val="nil"/>
              <w:bottom w:val="nil"/>
              <w:right w:val="nil"/>
            </w:tcBorders>
            <w:shd w:val="clear" w:color="auto" w:fill="auto"/>
            <w:vAlign w:val="center"/>
            <w:hideMark/>
          </w:tcPr>
          <w:p w14:paraId="7A2C3250" w14:textId="77777777" w:rsidR="00516EB0" w:rsidRPr="003002CD" w:rsidRDefault="00516EB0" w:rsidP="00516EB0">
            <w:pPr>
              <w:spacing w:after="0" w:line="240" w:lineRule="auto"/>
              <w:ind w:hanging="71"/>
              <w:rPr>
                <w:rFonts w:ascii="Times New Roman" w:eastAsia="Times New Roman" w:hAnsi="Times New Roman" w:cs="Times New Roman"/>
                <w:sz w:val="20"/>
                <w:szCs w:val="20"/>
                <w:lang w:eastAsia="en-GB"/>
              </w:rPr>
            </w:pPr>
          </w:p>
        </w:tc>
        <w:tc>
          <w:tcPr>
            <w:tcW w:w="2514" w:type="dxa"/>
            <w:gridSpan w:val="4"/>
            <w:tcBorders>
              <w:top w:val="nil"/>
              <w:left w:val="nil"/>
              <w:bottom w:val="single" w:sz="4" w:space="0" w:color="auto"/>
              <w:right w:val="nil"/>
            </w:tcBorders>
            <w:shd w:val="clear" w:color="auto" w:fill="auto"/>
            <w:hideMark/>
          </w:tcPr>
          <w:p w14:paraId="0C9328C4" w14:textId="77777777" w:rsidR="00516EB0" w:rsidRPr="003002CD" w:rsidRDefault="00516EB0" w:rsidP="006647C2">
            <w:pPr>
              <w:spacing w:after="0" w:line="240" w:lineRule="auto"/>
              <w:ind w:right="315" w:hanging="71"/>
              <w:jc w:val="center"/>
              <w:rPr>
                <w:rFonts w:ascii="Arial" w:eastAsia="Times New Roman" w:hAnsi="Arial" w:cs="Arial"/>
                <w:sz w:val="20"/>
                <w:szCs w:val="20"/>
                <w:lang w:eastAsia="en-GB"/>
              </w:rPr>
            </w:pPr>
            <w:r w:rsidRPr="003002CD">
              <w:rPr>
                <w:rFonts w:ascii="Arial" w:eastAsia="Times New Roman" w:hAnsi="Arial" w:cs="Arial"/>
                <w:sz w:val="20"/>
                <w:szCs w:val="20"/>
                <w:lang w:eastAsia="en-GB"/>
              </w:rPr>
              <w:t>Motivation Romania Foundation</w:t>
            </w:r>
          </w:p>
        </w:tc>
        <w:tc>
          <w:tcPr>
            <w:tcW w:w="1479" w:type="dxa"/>
            <w:gridSpan w:val="4"/>
            <w:tcBorders>
              <w:top w:val="nil"/>
              <w:left w:val="nil"/>
              <w:bottom w:val="single" w:sz="4" w:space="0" w:color="auto"/>
              <w:right w:val="nil"/>
            </w:tcBorders>
            <w:shd w:val="clear" w:color="auto" w:fill="auto"/>
            <w:hideMark/>
          </w:tcPr>
          <w:p w14:paraId="048FAADE" w14:textId="77777777" w:rsidR="00516EB0" w:rsidRPr="003002CD" w:rsidRDefault="00516EB0" w:rsidP="006647C2">
            <w:pPr>
              <w:spacing w:after="0" w:line="240" w:lineRule="auto"/>
              <w:ind w:left="-403" w:right="41"/>
              <w:jc w:val="center"/>
              <w:rPr>
                <w:rFonts w:ascii="Arial" w:eastAsia="Times New Roman" w:hAnsi="Arial" w:cs="Arial"/>
                <w:sz w:val="20"/>
                <w:szCs w:val="20"/>
                <w:lang w:eastAsia="en-GB"/>
              </w:rPr>
            </w:pPr>
            <w:proofErr w:type="spellStart"/>
            <w:r w:rsidRPr="003002CD">
              <w:rPr>
                <w:rFonts w:ascii="Arial" w:eastAsia="Times New Roman" w:hAnsi="Arial" w:cs="Arial"/>
                <w:sz w:val="20"/>
                <w:szCs w:val="20"/>
                <w:lang w:eastAsia="en-GB"/>
              </w:rPr>
              <w:t>Intergracja</w:t>
            </w:r>
            <w:proofErr w:type="spellEnd"/>
            <w:r w:rsidRPr="003002CD">
              <w:rPr>
                <w:rFonts w:ascii="Arial" w:eastAsia="Times New Roman" w:hAnsi="Arial" w:cs="Arial"/>
                <w:sz w:val="20"/>
                <w:szCs w:val="20"/>
                <w:lang w:eastAsia="en-GB"/>
              </w:rPr>
              <w:t xml:space="preserve"> Foundation</w:t>
            </w:r>
          </w:p>
        </w:tc>
        <w:tc>
          <w:tcPr>
            <w:tcW w:w="759" w:type="dxa"/>
            <w:gridSpan w:val="3"/>
          </w:tcPr>
          <w:p w14:paraId="169ABAF4" w14:textId="77777777" w:rsidR="00516EB0" w:rsidRPr="003002CD" w:rsidRDefault="00193396" w:rsidP="00516EB0">
            <w:pPr>
              <w:ind w:right="-519"/>
            </w:pPr>
            <w:r>
              <w:t>Total</w:t>
            </w:r>
          </w:p>
        </w:tc>
      </w:tr>
      <w:tr w:rsidR="00516EB0" w:rsidRPr="003002CD" w14:paraId="5B4C4FBB" w14:textId="77777777" w:rsidTr="00B638C0">
        <w:trPr>
          <w:trHeight w:val="343"/>
        </w:trPr>
        <w:tc>
          <w:tcPr>
            <w:tcW w:w="3698" w:type="dxa"/>
            <w:tcBorders>
              <w:top w:val="single" w:sz="4" w:space="0" w:color="auto"/>
              <w:left w:val="nil"/>
              <w:bottom w:val="nil"/>
              <w:right w:val="nil"/>
            </w:tcBorders>
            <w:shd w:val="clear" w:color="auto" w:fill="auto"/>
            <w:noWrap/>
            <w:vAlign w:val="center"/>
            <w:hideMark/>
          </w:tcPr>
          <w:p w14:paraId="0BA0DCCD" w14:textId="77777777" w:rsidR="00516EB0" w:rsidRPr="003002CD" w:rsidRDefault="00516EB0" w:rsidP="00516EB0">
            <w:pPr>
              <w:spacing w:after="0" w:line="240" w:lineRule="auto"/>
              <w:ind w:hanging="71"/>
              <w:rPr>
                <w:rFonts w:ascii="Arial" w:eastAsia="Times New Roman" w:hAnsi="Arial" w:cs="Arial"/>
                <w:sz w:val="20"/>
                <w:szCs w:val="20"/>
                <w:lang w:eastAsia="en-GB"/>
              </w:rPr>
            </w:pPr>
            <w:r>
              <w:rPr>
                <w:rFonts w:ascii="Arial" w:eastAsia="Times New Roman" w:hAnsi="Arial" w:cs="Arial"/>
                <w:sz w:val="20"/>
                <w:szCs w:val="20"/>
                <w:lang w:eastAsia="en-GB"/>
              </w:rPr>
              <w:t xml:space="preserve">Total </w:t>
            </w:r>
            <w:r w:rsidRPr="003002CD">
              <w:rPr>
                <w:rFonts w:ascii="Arial" w:eastAsia="Times New Roman" w:hAnsi="Arial" w:cs="Arial"/>
                <w:sz w:val="20"/>
                <w:szCs w:val="20"/>
                <w:lang w:eastAsia="en-GB"/>
              </w:rPr>
              <w:t xml:space="preserve">Shaw Trust </w:t>
            </w:r>
            <w:r w:rsidR="00613BAD">
              <w:rPr>
                <w:rFonts w:ascii="Arial" w:eastAsia="Times New Roman" w:hAnsi="Arial" w:cs="Arial"/>
                <w:sz w:val="20"/>
                <w:szCs w:val="20"/>
                <w:lang w:eastAsia="en-GB"/>
              </w:rPr>
              <w:t xml:space="preserve">Limited </w:t>
            </w:r>
            <w:r w:rsidRPr="003002CD">
              <w:rPr>
                <w:rFonts w:ascii="Arial" w:eastAsia="Times New Roman" w:hAnsi="Arial" w:cs="Arial"/>
                <w:sz w:val="20"/>
                <w:szCs w:val="20"/>
                <w:lang w:eastAsia="en-GB"/>
              </w:rPr>
              <w:t>share of:</w:t>
            </w:r>
          </w:p>
        </w:tc>
        <w:tc>
          <w:tcPr>
            <w:tcW w:w="1034" w:type="dxa"/>
            <w:tcBorders>
              <w:top w:val="nil"/>
              <w:left w:val="nil"/>
              <w:bottom w:val="nil"/>
              <w:right w:val="nil"/>
            </w:tcBorders>
            <w:shd w:val="clear" w:color="auto" w:fill="auto"/>
            <w:noWrap/>
            <w:vAlign w:val="center"/>
            <w:hideMark/>
          </w:tcPr>
          <w:p w14:paraId="35435075" w14:textId="77777777" w:rsidR="00516EB0" w:rsidRPr="00543D10" w:rsidRDefault="00516EB0" w:rsidP="006647C2">
            <w:pPr>
              <w:spacing w:after="0" w:line="240" w:lineRule="auto"/>
              <w:ind w:hanging="71"/>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2020</w:t>
            </w:r>
          </w:p>
        </w:tc>
        <w:tc>
          <w:tcPr>
            <w:tcW w:w="885" w:type="dxa"/>
            <w:gridSpan w:val="2"/>
            <w:tcBorders>
              <w:top w:val="nil"/>
              <w:left w:val="nil"/>
              <w:bottom w:val="nil"/>
              <w:right w:val="nil"/>
            </w:tcBorders>
            <w:shd w:val="clear" w:color="auto" w:fill="auto"/>
            <w:noWrap/>
            <w:vAlign w:val="center"/>
            <w:hideMark/>
          </w:tcPr>
          <w:p w14:paraId="727263E1" w14:textId="77777777" w:rsidR="00516EB0" w:rsidRPr="00543D10" w:rsidRDefault="00516EB0" w:rsidP="006647C2">
            <w:pPr>
              <w:spacing w:after="0" w:line="240" w:lineRule="auto"/>
              <w:ind w:hanging="71"/>
              <w:jc w:val="right"/>
              <w:rPr>
                <w:rFonts w:ascii="Arial" w:eastAsia="Times New Roman" w:hAnsi="Arial" w:cs="Arial"/>
                <w:sz w:val="20"/>
                <w:szCs w:val="20"/>
                <w:lang w:eastAsia="en-GB"/>
              </w:rPr>
            </w:pPr>
            <w:r>
              <w:rPr>
                <w:rFonts w:ascii="Arial" w:eastAsia="Times New Roman" w:hAnsi="Arial" w:cs="Arial"/>
                <w:sz w:val="20"/>
                <w:szCs w:val="20"/>
                <w:lang w:eastAsia="en-GB"/>
              </w:rPr>
              <w:t>2019</w:t>
            </w:r>
          </w:p>
        </w:tc>
        <w:tc>
          <w:tcPr>
            <w:tcW w:w="959" w:type="dxa"/>
            <w:gridSpan w:val="2"/>
            <w:tcBorders>
              <w:top w:val="nil"/>
              <w:left w:val="nil"/>
              <w:bottom w:val="nil"/>
              <w:right w:val="nil"/>
            </w:tcBorders>
            <w:shd w:val="clear" w:color="auto" w:fill="auto"/>
            <w:noWrap/>
            <w:vAlign w:val="center"/>
            <w:hideMark/>
          </w:tcPr>
          <w:p w14:paraId="296EA49A" w14:textId="77777777" w:rsidR="00516EB0" w:rsidRPr="00543D10" w:rsidRDefault="00516EB0" w:rsidP="006647C2">
            <w:pPr>
              <w:spacing w:after="0" w:line="240" w:lineRule="auto"/>
              <w:ind w:hanging="71"/>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2020</w:t>
            </w:r>
          </w:p>
        </w:tc>
        <w:tc>
          <w:tcPr>
            <w:tcW w:w="967" w:type="dxa"/>
            <w:gridSpan w:val="2"/>
            <w:tcBorders>
              <w:top w:val="nil"/>
              <w:left w:val="nil"/>
              <w:bottom w:val="nil"/>
              <w:right w:val="nil"/>
            </w:tcBorders>
            <w:shd w:val="clear" w:color="auto" w:fill="auto"/>
            <w:noWrap/>
            <w:vAlign w:val="center"/>
            <w:hideMark/>
          </w:tcPr>
          <w:p w14:paraId="14AD7726" w14:textId="77777777" w:rsidR="00516EB0" w:rsidRPr="00193396" w:rsidRDefault="00193396" w:rsidP="006647C2">
            <w:pPr>
              <w:spacing w:after="0" w:line="240" w:lineRule="auto"/>
              <w:ind w:hanging="71"/>
              <w:jc w:val="right"/>
              <w:rPr>
                <w:rFonts w:ascii="Arial" w:eastAsia="Times New Roman" w:hAnsi="Arial" w:cs="Arial"/>
                <w:sz w:val="20"/>
                <w:szCs w:val="20"/>
                <w:lang w:eastAsia="en-GB"/>
              </w:rPr>
            </w:pPr>
            <w:r w:rsidRPr="006647C2">
              <w:rPr>
                <w:rFonts w:ascii="Arial" w:eastAsia="Times New Roman" w:hAnsi="Arial" w:cs="Arial"/>
                <w:bCs/>
                <w:sz w:val="20"/>
                <w:szCs w:val="20"/>
                <w:lang w:eastAsia="en-GB"/>
              </w:rPr>
              <w:t>2019</w:t>
            </w:r>
          </w:p>
        </w:tc>
        <w:tc>
          <w:tcPr>
            <w:tcW w:w="853" w:type="dxa"/>
            <w:gridSpan w:val="3"/>
            <w:tcBorders>
              <w:top w:val="single" w:sz="4" w:space="0" w:color="auto"/>
              <w:left w:val="nil"/>
              <w:bottom w:val="nil"/>
              <w:right w:val="nil"/>
            </w:tcBorders>
            <w:shd w:val="clear" w:color="auto" w:fill="auto"/>
            <w:noWrap/>
            <w:vAlign w:val="center"/>
            <w:hideMark/>
          </w:tcPr>
          <w:p w14:paraId="5DC0A00E" w14:textId="77777777" w:rsidR="00516EB0" w:rsidRPr="00543D10" w:rsidRDefault="00516EB0" w:rsidP="006647C2">
            <w:pPr>
              <w:spacing w:after="0" w:line="240" w:lineRule="auto"/>
              <w:ind w:hanging="71"/>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2020</w:t>
            </w:r>
          </w:p>
        </w:tc>
        <w:tc>
          <w:tcPr>
            <w:tcW w:w="748" w:type="dxa"/>
            <w:gridSpan w:val="3"/>
            <w:tcBorders>
              <w:top w:val="single" w:sz="4" w:space="0" w:color="auto"/>
              <w:left w:val="nil"/>
              <w:bottom w:val="nil"/>
              <w:right w:val="nil"/>
            </w:tcBorders>
            <w:shd w:val="clear" w:color="auto" w:fill="auto"/>
            <w:noWrap/>
            <w:vAlign w:val="center"/>
            <w:hideMark/>
          </w:tcPr>
          <w:p w14:paraId="41C91C37" w14:textId="77777777" w:rsidR="00516EB0" w:rsidRPr="00543D10" w:rsidRDefault="00516EB0" w:rsidP="006647C2">
            <w:pPr>
              <w:spacing w:after="0" w:line="240" w:lineRule="auto"/>
              <w:ind w:hanging="71"/>
              <w:jc w:val="right"/>
              <w:rPr>
                <w:rFonts w:ascii="Arial" w:eastAsia="Times New Roman" w:hAnsi="Arial" w:cs="Arial"/>
                <w:sz w:val="20"/>
                <w:szCs w:val="20"/>
                <w:lang w:eastAsia="en-GB"/>
              </w:rPr>
            </w:pPr>
            <w:r>
              <w:rPr>
                <w:rFonts w:ascii="Arial" w:eastAsia="Times New Roman" w:hAnsi="Arial" w:cs="Arial"/>
                <w:sz w:val="20"/>
                <w:szCs w:val="20"/>
                <w:lang w:eastAsia="en-GB"/>
              </w:rPr>
              <w:t>2019</w:t>
            </w:r>
          </w:p>
        </w:tc>
      </w:tr>
      <w:tr w:rsidR="00516EB0" w:rsidRPr="003002CD" w14:paraId="5C87F5C1" w14:textId="77777777" w:rsidTr="00B638C0">
        <w:trPr>
          <w:trHeight w:val="343"/>
        </w:trPr>
        <w:tc>
          <w:tcPr>
            <w:tcW w:w="3698" w:type="dxa"/>
            <w:tcBorders>
              <w:top w:val="nil"/>
              <w:left w:val="nil"/>
              <w:bottom w:val="single" w:sz="4" w:space="0" w:color="auto"/>
              <w:right w:val="nil"/>
            </w:tcBorders>
            <w:shd w:val="clear" w:color="auto" w:fill="auto"/>
            <w:noWrap/>
            <w:vAlign w:val="center"/>
            <w:hideMark/>
          </w:tcPr>
          <w:p w14:paraId="199BAC67" w14:textId="77777777" w:rsidR="00516EB0" w:rsidRPr="003002CD" w:rsidRDefault="00516EB0" w:rsidP="00516EB0">
            <w:pPr>
              <w:spacing w:after="0" w:line="240" w:lineRule="auto"/>
              <w:ind w:hanging="71"/>
              <w:rPr>
                <w:rFonts w:ascii="Arial" w:eastAsia="Times New Roman" w:hAnsi="Arial" w:cs="Arial"/>
                <w:sz w:val="20"/>
                <w:szCs w:val="20"/>
                <w:lang w:eastAsia="en-GB"/>
              </w:rPr>
            </w:pPr>
            <w:r w:rsidRPr="003002CD">
              <w:rPr>
                <w:rFonts w:ascii="Arial" w:eastAsia="Times New Roman" w:hAnsi="Arial" w:cs="Arial"/>
                <w:sz w:val="20"/>
                <w:szCs w:val="20"/>
                <w:lang w:eastAsia="en-GB"/>
              </w:rPr>
              <w:t> </w:t>
            </w:r>
          </w:p>
        </w:tc>
        <w:tc>
          <w:tcPr>
            <w:tcW w:w="1034" w:type="dxa"/>
            <w:tcBorders>
              <w:top w:val="nil"/>
              <w:left w:val="nil"/>
              <w:bottom w:val="single" w:sz="4" w:space="0" w:color="auto"/>
              <w:right w:val="nil"/>
            </w:tcBorders>
            <w:shd w:val="clear" w:color="auto" w:fill="auto"/>
            <w:noWrap/>
            <w:vAlign w:val="center"/>
            <w:hideMark/>
          </w:tcPr>
          <w:p w14:paraId="04319B60" w14:textId="77777777" w:rsidR="00516EB0" w:rsidRPr="00543D10" w:rsidRDefault="00516EB0" w:rsidP="006647C2">
            <w:pPr>
              <w:spacing w:after="0" w:line="240" w:lineRule="auto"/>
              <w:ind w:hanging="71"/>
              <w:jc w:val="right"/>
              <w:rPr>
                <w:rFonts w:ascii="Arial" w:eastAsia="Times New Roman" w:hAnsi="Arial" w:cs="Arial"/>
                <w:b/>
                <w:bCs/>
                <w:sz w:val="20"/>
                <w:szCs w:val="20"/>
                <w:lang w:eastAsia="en-GB"/>
              </w:rPr>
            </w:pPr>
            <w:r w:rsidRPr="00543D10">
              <w:rPr>
                <w:rFonts w:ascii="Arial" w:eastAsia="Times New Roman" w:hAnsi="Arial" w:cs="Arial"/>
                <w:b/>
                <w:bCs/>
                <w:sz w:val="20"/>
                <w:szCs w:val="20"/>
                <w:lang w:eastAsia="en-GB"/>
              </w:rPr>
              <w:t>£’000</w:t>
            </w:r>
          </w:p>
        </w:tc>
        <w:tc>
          <w:tcPr>
            <w:tcW w:w="885" w:type="dxa"/>
            <w:gridSpan w:val="2"/>
            <w:tcBorders>
              <w:top w:val="nil"/>
              <w:left w:val="nil"/>
              <w:bottom w:val="single" w:sz="4" w:space="0" w:color="auto"/>
              <w:right w:val="nil"/>
            </w:tcBorders>
            <w:shd w:val="clear" w:color="auto" w:fill="auto"/>
            <w:noWrap/>
            <w:vAlign w:val="center"/>
            <w:hideMark/>
          </w:tcPr>
          <w:p w14:paraId="7E226EF0" w14:textId="77777777" w:rsidR="00516EB0" w:rsidRPr="00543D10" w:rsidRDefault="00516EB0" w:rsidP="006647C2">
            <w:pPr>
              <w:spacing w:after="0" w:line="240" w:lineRule="auto"/>
              <w:ind w:hanging="71"/>
              <w:jc w:val="right"/>
              <w:rPr>
                <w:rFonts w:ascii="Arial" w:eastAsia="Times New Roman" w:hAnsi="Arial" w:cs="Arial"/>
                <w:sz w:val="20"/>
                <w:szCs w:val="20"/>
                <w:lang w:eastAsia="en-GB"/>
              </w:rPr>
            </w:pPr>
            <w:r w:rsidRPr="00543D10">
              <w:rPr>
                <w:rFonts w:ascii="Arial" w:eastAsia="Times New Roman" w:hAnsi="Arial" w:cs="Arial"/>
                <w:sz w:val="20"/>
                <w:szCs w:val="20"/>
                <w:lang w:eastAsia="en-GB"/>
              </w:rPr>
              <w:t>£’000</w:t>
            </w:r>
          </w:p>
        </w:tc>
        <w:tc>
          <w:tcPr>
            <w:tcW w:w="959" w:type="dxa"/>
            <w:gridSpan w:val="2"/>
            <w:tcBorders>
              <w:top w:val="nil"/>
              <w:left w:val="nil"/>
              <w:bottom w:val="single" w:sz="4" w:space="0" w:color="auto"/>
              <w:right w:val="nil"/>
            </w:tcBorders>
            <w:shd w:val="clear" w:color="auto" w:fill="auto"/>
            <w:noWrap/>
            <w:vAlign w:val="center"/>
            <w:hideMark/>
          </w:tcPr>
          <w:p w14:paraId="0A06EED1" w14:textId="77777777" w:rsidR="00516EB0" w:rsidRPr="00543D10" w:rsidRDefault="00516EB0" w:rsidP="006647C2">
            <w:pPr>
              <w:spacing w:after="0" w:line="240" w:lineRule="auto"/>
              <w:ind w:hanging="71"/>
              <w:jc w:val="right"/>
              <w:rPr>
                <w:rFonts w:ascii="Arial" w:eastAsia="Times New Roman" w:hAnsi="Arial" w:cs="Arial"/>
                <w:b/>
                <w:bCs/>
                <w:sz w:val="20"/>
                <w:szCs w:val="20"/>
                <w:lang w:eastAsia="en-GB"/>
              </w:rPr>
            </w:pPr>
            <w:r w:rsidRPr="00543D10">
              <w:rPr>
                <w:rFonts w:ascii="Arial" w:eastAsia="Times New Roman" w:hAnsi="Arial" w:cs="Arial"/>
                <w:b/>
                <w:bCs/>
                <w:sz w:val="20"/>
                <w:szCs w:val="20"/>
                <w:lang w:eastAsia="en-GB"/>
              </w:rPr>
              <w:t>£’000</w:t>
            </w:r>
          </w:p>
        </w:tc>
        <w:tc>
          <w:tcPr>
            <w:tcW w:w="967" w:type="dxa"/>
            <w:gridSpan w:val="2"/>
            <w:tcBorders>
              <w:top w:val="nil"/>
              <w:left w:val="nil"/>
              <w:bottom w:val="single" w:sz="4" w:space="0" w:color="auto"/>
              <w:right w:val="nil"/>
            </w:tcBorders>
            <w:shd w:val="clear" w:color="auto" w:fill="auto"/>
            <w:noWrap/>
            <w:vAlign w:val="center"/>
            <w:hideMark/>
          </w:tcPr>
          <w:p w14:paraId="470484B1" w14:textId="77777777" w:rsidR="00516EB0" w:rsidRPr="00193396" w:rsidRDefault="00516EB0" w:rsidP="006647C2">
            <w:pPr>
              <w:spacing w:after="0" w:line="240" w:lineRule="auto"/>
              <w:ind w:hanging="71"/>
              <w:jc w:val="right"/>
              <w:rPr>
                <w:rFonts w:ascii="Arial" w:eastAsia="Times New Roman" w:hAnsi="Arial" w:cs="Arial"/>
                <w:sz w:val="20"/>
                <w:szCs w:val="20"/>
                <w:lang w:eastAsia="en-GB"/>
              </w:rPr>
            </w:pPr>
            <w:r w:rsidRPr="006647C2">
              <w:rPr>
                <w:rFonts w:ascii="Arial" w:eastAsia="Times New Roman" w:hAnsi="Arial" w:cs="Arial"/>
                <w:bCs/>
                <w:sz w:val="20"/>
                <w:szCs w:val="20"/>
                <w:lang w:eastAsia="en-GB"/>
              </w:rPr>
              <w:t>£’000</w:t>
            </w:r>
          </w:p>
        </w:tc>
        <w:tc>
          <w:tcPr>
            <w:tcW w:w="853" w:type="dxa"/>
            <w:gridSpan w:val="3"/>
            <w:tcBorders>
              <w:top w:val="nil"/>
              <w:left w:val="nil"/>
              <w:bottom w:val="single" w:sz="4" w:space="0" w:color="auto"/>
              <w:right w:val="nil"/>
            </w:tcBorders>
            <w:shd w:val="clear" w:color="auto" w:fill="auto"/>
            <w:noWrap/>
            <w:vAlign w:val="center"/>
            <w:hideMark/>
          </w:tcPr>
          <w:p w14:paraId="1363600E" w14:textId="77777777" w:rsidR="00516EB0" w:rsidRPr="00543D10" w:rsidRDefault="00516EB0" w:rsidP="006647C2">
            <w:pPr>
              <w:spacing w:after="0" w:line="240" w:lineRule="auto"/>
              <w:ind w:hanging="71"/>
              <w:jc w:val="right"/>
              <w:rPr>
                <w:rFonts w:ascii="Arial" w:eastAsia="Times New Roman" w:hAnsi="Arial" w:cs="Arial"/>
                <w:b/>
                <w:bCs/>
                <w:sz w:val="20"/>
                <w:szCs w:val="20"/>
                <w:lang w:eastAsia="en-GB"/>
              </w:rPr>
            </w:pPr>
            <w:r w:rsidRPr="00543D10">
              <w:rPr>
                <w:rFonts w:ascii="Arial" w:eastAsia="Times New Roman" w:hAnsi="Arial" w:cs="Arial"/>
                <w:b/>
                <w:bCs/>
                <w:sz w:val="20"/>
                <w:szCs w:val="20"/>
                <w:lang w:eastAsia="en-GB"/>
              </w:rPr>
              <w:t>£’000</w:t>
            </w:r>
          </w:p>
        </w:tc>
        <w:tc>
          <w:tcPr>
            <w:tcW w:w="748" w:type="dxa"/>
            <w:gridSpan w:val="3"/>
            <w:tcBorders>
              <w:top w:val="nil"/>
              <w:left w:val="nil"/>
              <w:bottom w:val="single" w:sz="4" w:space="0" w:color="auto"/>
              <w:right w:val="nil"/>
            </w:tcBorders>
            <w:shd w:val="clear" w:color="auto" w:fill="auto"/>
            <w:noWrap/>
            <w:vAlign w:val="center"/>
            <w:hideMark/>
          </w:tcPr>
          <w:p w14:paraId="6668C62F" w14:textId="77777777" w:rsidR="00516EB0" w:rsidRPr="00543D10" w:rsidRDefault="00516EB0" w:rsidP="006647C2">
            <w:pPr>
              <w:spacing w:after="0" w:line="240" w:lineRule="auto"/>
              <w:ind w:hanging="71"/>
              <w:jc w:val="right"/>
              <w:rPr>
                <w:rFonts w:ascii="Arial" w:eastAsia="Times New Roman" w:hAnsi="Arial" w:cs="Arial"/>
                <w:sz w:val="20"/>
                <w:szCs w:val="20"/>
                <w:lang w:eastAsia="en-GB"/>
              </w:rPr>
            </w:pPr>
            <w:r w:rsidRPr="00543D10">
              <w:rPr>
                <w:rFonts w:ascii="Arial" w:eastAsia="Times New Roman" w:hAnsi="Arial" w:cs="Arial"/>
                <w:sz w:val="20"/>
                <w:szCs w:val="20"/>
                <w:lang w:eastAsia="en-GB"/>
              </w:rPr>
              <w:t>£’000</w:t>
            </w:r>
          </w:p>
        </w:tc>
      </w:tr>
      <w:tr w:rsidR="00516EB0" w:rsidRPr="003002CD" w14:paraId="2A2418F3" w14:textId="77777777" w:rsidTr="00B638C0">
        <w:trPr>
          <w:trHeight w:val="343"/>
        </w:trPr>
        <w:tc>
          <w:tcPr>
            <w:tcW w:w="3698" w:type="dxa"/>
            <w:tcBorders>
              <w:top w:val="nil"/>
              <w:left w:val="nil"/>
              <w:bottom w:val="nil"/>
              <w:right w:val="nil"/>
            </w:tcBorders>
            <w:shd w:val="clear" w:color="auto" w:fill="auto"/>
            <w:noWrap/>
            <w:vAlign w:val="center"/>
            <w:hideMark/>
          </w:tcPr>
          <w:p w14:paraId="66EBD08B" w14:textId="77777777" w:rsidR="00516EB0" w:rsidRPr="003002CD" w:rsidRDefault="00516EB0" w:rsidP="00516EB0">
            <w:pPr>
              <w:spacing w:after="0" w:line="240" w:lineRule="auto"/>
              <w:ind w:hanging="71"/>
              <w:rPr>
                <w:rFonts w:ascii="Arial" w:eastAsia="Times New Roman" w:hAnsi="Arial" w:cs="Arial"/>
                <w:sz w:val="20"/>
                <w:szCs w:val="20"/>
                <w:lang w:eastAsia="en-GB"/>
              </w:rPr>
            </w:pPr>
            <w:r w:rsidRPr="003002CD">
              <w:rPr>
                <w:rFonts w:ascii="Arial" w:eastAsia="Times New Roman" w:hAnsi="Arial" w:cs="Arial"/>
                <w:sz w:val="20"/>
                <w:szCs w:val="20"/>
                <w:lang w:eastAsia="en-GB"/>
              </w:rPr>
              <w:t>Total assets</w:t>
            </w:r>
          </w:p>
        </w:tc>
        <w:tc>
          <w:tcPr>
            <w:tcW w:w="1034" w:type="dxa"/>
            <w:tcBorders>
              <w:top w:val="nil"/>
              <w:left w:val="nil"/>
              <w:bottom w:val="nil"/>
              <w:right w:val="nil"/>
            </w:tcBorders>
            <w:shd w:val="clear" w:color="auto" w:fill="auto"/>
            <w:noWrap/>
            <w:vAlign w:val="center"/>
          </w:tcPr>
          <w:p w14:paraId="7FAC3FC1" w14:textId="77777777" w:rsidR="00516EB0" w:rsidRPr="00543D10" w:rsidRDefault="00516EB0" w:rsidP="006647C2">
            <w:pPr>
              <w:spacing w:after="0" w:line="240" w:lineRule="auto"/>
              <w:ind w:hanging="71"/>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w:t>
            </w:r>
          </w:p>
        </w:tc>
        <w:tc>
          <w:tcPr>
            <w:tcW w:w="885" w:type="dxa"/>
            <w:gridSpan w:val="2"/>
            <w:tcBorders>
              <w:top w:val="nil"/>
              <w:left w:val="nil"/>
              <w:bottom w:val="nil"/>
              <w:right w:val="nil"/>
            </w:tcBorders>
            <w:shd w:val="clear" w:color="auto" w:fill="auto"/>
            <w:noWrap/>
            <w:vAlign w:val="center"/>
            <w:hideMark/>
          </w:tcPr>
          <w:p w14:paraId="0E16D876" w14:textId="77777777" w:rsidR="00516EB0" w:rsidRPr="00265730" w:rsidRDefault="00516EB0" w:rsidP="006647C2">
            <w:pPr>
              <w:spacing w:after="0" w:line="240" w:lineRule="auto"/>
              <w:ind w:hanging="71"/>
              <w:jc w:val="right"/>
              <w:rPr>
                <w:rFonts w:ascii="Arial" w:eastAsia="Times New Roman" w:hAnsi="Arial" w:cs="Arial"/>
                <w:sz w:val="20"/>
                <w:szCs w:val="20"/>
                <w:lang w:eastAsia="en-GB"/>
              </w:rPr>
            </w:pPr>
            <w:r w:rsidRPr="00265730">
              <w:rPr>
                <w:rFonts w:ascii="Arial" w:eastAsia="Times New Roman" w:hAnsi="Arial" w:cs="Arial"/>
                <w:bCs/>
                <w:sz w:val="20"/>
                <w:szCs w:val="20"/>
                <w:lang w:eastAsia="en-GB"/>
              </w:rPr>
              <w:t>1,694</w:t>
            </w:r>
          </w:p>
        </w:tc>
        <w:tc>
          <w:tcPr>
            <w:tcW w:w="959" w:type="dxa"/>
            <w:gridSpan w:val="2"/>
            <w:tcBorders>
              <w:top w:val="nil"/>
              <w:left w:val="nil"/>
              <w:bottom w:val="nil"/>
              <w:right w:val="nil"/>
            </w:tcBorders>
            <w:shd w:val="clear" w:color="auto" w:fill="auto"/>
            <w:noWrap/>
            <w:vAlign w:val="center"/>
          </w:tcPr>
          <w:p w14:paraId="1D7AD866" w14:textId="77777777" w:rsidR="00516EB0" w:rsidRPr="00543D10" w:rsidRDefault="00516EB0" w:rsidP="006647C2">
            <w:pPr>
              <w:spacing w:after="0" w:line="240" w:lineRule="auto"/>
              <w:ind w:hanging="71"/>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78</w:t>
            </w:r>
          </w:p>
        </w:tc>
        <w:tc>
          <w:tcPr>
            <w:tcW w:w="967" w:type="dxa"/>
            <w:gridSpan w:val="2"/>
            <w:tcBorders>
              <w:top w:val="nil"/>
              <w:left w:val="nil"/>
              <w:bottom w:val="nil"/>
              <w:right w:val="nil"/>
            </w:tcBorders>
            <w:shd w:val="clear" w:color="auto" w:fill="auto"/>
            <w:noWrap/>
            <w:vAlign w:val="center"/>
          </w:tcPr>
          <w:p w14:paraId="0CCC7702" w14:textId="77777777" w:rsidR="00516EB0" w:rsidRPr="00193396" w:rsidRDefault="00193396" w:rsidP="006647C2">
            <w:pPr>
              <w:spacing w:after="0" w:line="240" w:lineRule="auto"/>
              <w:ind w:hanging="71"/>
              <w:jc w:val="right"/>
              <w:rPr>
                <w:rFonts w:ascii="Arial" w:eastAsia="Times New Roman" w:hAnsi="Arial" w:cs="Arial"/>
                <w:sz w:val="20"/>
                <w:szCs w:val="20"/>
                <w:lang w:eastAsia="en-GB"/>
              </w:rPr>
            </w:pPr>
            <w:r w:rsidRPr="00193396">
              <w:rPr>
                <w:rFonts w:ascii="Arial" w:eastAsia="Times New Roman" w:hAnsi="Arial" w:cs="Arial"/>
                <w:bCs/>
                <w:sz w:val="20"/>
                <w:szCs w:val="20"/>
                <w:lang w:eastAsia="en-GB"/>
              </w:rPr>
              <w:t>105</w:t>
            </w:r>
          </w:p>
        </w:tc>
        <w:tc>
          <w:tcPr>
            <w:tcW w:w="853" w:type="dxa"/>
            <w:gridSpan w:val="3"/>
            <w:tcBorders>
              <w:top w:val="nil"/>
              <w:left w:val="nil"/>
              <w:bottom w:val="nil"/>
              <w:right w:val="nil"/>
            </w:tcBorders>
            <w:shd w:val="clear" w:color="auto" w:fill="auto"/>
            <w:noWrap/>
            <w:vAlign w:val="center"/>
          </w:tcPr>
          <w:p w14:paraId="1AFE32D0" w14:textId="77777777" w:rsidR="00516EB0" w:rsidRPr="00265730" w:rsidRDefault="00193396" w:rsidP="006647C2">
            <w:pPr>
              <w:spacing w:after="0" w:line="240" w:lineRule="auto"/>
              <w:ind w:hanging="71"/>
              <w:jc w:val="right"/>
              <w:rPr>
                <w:rFonts w:ascii="Arial" w:eastAsia="Times New Roman" w:hAnsi="Arial" w:cs="Arial"/>
                <w:b/>
                <w:sz w:val="20"/>
                <w:szCs w:val="20"/>
                <w:lang w:eastAsia="en-GB"/>
              </w:rPr>
            </w:pPr>
            <w:r>
              <w:rPr>
                <w:rFonts w:ascii="Arial" w:eastAsia="Times New Roman" w:hAnsi="Arial" w:cs="Arial"/>
                <w:b/>
                <w:sz w:val="20"/>
                <w:szCs w:val="20"/>
                <w:lang w:eastAsia="en-GB"/>
              </w:rPr>
              <w:t>78</w:t>
            </w:r>
          </w:p>
        </w:tc>
        <w:tc>
          <w:tcPr>
            <w:tcW w:w="748" w:type="dxa"/>
            <w:gridSpan w:val="3"/>
            <w:tcBorders>
              <w:top w:val="nil"/>
              <w:left w:val="nil"/>
              <w:bottom w:val="nil"/>
              <w:right w:val="nil"/>
            </w:tcBorders>
            <w:shd w:val="clear" w:color="auto" w:fill="auto"/>
            <w:noWrap/>
            <w:vAlign w:val="center"/>
            <w:hideMark/>
          </w:tcPr>
          <w:p w14:paraId="24F01A0D" w14:textId="77777777" w:rsidR="00516EB0" w:rsidRPr="00543D10" w:rsidRDefault="00516EB0" w:rsidP="006647C2">
            <w:pPr>
              <w:spacing w:after="0" w:line="240" w:lineRule="auto"/>
              <w:ind w:hanging="71"/>
              <w:jc w:val="right"/>
              <w:rPr>
                <w:rFonts w:ascii="Arial" w:eastAsia="Times New Roman" w:hAnsi="Arial" w:cs="Arial"/>
                <w:sz w:val="20"/>
                <w:szCs w:val="20"/>
                <w:lang w:eastAsia="en-GB"/>
              </w:rPr>
            </w:pPr>
            <w:r w:rsidRPr="00543D10">
              <w:rPr>
                <w:rFonts w:ascii="Arial" w:eastAsia="Times New Roman" w:hAnsi="Arial" w:cs="Arial"/>
                <w:sz w:val="20"/>
                <w:szCs w:val="20"/>
                <w:lang w:eastAsia="en-GB"/>
              </w:rPr>
              <w:t>1,799</w:t>
            </w:r>
          </w:p>
        </w:tc>
      </w:tr>
      <w:tr w:rsidR="00516EB0" w:rsidRPr="003002CD" w14:paraId="7AC6AD36" w14:textId="77777777" w:rsidTr="00B638C0">
        <w:trPr>
          <w:trHeight w:val="343"/>
        </w:trPr>
        <w:tc>
          <w:tcPr>
            <w:tcW w:w="3698" w:type="dxa"/>
            <w:tcBorders>
              <w:top w:val="nil"/>
              <w:left w:val="nil"/>
              <w:bottom w:val="single" w:sz="4" w:space="0" w:color="auto"/>
              <w:right w:val="nil"/>
            </w:tcBorders>
            <w:shd w:val="clear" w:color="auto" w:fill="auto"/>
            <w:noWrap/>
            <w:vAlign w:val="center"/>
            <w:hideMark/>
          </w:tcPr>
          <w:p w14:paraId="45DDECE8" w14:textId="77777777" w:rsidR="00516EB0" w:rsidRPr="003002CD" w:rsidRDefault="00516EB0" w:rsidP="00516EB0">
            <w:pPr>
              <w:spacing w:after="0" w:line="240" w:lineRule="auto"/>
              <w:ind w:hanging="71"/>
              <w:rPr>
                <w:rFonts w:ascii="Arial" w:eastAsia="Times New Roman" w:hAnsi="Arial" w:cs="Arial"/>
                <w:sz w:val="20"/>
                <w:szCs w:val="20"/>
                <w:lang w:eastAsia="en-GB"/>
              </w:rPr>
            </w:pPr>
            <w:r w:rsidRPr="003002CD">
              <w:rPr>
                <w:rFonts w:ascii="Arial" w:eastAsia="Times New Roman" w:hAnsi="Arial" w:cs="Arial"/>
                <w:sz w:val="20"/>
                <w:szCs w:val="20"/>
                <w:lang w:eastAsia="en-GB"/>
              </w:rPr>
              <w:t>Total liabilities</w:t>
            </w:r>
          </w:p>
        </w:tc>
        <w:tc>
          <w:tcPr>
            <w:tcW w:w="1034" w:type="dxa"/>
            <w:tcBorders>
              <w:top w:val="nil"/>
              <w:left w:val="nil"/>
              <w:bottom w:val="single" w:sz="4" w:space="0" w:color="auto"/>
              <w:right w:val="nil"/>
            </w:tcBorders>
            <w:shd w:val="clear" w:color="auto" w:fill="auto"/>
            <w:noWrap/>
            <w:vAlign w:val="center"/>
          </w:tcPr>
          <w:p w14:paraId="6DD656D2" w14:textId="77777777" w:rsidR="00516EB0" w:rsidRPr="00543D10" w:rsidRDefault="00516EB0" w:rsidP="006647C2">
            <w:pPr>
              <w:spacing w:after="0" w:line="240" w:lineRule="auto"/>
              <w:ind w:hanging="71"/>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w:t>
            </w:r>
          </w:p>
        </w:tc>
        <w:tc>
          <w:tcPr>
            <w:tcW w:w="885" w:type="dxa"/>
            <w:gridSpan w:val="2"/>
            <w:tcBorders>
              <w:top w:val="nil"/>
              <w:left w:val="nil"/>
              <w:bottom w:val="single" w:sz="4" w:space="0" w:color="auto"/>
              <w:right w:val="nil"/>
            </w:tcBorders>
            <w:shd w:val="clear" w:color="auto" w:fill="auto"/>
            <w:noWrap/>
            <w:vAlign w:val="center"/>
            <w:hideMark/>
          </w:tcPr>
          <w:p w14:paraId="52CDAEA0" w14:textId="77777777" w:rsidR="00516EB0" w:rsidRPr="00265730" w:rsidRDefault="00516EB0" w:rsidP="006647C2">
            <w:pPr>
              <w:spacing w:after="0" w:line="240" w:lineRule="auto"/>
              <w:ind w:hanging="71"/>
              <w:jc w:val="right"/>
              <w:rPr>
                <w:rFonts w:ascii="Arial" w:eastAsia="Times New Roman" w:hAnsi="Arial" w:cs="Arial"/>
                <w:sz w:val="20"/>
                <w:szCs w:val="20"/>
                <w:lang w:eastAsia="en-GB"/>
              </w:rPr>
            </w:pPr>
            <w:r w:rsidRPr="00265730">
              <w:rPr>
                <w:rFonts w:ascii="Arial" w:eastAsia="Times New Roman" w:hAnsi="Arial" w:cs="Arial"/>
                <w:bCs/>
                <w:sz w:val="20"/>
                <w:szCs w:val="20"/>
                <w:lang w:eastAsia="en-GB"/>
              </w:rPr>
              <w:t>(696)</w:t>
            </w:r>
          </w:p>
        </w:tc>
        <w:tc>
          <w:tcPr>
            <w:tcW w:w="959" w:type="dxa"/>
            <w:gridSpan w:val="2"/>
            <w:tcBorders>
              <w:top w:val="nil"/>
              <w:left w:val="nil"/>
              <w:bottom w:val="single" w:sz="4" w:space="0" w:color="auto"/>
              <w:right w:val="nil"/>
            </w:tcBorders>
            <w:shd w:val="clear" w:color="auto" w:fill="auto"/>
            <w:noWrap/>
            <w:vAlign w:val="center"/>
          </w:tcPr>
          <w:p w14:paraId="37B0FF2D" w14:textId="77777777" w:rsidR="00516EB0" w:rsidRPr="00543D10" w:rsidRDefault="00516EB0" w:rsidP="006647C2">
            <w:pPr>
              <w:spacing w:after="0" w:line="240" w:lineRule="auto"/>
              <w:ind w:hanging="71"/>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(31)</w:t>
            </w:r>
          </w:p>
        </w:tc>
        <w:tc>
          <w:tcPr>
            <w:tcW w:w="967" w:type="dxa"/>
            <w:gridSpan w:val="2"/>
            <w:tcBorders>
              <w:top w:val="nil"/>
              <w:left w:val="nil"/>
              <w:bottom w:val="single" w:sz="4" w:space="0" w:color="auto"/>
              <w:right w:val="nil"/>
            </w:tcBorders>
            <w:shd w:val="clear" w:color="auto" w:fill="auto"/>
            <w:noWrap/>
            <w:vAlign w:val="center"/>
          </w:tcPr>
          <w:p w14:paraId="1C3A2D07" w14:textId="77777777" w:rsidR="00516EB0" w:rsidRPr="00E756D8" w:rsidRDefault="00193396" w:rsidP="006647C2">
            <w:pPr>
              <w:spacing w:after="0" w:line="240" w:lineRule="auto"/>
              <w:ind w:hanging="71"/>
              <w:jc w:val="right"/>
              <w:rPr>
                <w:rFonts w:ascii="Arial" w:eastAsia="Times New Roman" w:hAnsi="Arial" w:cs="Arial"/>
                <w:sz w:val="20"/>
                <w:szCs w:val="20"/>
                <w:lang w:eastAsia="en-GB"/>
              </w:rPr>
            </w:pPr>
            <w:r>
              <w:rPr>
                <w:rFonts w:ascii="Arial" w:eastAsia="Times New Roman" w:hAnsi="Arial" w:cs="Arial"/>
                <w:bCs/>
                <w:sz w:val="20"/>
                <w:szCs w:val="20"/>
                <w:lang w:eastAsia="en-GB"/>
              </w:rPr>
              <w:t>(40)</w:t>
            </w:r>
          </w:p>
        </w:tc>
        <w:tc>
          <w:tcPr>
            <w:tcW w:w="853" w:type="dxa"/>
            <w:gridSpan w:val="3"/>
            <w:tcBorders>
              <w:top w:val="nil"/>
              <w:left w:val="nil"/>
              <w:bottom w:val="single" w:sz="4" w:space="0" w:color="auto"/>
              <w:right w:val="nil"/>
            </w:tcBorders>
            <w:shd w:val="clear" w:color="auto" w:fill="auto"/>
            <w:noWrap/>
            <w:vAlign w:val="center"/>
          </w:tcPr>
          <w:p w14:paraId="7EDE2A8C" w14:textId="77777777" w:rsidR="00516EB0" w:rsidRPr="00265730" w:rsidRDefault="00193396" w:rsidP="006647C2">
            <w:pPr>
              <w:spacing w:after="0" w:line="240" w:lineRule="auto"/>
              <w:ind w:hanging="71"/>
              <w:jc w:val="right"/>
              <w:rPr>
                <w:rFonts w:ascii="Arial" w:eastAsia="Times New Roman" w:hAnsi="Arial" w:cs="Arial"/>
                <w:b/>
                <w:sz w:val="20"/>
                <w:szCs w:val="20"/>
                <w:lang w:eastAsia="en-GB"/>
              </w:rPr>
            </w:pPr>
            <w:r>
              <w:rPr>
                <w:rFonts w:ascii="Arial" w:eastAsia="Times New Roman" w:hAnsi="Arial" w:cs="Arial"/>
                <w:b/>
                <w:sz w:val="20"/>
                <w:szCs w:val="20"/>
                <w:lang w:eastAsia="en-GB"/>
              </w:rPr>
              <w:t>(31)</w:t>
            </w:r>
          </w:p>
        </w:tc>
        <w:tc>
          <w:tcPr>
            <w:tcW w:w="748" w:type="dxa"/>
            <w:gridSpan w:val="3"/>
            <w:tcBorders>
              <w:top w:val="nil"/>
              <w:left w:val="nil"/>
              <w:bottom w:val="single" w:sz="4" w:space="0" w:color="auto"/>
              <w:right w:val="nil"/>
            </w:tcBorders>
            <w:shd w:val="clear" w:color="auto" w:fill="auto"/>
            <w:noWrap/>
            <w:vAlign w:val="center"/>
            <w:hideMark/>
          </w:tcPr>
          <w:p w14:paraId="2C13483A" w14:textId="77777777" w:rsidR="00516EB0" w:rsidRPr="00543D10" w:rsidRDefault="00516EB0" w:rsidP="006647C2">
            <w:pPr>
              <w:spacing w:after="0" w:line="240" w:lineRule="auto"/>
              <w:ind w:hanging="71"/>
              <w:jc w:val="right"/>
              <w:rPr>
                <w:rFonts w:ascii="Arial" w:eastAsia="Times New Roman" w:hAnsi="Arial" w:cs="Arial"/>
                <w:sz w:val="20"/>
                <w:szCs w:val="20"/>
                <w:lang w:eastAsia="en-GB"/>
              </w:rPr>
            </w:pPr>
            <w:r w:rsidRPr="00543D10">
              <w:rPr>
                <w:rFonts w:ascii="Arial" w:eastAsia="Times New Roman" w:hAnsi="Arial" w:cs="Arial"/>
                <w:sz w:val="20"/>
                <w:szCs w:val="20"/>
                <w:lang w:eastAsia="en-GB"/>
              </w:rPr>
              <w:t>(736)</w:t>
            </w:r>
          </w:p>
        </w:tc>
      </w:tr>
      <w:tr w:rsidR="00516EB0" w:rsidRPr="003002CD" w14:paraId="708C28A1" w14:textId="77777777" w:rsidTr="00B638C0">
        <w:trPr>
          <w:trHeight w:val="343"/>
        </w:trPr>
        <w:tc>
          <w:tcPr>
            <w:tcW w:w="3698" w:type="dxa"/>
            <w:tcBorders>
              <w:top w:val="single" w:sz="4" w:space="0" w:color="auto"/>
              <w:left w:val="nil"/>
              <w:bottom w:val="nil"/>
              <w:right w:val="nil"/>
            </w:tcBorders>
            <w:shd w:val="clear" w:color="auto" w:fill="auto"/>
            <w:noWrap/>
            <w:vAlign w:val="center"/>
          </w:tcPr>
          <w:p w14:paraId="32EFF025" w14:textId="77777777" w:rsidR="00516EB0" w:rsidRDefault="00516EB0" w:rsidP="00516EB0">
            <w:pPr>
              <w:spacing w:after="0" w:line="240" w:lineRule="auto"/>
              <w:ind w:hanging="71"/>
              <w:rPr>
                <w:rFonts w:ascii="Arial" w:eastAsia="Times New Roman" w:hAnsi="Arial" w:cs="Arial"/>
                <w:sz w:val="20"/>
                <w:szCs w:val="20"/>
                <w:lang w:eastAsia="en-GB"/>
              </w:rPr>
            </w:pPr>
            <w:r>
              <w:rPr>
                <w:rFonts w:ascii="Arial" w:eastAsia="Times New Roman" w:hAnsi="Arial" w:cs="Arial"/>
                <w:sz w:val="20"/>
                <w:szCs w:val="20"/>
                <w:lang w:eastAsia="en-GB"/>
              </w:rPr>
              <w:t>Net</w:t>
            </w:r>
            <w:r w:rsidRPr="003002CD">
              <w:rPr>
                <w:rFonts w:ascii="Arial" w:eastAsia="Times New Roman" w:hAnsi="Arial" w:cs="Arial"/>
                <w:sz w:val="20"/>
                <w:szCs w:val="20"/>
                <w:lang w:eastAsia="en-GB"/>
              </w:rPr>
              <w:t xml:space="preserve"> assets</w:t>
            </w:r>
          </w:p>
        </w:tc>
        <w:tc>
          <w:tcPr>
            <w:tcW w:w="1034" w:type="dxa"/>
            <w:tcBorders>
              <w:top w:val="single" w:sz="4" w:space="0" w:color="auto"/>
              <w:left w:val="nil"/>
              <w:bottom w:val="nil"/>
              <w:right w:val="nil"/>
            </w:tcBorders>
            <w:shd w:val="clear" w:color="auto" w:fill="auto"/>
            <w:noWrap/>
            <w:vAlign w:val="center"/>
          </w:tcPr>
          <w:p w14:paraId="39DC9B47" w14:textId="77777777" w:rsidR="00516EB0" w:rsidRPr="00543D10" w:rsidRDefault="00516EB0" w:rsidP="006647C2">
            <w:pPr>
              <w:spacing w:after="0" w:line="240" w:lineRule="auto"/>
              <w:ind w:hanging="71"/>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w:t>
            </w:r>
          </w:p>
        </w:tc>
        <w:tc>
          <w:tcPr>
            <w:tcW w:w="885" w:type="dxa"/>
            <w:gridSpan w:val="2"/>
            <w:tcBorders>
              <w:top w:val="single" w:sz="4" w:space="0" w:color="auto"/>
              <w:left w:val="nil"/>
              <w:bottom w:val="nil"/>
              <w:right w:val="nil"/>
            </w:tcBorders>
            <w:shd w:val="clear" w:color="auto" w:fill="auto"/>
            <w:noWrap/>
            <w:vAlign w:val="center"/>
          </w:tcPr>
          <w:p w14:paraId="5F3DB27B" w14:textId="77777777" w:rsidR="00516EB0" w:rsidRPr="00265730" w:rsidRDefault="00516EB0" w:rsidP="006647C2">
            <w:pPr>
              <w:spacing w:after="0" w:line="240" w:lineRule="auto"/>
              <w:ind w:hanging="71"/>
              <w:jc w:val="right"/>
              <w:rPr>
                <w:rFonts w:ascii="Arial" w:eastAsia="Times New Roman" w:hAnsi="Arial" w:cs="Arial"/>
                <w:sz w:val="20"/>
                <w:szCs w:val="20"/>
                <w:lang w:eastAsia="en-GB"/>
              </w:rPr>
            </w:pPr>
            <w:r w:rsidRPr="00265730">
              <w:rPr>
                <w:rFonts w:ascii="Arial" w:eastAsia="Times New Roman" w:hAnsi="Arial" w:cs="Arial"/>
                <w:bCs/>
                <w:sz w:val="20"/>
                <w:szCs w:val="20"/>
                <w:lang w:eastAsia="en-GB"/>
              </w:rPr>
              <w:t>998</w:t>
            </w:r>
          </w:p>
        </w:tc>
        <w:tc>
          <w:tcPr>
            <w:tcW w:w="959" w:type="dxa"/>
            <w:gridSpan w:val="2"/>
            <w:tcBorders>
              <w:top w:val="single" w:sz="4" w:space="0" w:color="auto"/>
              <w:left w:val="nil"/>
              <w:bottom w:val="nil"/>
              <w:right w:val="nil"/>
            </w:tcBorders>
            <w:shd w:val="clear" w:color="auto" w:fill="auto"/>
            <w:noWrap/>
            <w:vAlign w:val="center"/>
          </w:tcPr>
          <w:p w14:paraId="5CF501A8" w14:textId="77777777" w:rsidR="00516EB0" w:rsidRPr="00543D10" w:rsidRDefault="00516EB0" w:rsidP="006647C2">
            <w:pPr>
              <w:spacing w:after="0" w:line="240" w:lineRule="auto"/>
              <w:ind w:hanging="71"/>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47</w:t>
            </w:r>
          </w:p>
        </w:tc>
        <w:tc>
          <w:tcPr>
            <w:tcW w:w="967" w:type="dxa"/>
            <w:gridSpan w:val="2"/>
            <w:tcBorders>
              <w:top w:val="single" w:sz="4" w:space="0" w:color="auto"/>
              <w:left w:val="nil"/>
              <w:bottom w:val="nil"/>
              <w:right w:val="nil"/>
            </w:tcBorders>
            <w:shd w:val="clear" w:color="auto" w:fill="auto"/>
            <w:noWrap/>
            <w:vAlign w:val="center"/>
          </w:tcPr>
          <w:p w14:paraId="3E4D763A" w14:textId="77777777" w:rsidR="00516EB0" w:rsidRPr="00E756D8" w:rsidRDefault="00193396" w:rsidP="006647C2">
            <w:pPr>
              <w:spacing w:after="0" w:line="240" w:lineRule="auto"/>
              <w:ind w:hanging="71"/>
              <w:jc w:val="right"/>
              <w:rPr>
                <w:rFonts w:ascii="Arial" w:eastAsia="Times New Roman" w:hAnsi="Arial" w:cs="Arial"/>
                <w:sz w:val="20"/>
                <w:szCs w:val="20"/>
                <w:lang w:eastAsia="en-GB"/>
              </w:rPr>
            </w:pPr>
            <w:r>
              <w:rPr>
                <w:rFonts w:ascii="Arial" w:eastAsia="Times New Roman" w:hAnsi="Arial" w:cs="Arial"/>
                <w:bCs/>
                <w:sz w:val="20"/>
                <w:szCs w:val="20"/>
                <w:lang w:eastAsia="en-GB"/>
              </w:rPr>
              <w:t>65</w:t>
            </w:r>
          </w:p>
        </w:tc>
        <w:tc>
          <w:tcPr>
            <w:tcW w:w="853" w:type="dxa"/>
            <w:gridSpan w:val="3"/>
            <w:tcBorders>
              <w:top w:val="single" w:sz="4" w:space="0" w:color="auto"/>
              <w:left w:val="nil"/>
              <w:bottom w:val="nil"/>
              <w:right w:val="nil"/>
            </w:tcBorders>
            <w:shd w:val="clear" w:color="auto" w:fill="auto"/>
            <w:noWrap/>
            <w:vAlign w:val="center"/>
          </w:tcPr>
          <w:p w14:paraId="3CBD7400" w14:textId="77777777" w:rsidR="00516EB0" w:rsidRPr="00265730" w:rsidRDefault="00193396" w:rsidP="006647C2">
            <w:pPr>
              <w:spacing w:after="0" w:line="240" w:lineRule="auto"/>
              <w:ind w:hanging="71"/>
              <w:jc w:val="right"/>
              <w:rPr>
                <w:rFonts w:ascii="Arial" w:eastAsia="Times New Roman" w:hAnsi="Arial" w:cs="Arial"/>
                <w:b/>
                <w:sz w:val="20"/>
                <w:szCs w:val="20"/>
                <w:lang w:eastAsia="en-GB"/>
              </w:rPr>
            </w:pPr>
            <w:r>
              <w:rPr>
                <w:rFonts w:ascii="Arial" w:eastAsia="Times New Roman" w:hAnsi="Arial" w:cs="Arial"/>
                <w:b/>
                <w:sz w:val="20"/>
                <w:szCs w:val="20"/>
                <w:lang w:eastAsia="en-GB"/>
              </w:rPr>
              <w:t>47</w:t>
            </w:r>
          </w:p>
        </w:tc>
        <w:tc>
          <w:tcPr>
            <w:tcW w:w="748" w:type="dxa"/>
            <w:gridSpan w:val="3"/>
            <w:tcBorders>
              <w:top w:val="single" w:sz="4" w:space="0" w:color="auto"/>
              <w:left w:val="nil"/>
              <w:bottom w:val="nil"/>
              <w:right w:val="nil"/>
            </w:tcBorders>
            <w:shd w:val="clear" w:color="auto" w:fill="auto"/>
            <w:noWrap/>
            <w:vAlign w:val="center"/>
          </w:tcPr>
          <w:p w14:paraId="4B17F12D" w14:textId="77777777" w:rsidR="00516EB0" w:rsidRPr="00543D10" w:rsidRDefault="00516EB0" w:rsidP="006647C2">
            <w:pPr>
              <w:spacing w:after="0" w:line="240" w:lineRule="auto"/>
              <w:ind w:hanging="71"/>
              <w:jc w:val="right"/>
              <w:rPr>
                <w:rFonts w:ascii="Arial" w:eastAsia="Times New Roman" w:hAnsi="Arial" w:cs="Arial"/>
                <w:sz w:val="20"/>
                <w:szCs w:val="20"/>
                <w:lang w:eastAsia="en-GB"/>
              </w:rPr>
            </w:pPr>
            <w:r w:rsidRPr="00543D10">
              <w:rPr>
                <w:rFonts w:ascii="Arial" w:eastAsia="Times New Roman" w:hAnsi="Arial" w:cs="Arial"/>
                <w:sz w:val="20"/>
                <w:szCs w:val="20"/>
                <w:lang w:eastAsia="en-GB"/>
              </w:rPr>
              <w:t>1,063</w:t>
            </w:r>
          </w:p>
        </w:tc>
      </w:tr>
      <w:tr w:rsidR="00516EB0" w:rsidRPr="003002CD" w14:paraId="13F2D230" w14:textId="77777777" w:rsidTr="00B638C0">
        <w:trPr>
          <w:trHeight w:val="343"/>
        </w:trPr>
        <w:tc>
          <w:tcPr>
            <w:tcW w:w="3698" w:type="dxa"/>
            <w:tcBorders>
              <w:top w:val="nil"/>
              <w:left w:val="nil"/>
              <w:bottom w:val="nil"/>
              <w:right w:val="nil"/>
            </w:tcBorders>
            <w:shd w:val="clear" w:color="auto" w:fill="auto"/>
            <w:noWrap/>
            <w:vAlign w:val="center"/>
          </w:tcPr>
          <w:p w14:paraId="4BFFAE29" w14:textId="77777777" w:rsidR="00516EB0" w:rsidRPr="003002CD" w:rsidRDefault="00516EB0" w:rsidP="00516EB0">
            <w:pPr>
              <w:spacing w:after="0" w:line="240" w:lineRule="auto"/>
              <w:ind w:hanging="71"/>
              <w:rPr>
                <w:rFonts w:ascii="Arial" w:eastAsia="Times New Roman" w:hAnsi="Arial" w:cs="Arial"/>
                <w:sz w:val="20"/>
                <w:szCs w:val="20"/>
                <w:lang w:eastAsia="en-GB"/>
              </w:rPr>
            </w:pPr>
          </w:p>
        </w:tc>
        <w:tc>
          <w:tcPr>
            <w:tcW w:w="1034" w:type="dxa"/>
            <w:tcBorders>
              <w:top w:val="nil"/>
              <w:left w:val="nil"/>
              <w:bottom w:val="nil"/>
              <w:right w:val="nil"/>
            </w:tcBorders>
            <w:shd w:val="clear" w:color="auto" w:fill="auto"/>
            <w:noWrap/>
            <w:vAlign w:val="center"/>
          </w:tcPr>
          <w:p w14:paraId="2AC93689" w14:textId="77777777" w:rsidR="00516EB0" w:rsidRPr="00543D10" w:rsidRDefault="00516EB0" w:rsidP="006647C2">
            <w:pPr>
              <w:spacing w:after="0" w:line="240" w:lineRule="auto"/>
              <w:ind w:hanging="71"/>
              <w:jc w:val="right"/>
              <w:rPr>
                <w:rFonts w:ascii="Arial" w:eastAsia="Times New Roman" w:hAnsi="Arial" w:cs="Arial"/>
                <w:b/>
                <w:bCs/>
                <w:sz w:val="20"/>
                <w:szCs w:val="20"/>
                <w:lang w:eastAsia="en-GB"/>
              </w:rPr>
            </w:pPr>
          </w:p>
        </w:tc>
        <w:tc>
          <w:tcPr>
            <w:tcW w:w="885" w:type="dxa"/>
            <w:gridSpan w:val="2"/>
            <w:tcBorders>
              <w:top w:val="nil"/>
              <w:left w:val="nil"/>
              <w:bottom w:val="nil"/>
              <w:right w:val="nil"/>
            </w:tcBorders>
            <w:shd w:val="clear" w:color="auto" w:fill="auto"/>
            <w:noWrap/>
            <w:vAlign w:val="center"/>
          </w:tcPr>
          <w:p w14:paraId="043DDEDE" w14:textId="77777777" w:rsidR="00516EB0" w:rsidRPr="00265730" w:rsidRDefault="00516EB0" w:rsidP="006647C2">
            <w:pPr>
              <w:spacing w:after="0" w:line="240" w:lineRule="auto"/>
              <w:ind w:hanging="71"/>
              <w:jc w:val="right"/>
              <w:rPr>
                <w:rFonts w:ascii="Arial" w:eastAsia="Times New Roman" w:hAnsi="Arial" w:cs="Arial"/>
                <w:sz w:val="20"/>
                <w:szCs w:val="20"/>
                <w:lang w:eastAsia="en-GB"/>
              </w:rPr>
            </w:pPr>
          </w:p>
        </w:tc>
        <w:tc>
          <w:tcPr>
            <w:tcW w:w="959" w:type="dxa"/>
            <w:gridSpan w:val="2"/>
            <w:tcBorders>
              <w:top w:val="nil"/>
              <w:left w:val="nil"/>
              <w:bottom w:val="nil"/>
              <w:right w:val="nil"/>
            </w:tcBorders>
            <w:shd w:val="clear" w:color="auto" w:fill="auto"/>
            <w:noWrap/>
            <w:vAlign w:val="center"/>
          </w:tcPr>
          <w:p w14:paraId="549BADDC" w14:textId="77777777" w:rsidR="00516EB0" w:rsidRPr="00543D10" w:rsidRDefault="00516EB0" w:rsidP="006647C2">
            <w:pPr>
              <w:spacing w:after="0" w:line="240" w:lineRule="auto"/>
              <w:ind w:hanging="71"/>
              <w:jc w:val="right"/>
              <w:rPr>
                <w:rFonts w:ascii="Arial" w:eastAsia="Times New Roman" w:hAnsi="Arial" w:cs="Arial"/>
                <w:b/>
                <w:bCs/>
                <w:sz w:val="20"/>
                <w:szCs w:val="20"/>
                <w:lang w:eastAsia="en-GB"/>
              </w:rPr>
            </w:pPr>
          </w:p>
        </w:tc>
        <w:tc>
          <w:tcPr>
            <w:tcW w:w="967" w:type="dxa"/>
            <w:gridSpan w:val="2"/>
            <w:tcBorders>
              <w:top w:val="nil"/>
              <w:left w:val="nil"/>
              <w:bottom w:val="nil"/>
              <w:right w:val="nil"/>
            </w:tcBorders>
            <w:shd w:val="clear" w:color="auto" w:fill="auto"/>
            <w:noWrap/>
            <w:vAlign w:val="center"/>
          </w:tcPr>
          <w:p w14:paraId="7369A823" w14:textId="77777777" w:rsidR="00516EB0" w:rsidRPr="00E756D8" w:rsidRDefault="00516EB0" w:rsidP="006647C2">
            <w:pPr>
              <w:spacing w:after="0" w:line="240" w:lineRule="auto"/>
              <w:ind w:hanging="71"/>
              <w:jc w:val="right"/>
              <w:rPr>
                <w:rFonts w:ascii="Arial" w:eastAsia="Times New Roman" w:hAnsi="Arial" w:cs="Arial"/>
                <w:sz w:val="20"/>
                <w:szCs w:val="20"/>
                <w:lang w:eastAsia="en-GB"/>
              </w:rPr>
            </w:pPr>
          </w:p>
        </w:tc>
        <w:tc>
          <w:tcPr>
            <w:tcW w:w="853" w:type="dxa"/>
            <w:gridSpan w:val="3"/>
            <w:tcBorders>
              <w:top w:val="nil"/>
              <w:left w:val="nil"/>
              <w:bottom w:val="nil"/>
              <w:right w:val="nil"/>
            </w:tcBorders>
            <w:shd w:val="clear" w:color="auto" w:fill="auto"/>
            <w:noWrap/>
            <w:vAlign w:val="center"/>
          </w:tcPr>
          <w:p w14:paraId="3764310A" w14:textId="77777777" w:rsidR="00516EB0" w:rsidRPr="00265730" w:rsidRDefault="00516EB0" w:rsidP="006647C2">
            <w:pPr>
              <w:spacing w:after="0" w:line="240" w:lineRule="auto"/>
              <w:ind w:hanging="71"/>
              <w:jc w:val="right"/>
              <w:rPr>
                <w:rFonts w:ascii="Arial" w:eastAsia="Times New Roman" w:hAnsi="Arial" w:cs="Arial"/>
                <w:b/>
                <w:sz w:val="20"/>
                <w:szCs w:val="20"/>
                <w:lang w:eastAsia="en-GB"/>
              </w:rPr>
            </w:pPr>
          </w:p>
        </w:tc>
        <w:tc>
          <w:tcPr>
            <w:tcW w:w="748" w:type="dxa"/>
            <w:gridSpan w:val="3"/>
            <w:tcBorders>
              <w:top w:val="nil"/>
              <w:left w:val="nil"/>
              <w:bottom w:val="nil"/>
              <w:right w:val="nil"/>
            </w:tcBorders>
            <w:shd w:val="clear" w:color="auto" w:fill="auto"/>
            <w:noWrap/>
            <w:vAlign w:val="center"/>
          </w:tcPr>
          <w:p w14:paraId="19BA1CE2" w14:textId="77777777" w:rsidR="00516EB0" w:rsidRPr="00543D10" w:rsidRDefault="00516EB0" w:rsidP="006647C2">
            <w:pPr>
              <w:spacing w:after="0" w:line="240" w:lineRule="auto"/>
              <w:ind w:hanging="71"/>
              <w:jc w:val="right"/>
              <w:rPr>
                <w:rFonts w:ascii="Arial" w:eastAsia="Times New Roman" w:hAnsi="Arial" w:cs="Arial"/>
                <w:sz w:val="20"/>
                <w:szCs w:val="20"/>
                <w:lang w:eastAsia="en-GB"/>
              </w:rPr>
            </w:pPr>
          </w:p>
        </w:tc>
      </w:tr>
      <w:tr w:rsidR="00516EB0" w:rsidRPr="003002CD" w14:paraId="04286019" w14:textId="77777777" w:rsidTr="00B638C0">
        <w:trPr>
          <w:trHeight w:val="343"/>
        </w:trPr>
        <w:tc>
          <w:tcPr>
            <w:tcW w:w="3698" w:type="dxa"/>
            <w:tcBorders>
              <w:top w:val="nil"/>
              <w:left w:val="nil"/>
              <w:right w:val="nil"/>
            </w:tcBorders>
            <w:shd w:val="clear" w:color="auto" w:fill="auto"/>
            <w:noWrap/>
            <w:vAlign w:val="center"/>
            <w:hideMark/>
          </w:tcPr>
          <w:p w14:paraId="657624DF" w14:textId="77777777" w:rsidR="00516EB0" w:rsidRPr="003002CD" w:rsidRDefault="00516EB0" w:rsidP="00516EB0">
            <w:pPr>
              <w:spacing w:after="0" w:line="240" w:lineRule="auto"/>
              <w:ind w:hanging="71"/>
              <w:rPr>
                <w:rFonts w:ascii="Arial" w:eastAsia="Times New Roman" w:hAnsi="Arial" w:cs="Arial"/>
                <w:sz w:val="20"/>
                <w:szCs w:val="20"/>
                <w:lang w:eastAsia="en-GB"/>
              </w:rPr>
            </w:pPr>
            <w:r w:rsidRPr="003002CD">
              <w:rPr>
                <w:rFonts w:ascii="Arial" w:eastAsia="Times New Roman" w:hAnsi="Arial" w:cs="Arial"/>
                <w:sz w:val="20"/>
                <w:szCs w:val="20"/>
                <w:lang w:eastAsia="en-GB"/>
              </w:rPr>
              <w:t>Gross incoming resources</w:t>
            </w:r>
          </w:p>
        </w:tc>
        <w:tc>
          <w:tcPr>
            <w:tcW w:w="1034" w:type="dxa"/>
            <w:tcBorders>
              <w:top w:val="nil"/>
              <w:left w:val="nil"/>
              <w:right w:val="nil"/>
            </w:tcBorders>
            <w:shd w:val="clear" w:color="auto" w:fill="auto"/>
            <w:noWrap/>
            <w:vAlign w:val="center"/>
          </w:tcPr>
          <w:p w14:paraId="00716A03" w14:textId="77777777" w:rsidR="00516EB0" w:rsidRPr="00543D10" w:rsidRDefault="00516EB0" w:rsidP="006647C2">
            <w:pPr>
              <w:spacing w:after="0" w:line="240" w:lineRule="auto"/>
              <w:ind w:hanging="71"/>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w:t>
            </w:r>
          </w:p>
        </w:tc>
        <w:tc>
          <w:tcPr>
            <w:tcW w:w="885" w:type="dxa"/>
            <w:gridSpan w:val="2"/>
            <w:tcBorders>
              <w:top w:val="nil"/>
              <w:left w:val="nil"/>
              <w:right w:val="nil"/>
            </w:tcBorders>
            <w:shd w:val="clear" w:color="auto" w:fill="auto"/>
            <w:noWrap/>
            <w:vAlign w:val="center"/>
            <w:hideMark/>
          </w:tcPr>
          <w:p w14:paraId="19FCB741" w14:textId="77777777" w:rsidR="00516EB0" w:rsidRPr="00265730" w:rsidRDefault="00516EB0" w:rsidP="006647C2">
            <w:pPr>
              <w:spacing w:after="0" w:line="240" w:lineRule="auto"/>
              <w:ind w:hanging="71"/>
              <w:jc w:val="right"/>
              <w:rPr>
                <w:rFonts w:ascii="Arial" w:eastAsia="Times New Roman" w:hAnsi="Arial" w:cs="Arial"/>
                <w:sz w:val="20"/>
                <w:szCs w:val="20"/>
                <w:lang w:eastAsia="en-GB"/>
              </w:rPr>
            </w:pPr>
            <w:r w:rsidRPr="00265730">
              <w:rPr>
                <w:rFonts w:ascii="Arial" w:eastAsia="Times New Roman" w:hAnsi="Arial" w:cs="Arial"/>
                <w:bCs/>
                <w:sz w:val="20"/>
                <w:szCs w:val="20"/>
                <w:lang w:eastAsia="en-GB"/>
              </w:rPr>
              <w:t>1,753</w:t>
            </w:r>
          </w:p>
        </w:tc>
        <w:tc>
          <w:tcPr>
            <w:tcW w:w="959" w:type="dxa"/>
            <w:gridSpan w:val="2"/>
            <w:tcBorders>
              <w:top w:val="nil"/>
              <w:left w:val="nil"/>
              <w:right w:val="nil"/>
            </w:tcBorders>
            <w:shd w:val="clear" w:color="auto" w:fill="auto"/>
            <w:noWrap/>
            <w:vAlign w:val="center"/>
          </w:tcPr>
          <w:p w14:paraId="0F0EFB01" w14:textId="77777777" w:rsidR="00516EB0" w:rsidRPr="00543D10" w:rsidRDefault="00516EB0" w:rsidP="006647C2">
            <w:pPr>
              <w:spacing w:after="0" w:line="240" w:lineRule="auto"/>
              <w:ind w:hanging="71"/>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119</w:t>
            </w:r>
          </w:p>
        </w:tc>
        <w:tc>
          <w:tcPr>
            <w:tcW w:w="967" w:type="dxa"/>
            <w:gridSpan w:val="2"/>
            <w:tcBorders>
              <w:top w:val="nil"/>
              <w:left w:val="nil"/>
              <w:right w:val="nil"/>
            </w:tcBorders>
            <w:shd w:val="clear" w:color="auto" w:fill="auto"/>
            <w:noWrap/>
            <w:vAlign w:val="center"/>
          </w:tcPr>
          <w:p w14:paraId="4CC011CB" w14:textId="77777777" w:rsidR="00516EB0" w:rsidRPr="00E756D8" w:rsidRDefault="00193396" w:rsidP="006647C2">
            <w:pPr>
              <w:spacing w:after="0" w:line="240" w:lineRule="auto"/>
              <w:ind w:hanging="71"/>
              <w:jc w:val="right"/>
              <w:rPr>
                <w:rFonts w:ascii="Arial" w:eastAsia="Times New Roman" w:hAnsi="Arial" w:cs="Arial"/>
                <w:sz w:val="20"/>
                <w:szCs w:val="20"/>
                <w:lang w:eastAsia="en-GB"/>
              </w:rPr>
            </w:pPr>
            <w:r>
              <w:rPr>
                <w:rFonts w:ascii="Arial" w:eastAsia="Times New Roman" w:hAnsi="Arial" w:cs="Arial"/>
                <w:bCs/>
                <w:sz w:val="20"/>
                <w:szCs w:val="20"/>
                <w:lang w:eastAsia="en-GB"/>
              </w:rPr>
              <w:t>75</w:t>
            </w:r>
          </w:p>
        </w:tc>
        <w:tc>
          <w:tcPr>
            <w:tcW w:w="853" w:type="dxa"/>
            <w:gridSpan w:val="3"/>
            <w:tcBorders>
              <w:top w:val="nil"/>
              <w:left w:val="nil"/>
              <w:right w:val="nil"/>
            </w:tcBorders>
            <w:shd w:val="clear" w:color="auto" w:fill="auto"/>
            <w:noWrap/>
            <w:vAlign w:val="center"/>
          </w:tcPr>
          <w:p w14:paraId="7F777252" w14:textId="77777777" w:rsidR="00516EB0" w:rsidRPr="00265730" w:rsidRDefault="00193396" w:rsidP="006647C2">
            <w:pPr>
              <w:spacing w:after="0" w:line="240" w:lineRule="auto"/>
              <w:ind w:hanging="71"/>
              <w:jc w:val="right"/>
              <w:rPr>
                <w:rFonts w:ascii="Arial" w:eastAsia="Times New Roman" w:hAnsi="Arial" w:cs="Arial"/>
                <w:b/>
                <w:sz w:val="20"/>
                <w:szCs w:val="20"/>
                <w:lang w:eastAsia="en-GB"/>
              </w:rPr>
            </w:pPr>
            <w:r>
              <w:rPr>
                <w:rFonts w:ascii="Arial" w:eastAsia="Times New Roman" w:hAnsi="Arial" w:cs="Arial"/>
                <w:b/>
                <w:sz w:val="20"/>
                <w:szCs w:val="20"/>
                <w:lang w:eastAsia="en-GB"/>
              </w:rPr>
              <w:t>119</w:t>
            </w:r>
          </w:p>
        </w:tc>
        <w:tc>
          <w:tcPr>
            <w:tcW w:w="748" w:type="dxa"/>
            <w:gridSpan w:val="3"/>
            <w:tcBorders>
              <w:top w:val="nil"/>
              <w:left w:val="nil"/>
              <w:right w:val="nil"/>
            </w:tcBorders>
            <w:shd w:val="clear" w:color="auto" w:fill="auto"/>
            <w:noWrap/>
            <w:vAlign w:val="center"/>
            <w:hideMark/>
          </w:tcPr>
          <w:p w14:paraId="2469A695" w14:textId="77777777" w:rsidR="00516EB0" w:rsidRPr="00543D10" w:rsidRDefault="00516EB0" w:rsidP="006647C2">
            <w:pPr>
              <w:spacing w:after="0" w:line="240" w:lineRule="auto"/>
              <w:ind w:hanging="71"/>
              <w:jc w:val="right"/>
              <w:rPr>
                <w:rFonts w:ascii="Arial" w:eastAsia="Times New Roman" w:hAnsi="Arial" w:cs="Arial"/>
                <w:sz w:val="20"/>
                <w:szCs w:val="20"/>
                <w:lang w:eastAsia="en-GB"/>
              </w:rPr>
            </w:pPr>
            <w:r w:rsidRPr="00543D10">
              <w:rPr>
                <w:rFonts w:ascii="Arial" w:eastAsia="Times New Roman" w:hAnsi="Arial" w:cs="Arial"/>
                <w:sz w:val="20"/>
                <w:szCs w:val="20"/>
                <w:lang w:eastAsia="en-GB"/>
              </w:rPr>
              <w:t>1,828</w:t>
            </w:r>
          </w:p>
        </w:tc>
      </w:tr>
      <w:tr w:rsidR="00516EB0" w:rsidRPr="003002CD" w14:paraId="180765CF" w14:textId="77777777" w:rsidTr="00B638C0">
        <w:trPr>
          <w:trHeight w:val="536"/>
        </w:trPr>
        <w:tc>
          <w:tcPr>
            <w:tcW w:w="3698" w:type="dxa"/>
            <w:tcBorders>
              <w:top w:val="nil"/>
              <w:left w:val="nil"/>
              <w:bottom w:val="single" w:sz="4" w:space="0" w:color="auto"/>
              <w:right w:val="nil"/>
            </w:tcBorders>
            <w:shd w:val="clear" w:color="auto" w:fill="auto"/>
            <w:noWrap/>
            <w:vAlign w:val="center"/>
            <w:hideMark/>
          </w:tcPr>
          <w:p w14:paraId="1BFB5AE1" w14:textId="77777777" w:rsidR="00516EB0" w:rsidRDefault="00516EB0" w:rsidP="00A56D9A">
            <w:pPr>
              <w:spacing w:after="0" w:line="240" w:lineRule="auto"/>
              <w:ind w:left="-110" w:firstLine="39"/>
              <w:rPr>
                <w:rFonts w:ascii="Arial" w:eastAsia="Times New Roman" w:hAnsi="Arial" w:cs="Arial"/>
                <w:sz w:val="20"/>
                <w:szCs w:val="20"/>
                <w:lang w:eastAsia="en-GB"/>
              </w:rPr>
            </w:pPr>
            <w:r w:rsidRPr="003002CD">
              <w:rPr>
                <w:rFonts w:ascii="Arial" w:eastAsia="Times New Roman" w:hAnsi="Arial" w:cs="Arial"/>
                <w:sz w:val="20"/>
                <w:szCs w:val="20"/>
                <w:lang w:eastAsia="en-GB"/>
              </w:rPr>
              <w:t>Net surplus of income over expenditure</w:t>
            </w:r>
          </w:p>
          <w:p w14:paraId="14DA1B45" w14:textId="77777777" w:rsidR="00516EB0" w:rsidRPr="003002CD" w:rsidRDefault="00516EB0" w:rsidP="00516EB0">
            <w:pPr>
              <w:spacing w:after="0" w:line="240" w:lineRule="auto"/>
              <w:ind w:left="-110" w:firstLine="39"/>
              <w:rPr>
                <w:rFonts w:ascii="Arial" w:eastAsia="Times New Roman" w:hAnsi="Arial" w:cs="Arial"/>
                <w:sz w:val="20"/>
                <w:szCs w:val="20"/>
                <w:lang w:eastAsia="en-GB"/>
              </w:rPr>
            </w:pPr>
          </w:p>
        </w:tc>
        <w:tc>
          <w:tcPr>
            <w:tcW w:w="1034" w:type="dxa"/>
            <w:tcBorders>
              <w:top w:val="nil"/>
              <w:left w:val="nil"/>
              <w:bottom w:val="single" w:sz="4" w:space="0" w:color="auto"/>
              <w:right w:val="nil"/>
            </w:tcBorders>
            <w:shd w:val="clear" w:color="auto" w:fill="auto"/>
            <w:noWrap/>
            <w:vAlign w:val="center"/>
          </w:tcPr>
          <w:p w14:paraId="0E54DC05" w14:textId="77777777" w:rsidR="00516EB0" w:rsidRPr="00543D10" w:rsidRDefault="00516EB0" w:rsidP="00A56D9A">
            <w:pPr>
              <w:spacing w:after="0" w:line="240" w:lineRule="auto"/>
              <w:ind w:hanging="71"/>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(998)</w:t>
            </w:r>
          </w:p>
        </w:tc>
        <w:tc>
          <w:tcPr>
            <w:tcW w:w="885" w:type="dxa"/>
            <w:gridSpan w:val="2"/>
            <w:tcBorders>
              <w:top w:val="nil"/>
              <w:left w:val="nil"/>
              <w:bottom w:val="single" w:sz="4" w:space="0" w:color="auto"/>
              <w:right w:val="nil"/>
            </w:tcBorders>
            <w:shd w:val="clear" w:color="auto" w:fill="auto"/>
            <w:noWrap/>
            <w:vAlign w:val="center"/>
            <w:hideMark/>
          </w:tcPr>
          <w:p w14:paraId="688956E6" w14:textId="77777777" w:rsidR="00516EB0" w:rsidRPr="00265730" w:rsidRDefault="00516EB0" w:rsidP="00A56D9A">
            <w:pPr>
              <w:spacing w:after="0" w:line="240" w:lineRule="auto"/>
              <w:ind w:hanging="71"/>
              <w:jc w:val="right"/>
              <w:rPr>
                <w:rFonts w:ascii="Arial" w:eastAsia="Times New Roman" w:hAnsi="Arial" w:cs="Arial"/>
                <w:sz w:val="20"/>
                <w:szCs w:val="20"/>
                <w:lang w:eastAsia="en-GB"/>
              </w:rPr>
            </w:pPr>
            <w:r w:rsidRPr="00265730">
              <w:rPr>
                <w:rFonts w:ascii="Arial" w:eastAsia="Times New Roman" w:hAnsi="Arial" w:cs="Arial"/>
                <w:bCs/>
                <w:sz w:val="20"/>
                <w:szCs w:val="20"/>
                <w:lang w:eastAsia="en-GB"/>
              </w:rPr>
              <w:t>(67)</w:t>
            </w:r>
          </w:p>
        </w:tc>
        <w:tc>
          <w:tcPr>
            <w:tcW w:w="959" w:type="dxa"/>
            <w:gridSpan w:val="2"/>
            <w:tcBorders>
              <w:top w:val="nil"/>
              <w:left w:val="nil"/>
              <w:bottom w:val="single" w:sz="4" w:space="0" w:color="auto"/>
              <w:right w:val="nil"/>
            </w:tcBorders>
            <w:shd w:val="clear" w:color="auto" w:fill="auto"/>
            <w:noWrap/>
            <w:vAlign w:val="center"/>
          </w:tcPr>
          <w:p w14:paraId="77D7A066" w14:textId="77777777" w:rsidR="00516EB0" w:rsidRPr="00543D10" w:rsidRDefault="00516EB0" w:rsidP="00A56D9A">
            <w:pPr>
              <w:spacing w:after="0" w:line="240" w:lineRule="auto"/>
              <w:ind w:hanging="71"/>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(15)</w:t>
            </w:r>
          </w:p>
        </w:tc>
        <w:tc>
          <w:tcPr>
            <w:tcW w:w="967" w:type="dxa"/>
            <w:gridSpan w:val="2"/>
            <w:tcBorders>
              <w:top w:val="nil"/>
              <w:left w:val="nil"/>
              <w:bottom w:val="single" w:sz="4" w:space="0" w:color="auto"/>
              <w:right w:val="nil"/>
            </w:tcBorders>
            <w:shd w:val="clear" w:color="auto" w:fill="auto"/>
            <w:noWrap/>
            <w:vAlign w:val="center"/>
          </w:tcPr>
          <w:p w14:paraId="26316A02" w14:textId="77777777" w:rsidR="00516EB0" w:rsidRPr="00E756D8" w:rsidRDefault="00193396" w:rsidP="00A56D9A">
            <w:pPr>
              <w:spacing w:after="0" w:line="240" w:lineRule="auto"/>
              <w:ind w:hanging="71"/>
              <w:jc w:val="right"/>
              <w:rPr>
                <w:rFonts w:ascii="Arial" w:eastAsia="Times New Roman" w:hAnsi="Arial" w:cs="Arial"/>
                <w:sz w:val="20"/>
                <w:szCs w:val="20"/>
                <w:lang w:eastAsia="en-GB"/>
              </w:rPr>
            </w:pPr>
            <w:r>
              <w:rPr>
                <w:rFonts w:ascii="Arial" w:eastAsia="Times New Roman" w:hAnsi="Arial" w:cs="Arial"/>
                <w:bCs/>
                <w:sz w:val="20"/>
                <w:szCs w:val="20"/>
                <w:lang w:eastAsia="en-GB"/>
              </w:rPr>
              <w:t>(13)</w:t>
            </w:r>
          </w:p>
        </w:tc>
        <w:tc>
          <w:tcPr>
            <w:tcW w:w="853" w:type="dxa"/>
            <w:gridSpan w:val="3"/>
            <w:tcBorders>
              <w:top w:val="nil"/>
              <w:left w:val="nil"/>
              <w:bottom w:val="single" w:sz="4" w:space="0" w:color="auto"/>
              <w:right w:val="nil"/>
            </w:tcBorders>
            <w:shd w:val="clear" w:color="auto" w:fill="auto"/>
            <w:noWrap/>
            <w:vAlign w:val="center"/>
          </w:tcPr>
          <w:p w14:paraId="50BC996E" w14:textId="77777777" w:rsidR="00516EB0" w:rsidRPr="00265730" w:rsidRDefault="00193396" w:rsidP="00A56D9A">
            <w:pPr>
              <w:spacing w:after="0" w:line="240" w:lineRule="auto"/>
              <w:ind w:hanging="71"/>
              <w:jc w:val="right"/>
              <w:rPr>
                <w:rFonts w:ascii="Arial" w:eastAsia="Times New Roman" w:hAnsi="Arial" w:cs="Arial"/>
                <w:b/>
                <w:sz w:val="20"/>
                <w:szCs w:val="20"/>
                <w:lang w:eastAsia="en-GB"/>
              </w:rPr>
            </w:pPr>
            <w:r>
              <w:rPr>
                <w:rFonts w:ascii="Arial" w:eastAsia="Times New Roman" w:hAnsi="Arial" w:cs="Arial"/>
                <w:b/>
                <w:sz w:val="20"/>
                <w:szCs w:val="20"/>
                <w:lang w:eastAsia="en-GB"/>
              </w:rPr>
              <w:t>(1,013)</w:t>
            </w:r>
          </w:p>
        </w:tc>
        <w:tc>
          <w:tcPr>
            <w:tcW w:w="748" w:type="dxa"/>
            <w:gridSpan w:val="3"/>
            <w:tcBorders>
              <w:top w:val="nil"/>
              <w:left w:val="nil"/>
              <w:bottom w:val="single" w:sz="4" w:space="0" w:color="auto"/>
              <w:right w:val="nil"/>
            </w:tcBorders>
            <w:shd w:val="clear" w:color="auto" w:fill="auto"/>
            <w:noWrap/>
            <w:vAlign w:val="center"/>
            <w:hideMark/>
          </w:tcPr>
          <w:p w14:paraId="6E56EE78" w14:textId="77777777" w:rsidR="00516EB0" w:rsidRPr="00543D10" w:rsidRDefault="00516EB0" w:rsidP="00A56D9A">
            <w:pPr>
              <w:spacing w:after="0" w:line="240" w:lineRule="auto"/>
              <w:ind w:hanging="71"/>
              <w:jc w:val="right"/>
              <w:rPr>
                <w:rFonts w:ascii="Arial" w:eastAsia="Times New Roman" w:hAnsi="Arial" w:cs="Arial"/>
                <w:sz w:val="20"/>
                <w:szCs w:val="20"/>
                <w:lang w:eastAsia="en-GB"/>
              </w:rPr>
            </w:pPr>
            <w:r w:rsidRPr="00543D10">
              <w:rPr>
                <w:rFonts w:ascii="Arial" w:eastAsia="Times New Roman" w:hAnsi="Arial" w:cs="Arial"/>
                <w:sz w:val="20"/>
                <w:szCs w:val="20"/>
                <w:lang w:eastAsia="en-GB"/>
              </w:rPr>
              <w:t>(80)</w:t>
            </w:r>
          </w:p>
        </w:tc>
      </w:tr>
    </w:tbl>
    <w:p w14:paraId="6ED9858C" w14:textId="77777777" w:rsidR="004A2312" w:rsidRDefault="004A2312" w:rsidP="001F6984">
      <w:pPr>
        <w:autoSpaceDE w:val="0"/>
        <w:autoSpaceDN w:val="0"/>
        <w:adjustRightInd w:val="0"/>
        <w:spacing w:after="0" w:line="240" w:lineRule="auto"/>
        <w:ind w:right="-567"/>
        <w:rPr>
          <w:rFonts w:ascii="Arial" w:hAnsi="Arial" w:cs="Arial"/>
          <w:sz w:val="24"/>
          <w:szCs w:val="24"/>
        </w:rPr>
      </w:pPr>
    </w:p>
    <w:p w14:paraId="29E53369" w14:textId="77777777" w:rsidR="001F6984" w:rsidRDefault="001F6984" w:rsidP="006647C2">
      <w:pPr>
        <w:autoSpaceDE w:val="0"/>
        <w:autoSpaceDN w:val="0"/>
        <w:adjustRightInd w:val="0"/>
        <w:spacing w:after="0" w:line="240" w:lineRule="auto"/>
        <w:ind w:right="-46"/>
        <w:jc w:val="both"/>
        <w:rPr>
          <w:rFonts w:ascii="Arial" w:hAnsi="Arial" w:cs="Arial"/>
          <w:sz w:val="24"/>
          <w:szCs w:val="24"/>
        </w:rPr>
      </w:pPr>
      <w:r w:rsidRPr="001F6984">
        <w:rPr>
          <w:rFonts w:ascii="Arial" w:hAnsi="Arial" w:cs="Arial"/>
          <w:sz w:val="24"/>
          <w:szCs w:val="24"/>
        </w:rPr>
        <w:t>The investments in the joint ventures are stated at the net of the group’s interest in the gross assets and gross liabilities of the joint ventures.</w:t>
      </w:r>
    </w:p>
    <w:p w14:paraId="58F21E2E" w14:textId="77777777" w:rsidR="00893575" w:rsidRDefault="00893575" w:rsidP="006647C2">
      <w:pPr>
        <w:autoSpaceDE w:val="0"/>
        <w:autoSpaceDN w:val="0"/>
        <w:adjustRightInd w:val="0"/>
        <w:spacing w:after="0" w:line="240" w:lineRule="auto"/>
        <w:ind w:right="-46"/>
        <w:jc w:val="both"/>
        <w:rPr>
          <w:rFonts w:ascii="Arial" w:hAnsi="Arial" w:cs="Arial"/>
          <w:sz w:val="24"/>
          <w:szCs w:val="24"/>
        </w:rPr>
      </w:pPr>
    </w:p>
    <w:p w14:paraId="5B7CBF26" w14:textId="77777777" w:rsidR="00893575" w:rsidRPr="001F6984" w:rsidRDefault="00893575" w:rsidP="006647C2">
      <w:pPr>
        <w:autoSpaceDE w:val="0"/>
        <w:autoSpaceDN w:val="0"/>
        <w:adjustRightInd w:val="0"/>
        <w:spacing w:after="0" w:line="240" w:lineRule="auto"/>
        <w:ind w:right="-46"/>
        <w:jc w:val="both"/>
        <w:rPr>
          <w:rFonts w:ascii="Arial" w:hAnsi="Arial" w:cs="Arial"/>
          <w:sz w:val="24"/>
          <w:szCs w:val="24"/>
        </w:rPr>
      </w:pPr>
      <w:r w:rsidRPr="006647C2">
        <w:rPr>
          <w:rFonts w:ascii="Arial" w:hAnsi="Arial" w:cs="Arial"/>
          <w:sz w:val="24"/>
          <w:szCs w:val="24"/>
        </w:rPr>
        <w:t>In Sep</w:t>
      </w:r>
      <w:r w:rsidR="000F1EDA">
        <w:rPr>
          <w:rFonts w:ascii="Arial" w:hAnsi="Arial" w:cs="Arial"/>
          <w:sz w:val="24"/>
          <w:szCs w:val="24"/>
        </w:rPr>
        <w:t>te</w:t>
      </w:r>
      <w:r w:rsidR="0041715E">
        <w:rPr>
          <w:rFonts w:ascii="Arial" w:hAnsi="Arial" w:cs="Arial"/>
          <w:sz w:val="24"/>
          <w:szCs w:val="24"/>
        </w:rPr>
        <w:t>mber 2019</w:t>
      </w:r>
      <w:r w:rsidRPr="006647C2">
        <w:rPr>
          <w:rFonts w:ascii="Arial" w:hAnsi="Arial" w:cs="Arial"/>
          <w:sz w:val="24"/>
          <w:szCs w:val="24"/>
        </w:rPr>
        <w:t xml:space="preserve"> </w:t>
      </w:r>
      <w:r>
        <w:rPr>
          <w:rFonts w:ascii="Arial" w:hAnsi="Arial" w:cs="Arial"/>
          <w:sz w:val="24"/>
          <w:szCs w:val="24"/>
        </w:rPr>
        <w:t xml:space="preserve">the </w:t>
      </w:r>
      <w:r w:rsidRPr="006647C2">
        <w:rPr>
          <w:rFonts w:ascii="Arial" w:hAnsi="Arial" w:cs="Arial"/>
          <w:sz w:val="24"/>
          <w:szCs w:val="24"/>
        </w:rPr>
        <w:t xml:space="preserve">Shaw Trust </w:t>
      </w:r>
      <w:r>
        <w:rPr>
          <w:rFonts w:ascii="Arial" w:hAnsi="Arial" w:cs="Arial"/>
          <w:sz w:val="24"/>
          <w:szCs w:val="24"/>
        </w:rPr>
        <w:t xml:space="preserve">Limited </w:t>
      </w:r>
      <w:r w:rsidRPr="006647C2">
        <w:rPr>
          <w:rFonts w:ascii="Arial" w:hAnsi="Arial" w:cs="Arial"/>
          <w:sz w:val="24"/>
          <w:szCs w:val="24"/>
        </w:rPr>
        <w:t>re</w:t>
      </w:r>
      <w:r>
        <w:rPr>
          <w:rFonts w:ascii="Arial" w:hAnsi="Arial" w:cs="Arial"/>
          <w:sz w:val="24"/>
          <w:szCs w:val="24"/>
        </w:rPr>
        <w:t xml:space="preserve">signed </w:t>
      </w:r>
      <w:r w:rsidRPr="006647C2">
        <w:rPr>
          <w:rFonts w:ascii="Arial" w:hAnsi="Arial" w:cs="Arial"/>
          <w:sz w:val="24"/>
          <w:szCs w:val="24"/>
        </w:rPr>
        <w:t xml:space="preserve">from the board of both </w:t>
      </w:r>
      <w:r w:rsidR="00BE6C5F" w:rsidRPr="001F6984">
        <w:rPr>
          <w:rFonts w:ascii="Arial" w:hAnsi="Arial" w:cs="Arial"/>
          <w:sz w:val="24"/>
          <w:szCs w:val="24"/>
        </w:rPr>
        <w:t xml:space="preserve">Motivation Romania Foundation </w:t>
      </w:r>
      <w:r w:rsidR="00BE6C5F">
        <w:rPr>
          <w:rFonts w:ascii="Arial" w:hAnsi="Arial" w:cs="Arial"/>
          <w:sz w:val="24"/>
          <w:szCs w:val="24"/>
        </w:rPr>
        <w:t xml:space="preserve">and </w:t>
      </w:r>
      <w:r w:rsidR="00BE6C5F" w:rsidRPr="001F6984">
        <w:rPr>
          <w:rFonts w:ascii="Arial" w:hAnsi="Arial" w:cs="Arial"/>
          <w:sz w:val="24"/>
          <w:szCs w:val="24"/>
        </w:rPr>
        <w:t xml:space="preserve">Motivation Romania Foundation </w:t>
      </w:r>
      <w:r w:rsidRPr="006647C2">
        <w:rPr>
          <w:rFonts w:ascii="Arial" w:hAnsi="Arial" w:cs="Arial"/>
          <w:sz w:val="24"/>
          <w:szCs w:val="24"/>
        </w:rPr>
        <w:t xml:space="preserve">and </w:t>
      </w:r>
      <w:r w:rsidR="0097783F">
        <w:rPr>
          <w:rFonts w:ascii="Arial" w:hAnsi="Arial" w:cs="Arial"/>
          <w:sz w:val="24"/>
          <w:szCs w:val="24"/>
        </w:rPr>
        <w:t xml:space="preserve">have </w:t>
      </w:r>
      <w:r w:rsidR="00BE6C5F">
        <w:rPr>
          <w:rFonts w:ascii="Arial" w:hAnsi="Arial" w:cs="Arial"/>
          <w:sz w:val="24"/>
          <w:szCs w:val="24"/>
        </w:rPr>
        <w:t>surrendered all</w:t>
      </w:r>
      <w:r w:rsidRPr="006647C2">
        <w:rPr>
          <w:rFonts w:ascii="Arial" w:hAnsi="Arial" w:cs="Arial"/>
          <w:sz w:val="24"/>
          <w:szCs w:val="24"/>
        </w:rPr>
        <w:t xml:space="preserve"> shares</w:t>
      </w:r>
      <w:r w:rsidR="00BE6C5F">
        <w:rPr>
          <w:rFonts w:ascii="Arial" w:hAnsi="Arial" w:cs="Arial"/>
          <w:sz w:val="24"/>
          <w:szCs w:val="24"/>
        </w:rPr>
        <w:t>.</w:t>
      </w:r>
    </w:p>
    <w:p w14:paraId="5BBDF8FC" w14:textId="77777777" w:rsidR="001F6984" w:rsidRPr="001F6984" w:rsidRDefault="001F6984" w:rsidP="006647C2">
      <w:pPr>
        <w:autoSpaceDE w:val="0"/>
        <w:autoSpaceDN w:val="0"/>
        <w:adjustRightInd w:val="0"/>
        <w:spacing w:after="0" w:line="240" w:lineRule="auto"/>
        <w:ind w:right="-46"/>
        <w:jc w:val="both"/>
        <w:rPr>
          <w:rFonts w:ascii="Arial" w:hAnsi="Arial" w:cs="Arial"/>
          <w:sz w:val="24"/>
          <w:szCs w:val="24"/>
        </w:rPr>
      </w:pPr>
    </w:p>
    <w:p w14:paraId="2205AFC5" w14:textId="77777777" w:rsidR="00D747E4" w:rsidRDefault="00D747E4">
      <w:pPr>
        <w:rPr>
          <w:rFonts w:ascii="Arial" w:hAnsi="Arial" w:cs="Arial"/>
          <w:sz w:val="24"/>
          <w:szCs w:val="24"/>
        </w:rPr>
      </w:pPr>
      <w:r>
        <w:rPr>
          <w:rFonts w:ascii="Arial" w:hAnsi="Arial" w:cs="Arial"/>
          <w:sz w:val="24"/>
          <w:szCs w:val="24"/>
        </w:rPr>
        <w:br w:type="page"/>
      </w:r>
    </w:p>
    <w:p w14:paraId="4F34D256" w14:textId="77777777" w:rsidR="006C07DD" w:rsidRDefault="006C07DD" w:rsidP="006C07DD">
      <w:pPr>
        <w:spacing w:after="0" w:line="240" w:lineRule="auto"/>
        <w:rPr>
          <w:rFonts w:ascii="Arial" w:hAnsi="Arial" w:cs="Arial"/>
          <w:b/>
          <w:i/>
          <w:sz w:val="24"/>
          <w:szCs w:val="24"/>
        </w:rPr>
      </w:pPr>
      <w:r w:rsidRPr="0088736E">
        <w:rPr>
          <w:rFonts w:ascii="Arial" w:hAnsi="Arial" w:cs="Arial"/>
          <w:b/>
          <w:i/>
          <w:sz w:val="24"/>
          <w:szCs w:val="24"/>
        </w:rPr>
        <w:lastRenderedPageBreak/>
        <w:t xml:space="preserve">Notes to the financial </w:t>
      </w:r>
      <w:r>
        <w:rPr>
          <w:rFonts w:ascii="Arial" w:hAnsi="Arial" w:cs="Arial"/>
          <w:b/>
          <w:i/>
          <w:sz w:val="24"/>
          <w:szCs w:val="24"/>
        </w:rPr>
        <w:t>statements</w:t>
      </w:r>
      <w:r w:rsidRPr="0088736E">
        <w:rPr>
          <w:rFonts w:ascii="Arial" w:hAnsi="Arial" w:cs="Arial"/>
          <w:b/>
          <w:i/>
          <w:sz w:val="24"/>
          <w:szCs w:val="24"/>
        </w:rPr>
        <w:t xml:space="preserve"> (continued)</w:t>
      </w:r>
    </w:p>
    <w:p w14:paraId="387608CE" w14:textId="77777777" w:rsidR="001F6984" w:rsidRPr="001F6984" w:rsidRDefault="001F6984" w:rsidP="006647C2">
      <w:pPr>
        <w:autoSpaceDE w:val="0"/>
        <w:autoSpaceDN w:val="0"/>
        <w:adjustRightInd w:val="0"/>
        <w:spacing w:after="0" w:line="240" w:lineRule="auto"/>
        <w:ind w:right="-330"/>
        <w:jc w:val="both"/>
        <w:rPr>
          <w:rFonts w:ascii="Arial" w:hAnsi="Arial" w:cs="Arial"/>
          <w:sz w:val="24"/>
          <w:szCs w:val="24"/>
        </w:rPr>
      </w:pPr>
    </w:p>
    <w:tbl>
      <w:tblPr>
        <w:tblW w:w="12765" w:type="dxa"/>
        <w:tblLayout w:type="fixed"/>
        <w:tblLook w:val="04A0" w:firstRow="1" w:lastRow="0" w:firstColumn="1" w:lastColumn="0" w:noHBand="0" w:noVBand="1"/>
      </w:tblPr>
      <w:tblGrid>
        <w:gridCol w:w="1559"/>
        <w:gridCol w:w="1681"/>
        <w:gridCol w:w="1680"/>
        <w:gridCol w:w="1566"/>
        <w:gridCol w:w="241"/>
        <w:gridCol w:w="1421"/>
        <w:gridCol w:w="1066"/>
        <w:gridCol w:w="3551"/>
      </w:tblGrid>
      <w:tr w:rsidR="00491197" w:rsidRPr="00691ECF" w14:paraId="331CE355" w14:textId="77777777" w:rsidTr="00E95971">
        <w:trPr>
          <w:trHeight w:val="1212"/>
        </w:trPr>
        <w:tc>
          <w:tcPr>
            <w:tcW w:w="12765" w:type="dxa"/>
            <w:gridSpan w:val="8"/>
            <w:tcBorders>
              <w:top w:val="nil"/>
              <w:left w:val="nil"/>
              <w:bottom w:val="nil"/>
              <w:right w:val="nil"/>
            </w:tcBorders>
            <w:shd w:val="clear" w:color="auto" w:fill="auto"/>
            <w:hideMark/>
          </w:tcPr>
          <w:p w14:paraId="233C9F54" w14:textId="77777777" w:rsidR="00C322AE" w:rsidRDefault="00BE0959" w:rsidP="00665BC7">
            <w:pPr>
              <w:spacing w:after="240" w:line="240" w:lineRule="auto"/>
              <w:ind w:right="4031"/>
              <w:rPr>
                <w:rFonts w:ascii="Arial" w:eastAsia="Times New Roman" w:hAnsi="Arial" w:cs="Arial"/>
                <w:sz w:val="24"/>
                <w:szCs w:val="24"/>
                <w:lang w:eastAsia="en-GB"/>
              </w:rPr>
            </w:pPr>
            <w:r>
              <w:rPr>
                <w:rFonts w:ascii="Arial" w:eastAsia="Times New Roman" w:hAnsi="Arial" w:cs="Arial"/>
                <w:b/>
                <w:bCs/>
                <w:sz w:val="24"/>
                <w:szCs w:val="24"/>
                <w:lang w:eastAsia="en-GB"/>
              </w:rPr>
              <w:t>10</w:t>
            </w:r>
            <w:r w:rsidR="00C322AE" w:rsidRPr="00691ECF">
              <w:rPr>
                <w:rFonts w:ascii="Arial" w:eastAsia="Times New Roman" w:hAnsi="Arial" w:cs="Arial"/>
                <w:b/>
                <w:bCs/>
                <w:sz w:val="24"/>
                <w:szCs w:val="24"/>
                <w:lang w:eastAsia="en-GB"/>
              </w:rPr>
              <w:t xml:space="preserve">. </w:t>
            </w:r>
            <w:r w:rsidR="00047E5C">
              <w:rPr>
                <w:rFonts w:ascii="Arial" w:eastAsia="Times New Roman" w:hAnsi="Arial" w:cs="Arial"/>
                <w:b/>
                <w:bCs/>
                <w:sz w:val="24"/>
                <w:szCs w:val="24"/>
                <w:lang w:eastAsia="en-GB"/>
              </w:rPr>
              <w:t>I</w:t>
            </w:r>
            <w:r w:rsidR="00C322AE" w:rsidRPr="00691ECF">
              <w:rPr>
                <w:rFonts w:ascii="Arial" w:eastAsia="Times New Roman" w:hAnsi="Arial" w:cs="Arial"/>
                <w:b/>
                <w:bCs/>
                <w:sz w:val="24"/>
                <w:szCs w:val="24"/>
                <w:lang w:eastAsia="en-GB"/>
              </w:rPr>
              <w:t>nvestments</w:t>
            </w:r>
          </w:p>
          <w:p w14:paraId="67B920D8" w14:textId="77777777" w:rsidR="002D11C7" w:rsidRPr="00336B16" w:rsidRDefault="00491197" w:rsidP="006647C2">
            <w:pPr>
              <w:spacing w:after="240" w:line="240" w:lineRule="auto"/>
              <w:ind w:right="3450"/>
              <w:jc w:val="both"/>
              <w:rPr>
                <w:rFonts w:ascii="Arial" w:eastAsia="Times New Roman" w:hAnsi="Arial" w:cs="Arial"/>
                <w:sz w:val="24"/>
                <w:szCs w:val="24"/>
                <w:lang w:eastAsia="en-GB"/>
              </w:rPr>
            </w:pPr>
            <w:r w:rsidRPr="00336B16">
              <w:rPr>
                <w:rFonts w:ascii="Arial" w:eastAsia="Times New Roman" w:hAnsi="Arial" w:cs="Arial"/>
                <w:sz w:val="24"/>
                <w:szCs w:val="24"/>
                <w:lang w:eastAsia="en-GB"/>
              </w:rPr>
              <w:t xml:space="preserve">As a part of the Trust's investment policy, a portion of funds available for investment </w:t>
            </w:r>
            <w:r w:rsidR="000F1EDA">
              <w:rPr>
                <w:rFonts w:ascii="Arial" w:eastAsia="Times New Roman" w:hAnsi="Arial" w:cs="Arial"/>
                <w:sz w:val="24"/>
                <w:szCs w:val="24"/>
                <w:lang w:eastAsia="en-GB"/>
              </w:rPr>
              <w:t>was</w:t>
            </w:r>
            <w:r w:rsidRPr="00336B16">
              <w:rPr>
                <w:rFonts w:ascii="Arial" w:eastAsia="Times New Roman" w:hAnsi="Arial" w:cs="Arial"/>
                <w:sz w:val="24"/>
                <w:szCs w:val="24"/>
                <w:lang w:eastAsia="en-GB"/>
              </w:rPr>
              <w:t xml:space="preserve"> held in a broad range of UK and overseas listed equities, Government and corporate bonds and alternative investments, in order to generate capital growth w</w:t>
            </w:r>
            <w:r w:rsidR="008E5A7C">
              <w:rPr>
                <w:rFonts w:ascii="Arial" w:eastAsia="Times New Roman" w:hAnsi="Arial" w:cs="Arial"/>
                <w:sz w:val="24"/>
                <w:szCs w:val="24"/>
                <w:lang w:eastAsia="en-GB"/>
              </w:rPr>
              <w:t xml:space="preserve">ithout exposure to undue risk. </w:t>
            </w:r>
            <w:r w:rsidRPr="00336B16">
              <w:rPr>
                <w:rFonts w:ascii="Arial" w:eastAsia="Times New Roman" w:hAnsi="Arial" w:cs="Arial"/>
                <w:sz w:val="24"/>
                <w:szCs w:val="24"/>
                <w:lang w:eastAsia="en-GB"/>
              </w:rPr>
              <w:t xml:space="preserve">These funds </w:t>
            </w:r>
            <w:r w:rsidR="00085506" w:rsidRPr="00336B16">
              <w:rPr>
                <w:rFonts w:ascii="Arial" w:eastAsia="Times New Roman" w:hAnsi="Arial" w:cs="Arial"/>
                <w:sz w:val="24"/>
                <w:szCs w:val="24"/>
                <w:lang w:eastAsia="en-GB"/>
              </w:rPr>
              <w:t>we</w:t>
            </w:r>
            <w:r w:rsidRPr="00336B16">
              <w:rPr>
                <w:rFonts w:ascii="Arial" w:eastAsia="Times New Roman" w:hAnsi="Arial" w:cs="Arial"/>
                <w:sz w:val="24"/>
                <w:szCs w:val="24"/>
                <w:lang w:eastAsia="en-GB"/>
              </w:rPr>
              <w:t xml:space="preserve">re held for the medium-term and </w:t>
            </w:r>
            <w:r w:rsidR="00085506" w:rsidRPr="00336B16">
              <w:rPr>
                <w:rFonts w:ascii="Arial" w:eastAsia="Times New Roman" w:hAnsi="Arial" w:cs="Arial"/>
                <w:sz w:val="24"/>
                <w:szCs w:val="24"/>
                <w:lang w:eastAsia="en-GB"/>
              </w:rPr>
              <w:t>as</w:t>
            </w:r>
            <w:r w:rsidRPr="00336B16">
              <w:rPr>
                <w:rFonts w:ascii="Arial" w:eastAsia="Times New Roman" w:hAnsi="Arial" w:cs="Arial"/>
                <w:sz w:val="24"/>
                <w:szCs w:val="24"/>
                <w:lang w:eastAsia="en-GB"/>
              </w:rPr>
              <w:t xml:space="preserve"> a result, and in accordance with accounti</w:t>
            </w:r>
            <w:r w:rsidR="00914B04">
              <w:rPr>
                <w:rFonts w:ascii="Arial" w:eastAsia="Times New Roman" w:hAnsi="Arial" w:cs="Arial"/>
                <w:sz w:val="24"/>
                <w:szCs w:val="24"/>
                <w:lang w:eastAsia="en-GB"/>
              </w:rPr>
              <w:t>ng guidance, these investments we</w:t>
            </w:r>
            <w:r w:rsidR="006674F4">
              <w:rPr>
                <w:rFonts w:ascii="Arial" w:eastAsia="Times New Roman" w:hAnsi="Arial" w:cs="Arial"/>
                <w:sz w:val="24"/>
                <w:szCs w:val="24"/>
                <w:lang w:eastAsia="en-GB"/>
              </w:rPr>
              <w:t>re classified as fixed assets.</w:t>
            </w:r>
          </w:p>
          <w:p w14:paraId="442DFBAD" w14:textId="77777777" w:rsidR="002D11C7" w:rsidRPr="00336B16" w:rsidRDefault="002D11C7" w:rsidP="006647C2">
            <w:pPr>
              <w:spacing w:after="240" w:line="240" w:lineRule="auto"/>
              <w:ind w:right="3614"/>
              <w:jc w:val="both"/>
              <w:rPr>
                <w:rFonts w:ascii="Arial" w:eastAsia="Times New Roman" w:hAnsi="Arial" w:cs="Arial"/>
                <w:sz w:val="24"/>
                <w:szCs w:val="24"/>
                <w:lang w:eastAsia="en-GB"/>
              </w:rPr>
            </w:pPr>
            <w:r w:rsidRPr="00336B16">
              <w:rPr>
                <w:rFonts w:ascii="Arial" w:eastAsia="Times New Roman" w:hAnsi="Arial" w:cs="Arial"/>
                <w:sz w:val="24"/>
                <w:szCs w:val="24"/>
                <w:lang w:eastAsia="en-GB"/>
              </w:rPr>
              <w:t xml:space="preserve">The majority of these investments were liquidated and sold during </w:t>
            </w:r>
            <w:r w:rsidR="00AF1D07">
              <w:rPr>
                <w:rFonts w:ascii="Arial" w:eastAsia="Times New Roman" w:hAnsi="Arial" w:cs="Arial"/>
                <w:sz w:val="24"/>
                <w:szCs w:val="24"/>
                <w:lang w:eastAsia="en-GB"/>
              </w:rPr>
              <w:t>2019</w:t>
            </w:r>
            <w:r w:rsidR="000F1EDA">
              <w:rPr>
                <w:rFonts w:ascii="Arial" w:eastAsia="Times New Roman" w:hAnsi="Arial" w:cs="Arial"/>
                <w:sz w:val="24"/>
                <w:szCs w:val="24"/>
                <w:lang w:eastAsia="en-GB"/>
              </w:rPr>
              <w:t xml:space="preserve"> with the balance sold during the current year</w:t>
            </w:r>
            <w:r w:rsidR="00AF1D07">
              <w:rPr>
                <w:rFonts w:ascii="Arial" w:eastAsia="Times New Roman" w:hAnsi="Arial" w:cs="Arial"/>
                <w:sz w:val="24"/>
                <w:szCs w:val="24"/>
                <w:lang w:eastAsia="en-GB"/>
              </w:rPr>
              <w:t xml:space="preserve">. </w:t>
            </w:r>
            <w:r w:rsidRPr="00336B16">
              <w:rPr>
                <w:rFonts w:ascii="Arial" w:eastAsia="Times New Roman" w:hAnsi="Arial" w:cs="Arial"/>
                <w:sz w:val="24"/>
                <w:szCs w:val="24"/>
                <w:lang w:eastAsia="en-GB"/>
              </w:rPr>
              <w:t>At the</w:t>
            </w:r>
            <w:r w:rsidR="00C322AE">
              <w:rPr>
                <w:rFonts w:ascii="Arial" w:eastAsia="Times New Roman" w:hAnsi="Arial" w:cs="Arial"/>
                <w:sz w:val="24"/>
                <w:szCs w:val="24"/>
                <w:lang w:eastAsia="en-GB"/>
              </w:rPr>
              <w:t xml:space="preserve"> </w:t>
            </w:r>
            <w:r w:rsidRPr="00336B16">
              <w:rPr>
                <w:rFonts w:ascii="Arial" w:eastAsia="Times New Roman" w:hAnsi="Arial" w:cs="Arial"/>
                <w:sz w:val="24"/>
                <w:szCs w:val="24"/>
                <w:lang w:eastAsia="en-GB"/>
              </w:rPr>
              <w:t>balance sheet date, these investments are held in the following classes:</w:t>
            </w:r>
          </w:p>
        </w:tc>
      </w:tr>
      <w:tr w:rsidR="00491197" w:rsidRPr="00691ECF" w14:paraId="2D2126AF" w14:textId="77777777" w:rsidTr="00E95971">
        <w:trPr>
          <w:gridAfter w:val="1"/>
          <w:wAfter w:w="3551" w:type="dxa"/>
          <w:trHeight w:val="323"/>
        </w:trPr>
        <w:tc>
          <w:tcPr>
            <w:tcW w:w="3240" w:type="dxa"/>
            <w:gridSpan w:val="2"/>
            <w:tcBorders>
              <w:top w:val="nil"/>
              <w:left w:val="nil"/>
              <w:bottom w:val="nil"/>
              <w:right w:val="nil"/>
            </w:tcBorders>
            <w:shd w:val="clear" w:color="auto" w:fill="auto"/>
            <w:noWrap/>
            <w:vAlign w:val="center"/>
            <w:hideMark/>
          </w:tcPr>
          <w:p w14:paraId="7649F24B" w14:textId="77777777" w:rsidR="00491197" w:rsidRPr="00691ECF" w:rsidRDefault="00491197" w:rsidP="00336B16">
            <w:pPr>
              <w:spacing w:after="240" w:line="240" w:lineRule="auto"/>
              <w:rPr>
                <w:rFonts w:ascii="Arial" w:eastAsia="Times New Roman" w:hAnsi="Arial" w:cs="Arial"/>
                <w:b/>
                <w:bCs/>
                <w:sz w:val="20"/>
                <w:szCs w:val="20"/>
                <w:lang w:eastAsia="en-GB"/>
              </w:rPr>
            </w:pPr>
            <w:r w:rsidRPr="00691ECF">
              <w:rPr>
                <w:rFonts w:ascii="Arial" w:eastAsia="Times New Roman" w:hAnsi="Arial" w:cs="Arial"/>
                <w:b/>
                <w:bCs/>
                <w:sz w:val="20"/>
                <w:szCs w:val="20"/>
                <w:lang w:eastAsia="en-GB"/>
              </w:rPr>
              <w:t>Group and company</w:t>
            </w:r>
          </w:p>
        </w:tc>
        <w:tc>
          <w:tcPr>
            <w:tcW w:w="1680" w:type="dxa"/>
            <w:tcBorders>
              <w:top w:val="nil"/>
              <w:left w:val="nil"/>
              <w:bottom w:val="nil"/>
              <w:right w:val="nil"/>
            </w:tcBorders>
            <w:shd w:val="clear" w:color="auto" w:fill="auto"/>
            <w:noWrap/>
            <w:vAlign w:val="center"/>
            <w:hideMark/>
          </w:tcPr>
          <w:p w14:paraId="0DE10CDA" w14:textId="77777777" w:rsidR="00491197" w:rsidRPr="00691ECF" w:rsidRDefault="00491197" w:rsidP="00336B16">
            <w:pPr>
              <w:spacing w:after="240" w:line="240" w:lineRule="auto"/>
              <w:rPr>
                <w:rFonts w:ascii="Arial" w:eastAsia="Times New Roman" w:hAnsi="Arial" w:cs="Arial"/>
                <w:b/>
                <w:bCs/>
                <w:sz w:val="20"/>
                <w:szCs w:val="20"/>
                <w:lang w:eastAsia="en-GB"/>
              </w:rPr>
            </w:pPr>
          </w:p>
        </w:tc>
        <w:tc>
          <w:tcPr>
            <w:tcW w:w="1566" w:type="dxa"/>
            <w:tcBorders>
              <w:top w:val="nil"/>
              <w:left w:val="nil"/>
              <w:bottom w:val="nil"/>
              <w:right w:val="nil"/>
            </w:tcBorders>
            <w:shd w:val="clear" w:color="auto" w:fill="auto"/>
            <w:noWrap/>
            <w:vAlign w:val="center"/>
            <w:hideMark/>
          </w:tcPr>
          <w:p w14:paraId="0DB6C65D" w14:textId="77777777" w:rsidR="00491197" w:rsidRPr="00336B16" w:rsidRDefault="00491197" w:rsidP="00336B16">
            <w:pPr>
              <w:spacing w:after="240" w:line="240" w:lineRule="auto"/>
              <w:rPr>
                <w:rFonts w:ascii="Arial" w:eastAsia="Times New Roman" w:hAnsi="Arial" w:cs="Arial"/>
                <w:sz w:val="20"/>
                <w:szCs w:val="20"/>
                <w:lang w:eastAsia="en-GB"/>
              </w:rPr>
            </w:pPr>
          </w:p>
        </w:tc>
        <w:tc>
          <w:tcPr>
            <w:tcW w:w="241" w:type="dxa"/>
            <w:tcBorders>
              <w:top w:val="nil"/>
              <w:left w:val="nil"/>
              <w:bottom w:val="nil"/>
              <w:right w:val="nil"/>
            </w:tcBorders>
            <w:shd w:val="clear" w:color="auto" w:fill="auto"/>
            <w:noWrap/>
            <w:vAlign w:val="center"/>
            <w:hideMark/>
          </w:tcPr>
          <w:p w14:paraId="37E495FB" w14:textId="77777777" w:rsidR="00491197" w:rsidRPr="00336B16" w:rsidRDefault="00491197" w:rsidP="00336B16">
            <w:pPr>
              <w:spacing w:after="240" w:line="240" w:lineRule="auto"/>
              <w:rPr>
                <w:rFonts w:ascii="Arial" w:eastAsia="Times New Roman" w:hAnsi="Arial" w:cs="Arial"/>
                <w:sz w:val="20"/>
                <w:szCs w:val="20"/>
                <w:lang w:eastAsia="en-GB"/>
              </w:rPr>
            </w:pPr>
          </w:p>
        </w:tc>
        <w:tc>
          <w:tcPr>
            <w:tcW w:w="1421" w:type="dxa"/>
            <w:tcBorders>
              <w:top w:val="nil"/>
              <w:left w:val="nil"/>
              <w:bottom w:val="nil"/>
              <w:right w:val="nil"/>
            </w:tcBorders>
            <w:shd w:val="clear" w:color="auto" w:fill="auto"/>
            <w:noWrap/>
            <w:vAlign w:val="center"/>
            <w:hideMark/>
          </w:tcPr>
          <w:p w14:paraId="575AA0DD" w14:textId="77777777" w:rsidR="00491197" w:rsidRPr="00691ECF" w:rsidRDefault="0037645F" w:rsidP="005B39D0">
            <w:pPr>
              <w:spacing w:after="24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2020</w:t>
            </w:r>
          </w:p>
        </w:tc>
        <w:tc>
          <w:tcPr>
            <w:tcW w:w="1066" w:type="dxa"/>
            <w:tcBorders>
              <w:top w:val="nil"/>
              <w:left w:val="nil"/>
              <w:bottom w:val="nil"/>
              <w:right w:val="nil"/>
            </w:tcBorders>
            <w:shd w:val="clear" w:color="auto" w:fill="auto"/>
            <w:noWrap/>
            <w:vAlign w:val="center"/>
            <w:hideMark/>
          </w:tcPr>
          <w:p w14:paraId="4ADA2097" w14:textId="77777777" w:rsidR="00491197" w:rsidRPr="00691ECF" w:rsidRDefault="0037645F" w:rsidP="005B39D0">
            <w:pPr>
              <w:spacing w:after="240" w:line="240" w:lineRule="auto"/>
              <w:ind w:right="37"/>
              <w:jc w:val="right"/>
              <w:rPr>
                <w:rFonts w:ascii="Arial" w:eastAsia="Times New Roman" w:hAnsi="Arial" w:cs="Arial"/>
                <w:sz w:val="20"/>
                <w:szCs w:val="20"/>
                <w:lang w:eastAsia="en-GB"/>
              </w:rPr>
            </w:pPr>
            <w:r>
              <w:rPr>
                <w:rFonts w:ascii="Arial" w:eastAsia="Times New Roman" w:hAnsi="Arial" w:cs="Arial"/>
                <w:sz w:val="20"/>
                <w:szCs w:val="20"/>
                <w:lang w:eastAsia="en-GB"/>
              </w:rPr>
              <w:t>2019</w:t>
            </w:r>
          </w:p>
        </w:tc>
      </w:tr>
      <w:tr w:rsidR="00491197" w:rsidRPr="00691ECF" w14:paraId="16C060AC" w14:textId="77777777" w:rsidTr="00E95971">
        <w:trPr>
          <w:gridAfter w:val="1"/>
          <w:wAfter w:w="3551" w:type="dxa"/>
          <w:trHeight w:val="323"/>
        </w:trPr>
        <w:tc>
          <w:tcPr>
            <w:tcW w:w="1559" w:type="dxa"/>
            <w:tcBorders>
              <w:top w:val="nil"/>
              <w:left w:val="nil"/>
              <w:bottom w:val="single" w:sz="4" w:space="0" w:color="auto"/>
              <w:right w:val="nil"/>
            </w:tcBorders>
            <w:shd w:val="clear" w:color="auto" w:fill="auto"/>
            <w:noWrap/>
            <w:vAlign w:val="center"/>
            <w:hideMark/>
          </w:tcPr>
          <w:p w14:paraId="6BD5DBA4" w14:textId="77777777" w:rsidR="00491197" w:rsidRPr="00691ECF" w:rsidRDefault="00491197" w:rsidP="00336B16">
            <w:pPr>
              <w:spacing w:after="240" w:line="240" w:lineRule="auto"/>
              <w:rPr>
                <w:rFonts w:ascii="Arial" w:eastAsia="Times New Roman" w:hAnsi="Arial" w:cs="Arial"/>
                <w:sz w:val="20"/>
                <w:szCs w:val="20"/>
                <w:lang w:eastAsia="en-GB"/>
              </w:rPr>
            </w:pPr>
            <w:r w:rsidRPr="00691ECF">
              <w:rPr>
                <w:rFonts w:ascii="Arial" w:eastAsia="Times New Roman" w:hAnsi="Arial" w:cs="Arial"/>
                <w:sz w:val="20"/>
                <w:szCs w:val="20"/>
                <w:lang w:eastAsia="en-GB"/>
              </w:rPr>
              <w:t> </w:t>
            </w:r>
          </w:p>
        </w:tc>
        <w:tc>
          <w:tcPr>
            <w:tcW w:w="1681" w:type="dxa"/>
            <w:tcBorders>
              <w:top w:val="nil"/>
              <w:left w:val="nil"/>
              <w:bottom w:val="single" w:sz="4" w:space="0" w:color="auto"/>
              <w:right w:val="nil"/>
            </w:tcBorders>
            <w:shd w:val="clear" w:color="auto" w:fill="auto"/>
            <w:noWrap/>
            <w:vAlign w:val="center"/>
            <w:hideMark/>
          </w:tcPr>
          <w:p w14:paraId="06581B24" w14:textId="77777777" w:rsidR="00491197" w:rsidRPr="00691ECF" w:rsidRDefault="00491197" w:rsidP="00336B16">
            <w:pPr>
              <w:spacing w:after="240" w:line="240" w:lineRule="auto"/>
              <w:rPr>
                <w:rFonts w:ascii="Arial" w:eastAsia="Times New Roman" w:hAnsi="Arial" w:cs="Arial"/>
                <w:sz w:val="20"/>
                <w:szCs w:val="20"/>
                <w:lang w:eastAsia="en-GB"/>
              </w:rPr>
            </w:pPr>
            <w:r w:rsidRPr="00691ECF">
              <w:rPr>
                <w:rFonts w:ascii="Arial" w:eastAsia="Times New Roman" w:hAnsi="Arial" w:cs="Arial"/>
                <w:sz w:val="20"/>
                <w:szCs w:val="20"/>
                <w:lang w:eastAsia="en-GB"/>
              </w:rPr>
              <w:t> </w:t>
            </w:r>
          </w:p>
        </w:tc>
        <w:tc>
          <w:tcPr>
            <w:tcW w:w="1680" w:type="dxa"/>
            <w:tcBorders>
              <w:top w:val="nil"/>
              <w:left w:val="nil"/>
              <w:bottom w:val="single" w:sz="4" w:space="0" w:color="auto"/>
              <w:right w:val="nil"/>
            </w:tcBorders>
            <w:shd w:val="clear" w:color="auto" w:fill="auto"/>
            <w:noWrap/>
            <w:vAlign w:val="center"/>
            <w:hideMark/>
          </w:tcPr>
          <w:p w14:paraId="7D15F197" w14:textId="77777777" w:rsidR="00491197" w:rsidRPr="00691ECF" w:rsidRDefault="00491197" w:rsidP="00336B16">
            <w:pPr>
              <w:spacing w:after="240" w:line="240" w:lineRule="auto"/>
              <w:rPr>
                <w:rFonts w:ascii="Arial" w:eastAsia="Times New Roman" w:hAnsi="Arial" w:cs="Arial"/>
                <w:sz w:val="20"/>
                <w:szCs w:val="20"/>
                <w:lang w:eastAsia="en-GB"/>
              </w:rPr>
            </w:pPr>
            <w:r w:rsidRPr="00691ECF">
              <w:rPr>
                <w:rFonts w:ascii="Arial" w:eastAsia="Times New Roman" w:hAnsi="Arial" w:cs="Arial"/>
                <w:sz w:val="20"/>
                <w:szCs w:val="20"/>
                <w:lang w:eastAsia="en-GB"/>
              </w:rPr>
              <w:t> </w:t>
            </w:r>
          </w:p>
        </w:tc>
        <w:tc>
          <w:tcPr>
            <w:tcW w:w="1566" w:type="dxa"/>
            <w:tcBorders>
              <w:top w:val="nil"/>
              <w:left w:val="nil"/>
              <w:bottom w:val="single" w:sz="4" w:space="0" w:color="auto"/>
              <w:right w:val="nil"/>
            </w:tcBorders>
            <w:shd w:val="clear" w:color="auto" w:fill="auto"/>
            <w:noWrap/>
            <w:vAlign w:val="center"/>
            <w:hideMark/>
          </w:tcPr>
          <w:p w14:paraId="4DE232ED" w14:textId="77777777" w:rsidR="00491197" w:rsidRPr="00691ECF" w:rsidRDefault="00491197" w:rsidP="00336B16">
            <w:pPr>
              <w:spacing w:after="240" w:line="240" w:lineRule="auto"/>
              <w:rPr>
                <w:rFonts w:ascii="Arial" w:eastAsia="Times New Roman" w:hAnsi="Arial" w:cs="Arial"/>
                <w:sz w:val="20"/>
                <w:szCs w:val="20"/>
                <w:lang w:eastAsia="en-GB"/>
              </w:rPr>
            </w:pPr>
            <w:r w:rsidRPr="00691ECF">
              <w:rPr>
                <w:rFonts w:ascii="Arial" w:eastAsia="Times New Roman" w:hAnsi="Arial" w:cs="Arial"/>
                <w:sz w:val="20"/>
                <w:szCs w:val="20"/>
                <w:lang w:eastAsia="en-GB"/>
              </w:rPr>
              <w:t> </w:t>
            </w:r>
          </w:p>
        </w:tc>
        <w:tc>
          <w:tcPr>
            <w:tcW w:w="241" w:type="dxa"/>
            <w:tcBorders>
              <w:top w:val="nil"/>
              <w:left w:val="nil"/>
              <w:bottom w:val="single" w:sz="4" w:space="0" w:color="auto"/>
              <w:right w:val="nil"/>
            </w:tcBorders>
            <w:shd w:val="clear" w:color="auto" w:fill="auto"/>
            <w:noWrap/>
            <w:vAlign w:val="center"/>
            <w:hideMark/>
          </w:tcPr>
          <w:p w14:paraId="79C89EB6" w14:textId="77777777" w:rsidR="00491197" w:rsidRPr="00691ECF" w:rsidRDefault="00491197" w:rsidP="00336B16">
            <w:pPr>
              <w:spacing w:after="240" w:line="240" w:lineRule="auto"/>
              <w:rPr>
                <w:rFonts w:ascii="Arial" w:eastAsia="Times New Roman" w:hAnsi="Arial" w:cs="Arial"/>
                <w:sz w:val="20"/>
                <w:szCs w:val="20"/>
                <w:lang w:eastAsia="en-GB"/>
              </w:rPr>
            </w:pPr>
            <w:r w:rsidRPr="00691ECF">
              <w:rPr>
                <w:rFonts w:ascii="Arial" w:eastAsia="Times New Roman" w:hAnsi="Arial" w:cs="Arial"/>
                <w:sz w:val="20"/>
                <w:szCs w:val="20"/>
                <w:lang w:eastAsia="en-GB"/>
              </w:rPr>
              <w:t> </w:t>
            </w:r>
          </w:p>
        </w:tc>
        <w:tc>
          <w:tcPr>
            <w:tcW w:w="1421" w:type="dxa"/>
            <w:tcBorders>
              <w:top w:val="nil"/>
              <w:left w:val="nil"/>
              <w:bottom w:val="single" w:sz="4" w:space="0" w:color="auto"/>
              <w:right w:val="nil"/>
            </w:tcBorders>
            <w:shd w:val="clear" w:color="auto" w:fill="auto"/>
            <w:noWrap/>
            <w:vAlign w:val="center"/>
            <w:hideMark/>
          </w:tcPr>
          <w:p w14:paraId="207DAC8C" w14:textId="77777777" w:rsidR="00491197" w:rsidRPr="00691ECF" w:rsidRDefault="00491197" w:rsidP="005B39D0">
            <w:pPr>
              <w:spacing w:after="240" w:line="240" w:lineRule="auto"/>
              <w:jc w:val="right"/>
              <w:rPr>
                <w:rFonts w:ascii="Arial" w:eastAsia="Times New Roman" w:hAnsi="Arial" w:cs="Arial"/>
                <w:b/>
                <w:bCs/>
                <w:sz w:val="20"/>
                <w:szCs w:val="20"/>
                <w:lang w:eastAsia="en-GB"/>
              </w:rPr>
            </w:pPr>
            <w:r w:rsidRPr="00691ECF">
              <w:rPr>
                <w:rFonts w:ascii="Arial" w:eastAsia="Times New Roman" w:hAnsi="Arial" w:cs="Arial"/>
                <w:b/>
                <w:bCs/>
                <w:sz w:val="20"/>
                <w:szCs w:val="20"/>
                <w:lang w:eastAsia="en-GB"/>
              </w:rPr>
              <w:t>£'000</w:t>
            </w:r>
          </w:p>
        </w:tc>
        <w:tc>
          <w:tcPr>
            <w:tcW w:w="1066" w:type="dxa"/>
            <w:tcBorders>
              <w:top w:val="nil"/>
              <w:left w:val="nil"/>
              <w:bottom w:val="single" w:sz="4" w:space="0" w:color="auto"/>
              <w:right w:val="nil"/>
            </w:tcBorders>
            <w:shd w:val="clear" w:color="auto" w:fill="auto"/>
            <w:noWrap/>
            <w:vAlign w:val="center"/>
            <w:hideMark/>
          </w:tcPr>
          <w:p w14:paraId="1051373A" w14:textId="77777777" w:rsidR="00491197" w:rsidRPr="00691ECF" w:rsidRDefault="00491197" w:rsidP="005B39D0">
            <w:pPr>
              <w:spacing w:after="240" w:line="240" w:lineRule="auto"/>
              <w:ind w:right="37"/>
              <w:jc w:val="right"/>
              <w:rPr>
                <w:rFonts w:ascii="Arial" w:eastAsia="Times New Roman" w:hAnsi="Arial" w:cs="Arial"/>
                <w:sz w:val="20"/>
                <w:szCs w:val="20"/>
                <w:lang w:eastAsia="en-GB"/>
              </w:rPr>
            </w:pPr>
            <w:r w:rsidRPr="00691ECF">
              <w:rPr>
                <w:rFonts w:ascii="Arial" w:eastAsia="Times New Roman" w:hAnsi="Arial" w:cs="Arial"/>
                <w:sz w:val="20"/>
                <w:szCs w:val="20"/>
                <w:lang w:eastAsia="en-GB"/>
              </w:rPr>
              <w:t>£'000</w:t>
            </w:r>
          </w:p>
        </w:tc>
      </w:tr>
      <w:tr w:rsidR="00265730" w:rsidRPr="00691ECF" w14:paraId="6EC52535" w14:textId="77777777" w:rsidTr="00E95971">
        <w:trPr>
          <w:gridAfter w:val="1"/>
          <w:wAfter w:w="3551" w:type="dxa"/>
          <w:trHeight w:val="323"/>
        </w:trPr>
        <w:tc>
          <w:tcPr>
            <w:tcW w:w="6486" w:type="dxa"/>
            <w:gridSpan w:val="4"/>
            <w:tcBorders>
              <w:top w:val="nil"/>
              <w:left w:val="nil"/>
              <w:bottom w:val="nil"/>
              <w:right w:val="nil"/>
            </w:tcBorders>
            <w:shd w:val="clear" w:color="auto" w:fill="auto"/>
            <w:noWrap/>
            <w:vAlign w:val="center"/>
            <w:hideMark/>
          </w:tcPr>
          <w:p w14:paraId="6D496D97" w14:textId="77777777" w:rsidR="00265730" w:rsidRPr="00691ECF" w:rsidRDefault="00265730" w:rsidP="00265730">
            <w:pPr>
              <w:spacing w:after="240" w:line="240" w:lineRule="auto"/>
              <w:rPr>
                <w:rFonts w:ascii="Arial" w:eastAsia="Times New Roman" w:hAnsi="Arial" w:cs="Arial"/>
                <w:sz w:val="20"/>
                <w:szCs w:val="20"/>
                <w:lang w:eastAsia="en-GB"/>
              </w:rPr>
            </w:pPr>
            <w:r w:rsidRPr="00691ECF">
              <w:rPr>
                <w:rFonts w:ascii="Arial" w:eastAsia="Times New Roman" w:hAnsi="Arial" w:cs="Arial"/>
                <w:sz w:val="20"/>
                <w:szCs w:val="20"/>
                <w:lang w:eastAsia="en-GB"/>
              </w:rPr>
              <w:t>Other investments (including those transferred from DLF)</w:t>
            </w:r>
          </w:p>
        </w:tc>
        <w:tc>
          <w:tcPr>
            <w:tcW w:w="241" w:type="dxa"/>
            <w:tcBorders>
              <w:top w:val="nil"/>
              <w:left w:val="nil"/>
              <w:bottom w:val="nil"/>
              <w:right w:val="nil"/>
            </w:tcBorders>
            <w:shd w:val="clear" w:color="auto" w:fill="auto"/>
            <w:noWrap/>
            <w:vAlign w:val="center"/>
            <w:hideMark/>
          </w:tcPr>
          <w:p w14:paraId="34FE2228" w14:textId="77777777" w:rsidR="00265730" w:rsidRPr="00691ECF" w:rsidRDefault="00265730" w:rsidP="00265730">
            <w:pPr>
              <w:spacing w:after="240" w:line="240" w:lineRule="auto"/>
              <w:rPr>
                <w:rFonts w:ascii="Arial" w:eastAsia="Times New Roman" w:hAnsi="Arial" w:cs="Arial"/>
                <w:sz w:val="20"/>
                <w:szCs w:val="20"/>
                <w:lang w:eastAsia="en-GB"/>
              </w:rPr>
            </w:pPr>
          </w:p>
        </w:tc>
        <w:tc>
          <w:tcPr>
            <w:tcW w:w="1421" w:type="dxa"/>
            <w:tcBorders>
              <w:top w:val="nil"/>
              <w:left w:val="nil"/>
              <w:bottom w:val="nil"/>
              <w:right w:val="nil"/>
            </w:tcBorders>
            <w:shd w:val="clear" w:color="auto" w:fill="auto"/>
            <w:noWrap/>
            <w:vAlign w:val="center"/>
          </w:tcPr>
          <w:p w14:paraId="14712C61" w14:textId="77777777" w:rsidR="00265730" w:rsidRPr="00691ECF" w:rsidRDefault="00E756D8">
            <w:pPr>
              <w:spacing w:after="24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w:t>
            </w:r>
          </w:p>
        </w:tc>
        <w:tc>
          <w:tcPr>
            <w:tcW w:w="1066" w:type="dxa"/>
            <w:tcBorders>
              <w:top w:val="nil"/>
              <w:left w:val="nil"/>
              <w:bottom w:val="nil"/>
              <w:right w:val="nil"/>
            </w:tcBorders>
            <w:shd w:val="clear" w:color="auto" w:fill="auto"/>
            <w:noWrap/>
            <w:vAlign w:val="center"/>
            <w:hideMark/>
          </w:tcPr>
          <w:p w14:paraId="54C04287" w14:textId="77777777" w:rsidR="00265730" w:rsidRPr="00691ECF" w:rsidRDefault="00265730" w:rsidP="00265730">
            <w:pPr>
              <w:spacing w:after="240" w:line="240" w:lineRule="auto"/>
              <w:ind w:right="37"/>
              <w:jc w:val="right"/>
              <w:rPr>
                <w:rFonts w:ascii="Arial" w:eastAsia="Times New Roman" w:hAnsi="Arial" w:cs="Arial"/>
                <w:sz w:val="20"/>
                <w:szCs w:val="20"/>
                <w:lang w:eastAsia="en-GB"/>
              </w:rPr>
            </w:pPr>
            <w:r>
              <w:rPr>
                <w:rFonts w:ascii="Arial" w:eastAsia="Times New Roman" w:hAnsi="Arial" w:cs="Arial"/>
                <w:sz w:val="20"/>
                <w:szCs w:val="20"/>
                <w:lang w:eastAsia="en-GB"/>
              </w:rPr>
              <w:t>213</w:t>
            </w:r>
          </w:p>
        </w:tc>
      </w:tr>
      <w:tr w:rsidR="00265730" w:rsidRPr="00691ECF" w14:paraId="42F16F08" w14:textId="77777777" w:rsidTr="00E95971">
        <w:trPr>
          <w:gridAfter w:val="1"/>
          <w:wAfter w:w="3551" w:type="dxa"/>
          <w:trHeight w:val="323"/>
        </w:trPr>
        <w:tc>
          <w:tcPr>
            <w:tcW w:w="3240" w:type="dxa"/>
            <w:gridSpan w:val="2"/>
            <w:tcBorders>
              <w:top w:val="single" w:sz="4" w:space="0" w:color="auto"/>
              <w:left w:val="nil"/>
              <w:bottom w:val="single" w:sz="4" w:space="0" w:color="auto"/>
              <w:right w:val="nil"/>
            </w:tcBorders>
            <w:shd w:val="clear" w:color="auto" w:fill="auto"/>
            <w:noWrap/>
            <w:vAlign w:val="center"/>
            <w:hideMark/>
          </w:tcPr>
          <w:p w14:paraId="1C315F3D" w14:textId="77777777" w:rsidR="00265730" w:rsidRPr="00691ECF" w:rsidRDefault="00265730" w:rsidP="00265730">
            <w:pPr>
              <w:spacing w:after="240" w:line="240" w:lineRule="auto"/>
              <w:rPr>
                <w:rFonts w:ascii="Arial" w:eastAsia="Times New Roman" w:hAnsi="Arial" w:cs="Arial"/>
                <w:b/>
                <w:bCs/>
                <w:sz w:val="20"/>
                <w:szCs w:val="20"/>
                <w:lang w:eastAsia="en-GB"/>
              </w:rPr>
            </w:pPr>
            <w:r w:rsidRPr="00691ECF">
              <w:rPr>
                <w:rFonts w:ascii="Arial" w:eastAsia="Times New Roman" w:hAnsi="Arial" w:cs="Arial"/>
                <w:b/>
                <w:bCs/>
                <w:sz w:val="20"/>
                <w:szCs w:val="20"/>
                <w:lang w:eastAsia="en-GB"/>
              </w:rPr>
              <w:t xml:space="preserve">At 31 August </w:t>
            </w:r>
            <w:r>
              <w:rPr>
                <w:rFonts w:ascii="Arial" w:eastAsia="Times New Roman" w:hAnsi="Arial" w:cs="Arial"/>
                <w:b/>
                <w:bCs/>
                <w:sz w:val="20"/>
                <w:szCs w:val="20"/>
                <w:lang w:eastAsia="en-GB"/>
              </w:rPr>
              <w:t>2020</w:t>
            </w:r>
          </w:p>
        </w:tc>
        <w:tc>
          <w:tcPr>
            <w:tcW w:w="1680" w:type="dxa"/>
            <w:tcBorders>
              <w:top w:val="single" w:sz="4" w:space="0" w:color="auto"/>
              <w:left w:val="nil"/>
              <w:bottom w:val="single" w:sz="4" w:space="0" w:color="auto"/>
              <w:right w:val="nil"/>
            </w:tcBorders>
            <w:shd w:val="clear" w:color="auto" w:fill="auto"/>
            <w:noWrap/>
            <w:vAlign w:val="center"/>
            <w:hideMark/>
          </w:tcPr>
          <w:p w14:paraId="2D1F59BD" w14:textId="77777777" w:rsidR="00265730" w:rsidRPr="00691ECF" w:rsidRDefault="00265730" w:rsidP="00265730">
            <w:pPr>
              <w:spacing w:after="240" w:line="240" w:lineRule="auto"/>
              <w:rPr>
                <w:rFonts w:ascii="Arial" w:eastAsia="Times New Roman" w:hAnsi="Arial" w:cs="Arial"/>
                <w:sz w:val="20"/>
                <w:szCs w:val="20"/>
                <w:lang w:eastAsia="en-GB"/>
              </w:rPr>
            </w:pPr>
            <w:r w:rsidRPr="00691ECF">
              <w:rPr>
                <w:rFonts w:ascii="Arial" w:eastAsia="Times New Roman" w:hAnsi="Arial" w:cs="Arial"/>
                <w:sz w:val="20"/>
                <w:szCs w:val="20"/>
                <w:lang w:eastAsia="en-GB"/>
              </w:rPr>
              <w:t> </w:t>
            </w:r>
          </w:p>
        </w:tc>
        <w:tc>
          <w:tcPr>
            <w:tcW w:w="1566" w:type="dxa"/>
            <w:tcBorders>
              <w:top w:val="single" w:sz="4" w:space="0" w:color="auto"/>
              <w:left w:val="nil"/>
              <w:bottom w:val="single" w:sz="4" w:space="0" w:color="auto"/>
              <w:right w:val="nil"/>
            </w:tcBorders>
            <w:shd w:val="clear" w:color="auto" w:fill="auto"/>
            <w:noWrap/>
            <w:vAlign w:val="center"/>
            <w:hideMark/>
          </w:tcPr>
          <w:p w14:paraId="26C27271" w14:textId="77777777" w:rsidR="00265730" w:rsidRPr="00691ECF" w:rsidRDefault="00265730" w:rsidP="00265730">
            <w:pPr>
              <w:spacing w:after="240" w:line="240" w:lineRule="auto"/>
              <w:rPr>
                <w:rFonts w:ascii="Arial" w:eastAsia="Times New Roman" w:hAnsi="Arial" w:cs="Arial"/>
                <w:sz w:val="20"/>
                <w:szCs w:val="20"/>
                <w:lang w:eastAsia="en-GB"/>
              </w:rPr>
            </w:pPr>
            <w:r w:rsidRPr="00691ECF">
              <w:rPr>
                <w:rFonts w:ascii="Arial" w:eastAsia="Times New Roman" w:hAnsi="Arial" w:cs="Arial"/>
                <w:sz w:val="20"/>
                <w:szCs w:val="20"/>
                <w:lang w:eastAsia="en-GB"/>
              </w:rPr>
              <w:t> </w:t>
            </w:r>
          </w:p>
        </w:tc>
        <w:tc>
          <w:tcPr>
            <w:tcW w:w="241" w:type="dxa"/>
            <w:tcBorders>
              <w:top w:val="single" w:sz="4" w:space="0" w:color="auto"/>
              <w:left w:val="nil"/>
              <w:bottom w:val="single" w:sz="4" w:space="0" w:color="auto"/>
              <w:right w:val="nil"/>
            </w:tcBorders>
            <w:shd w:val="clear" w:color="auto" w:fill="auto"/>
            <w:noWrap/>
            <w:vAlign w:val="center"/>
            <w:hideMark/>
          </w:tcPr>
          <w:p w14:paraId="0CAD172B" w14:textId="77777777" w:rsidR="00265730" w:rsidRPr="00691ECF" w:rsidRDefault="00265730" w:rsidP="00265730">
            <w:pPr>
              <w:spacing w:after="240" w:line="240" w:lineRule="auto"/>
              <w:rPr>
                <w:rFonts w:ascii="Arial" w:eastAsia="Times New Roman" w:hAnsi="Arial" w:cs="Arial"/>
                <w:sz w:val="20"/>
                <w:szCs w:val="20"/>
                <w:lang w:eastAsia="en-GB"/>
              </w:rPr>
            </w:pPr>
            <w:r w:rsidRPr="00691ECF">
              <w:rPr>
                <w:rFonts w:ascii="Arial" w:eastAsia="Times New Roman" w:hAnsi="Arial" w:cs="Arial"/>
                <w:sz w:val="20"/>
                <w:szCs w:val="20"/>
                <w:lang w:eastAsia="en-GB"/>
              </w:rPr>
              <w:t> </w:t>
            </w:r>
          </w:p>
        </w:tc>
        <w:tc>
          <w:tcPr>
            <w:tcW w:w="1421" w:type="dxa"/>
            <w:tcBorders>
              <w:top w:val="single" w:sz="4" w:space="0" w:color="auto"/>
              <w:left w:val="nil"/>
              <w:bottom w:val="single" w:sz="4" w:space="0" w:color="auto"/>
              <w:right w:val="nil"/>
            </w:tcBorders>
            <w:shd w:val="clear" w:color="auto" w:fill="auto"/>
            <w:noWrap/>
            <w:vAlign w:val="center"/>
            <w:hideMark/>
          </w:tcPr>
          <w:p w14:paraId="675E9659" w14:textId="77777777" w:rsidR="00265730" w:rsidRPr="00691ECF" w:rsidRDefault="00E756D8">
            <w:pPr>
              <w:spacing w:after="24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w:t>
            </w:r>
          </w:p>
        </w:tc>
        <w:tc>
          <w:tcPr>
            <w:tcW w:w="1066" w:type="dxa"/>
            <w:tcBorders>
              <w:top w:val="single" w:sz="4" w:space="0" w:color="auto"/>
              <w:left w:val="nil"/>
              <w:bottom w:val="single" w:sz="4" w:space="0" w:color="auto"/>
              <w:right w:val="nil"/>
            </w:tcBorders>
            <w:shd w:val="clear" w:color="auto" w:fill="auto"/>
            <w:noWrap/>
            <w:vAlign w:val="center"/>
            <w:hideMark/>
          </w:tcPr>
          <w:p w14:paraId="32BACA58" w14:textId="77777777" w:rsidR="00265730" w:rsidRPr="00691ECF" w:rsidRDefault="00265730" w:rsidP="00265730">
            <w:pPr>
              <w:spacing w:after="240" w:line="240" w:lineRule="auto"/>
              <w:ind w:right="37"/>
              <w:jc w:val="right"/>
              <w:rPr>
                <w:rFonts w:ascii="Arial" w:eastAsia="Times New Roman" w:hAnsi="Arial" w:cs="Arial"/>
                <w:sz w:val="20"/>
                <w:szCs w:val="20"/>
                <w:lang w:eastAsia="en-GB"/>
              </w:rPr>
            </w:pPr>
            <w:r>
              <w:rPr>
                <w:rFonts w:ascii="Arial" w:eastAsia="Times New Roman" w:hAnsi="Arial" w:cs="Arial"/>
                <w:sz w:val="20"/>
                <w:szCs w:val="20"/>
                <w:lang w:eastAsia="en-GB"/>
              </w:rPr>
              <w:t>213</w:t>
            </w:r>
          </w:p>
        </w:tc>
      </w:tr>
    </w:tbl>
    <w:p w14:paraId="433D504F" w14:textId="77777777" w:rsidR="00B45FBE" w:rsidRPr="00336B16" w:rsidRDefault="00B45FBE" w:rsidP="006647C2">
      <w:pPr>
        <w:spacing w:after="240" w:line="240" w:lineRule="auto"/>
        <w:ind w:right="-330"/>
        <w:jc w:val="both"/>
        <w:rPr>
          <w:rFonts w:ascii="Arial" w:eastAsia="Times New Roman" w:hAnsi="Arial" w:cs="Arial"/>
          <w:sz w:val="24"/>
          <w:szCs w:val="24"/>
          <w:lang w:eastAsia="en-GB"/>
        </w:rPr>
      </w:pPr>
      <w:r>
        <w:rPr>
          <w:rFonts w:ascii="Arial" w:eastAsia="Times New Roman" w:hAnsi="Arial" w:cs="Arial"/>
          <w:sz w:val="24"/>
          <w:szCs w:val="24"/>
          <w:lang w:eastAsia="en-GB"/>
        </w:rPr>
        <w:br/>
      </w:r>
      <w:r w:rsidRPr="00336B16">
        <w:rPr>
          <w:rFonts w:ascii="Arial" w:eastAsia="Times New Roman" w:hAnsi="Arial" w:cs="Arial"/>
          <w:sz w:val="24"/>
          <w:szCs w:val="24"/>
          <w:lang w:eastAsia="en-GB"/>
        </w:rPr>
        <w:t xml:space="preserve">No individual investment represents more than 5% of the total market value of </w:t>
      </w:r>
      <w:r w:rsidRPr="006674F4">
        <w:rPr>
          <w:rFonts w:ascii="Arial" w:eastAsia="Times New Roman" w:hAnsi="Arial" w:cs="Arial"/>
          <w:sz w:val="24"/>
          <w:szCs w:val="24"/>
          <w:lang w:eastAsia="en-GB"/>
        </w:rPr>
        <w:t>investments held by the charity</w:t>
      </w:r>
    </w:p>
    <w:p w14:paraId="223ECEB4" w14:textId="77777777" w:rsidR="00B45FBE" w:rsidRPr="00914B04" w:rsidRDefault="00B45FBE" w:rsidP="00B45FBE">
      <w:pPr>
        <w:spacing w:after="240" w:line="240" w:lineRule="auto"/>
        <w:ind w:right="95"/>
        <w:rPr>
          <w:rFonts w:ascii="Arial" w:eastAsia="Times New Roman" w:hAnsi="Arial" w:cs="Arial"/>
          <w:sz w:val="24"/>
          <w:szCs w:val="24"/>
          <w:lang w:eastAsia="en-GB"/>
        </w:rPr>
      </w:pPr>
      <w:r w:rsidRPr="00336B16">
        <w:rPr>
          <w:rFonts w:ascii="Arial" w:eastAsia="Times New Roman" w:hAnsi="Arial" w:cs="Arial"/>
          <w:sz w:val="24"/>
          <w:szCs w:val="24"/>
          <w:lang w:eastAsia="en-GB"/>
        </w:rPr>
        <w:t>The movement on the value of the investments during the year is as follows:</w:t>
      </w:r>
    </w:p>
    <w:tbl>
      <w:tblPr>
        <w:tblW w:w="9304" w:type="dxa"/>
        <w:tblLayout w:type="fixed"/>
        <w:tblLook w:val="04A0" w:firstRow="1" w:lastRow="0" w:firstColumn="1" w:lastColumn="0" w:noHBand="0" w:noVBand="1"/>
      </w:tblPr>
      <w:tblGrid>
        <w:gridCol w:w="1693"/>
        <w:gridCol w:w="4700"/>
        <w:gridCol w:w="313"/>
        <w:gridCol w:w="239"/>
        <w:gridCol w:w="71"/>
        <w:gridCol w:w="1108"/>
        <w:gridCol w:w="1108"/>
        <w:gridCol w:w="72"/>
      </w:tblGrid>
      <w:tr w:rsidR="002E528C" w:rsidRPr="00691ECF" w14:paraId="501346D9" w14:textId="77777777" w:rsidTr="000D1293">
        <w:trPr>
          <w:gridAfter w:val="1"/>
          <w:wAfter w:w="72" w:type="dxa"/>
          <w:trHeight w:val="324"/>
        </w:trPr>
        <w:tc>
          <w:tcPr>
            <w:tcW w:w="1693" w:type="dxa"/>
            <w:tcBorders>
              <w:top w:val="nil"/>
              <w:left w:val="nil"/>
              <w:bottom w:val="nil"/>
              <w:right w:val="nil"/>
            </w:tcBorders>
            <w:shd w:val="clear" w:color="auto" w:fill="auto"/>
            <w:noWrap/>
            <w:vAlign w:val="center"/>
            <w:hideMark/>
          </w:tcPr>
          <w:p w14:paraId="5E8C875C" w14:textId="77777777" w:rsidR="002E528C" w:rsidRPr="00336B16" w:rsidRDefault="002E528C" w:rsidP="002E528C">
            <w:pPr>
              <w:spacing w:after="240" w:line="240" w:lineRule="auto"/>
              <w:rPr>
                <w:rFonts w:ascii="Arial" w:eastAsia="Times New Roman" w:hAnsi="Arial" w:cs="Arial"/>
                <w:sz w:val="20"/>
                <w:szCs w:val="20"/>
                <w:lang w:eastAsia="en-GB"/>
              </w:rPr>
            </w:pPr>
          </w:p>
        </w:tc>
        <w:tc>
          <w:tcPr>
            <w:tcW w:w="4700" w:type="dxa"/>
            <w:tcBorders>
              <w:top w:val="nil"/>
              <w:left w:val="nil"/>
              <w:bottom w:val="nil"/>
              <w:right w:val="nil"/>
            </w:tcBorders>
            <w:shd w:val="clear" w:color="auto" w:fill="auto"/>
            <w:noWrap/>
            <w:vAlign w:val="center"/>
            <w:hideMark/>
          </w:tcPr>
          <w:p w14:paraId="5031C88F" w14:textId="77777777" w:rsidR="002E528C" w:rsidRPr="00336B16" w:rsidRDefault="002E528C" w:rsidP="002E528C">
            <w:pPr>
              <w:spacing w:after="240" w:line="240" w:lineRule="auto"/>
              <w:rPr>
                <w:rFonts w:ascii="Arial" w:eastAsia="Times New Roman" w:hAnsi="Arial" w:cs="Arial"/>
                <w:sz w:val="20"/>
                <w:szCs w:val="20"/>
                <w:lang w:eastAsia="en-GB"/>
              </w:rPr>
            </w:pPr>
          </w:p>
        </w:tc>
        <w:tc>
          <w:tcPr>
            <w:tcW w:w="313" w:type="dxa"/>
            <w:tcBorders>
              <w:top w:val="nil"/>
              <w:left w:val="nil"/>
              <w:bottom w:val="nil"/>
              <w:right w:val="nil"/>
            </w:tcBorders>
            <w:shd w:val="clear" w:color="auto" w:fill="auto"/>
            <w:noWrap/>
            <w:vAlign w:val="center"/>
            <w:hideMark/>
          </w:tcPr>
          <w:p w14:paraId="20E8049F" w14:textId="77777777" w:rsidR="002E528C" w:rsidRPr="00336B16" w:rsidRDefault="002E528C" w:rsidP="002E528C">
            <w:pPr>
              <w:spacing w:after="240" w:line="240" w:lineRule="auto"/>
              <w:rPr>
                <w:rFonts w:ascii="Arial" w:eastAsia="Times New Roman" w:hAnsi="Arial" w:cs="Arial"/>
                <w:sz w:val="20"/>
                <w:szCs w:val="20"/>
                <w:lang w:eastAsia="en-GB"/>
              </w:rPr>
            </w:pPr>
          </w:p>
        </w:tc>
        <w:tc>
          <w:tcPr>
            <w:tcW w:w="310" w:type="dxa"/>
            <w:gridSpan w:val="2"/>
            <w:tcBorders>
              <w:top w:val="nil"/>
              <w:left w:val="nil"/>
              <w:bottom w:val="nil"/>
              <w:right w:val="nil"/>
            </w:tcBorders>
            <w:shd w:val="clear" w:color="auto" w:fill="auto"/>
            <w:noWrap/>
            <w:vAlign w:val="center"/>
            <w:hideMark/>
          </w:tcPr>
          <w:p w14:paraId="0006061B" w14:textId="77777777" w:rsidR="002E528C" w:rsidRPr="00336B16" w:rsidRDefault="002E528C" w:rsidP="002E528C">
            <w:pPr>
              <w:spacing w:after="240" w:line="240" w:lineRule="auto"/>
              <w:rPr>
                <w:rFonts w:ascii="Arial" w:eastAsia="Times New Roman" w:hAnsi="Arial" w:cs="Arial"/>
                <w:sz w:val="20"/>
                <w:szCs w:val="20"/>
                <w:lang w:eastAsia="en-GB"/>
              </w:rPr>
            </w:pPr>
          </w:p>
        </w:tc>
        <w:tc>
          <w:tcPr>
            <w:tcW w:w="1108" w:type="dxa"/>
            <w:tcBorders>
              <w:top w:val="nil"/>
              <w:left w:val="nil"/>
              <w:bottom w:val="nil"/>
              <w:right w:val="nil"/>
            </w:tcBorders>
            <w:shd w:val="clear" w:color="auto" w:fill="auto"/>
            <w:noWrap/>
            <w:vAlign w:val="center"/>
            <w:hideMark/>
          </w:tcPr>
          <w:p w14:paraId="0224F215" w14:textId="77777777" w:rsidR="002E528C" w:rsidRPr="00691ECF" w:rsidRDefault="002E528C" w:rsidP="002E528C">
            <w:pPr>
              <w:spacing w:after="24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2020</w:t>
            </w:r>
          </w:p>
        </w:tc>
        <w:tc>
          <w:tcPr>
            <w:tcW w:w="1108" w:type="dxa"/>
            <w:tcBorders>
              <w:top w:val="nil"/>
              <w:left w:val="nil"/>
              <w:bottom w:val="nil"/>
              <w:right w:val="nil"/>
            </w:tcBorders>
            <w:vAlign w:val="center"/>
          </w:tcPr>
          <w:p w14:paraId="5E67D2EA" w14:textId="77777777" w:rsidR="002E528C" w:rsidRPr="006647C2" w:rsidRDefault="002E528C" w:rsidP="002E528C">
            <w:pPr>
              <w:spacing w:after="240" w:line="240" w:lineRule="auto"/>
              <w:jc w:val="right"/>
              <w:rPr>
                <w:rFonts w:ascii="Arial" w:eastAsia="Times New Roman" w:hAnsi="Arial" w:cs="Arial"/>
                <w:bCs/>
                <w:sz w:val="20"/>
                <w:szCs w:val="20"/>
                <w:lang w:eastAsia="en-GB"/>
              </w:rPr>
            </w:pPr>
            <w:r w:rsidRPr="006647C2">
              <w:rPr>
                <w:rFonts w:ascii="Arial" w:eastAsia="Times New Roman" w:hAnsi="Arial" w:cs="Arial"/>
                <w:bCs/>
                <w:sz w:val="20"/>
                <w:szCs w:val="20"/>
                <w:lang w:eastAsia="en-GB"/>
              </w:rPr>
              <w:t>2019</w:t>
            </w:r>
          </w:p>
        </w:tc>
      </w:tr>
      <w:tr w:rsidR="002E528C" w:rsidRPr="00691ECF" w14:paraId="390632D1" w14:textId="77777777" w:rsidTr="000D1293">
        <w:trPr>
          <w:gridAfter w:val="1"/>
          <w:wAfter w:w="72" w:type="dxa"/>
          <w:trHeight w:val="324"/>
        </w:trPr>
        <w:tc>
          <w:tcPr>
            <w:tcW w:w="1693" w:type="dxa"/>
            <w:tcBorders>
              <w:top w:val="nil"/>
              <w:left w:val="nil"/>
              <w:bottom w:val="single" w:sz="4" w:space="0" w:color="auto"/>
              <w:right w:val="nil"/>
            </w:tcBorders>
            <w:shd w:val="clear" w:color="auto" w:fill="auto"/>
            <w:noWrap/>
            <w:vAlign w:val="center"/>
            <w:hideMark/>
          </w:tcPr>
          <w:p w14:paraId="0E91D36B" w14:textId="77777777" w:rsidR="002E528C" w:rsidRPr="00691ECF" w:rsidRDefault="002E528C" w:rsidP="002E528C">
            <w:pPr>
              <w:spacing w:after="240" w:line="240" w:lineRule="auto"/>
              <w:rPr>
                <w:rFonts w:ascii="Arial" w:eastAsia="Times New Roman" w:hAnsi="Arial" w:cs="Arial"/>
                <w:sz w:val="20"/>
                <w:szCs w:val="20"/>
                <w:lang w:eastAsia="en-GB"/>
              </w:rPr>
            </w:pPr>
            <w:r w:rsidRPr="00691ECF">
              <w:rPr>
                <w:rFonts w:ascii="Arial" w:eastAsia="Times New Roman" w:hAnsi="Arial" w:cs="Arial"/>
                <w:sz w:val="20"/>
                <w:szCs w:val="20"/>
                <w:lang w:eastAsia="en-GB"/>
              </w:rPr>
              <w:t> </w:t>
            </w:r>
          </w:p>
        </w:tc>
        <w:tc>
          <w:tcPr>
            <w:tcW w:w="4700" w:type="dxa"/>
            <w:tcBorders>
              <w:top w:val="nil"/>
              <w:left w:val="nil"/>
              <w:bottom w:val="single" w:sz="4" w:space="0" w:color="auto"/>
              <w:right w:val="nil"/>
            </w:tcBorders>
            <w:shd w:val="clear" w:color="auto" w:fill="auto"/>
            <w:noWrap/>
            <w:vAlign w:val="center"/>
            <w:hideMark/>
          </w:tcPr>
          <w:p w14:paraId="0B686885" w14:textId="77777777" w:rsidR="002E528C" w:rsidRPr="00691ECF" w:rsidRDefault="002E528C" w:rsidP="002E528C">
            <w:pPr>
              <w:spacing w:after="240" w:line="240" w:lineRule="auto"/>
              <w:rPr>
                <w:rFonts w:ascii="Arial" w:eastAsia="Times New Roman" w:hAnsi="Arial" w:cs="Arial"/>
                <w:sz w:val="20"/>
                <w:szCs w:val="20"/>
                <w:lang w:eastAsia="en-GB"/>
              </w:rPr>
            </w:pPr>
            <w:r w:rsidRPr="00691ECF">
              <w:rPr>
                <w:rFonts w:ascii="Arial" w:eastAsia="Times New Roman" w:hAnsi="Arial" w:cs="Arial"/>
                <w:sz w:val="20"/>
                <w:szCs w:val="20"/>
                <w:lang w:eastAsia="en-GB"/>
              </w:rPr>
              <w:t> </w:t>
            </w:r>
          </w:p>
        </w:tc>
        <w:tc>
          <w:tcPr>
            <w:tcW w:w="313" w:type="dxa"/>
            <w:tcBorders>
              <w:top w:val="nil"/>
              <w:left w:val="nil"/>
              <w:bottom w:val="single" w:sz="4" w:space="0" w:color="auto"/>
              <w:right w:val="nil"/>
            </w:tcBorders>
            <w:shd w:val="clear" w:color="auto" w:fill="auto"/>
            <w:noWrap/>
            <w:vAlign w:val="center"/>
            <w:hideMark/>
          </w:tcPr>
          <w:p w14:paraId="3F7E7615" w14:textId="77777777" w:rsidR="002E528C" w:rsidRPr="00691ECF" w:rsidRDefault="002E528C" w:rsidP="002E528C">
            <w:pPr>
              <w:spacing w:after="240" w:line="240" w:lineRule="auto"/>
              <w:rPr>
                <w:rFonts w:ascii="Arial" w:eastAsia="Times New Roman" w:hAnsi="Arial" w:cs="Arial"/>
                <w:sz w:val="20"/>
                <w:szCs w:val="20"/>
                <w:lang w:eastAsia="en-GB"/>
              </w:rPr>
            </w:pPr>
            <w:r w:rsidRPr="00691ECF">
              <w:rPr>
                <w:rFonts w:ascii="Arial" w:eastAsia="Times New Roman" w:hAnsi="Arial" w:cs="Arial"/>
                <w:sz w:val="20"/>
                <w:szCs w:val="20"/>
                <w:lang w:eastAsia="en-GB"/>
              </w:rPr>
              <w:t> </w:t>
            </w:r>
          </w:p>
        </w:tc>
        <w:tc>
          <w:tcPr>
            <w:tcW w:w="310" w:type="dxa"/>
            <w:gridSpan w:val="2"/>
            <w:tcBorders>
              <w:top w:val="nil"/>
              <w:left w:val="nil"/>
              <w:bottom w:val="single" w:sz="4" w:space="0" w:color="auto"/>
              <w:right w:val="nil"/>
            </w:tcBorders>
            <w:shd w:val="clear" w:color="auto" w:fill="auto"/>
            <w:noWrap/>
            <w:vAlign w:val="center"/>
            <w:hideMark/>
          </w:tcPr>
          <w:p w14:paraId="7184CD35" w14:textId="77777777" w:rsidR="002E528C" w:rsidRPr="00691ECF" w:rsidRDefault="002E528C" w:rsidP="002E528C">
            <w:pPr>
              <w:spacing w:after="240" w:line="240" w:lineRule="auto"/>
              <w:rPr>
                <w:rFonts w:ascii="Arial" w:eastAsia="Times New Roman" w:hAnsi="Arial" w:cs="Arial"/>
                <w:sz w:val="20"/>
                <w:szCs w:val="20"/>
                <w:lang w:eastAsia="en-GB"/>
              </w:rPr>
            </w:pPr>
            <w:r w:rsidRPr="00691ECF">
              <w:rPr>
                <w:rFonts w:ascii="Arial" w:eastAsia="Times New Roman" w:hAnsi="Arial" w:cs="Arial"/>
                <w:sz w:val="20"/>
                <w:szCs w:val="20"/>
                <w:lang w:eastAsia="en-GB"/>
              </w:rPr>
              <w:t> </w:t>
            </w:r>
          </w:p>
        </w:tc>
        <w:tc>
          <w:tcPr>
            <w:tcW w:w="1108" w:type="dxa"/>
            <w:tcBorders>
              <w:top w:val="nil"/>
              <w:left w:val="nil"/>
              <w:bottom w:val="single" w:sz="4" w:space="0" w:color="auto"/>
              <w:right w:val="nil"/>
            </w:tcBorders>
            <w:shd w:val="clear" w:color="auto" w:fill="auto"/>
            <w:noWrap/>
            <w:vAlign w:val="center"/>
            <w:hideMark/>
          </w:tcPr>
          <w:p w14:paraId="0EC15255" w14:textId="77777777" w:rsidR="002E528C" w:rsidRPr="00691ECF" w:rsidRDefault="002E528C" w:rsidP="002E528C">
            <w:pPr>
              <w:spacing w:after="240" w:line="240" w:lineRule="auto"/>
              <w:jc w:val="right"/>
              <w:rPr>
                <w:rFonts w:ascii="Arial" w:eastAsia="Times New Roman" w:hAnsi="Arial" w:cs="Arial"/>
                <w:b/>
                <w:bCs/>
                <w:sz w:val="20"/>
                <w:szCs w:val="20"/>
                <w:lang w:eastAsia="en-GB"/>
              </w:rPr>
            </w:pPr>
            <w:r w:rsidRPr="00691ECF">
              <w:rPr>
                <w:rFonts w:ascii="Arial" w:eastAsia="Times New Roman" w:hAnsi="Arial" w:cs="Arial"/>
                <w:b/>
                <w:bCs/>
                <w:sz w:val="20"/>
                <w:szCs w:val="20"/>
                <w:lang w:eastAsia="en-GB"/>
              </w:rPr>
              <w:t>£'000</w:t>
            </w:r>
          </w:p>
        </w:tc>
        <w:tc>
          <w:tcPr>
            <w:tcW w:w="1108" w:type="dxa"/>
            <w:tcBorders>
              <w:top w:val="nil"/>
              <w:left w:val="nil"/>
              <w:bottom w:val="single" w:sz="4" w:space="0" w:color="auto"/>
              <w:right w:val="nil"/>
            </w:tcBorders>
            <w:vAlign w:val="center"/>
          </w:tcPr>
          <w:p w14:paraId="298045E5" w14:textId="77777777" w:rsidR="002E528C" w:rsidRPr="006647C2" w:rsidRDefault="002E528C" w:rsidP="002E528C">
            <w:pPr>
              <w:spacing w:after="240" w:line="240" w:lineRule="auto"/>
              <w:jc w:val="right"/>
              <w:rPr>
                <w:rFonts w:ascii="Arial" w:eastAsia="Times New Roman" w:hAnsi="Arial" w:cs="Arial"/>
                <w:bCs/>
                <w:sz w:val="20"/>
                <w:szCs w:val="20"/>
                <w:lang w:eastAsia="en-GB"/>
              </w:rPr>
            </w:pPr>
            <w:r w:rsidRPr="006647C2">
              <w:rPr>
                <w:rFonts w:ascii="Arial" w:eastAsia="Times New Roman" w:hAnsi="Arial" w:cs="Arial"/>
                <w:bCs/>
                <w:sz w:val="20"/>
                <w:szCs w:val="20"/>
                <w:lang w:eastAsia="en-GB"/>
              </w:rPr>
              <w:t>£'000</w:t>
            </w:r>
          </w:p>
        </w:tc>
      </w:tr>
      <w:tr w:rsidR="002E528C" w:rsidRPr="002E528C" w14:paraId="3B651207" w14:textId="77777777" w:rsidTr="000D1293">
        <w:trPr>
          <w:gridAfter w:val="1"/>
          <w:wAfter w:w="72" w:type="dxa"/>
          <w:trHeight w:val="324"/>
        </w:trPr>
        <w:tc>
          <w:tcPr>
            <w:tcW w:w="6393" w:type="dxa"/>
            <w:gridSpan w:val="2"/>
            <w:tcBorders>
              <w:top w:val="nil"/>
              <w:left w:val="nil"/>
              <w:bottom w:val="nil"/>
              <w:right w:val="nil"/>
            </w:tcBorders>
            <w:shd w:val="clear" w:color="auto" w:fill="auto"/>
            <w:noWrap/>
            <w:vAlign w:val="center"/>
            <w:hideMark/>
          </w:tcPr>
          <w:p w14:paraId="3DD8407C" w14:textId="77777777" w:rsidR="002E528C" w:rsidRPr="00691ECF" w:rsidRDefault="002E528C" w:rsidP="002E528C">
            <w:pPr>
              <w:spacing w:after="240" w:line="240" w:lineRule="auto"/>
              <w:rPr>
                <w:rFonts w:ascii="Arial" w:eastAsia="Times New Roman" w:hAnsi="Arial" w:cs="Arial"/>
                <w:sz w:val="20"/>
                <w:szCs w:val="20"/>
                <w:lang w:eastAsia="en-GB"/>
              </w:rPr>
            </w:pPr>
            <w:r w:rsidRPr="00691ECF">
              <w:rPr>
                <w:rFonts w:ascii="Arial" w:eastAsia="Times New Roman" w:hAnsi="Arial" w:cs="Arial"/>
                <w:sz w:val="20"/>
                <w:szCs w:val="20"/>
                <w:lang w:eastAsia="en-GB"/>
              </w:rPr>
              <w:t>At 1 September 2019</w:t>
            </w:r>
          </w:p>
        </w:tc>
        <w:tc>
          <w:tcPr>
            <w:tcW w:w="313" w:type="dxa"/>
            <w:tcBorders>
              <w:top w:val="nil"/>
              <w:left w:val="nil"/>
              <w:bottom w:val="nil"/>
              <w:right w:val="nil"/>
            </w:tcBorders>
            <w:shd w:val="clear" w:color="auto" w:fill="auto"/>
            <w:noWrap/>
            <w:vAlign w:val="center"/>
            <w:hideMark/>
          </w:tcPr>
          <w:p w14:paraId="2C2EB69B" w14:textId="77777777" w:rsidR="002E528C" w:rsidRPr="00691ECF" w:rsidRDefault="002E528C" w:rsidP="002E528C">
            <w:pPr>
              <w:spacing w:after="240" w:line="240" w:lineRule="auto"/>
              <w:rPr>
                <w:rFonts w:ascii="Arial" w:eastAsia="Times New Roman" w:hAnsi="Arial" w:cs="Arial"/>
                <w:sz w:val="20"/>
                <w:szCs w:val="20"/>
                <w:lang w:eastAsia="en-GB"/>
              </w:rPr>
            </w:pPr>
          </w:p>
        </w:tc>
        <w:tc>
          <w:tcPr>
            <w:tcW w:w="310" w:type="dxa"/>
            <w:gridSpan w:val="2"/>
            <w:tcBorders>
              <w:top w:val="nil"/>
              <w:left w:val="nil"/>
              <w:bottom w:val="nil"/>
              <w:right w:val="nil"/>
            </w:tcBorders>
            <w:shd w:val="clear" w:color="auto" w:fill="auto"/>
            <w:noWrap/>
            <w:vAlign w:val="center"/>
          </w:tcPr>
          <w:p w14:paraId="17201ED2" w14:textId="77777777" w:rsidR="002E528C" w:rsidRPr="00336B16" w:rsidRDefault="002E528C" w:rsidP="002E528C">
            <w:pPr>
              <w:spacing w:after="240" w:line="240" w:lineRule="auto"/>
              <w:rPr>
                <w:rFonts w:ascii="Arial" w:eastAsia="Times New Roman" w:hAnsi="Arial" w:cs="Arial"/>
                <w:sz w:val="20"/>
                <w:szCs w:val="20"/>
                <w:lang w:eastAsia="en-GB"/>
              </w:rPr>
            </w:pPr>
          </w:p>
        </w:tc>
        <w:tc>
          <w:tcPr>
            <w:tcW w:w="1108" w:type="dxa"/>
            <w:tcBorders>
              <w:top w:val="nil"/>
              <w:left w:val="nil"/>
              <w:bottom w:val="nil"/>
              <w:right w:val="nil"/>
            </w:tcBorders>
            <w:shd w:val="clear" w:color="auto" w:fill="auto"/>
            <w:noWrap/>
            <w:vAlign w:val="center"/>
          </w:tcPr>
          <w:p w14:paraId="464B0ED8" w14:textId="77777777" w:rsidR="002E528C" w:rsidRPr="00543D10" w:rsidRDefault="00E756D8" w:rsidP="002E528C">
            <w:pPr>
              <w:spacing w:after="24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213</w:t>
            </w:r>
          </w:p>
        </w:tc>
        <w:tc>
          <w:tcPr>
            <w:tcW w:w="1108" w:type="dxa"/>
            <w:tcBorders>
              <w:top w:val="nil"/>
              <w:left w:val="nil"/>
              <w:bottom w:val="nil"/>
              <w:right w:val="nil"/>
            </w:tcBorders>
          </w:tcPr>
          <w:p w14:paraId="488542EB" w14:textId="77777777" w:rsidR="002E528C" w:rsidRPr="006647C2" w:rsidRDefault="00C51D9C" w:rsidP="002E528C">
            <w:pPr>
              <w:spacing w:after="240" w:line="240" w:lineRule="auto"/>
              <w:jc w:val="right"/>
              <w:rPr>
                <w:rFonts w:ascii="Arial" w:eastAsia="Times New Roman" w:hAnsi="Arial" w:cs="Arial"/>
                <w:bCs/>
                <w:sz w:val="20"/>
                <w:szCs w:val="20"/>
                <w:lang w:eastAsia="en-GB"/>
              </w:rPr>
            </w:pPr>
            <w:r>
              <w:rPr>
                <w:rFonts w:ascii="Arial" w:eastAsia="Times New Roman" w:hAnsi="Arial" w:cs="Arial"/>
                <w:bCs/>
                <w:sz w:val="20"/>
                <w:szCs w:val="20"/>
                <w:lang w:eastAsia="en-GB"/>
              </w:rPr>
              <w:t>17,</w:t>
            </w:r>
            <w:r w:rsidR="002E528C" w:rsidRPr="006647C2">
              <w:rPr>
                <w:rFonts w:ascii="Arial" w:eastAsia="Times New Roman" w:hAnsi="Arial" w:cs="Arial"/>
                <w:bCs/>
                <w:sz w:val="20"/>
                <w:szCs w:val="20"/>
                <w:lang w:eastAsia="en-GB"/>
              </w:rPr>
              <w:t>505</w:t>
            </w:r>
          </w:p>
        </w:tc>
      </w:tr>
      <w:tr w:rsidR="002E528C" w:rsidRPr="002E528C" w14:paraId="1F30C67C" w14:textId="77777777" w:rsidTr="000D1293">
        <w:trPr>
          <w:gridAfter w:val="1"/>
          <w:wAfter w:w="72" w:type="dxa"/>
          <w:trHeight w:val="324"/>
        </w:trPr>
        <w:tc>
          <w:tcPr>
            <w:tcW w:w="6706" w:type="dxa"/>
            <w:gridSpan w:val="3"/>
            <w:tcBorders>
              <w:top w:val="nil"/>
              <w:left w:val="nil"/>
              <w:bottom w:val="nil"/>
              <w:right w:val="nil"/>
            </w:tcBorders>
            <w:shd w:val="clear" w:color="auto" w:fill="auto"/>
            <w:noWrap/>
            <w:vAlign w:val="center"/>
            <w:hideMark/>
          </w:tcPr>
          <w:p w14:paraId="2F717C86" w14:textId="77777777" w:rsidR="002E528C" w:rsidRPr="00691ECF" w:rsidRDefault="002E528C" w:rsidP="002E528C">
            <w:pPr>
              <w:spacing w:after="240" w:line="240" w:lineRule="auto"/>
              <w:rPr>
                <w:rFonts w:ascii="Arial" w:eastAsia="Times New Roman" w:hAnsi="Arial" w:cs="Arial"/>
                <w:sz w:val="20"/>
                <w:szCs w:val="20"/>
                <w:lang w:eastAsia="en-GB"/>
              </w:rPr>
            </w:pPr>
            <w:r w:rsidRPr="00691ECF">
              <w:rPr>
                <w:rFonts w:ascii="Arial" w:eastAsia="Times New Roman" w:hAnsi="Arial" w:cs="Arial"/>
                <w:sz w:val="20"/>
                <w:szCs w:val="20"/>
                <w:lang w:eastAsia="en-GB"/>
              </w:rPr>
              <w:t>Additions to investments at cost</w:t>
            </w:r>
          </w:p>
        </w:tc>
        <w:tc>
          <w:tcPr>
            <w:tcW w:w="310" w:type="dxa"/>
            <w:gridSpan w:val="2"/>
            <w:tcBorders>
              <w:top w:val="nil"/>
              <w:left w:val="nil"/>
              <w:bottom w:val="nil"/>
              <w:right w:val="nil"/>
            </w:tcBorders>
            <w:shd w:val="clear" w:color="auto" w:fill="auto"/>
            <w:noWrap/>
            <w:vAlign w:val="center"/>
          </w:tcPr>
          <w:p w14:paraId="2FC2DC53" w14:textId="77777777" w:rsidR="002E528C" w:rsidRPr="00691ECF" w:rsidRDefault="002E528C" w:rsidP="002E528C">
            <w:pPr>
              <w:spacing w:after="240" w:line="240" w:lineRule="auto"/>
              <w:rPr>
                <w:rFonts w:ascii="Arial" w:eastAsia="Times New Roman" w:hAnsi="Arial" w:cs="Arial"/>
                <w:sz w:val="20"/>
                <w:szCs w:val="20"/>
                <w:lang w:eastAsia="en-GB"/>
              </w:rPr>
            </w:pPr>
          </w:p>
        </w:tc>
        <w:tc>
          <w:tcPr>
            <w:tcW w:w="1108" w:type="dxa"/>
            <w:tcBorders>
              <w:top w:val="nil"/>
              <w:left w:val="nil"/>
              <w:bottom w:val="nil"/>
              <w:right w:val="nil"/>
            </w:tcBorders>
            <w:shd w:val="clear" w:color="auto" w:fill="auto"/>
            <w:noWrap/>
            <w:vAlign w:val="center"/>
          </w:tcPr>
          <w:p w14:paraId="618B261B" w14:textId="77777777" w:rsidR="002E528C" w:rsidRPr="00543D10" w:rsidRDefault="00E756D8" w:rsidP="002E528C">
            <w:pPr>
              <w:spacing w:after="24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w:t>
            </w:r>
          </w:p>
        </w:tc>
        <w:tc>
          <w:tcPr>
            <w:tcW w:w="1108" w:type="dxa"/>
            <w:tcBorders>
              <w:top w:val="nil"/>
              <w:left w:val="nil"/>
              <w:bottom w:val="nil"/>
              <w:right w:val="nil"/>
            </w:tcBorders>
          </w:tcPr>
          <w:p w14:paraId="3241BE5D" w14:textId="77777777" w:rsidR="002E528C" w:rsidRPr="006647C2" w:rsidRDefault="002E528C" w:rsidP="002E528C">
            <w:pPr>
              <w:spacing w:after="240" w:line="240" w:lineRule="auto"/>
              <w:jc w:val="right"/>
              <w:rPr>
                <w:rFonts w:ascii="Arial" w:eastAsia="Times New Roman" w:hAnsi="Arial" w:cs="Arial"/>
                <w:bCs/>
                <w:sz w:val="20"/>
                <w:szCs w:val="20"/>
                <w:lang w:eastAsia="en-GB"/>
              </w:rPr>
            </w:pPr>
            <w:r>
              <w:rPr>
                <w:rFonts w:ascii="Arial" w:eastAsia="Times New Roman" w:hAnsi="Arial" w:cs="Arial"/>
                <w:bCs/>
                <w:sz w:val="20"/>
                <w:szCs w:val="20"/>
                <w:lang w:eastAsia="en-GB"/>
              </w:rPr>
              <w:t>7,</w:t>
            </w:r>
            <w:r w:rsidRPr="006647C2">
              <w:rPr>
                <w:rFonts w:ascii="Arial" w:eastAsia="Times New Roman" w:hAnsi="Arial" w:cs="Arial"/>
                <w:bCs/>
                <w:sz w:val="20"/>
                <w:szCs w:val="20"/>
                <w:lang w:eastAsia="en-GB"/>
              </w:rPr>
              <w:t>159</w:t>
            </w:r>
          </w:p>
        </w:tc>
      </w:tr>
      <w:tr w:rsidR="002E528C" w:rsidRPr="00691ECF" w14:paraId="1685BC08" w14:textId="77777777" w:rsidTr="000D1293">
        <w:trPr>
          <w:trHeight w:val="324"/>
        </w:trPr>
        <w:tc>
          <w:tcPr>
            <w:tcW w:w="6393" w:type="dxa"/>
            <w:gridSpan w:val="2"/>
            <w:tcBorders>
              <w:top w:val="nil"/>
              <w:left w:val="nil"/>
              <w:bottom w:val="nil"/>
              <w:right w:val="nil"/>
            </w:tcBorders>
            <w:shd w:val="clear" w:color="auto" w:fill="auto"/>
            <w:noWrap/>
            <w:vAlign w:val="center"/>
            <w:hideMark/>
          </w:tcPr>
          <w:p w14:paraId="2D3B4E93" w14:textId="77777777" w:rsidR="002E528C" w:rsidRPr="00AF39AA" w:rsidRDefault="002E528C" w:rsidP="002E528C">
            <w:pPr>
              <w:spacing w:after="240" w:line="240" w:lineRule="auto"/>
              <w:rPr>
                <w:rFonts w:ascii="Arial" w:eastAsia="Times New Roman" w:hAnsi="Arial" w:cs="Arial"/>
                <w:sz w:val="20"/>
                <w:szCs w:val="20"/>
                <w:lang w:eastAsia="en-GB"/>
              </w:rPr>
            </w:pPr>
            <w:r w:rsidRPr="00AF39AA">
              <w:rPr>
                <w:rFonts w:ascii="Arial" w:eastAsia="Times New Roman" w:hAnsi="Arial" w:cs="Arial"/>
                <w:sz w:val="20"/>
                <w:szCs w:val="20"/>
                <w:lang w:eastAsia="en-GB"/>
              </w:rPr>
              <w:t>Disposals at carrying value</w:t>
            </w:r>
          </w:p>
        </w:tc>
        <w:tc>
          <w:tcPr>
            <w:tcW w:w="313" w:type="dxa"/>
            <w:tcBorders>
              <w:top w:val="nil"/>
              <w:left w:val="nil"/>
              <w:bottom w:val="nil"/>
              <w:right w:val="nil"/>
            </w:tcBorders>
            <w:shd w:val="clear" w:color="auto" w:fill="auto"/>
            <w:noWrap/>
            <w:vAlign w:val="center"/>
            <w:hideMark/>
          </w:tcPr>
          <w:p w14:paraId="57423AD6" w14:textId="77777777" w:rsidR="002E528C" w:rsidRPr="00AF39AA" w:rsidRDefault="002E528C" w:rsidP="002E528C">
            <w:pPr>
              <w:spacing w:after="240" w:line="240" w:lineRule="auto"/>
              <w:rPr>
                <w:rFonts w:ascii="Arial" w:eastAsia="Times New Roman" w:hAnsi="Arial" w:cs="Arial"/>
                <w:sz w:val="20"/>
                <w:szCs w:val="20"/>
                <w:lang w:eastAsia="en-GB"/>
              </w:rPr>
            </w:pPr>
          </w:p>
        </w:tc>
        <w:tc>
          <w:tcPr>
            <w:tcW w:w="239" w:type="dxa"/>
            <w:tcBorders>
              <w:top w:val="nil"/>
              <w:left w:val="nil"/>
              <w:bottom w:val="nil"/>
              <w:right w:val="nil"/>
            </w:tcBorders>
            <w:shd w:val="clear" w:color="auto" w:fill="auto"/>
            <w:noWrap/>
            <w:vAlign w:val="center"/>
            <w:hideMark/>
          </w:tcPr>
          <w:p w14:paraId="22D810FD" w14:textId="77777777" w:rsidR="002E528C" w:rsidRPr="00AF39AA" w:rsidRDefault="002E528C" w:rsidP="002E528C">
            <w:pPr>
              <w:spacing w:after="240" w:line="240" w:lineRule="auto"/>
              <w:rPr>
                <w:rFonts w:ascii="Arial" w:eastAsia="Times New Roman" w:hAnsi="Arial" w:cs="Arial"/>
                <w:sz w:val="20"/>
                <w:szCs w:val="20"/>
                <w:lang w:eastAsia="en-GB"/>
              </w:rPr>
            </w:pPr>
          </w:p>
        </w:tc>
        <w:tc>
          <w:tcPr>
            <w:tcW w:w="1179" w:type="dxa"/>
            <w:gridSpan w:val="2"/>
            <w:tcBorders>
              <w:top w:val="nil"/>
              <w:left w:val="nil"/>
              <w:bottom w:val="nil"/>
              <w:right w:val="nil"/>
            </w:tcBorders>
            <w:shd w:val="clear" w:color="auto" w:fill="auto"/>
            <w:noWrap/>
            <w:vAlign w:val="center"/>
          </w:tcPr>
          <w:p w14:paraId="56108D4E" w14:textId="77777777" w:rsidR="002E528C" w:rsidRPr="00AF39AA" w:rsidRDefault="00E756D8" w:rsidP="002E528C">
            <w:pPr>
              <w:spacing w:after="240" w:line="240" w:lineRule="auto"/>
              <w:jc w:val="right"/>
              <w:rPr>
                <w:rFonts w:ascii="Arial" w:eastAsia="Times New Roman" w:hAnsi="Arial" w:cs="Arial"/>
                <w:b/>
                <w:bCs/>
                <w:sz w:val="20"/>
                <w:szCs w:val="20"/>
                <w:lang w:eastAsia="en-GB"/>
              </w:rPr>
            </w:pPr>
            <w:r w:rsidRPr="00AF39AA">
              <w:rPr>
                <w:rFonts w:ascii="Arial" w:eastAsia="Times New Roman" w:hAnsi="Arial" w:cs="Arial"/>
                <w:b/>
                <w:bCs/>
                <w:sz w:val="20"/>
                <w:szCs w:val="20"/>
                <w:lang w:eastAsia="en-GB"/>
              </w:rPr>
              <w:t>(213)</w:t>
            </w:r>
          </w:p>
        </w:tc>
        <w:tc>
          <w:tcPr>
            <w:tcW w:w="1180" w:type="dxa"/>
            <w:gridSpan w:val="2"/>
            <w:tcBorders>
              <w:top w:val="nil"/>
              <w:left w:val="nil"/>
              <w:bottom w:val="nil"/>
              <w:right w:val="nil"/>
            </w:tcBorders>
          </w:tcPr>
          <w:p w14:paraId="5409C98B" w14:textId="77777777" w:rsidR="002E528C" w:rsidRPr="00AF39AA" w:rsidRDefault="00697C96" w:rsidP="000D1293">
            <w:pPr>
              <w:spacing w:after="240" w:line="240" w:lineRule="auto"/>
              <w:jc w:val="center"/>
              <w:rPr>
                <w:rFonts w:ascii="Arial" w:eastAsia="Times New Roman" w:hAnsi="Arial" w:cs="Arial"/>
                <w:bCs/>
                <w:sz w:val="20"/>
                <w:szCs w:val="20"/>
                <w:lang w:eastAsia="en-GB"/>
              </w:rPr>
            </w:pPr>
            <w:r>
              <w:rPr>
                <w:rFonts w:ascii="Arial" w:eastAsia="Times New Roman" w:hAnsi="Arial" w:cs="Arial"/>
                <w:bCs/>
                <w:sz w:val="20"/>
                <w:szCs w:val="20"/>
                <w:lang w:eastAsia="en-GB"/>
              </w:rPr>
              <w:t xml:space="preserve">  </w:t>
            </w:r>
            <w:r w:rsidR="002E528C" w:rsidRPr="00AF39AA">
              <w:rPr>
                <w:rFonts w:ascii="Arial" w:eastAsia="Times New Roman" w:hAnsi="Arial" w:cs="Arial"/>
                <w:bCs/>
                <w:sz w:val="20"/>
                <w:szCs w:val="20"/>
                <w:lang w:eastAsia="en-GB"/>
              </w:rPr>
              <w:t>(23,868)</w:t>
            </w:r>
          </w:p>
        </w:tc>
      </w:tr>
      <w:tr w:rsidR="002E528C" w:rsidRPr="00691ECF" w14:paraId="79AC7DB5" w14:textId="77777777" w:rsidTr="000D1293">
        <w:trPr>
          <w:trHeight w:val="324"/>
        </w:trPr>
        <w:tc>
          <w:tcPr>
            <w:tcW w:w="6393" w:type="dxa"/>
            <w:gridSpan w:val="2"/>
            <w:tcBorders>
              <w:top w:val="nil"/>
              <w:left w:val="nil"/>
              <w:bottom w:val="nil"/>
              <w:right w:val="nil"/>
            </w:tcBorders>
            <w:shd w:val="clear" w:color="auto" w:fill="auto"/>
            <w:noWrap/>
            <w:vAlign w:val="center"/>
          </w:tcPr>
          <w:p w14:paraId="238B2CEA" w14:textId="77777777" w:rsidR="002E528C" w:rsidRPr="00691ECF" w:rsidRDefault="002E528C" w:rsidP="002E528C">
            <w:pPr>
              <w:spacing w:after="240" w:line="240" w:lineRule="auto"/>
              <w:rPr>
                <w:rFonts w:ascii="Arial" w:eastAsia="Times New Roman" w:hAnsi="Arial" w:cs="Arial"/>
                <w:sz w:val="20"/>
                <w:szCs w:val="20"/>
                <w:lang w:eastAsia="en-GB"/>
              </w:rPr>
            </w:pPr>
            <w:r>
              <w:rPr>
                <w:rFonts w:ascii="Arial" w:eastAsia="Times New Roman" w:hAnsi="Arial" w:cs="Arial"/>
                <w:sz w:val="20"/>
                <w:szCs w:val="20"/>
                <w:lang w:eastAsia="en-GB"/>
              </w:rPr>
              <w:t>Loss on disposal of assets</w:t>
            </w:r>
          </w:p>
        </w:tc>
        <w:tc>
          <w:tcPr>
            <w:tcW w:w="313" w:type="dxa"/>
            <w:tcBorders>
              <w:top w:val="nil"/>
              <w:left w:val="nil"/>
              <w:bottom w:val="nil"/>
              <w:right w:val="nil"/>
            </w:tcBorders>
            <w:shd w:val="clear" w:color="auto" w:fill="auto"/>
            <w:noWrap/>
            <w:vAlign w:val="center"/>
          </w:tcPr>
          <w:p w14:paraId="2D46D4B7" w14:textId="77777777" w:rsidR="002E528C" w:rsidRPr="00691ECF" w:rsidRDefault="002E528C" w:rsidP="002E528C">
            <w:pPr>
              <w:spacing w:after="240" w:line="240" w:lineRule="auto"/>
              <w:rPr>
                <w:rFonts w:ascii="Arial" w:eastAsia="Times New Roman" w:hAnsi="Arial" w:cs="Arial"/>
                <w:sz w:val="20"/>
                <w:szCs w:val="20"/>
                <w:lang w:eastAsia="en-GB"/>
              </w:rPr>
            </w:pPr>
          </w:p>
        </w:tc>
        <w:tc>
          <w:tcPr>
            <w:tcW w:w="239" w:type="dxa"/>
            <w:tcBorders>
              <w:top w:val="nil"/>
              <w:left w:val="nil"/>
              <w:bottom w:val="nil"/>
              <w:right w:val="nil"/>
            </w:tcBorders>
            <w:shd w:val="clear" w:color="auto" w:fill="auto"/>
            <w:noWrap/>
            <w:vAlign w:val="center"/>
          </w:tcPr>
          <w:p w14:paraId="115B43CE" w14:textId="77777777" w:rsidR="002E528C" w:rsidRPr="00336B16" w:rsidRDefault="002E528C" w:rsidP="002E528C">
            <w:pPr>
              <w:spacing w:after="240" w:line="240" w:lineRule="auto"/>
              <w:rPr>
                <w:rFonts w:ascii="Arial" w:eastAsia="Times New Roman" w:hAnsi="Arial" w:cs="Arial"/>
                <w:sz w:val="20"/>
                <w:szCs w:val="20"/>
                <w:lang w:eastAsia="en-GB"/>
              </w:rPr>
            </w:pPr>
          </w:p>
        </w:tc>
        <w:tc>
          <w:tcPr>
            <w:tcW w:w="1179" w:type="dxa"/>
            <w:gridSpan w:val="2"/>
            <w:tcBorders>
              <w:top w:val="nil"/>
              <w:left w:val="nil"/>
              <w:bottom w:val="nil"/>
              <w:right w:val="nil"/>
            </w:tcBorders>
            <w:shd w:val="clear" w:color="auto" w:fill="auto"/>
            <w:noWrap/>
            <w:vAlign w:val="center"/>
          </w:tcPr>
          <w:p w14:paraId="7544E8B6" w14:textId="77777777" w:rsidR="002E528C" w:rsidRPr="00543D10" w:rsidRDefault="00E756D8" w:rsidP="002E528C">
            <w:pPr>
              <w:spacing w:after="24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w:t>
            </w:r>
          </w:p>
        </w:tc>
        <w:tc>
          <w:tcPr>
            <w:tcW w:w="1180" w:type="dxa"/>
            <w:gridSpan w:val="2"/>
            <w:tcBorders>
              <w:top w:val="nil"/>
              <w:left w:val="nil"/>
              <w:bottom w:val="nil"/>
              <w:right w:val="nil"/>
            </w:tcBorders>
          </w:tcPr>
          <w:p w14:paraId="6FA074C4" w14:textId="77777777" w:rsidR="002E528C" w:rsidRPr="006647C2" w:rsidRDefault="00951083" w:rsidP="000D1293">
            <w:pPr>
              <w:spacing w:after="240" w:line="240" w:lineRule="auto"/>
              <w:jc w:val="center"/>
              <w:rPr>
                <w:rFonts w:ascii="Arial" w:eastAsia="Times New Roman" w:hAnsi="Arial" w:cs="Arial"/>
                <w:bCs/>
                <w:sz w:val="20"/>
                <w:szCs w:val="20"/>
                <w:lang w:eastAsia="en-GB"/>
              </w:rPr>
            </w:pPr>
            <w:r>
              <w:rPr>
                <w:rFonts w:ascii="Arial" w:eastAsia="Times New Roman" w:hAnsi="Arial" w:cs="Arial"/>
                <w:bCs/>
                <w:sz w:val="20"/>
                <w:szCs w:val="20"/>
                <w:lang w:eastAsia="en-GB"/>
              </w:rPr>
              <w:t xml:space="preserve">       </w:t>
            </w:r>
            <w:r w:rsidR="002E528C" w:rsidRPr="006647C2">
              <w:rPr>
                <w:rFonts w:ascii="Arial" w:eastAsia="Times New Roman" w:hAnsi="Arial" w:cs="Arial"/>
                <w:bCs/>
                <w:sz w:val="20"/>
                <w:szCs w:val="20"/>
                <w:lang w:eastAsia="en-GB"/>
              </w:rPr>
              <w:t>(585)</w:t>
            </w:r>
          </w:p>
        </w:tc>
      </w:tr>
      <w:tr w:rsidR="002E528C" w:rsidRPr="00691ECF" w14:paraId="22566BF1" w14:textId="77777777" w:rsidTr="000D1293">
        <w:trPr>
          <w:trHeight w:val="324"/>
        </w:trPr>
        <w:tc>
          <w:tcPr>
            <w:tcW w:w="6393" w:type="dxa"/>
            <w:gridSpan w:val="2"/>
            <w:tcBorders>
              <w:top w:val="nil"/>
              <w:left w:val="nil"/>
              <w:bottom w:val="nil"/>
              <w:right w:val="nil"/>
            </w:tcBorders>
            <w:shd w:val="clear" w:color="auto" w:fill="auto"/>
            <w:noWrap/>
            <w:vAlign w:val="center"/>
            <w:hideMark/>
          </w:tcPr>
          <w:p w14:paraId="695F885B" w14:textId="77777777" w:rsidR="002E528C" w:rsidRPr="00691ECF" w:rsidRDefault="002E528C" w:rsidP="002E528C">
            <w:pPr>
              <w:spacing w:after="240" w:line="240" w:lineRule="auto"/>
              <w:rPr>
                <w:rFonts w:ascii="Arial" w:eastAsia="Times New Roman" w:hAnsi="Arial" w:cs="Arial"/>
                <w:sz w:val="20"/>
                <w:szCs w:val="20"/>
                <w:lang w:eastAsia="en-GB"/>
              </w:rPr>
            </w:pPr>
            <w:r w:rsidRPr="00691ECF">
              <w:rPr>
                <w:rFonts w:ascii="Arial" w:eastAsia="Times New Roman" w:hAnsi="Arial" w:cs="Arial"/>
                <w:sz w:val="20"/>
                <w:szCs w:val="20"/>
                <w:lang w:eastAsia="en-GB"/>
              </w:rPr>
              <w:t>Net gain on revaluation</w:t>
            </w:r>
          </w:p>
        </w:tc>
        <w:tc>
          <w:tcPr>
            <w:tcW w:w="313" w:type="dxa"/>
            <w:tcBorders>
              <w:top w:val="nil"/>
              <w:left w:val="nil"/>
              <w:bottom w:val="nil"/>
              <w:right w:val="nil"/>
            </w:tcBorders>
            <w:shd w:val="clear" w:color="auto" w:fill="auto"/>
            <w:noWrap/>
            <w:vAlign w:val="center"/>
            <w:hideMark/>
          </w:tcPr>
          <w:p w14:paraId="10FEF1CA" w14:textId="77777777" w:rsidR="002E528C" w:rsidRPr="00691ECF" w:rsidRDefault="002E528C" w:rsidP="002E528C">
            <w:pPr>
              <w:spacing w:after="240" w:line="240" w:lineRule="auto"/>
              <w:rPr>
                <w:rFonts w:ascii="Arial" w:eastAsia="Times New Roman" w:hAnsi="Arial" w:cs="Arial"/>
                <w:sz w:val="20"/>
                <w:szCs w:val="20"/>
                <w:lang w:eastAsia="en-GB"/>
              </w:rPr>
            </w:pPr>
          </w:p>
        </w:tc>
        <w:tc>
          <w:tcPr>
            <w:tcW w:w="239" w:type="dxa"/>
            <w:tcBorders>
              <w:top w:val="nil"/>
              <w:left w:val="nil"/>
              <w:bottom w:val="nil"/>
              <w:right w:val="nil"/>
            </w:tcBorders>
            <w:shd w:val="clear" w:color="auto" w:fill="auto"/>
            <w:noWrap/>
            <w:vAlign w:val="center"/>
            <w:hideMark/>
          </w:tcPr>
          <w:p w14:paraId="1F8E86FC" w14:textId="77777777" w:rsidR="002E528C" w:rsidRPr="00336B16" w:rsidRDefault="002E528C" w:rsidP="002E528C">
            <w:pPr>
              <w:spacing w:after="240" w:line="240" w:lineRule="auto"/>
              <w:rPr>
                <w:rFonts w:ascii="Arial" w:eastAsia="Times New Roman" w:hAnsi="Arial" w:cs="Arial"/>
                <w:sz w:val="20"/>
                <w:szCs w:val="20"/>
                <w:lang w:eastAsia="en-GB"/>
              </w:rPr>
            </w:pPr>
          </w:p>
        </w:tc>
        <w:tc>
          <w:tcPr>
            <w:tcW w:w="1179" w:type="dxa"/>
            <w:gridSpan w:val="2"/>
            <w:tcBorders>
              <w:top w:val="nil"/>
              <w:left w:val="nil"/>
              <w:bottom w:val="nil"/>
              <w:right w:val="nil"/>
            </w:tcBorders>
            <w:shd w:val="clear" w:color="auto" w:fill="auto"/>
            <w:noWrap/>
            <w:vAlign w:val="center"/>
          </w:tcPr>
          <w:p w14:paraId="39DD38A8" w14:textId="77777777" w:rsidR="002E528C" w:rsidRPr="00543D10" w:rsidRDefault="00E756D8" w:rsidP="002E528C">
            <w:pPr>
              <w:spacing w:after="24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w:t>
            </w:r>
          </w:p>
        </w:tc>
        <w:tc>
          <w:tcPr>
            <w:tcW w:w="1180" w:type="dxa"/>
            <w:gridSpan w:val="2"/>
            <w:tcBorders>
              <w:top w:val="nil"/>
              <w:left w:val="nil"/>
              <w:bottom w:val="nil"/>
              <w:right w:val="nil"/>
            </w:tcBorders>
          </w:tcPr>
          <w:p w14:paraId="76D346F7" w14:textId="77777777" w:rsidR="002E528C" w:rsidRPr="006647C2" w:rsidRDefault="000D1293" w:rsidP="000D1293">
            <w:pPr>
              <w:spacing w:after="240" w:line="240" w:lineRule="auto"/>
              <w:jc w:val="center"/>
              <w:rPr>
                <w:rFonts w:ascii="Arial" w:eastAsia="Times New Roman" w:hAnsi="Arial" w:cs="Arial"/>
                <w:bCs/>
                <w:sz w:val="20"/>
                <w:szCs w:val="20"/>
                <w:lang w:eastAsia="en-GB"/>
              </w:rPr>
            </w:pPr>
            <w:r>
              <w:rPr>
                <w:rFonts w:ascii="Arial" w:eastAsia="Times New Roman" w:hAnsi="Arial" w:cs="Arial"/>
                <w:bCs/>
                <w:sz w:val="20"/>
                <w:szCs w:val="20"/>
                <w:lang w:eastAsia="en-GB"/>
              </w:rPr>
              <w:t xml:space="preserve">           </w:t>
            </w:r>
            <w:r w:rsidR="00697C96">
              <w:rPr>
                <w:rFonts w:ascii="Arial" w:eastAsia="Times New Roman" w:hAnsi="Arial" w:cs="Arial"/>
                <w:bCs/>
                <w:sz w:val="20"/>
                <w:szCs w:val="20"/>
                <w:lang w:eastAsia="en-GB"/>
              </w:rPr>
              <w:t xml:space="preserve"> </w:t>
            </w:r>
            <w:r w:rsidR="002E528C" w:rsidRPr="006647C2">
              <w:rPr>
                <w:rFonts w:ascii="Arial" w:eastAsia="Times New Roman" w:hAnsi="Arial" w:cs="Arial"/>
                <w:bCs/>
                <w:sz w:val="20"/>
                <w:szCs w:val="20"/>
                <w:lang w:eastAsia="en-GB"/>
              </w:rPr>
              <w:t>2</w:t>
            </w:r>
          </w:p>
        </w:tc>
      </w:tr>
      <w:tr w:rsidR="002E528C" w:rsidRPr="00691ECF" w14:paraId="39EB8F36" w14:textId="77777777" w:rsidTr="000D1293">
        <w:trPr>
          <w:trHeight w:val="324"/>
        </w:trPr>
        <w:tc>
          <w:tcPr>
            <w:tcW w:w="6393" w:type="dxa"/>
            <w:gridSpan w:val="2"/>
            <w:tcBorders>
              <w:top w:val="single" w:sz="4" w:space="0" w:color="auto"/>
              <w:left w:val="nil"/>
              <w:bottom w:val="single" w:sz="4" w:space="0" w:color="auto"/>
              <w:right w:val="nil"/>
            </w:tcBorders>
            <w:shd w:val="clear" w:color="auto" w:fill="auto"/>
            <w:noWrap/>
            <w:vAlign w:val="center"/>
            <w:hideMark/>
          </w:tcPr>
          <w:p w14:paraId="6877B9EA" w14:textId="77777777" w:rsidR="002E528C" w:rsidRPr="00691ECF" w:rsidRDefault="002E528C" w:rsidP="002E528C">
            <w:pPr>
              <w:spacing w:after="240" w:line="240" w:lineRule="auto"/>
              <w:rPr>
                <w:rFonts w:ascii="Arial" w:eastAsia="Times New Roman" w:hAnsi="Arial" w:cs="Arial"/>
                <w:b/>
                <w:bCs/>
                <w:sz w:val="20"/>
                <w:szCs w:val="20"/>
                <w:lang w:eastAsia="en-GB"/>
              </w:rPr>
            </w:pPr>
            <w:r w:rsidRPr="00691ECF">
              <w:rPr>
                <w:rFonts w:ascii="Arial" w:eastAsia="Times New Roman" w:hAnsi="Arial" w:cs="Arial"/>
                <w:b/>
                <w:bCs/>
                <w:sz w:val="20"/>
                <w:szCs w:val="20"/>
                <w:lang w:eastAsia="en-GB"/>
              </w:rPr>
              <w:t xml:space="preserve">At 31 August </w:t>
            </w:r>
            <w:r>
              <w:rPr>
                <w:rFonts w:ascii="Arial" w:eastAsia="Times New Roman" w:hAnsi="Arial" w:cs="Arial"/>
                <w:b/>
                <w:bCs/>
                <w:sz w:val="20"/>
                <w:szCs w:val="20"/>
                <w:lang w:eastAsia="en-GB"/>
              </w:rPr>
              <w:t>2020</w:t>
            </w:r>
          </w:p>
        </w:tc>
        <w:tc>
          <w:tcPr>
            <w:tcW w:w="313" w:type="dxa"/>
            <w:tcBorders>
              <w:top w:val="single" w:sz="4" w:space="0" w:color="auto"/>
              <w:left w:val="nil"/>
              <w:bottom w:val="single" w:sz="4" w:space="0" w:color="auto"/>
              <w:right w:val="nil"/>
            </w:tcBorders>
            <w:shd w:val="clear" w:color="auto" w:fill="auto"/>
            <w:noWrap/>
            <w:vAlign w:val="center"/>
            <w:hideMark/>
          </w:tcPr>
          <w:p w14:paraId="54243D25" w14:textId="77777777" w:rsidR="002E528C" w:rsidRPr="00691ECF" w:rsidRDefault="002E528C" w:rsidP="002E528C">
            <w:pPr>
              <w:spacing w:after="240" w:line="240" w:lineRule="auto"/>
              <w:rPr>
                <w:rFonts w:ascii="Arial" w:eastAsia="Times New Roman" w:hAnsi="Arial" w:cs="Arial"/>
                <w:sz w:val="20"/>
                <w:szCs w:val="20"/>
                <w:lang w:eastAsia="en-GB"/>
              </w:rPr>
            </w:pPr>
            <w:r w:rsidRPr="00691ECF">
              <w:rPr>
                <w:rFonts w:ascii="Arial" w:eastAsia="Times New Roman" w:hAnsi="Arial" w:cs="Arial"/>
                <w:sz w:val="20"/>
                <w:szCs w:val="20"/>
                <w:lang w:eastAsia="en-GB"/>
              </w:rPr>
              <w:t> </w:t>
            </w:r>
          </w:p>
        </w:tc>
        <w:tc>
          <w:tcPr>
            <w:tcW w:w="239" w:type="dxa"/>
            <w:tcBorders>
              <w:top w:val="single" w:sz="4" w:space="0" w:color="auto"/>
              <w:left w:val="nil"/>
              <w:bottom w:val="single" w:sz="4" w:space="0" w:color="auto"/>
              <w:right w:val="nil"/>
            </w:tcBorders>
            <w:shd w:val="clear" w:color="auto" w:fill="auto"/>
            <w:noWrap/>
            <w:vAlign w:val="center"/>
            <w:hideMark/>
          </w:tcPr>
          <w:p w14:paraId="0D4A86F1" w14:textId="77777777" w:rsidR="002E528C" w:rsidRPr="00691ECF" w:rsidRDefault="002E528C" w:rsidP="002E528C">
            <w:pPr>
              <w:spacing w:after="240" w:line="240" w:lineRule="auto"/>
              <w:rPr>
                <w:rFonts w:ascii="Arial" w:eastAsia="Times New Roman" w:hAnsi="Arial" w:cs="Arial"/>
                <w:sz w:val="20"/>
                <w:szCs w:val="20"/>
                <w:lang w:eastAsia="en-GB"/>
              </w:rPr>
            </w:pPr>
            <w:r w:rsidRPr="00691ECF">
              <w:rPr>
                <w:rFonts w:ascii="Arial" w:eastAsia="Times New Roman" w:hAnsi="Arial" w:cs="Arial"/>
                <w:sz w:val="20"/>
                <w:szCs w:val="20"/>
                <w:lang w:eastAsia="en-GB"/>
              </w:rPr>
              <w:t> </w:t>
            </w:r>
          </w:p>
        </w:tc>
        <w:tc>
          <w:tcPr>
            <w:tcW w:w="1179" w:type="dxa"/>
            <w:gridSpan w:val="2"/>
            <w:tcBorders>
              <w:top w:val="single" w:sz="4" w:space="0" w:color="auto"/>
              <w:left w:val="nil"/>
              <w:bottom w:val="single" w:sz="4" w:space="0" w:color="auto"/>
              <w:right w:val="nil"/>
            </w:tcBorders>
            <w:shd w:val="clear" w:color="auto" w:fill="auto"/>
            <w:noWrap/>
            <w:vAlign w:val="center"/>
          </w:tcPr>
          <w:p w14:paraId="7F277E80" w14:textId="77777777" w:rsidR="002E528C" w:rsidRPr="00543D10" w:rsidRDefault="00E756D8" w:rsidP="002E528C">
            <w:pPr>
              <w:spacing w:after="24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w:t>
            </w:r>
          </w:p>
        </w:tc>
        <w:tc>
          <w:tcPr>
            <w:tcW w:w="1180" w:type="dxa"/>
            <w:gridSpan w:val="2"/>
            <w:tcBorders>
              <w:top w:val="single" w:sz="4" w:space="0" w:color="auto"/>
              <w:left w:val="nil"/>
              <w:bottom w:val="single" w:sz="4" w:space="0" w:color="auto"/>
              <w:right w:val="nil"/>
            </w:tcBorders>
          </w:tcPr>
          <w:p w14:paraId="292CE21F" w14:textId="77777777" w:rsidR="002E528C" w:rsidRPr="006647C2" w:rsidRDefault="002E528C" w:rsidP="002E528C">
            <w:pPr>
              <w:spacing w:after="240" w:line="240" w:lineRule="auto"/>
              <w:jc w:val="right"/>
              <w:rPr>
                <w:rFonts w:ascii="Arial" w:eastAsia="Times New Roman" w:hAnsi="Arial" w:cs="Arial"/>
                <w:bCs/>
                <w:sz w:val="20"/>
                <w:szCs w:val="20"/>
                <w:lang w:eastAsia="en-GB"/>
              </w:rPr>
            </w:pPr>
            <w:r w:rsidRPr="006647C2">
              <w:rPr>
                <w:rFonts w:ascii="Arial" w:eastAsia="Times New Roman" w:hAnsi="Arial" w:cs="Arial"/>
                <w:bCs/>
                <w:sz w:val="20"/>
                <w:szCs w:val="20"/>
                <w:lang w:eastAsia="en-GB"/>
              </w:rPr>
              <w:t>213</w:t>
            </w:r>
          </w:p>
        </w:tc>
      </w:tr>
    </w:tbl>
    <w:p w14:paraId="1CE1DD31" w14:textId="77777777" w:rsidR="004B18B9" w:rsidRPr="00DC1512" w:rsidRDefault="004B18B9" w:rsidP="004B18B9">
      <w:pPr>
        <w:tabs>
          <w:tab w:val="left" w:pos="567"/>
        </w:tabs>
        <w:ind w:left="567" w:hanging="567"/>
        <w:rPr>
          <w:rFonts w:ascii="Arial" w:hAnsi="Arial" w:cs="Arial"/>
          <w:b/>
          <w:i/>
          <w:sz w:val="24"/>
          <w:szCs w:val="24"/>
        </w:rPr>
      </w:pPr>
    </w:p>
    <w:p w14:paraId="1FEF5AB9" w14:textId="77777777" w:rsidR="002E528C" w:rsidRDefault="002E528C">
      <w:r>
        <w:br w:type="page"/>
      </w:r>
    </w:p>
    <w:tbl>
      <w:tblPr>
        <w:tblW w:w="9432" w:type="dxa"/>
        <w:tblLayout w:type="fixed"/>
        <w:tblLook w:val="04A0" w:firstRow="1" w:lastRow="0" w:firstColumn="1" w:lastColumn="0" w:noHBand="0" w:noVBand="1"/>
      </w:tblPr>
      <w:tblGrid>
        <w:gridCol w:w="6674"/>
        <w:gridCol w:w="9"/>
        <w:gridCol w:w="1582"/>
        <w:gridCol w:w="875"/>
        <w:gridCol w:w="292"/>
      </w:tblGrid>
      <w:tr w:rsidR="00491197" w:rsidRPr="00691ECF" w14:paraId="74878076" w14:textId="77777777" w:rsidTr="00697C96">
        <w:trPr>
          <w:trHeight w:val="403"/>
        </w:trPr>
        <w:tc>
          <w:tcPr>
            <w:tcW w:w="6675" w:type="dxa"/>
            <w:tcBorders>
              <w:top w:val="nil"/>
              <w:left w:val="nil"/>
              <w:bottom w:val="nil"/>
              <w:right w:val="nil"/>
            </w:tcBorders>
            <w:shd w:val="clear" w:color="auto" w:fill="auto"/>
            <w:noWrap/>
            <w:vAlign w:val="center"/>
            <w:hideMark/>
          </w:tcPr>
          <w:p w14:paraId="6996B637" w14:textId="755433E5" w:rsidR="006C07DD" w:rsidRDefault="006C07DD" w:rsidP="003C6D0D">
            <w:pPr>
              <w:spacing w:after="0" w:line="240" w:lineRule="auto"/>
              <w:rPr>
                <w:rFonts w:ascii="Arial" w:hAnsi="Arial" w:cs="Arial"/>
                <w:b/>
                <w:i/>
                <w:sz w:val="24"/>
                <w:szCs w:val="24"/>
              </w:rPr>
            </w:pPr>
            <w:r w:rsidRPr="0088736E">
              <w:rPr>
                <w:rFonts w:ascii="Arial" w:hAnsi="Arial" w:cs="Arial"/>
                <w:b/>
                <w:i/>
                <w:sz w:val="24"/>
                <w:szCs w:val="24"/>
              </w:rPr>
              <w:lastRenderedPageBreak/>
              <w:t xml:space="preserve">Notes to the financial </w:t>
            </w:r>
            <w:r>
              <w:rPr>
                <w:rFonts w:ascii="Arial" w:hAnsi="Arial" w:cs="Arial"/>
                <w:b/>
                <w:i/>
                <w:sz w:val="24"/>
                <w:szCs w:val="24"/>
              </w:rPr>
              <w:t>statements</w:t>
            </w:r>
            <w:r w:rsidRPr="0088736E">
              <w:rPr>
                <w:rFonts w:ascii="Arial" w:hAnsi="Arial" w:cs="Arial"/>
                <w:b/>
                <w:i/>
                <w:sz w:val="24"/>
                <w:szCs w:val="24"/>
              </w:rPr>
              <w:t xml:space="preserve"> (continued)</w:t>
            </w:r>
          </w:p>
          <w:p w14:paraId="3A57BC85" w14:textId="77777777" w:rsidR="003C6D0D" w:rsidRPr="003C6D0D" w:rsidRDefault="003C6D0D" w:rsidP="003C6D0D">
            <w:pPr>
              <w:spacing w:after="0" w:line="240" w:lineRule="auto"/>
              <w:rPr>
                <w:rFonts w:ascii="Arial" w:hAnsi="Arial" w:cs="Arial"/>
                <w:b/>
                <w:i/>
                <w:sz w:val="24"/>
                <w:szCs w:val="24"/>
              </w:rPr>
            </w:pPr>
          </w:p>
          <w:p w14:paraId="2CC845CE" w14:textId="77777777" w:rsidR="00491197" w:rsidRDefault="006674F4" w:rsidP="003C6D0D">
            <w:pPr>
              <w:spacing w:after="0" w:line="240" w:lineRule="auto"/>
              <w:rPr>
                <w:rFonts w:ascii="Arial" w:eastAsia="Times New Roman" w:hAnsi="Arial" w:cs="Arial"/>
                <w:b/>
                <w:bCs/>
                <w:sz w:val="24"/>
                <w:szCs w:val="24"/>
                <w:lang w:eastAsia="en-GB"/>
              </w:rPr>
            </w:pPr>
            <w:r w:rsidRPr="006674F4">
              <w:rPr>
                <w:rFonts w:ascii="Arial" w:eastAsia="Times New Roman" w:hAnsi="Arial" w:cs="Arial"/>
                <w:b/>
                <w:bCs/>
                <w:sz w:val="24"/>
                <w:szCs w:val="24"/>
                <w:lang w:eastAsia="en-GB"/>
              </w:rPr>
              <w:t>1</w:t>
            </w:r>
            <w:r w:rsidR="00BE0959">
              <w:rPr>
                <w:rFonts w:ascii="Arial" w:eastAsia="Times New Roman" w:hAnsi="Arial" w:cs="Arial"/>
                <w:b/>
                <w:bCs/>
                <w:sz w:val="24"/>
                <w:szCs w:val="24"/>
                <w:lang w:eastAsia="en-GB"/>
              </w:rPr>
              <w:t>1</w:t>
            </w:r>
            <w:r w:rsidR="00491197" w:rsidRPr="006674F4">
              <w:rPr>
                <w:rFonts w:ascii="Arial" w:eastAsia="Times New Roman" w:hAnsi="Arial" w:cs="Arial"/>
                <w:b/>
                <w:bCs/>
                <w:sz w:val="24"/>
                <w:szCs w:val="24"/>
                <w:lang w:eastAsia="en-GB"/>
              </w:rPr>
              <w:t>. Palmer Gardens</w:t>
            </w:r>
          </w:p>
          <w:p w14:paraId="55D94A6C" w14:textId="3C7D44E1" w:rsidR="00EB4120" w:rsidRPr="006674F4" w:rsidRDefault="00EB4120" w:rsidP="003C6D0D">
            <w:pPr>
              <w:spacing w:after="0" w:line="240" w:lineRule="auto"/>
              <w:rPr>
                <w:rFonts w:ascii="Arial" w:eastAsia="Times New Roman" w:hAnsi="Arial" w:cs="Arial"/>
                <w:b/>
                <w:bCs/>
                <w:sz w:val="24"/>
                <w:szCs w:val="24"/>
                <w:lang w:eastAsia="en-GB"/>
              </w:rPr>
            </w:pPr>
          </w:p>
        </w:tc>
        <w:tc>
          <w:tcPr>
            <w:tcW w:w="2466" w:type="dxa"/>
            <w:gridSpan w:val="3"/>
            <w:tcBorders>
              <w:top w:val="nil"/>
              <w:left w:val="nil"/>
              <w:bottom w:val="nil"/>
              <w:right w:val="nil"/>
            </w:tcBorders>
            <w:shd w:val="clear" w:color="auto" w:fill="auto"/>
            <w:noWrap/>
            <w:vAlign w:val="center"/>
            <w:hideMark/>
          </w:tcPr>
          <w:p w14:paraId="0C090766" w14:textId="77777777" w:rsidR="00491197" w:rsidRPr="00691ECF" w:rsidRDefault="00491197" w:rsidP="00336B16">
            <w:pPr>
              <w:spacing w:after="240" w:line="240" w:lineRule="auto"/>
              <w:rPr>
                <w:rFonts w:ascii="Arial" w:eastAsia="Times New Roman" w:hAnsi="Arial" w:cs="Arial"/>
                <w:b/>
                <w:bCs/>
                <w:sz w:val="24"/>
                <w:szCs w:val="24"/>
                <w:lang w:eastAsia="en-GB"/>
              </w:rPr>
            </w:pPr>
          </w:p>
        </w:tc>
        <w:tc>
          <w:tcPr>
            <w:tcW w:w="290" w:type="dxa"/>
            <w:tcBorders>
              <w:top w:val="nil"/>
              <w:left w:val="nil"/>
              <w:bottom w:val="nil"/>
              <w:right w:val="nil"/>
            </w:tcBorders>
            <w:shd w:val="clear" w:color="auto" w:fill="auto"/>
            <w:noWrap/>
            <w:vAlign w:val="center"/>
            <w:hideMark/>
          </w:tcPr>
          <w:p w14:paraId="516D98B0" w14:textId="77777777" w:rsidR="00491197" w:rsidRPr="00336B16" w:rsidRDefault="00491197" w:rsidP="00336B16">
            <w:pPr>
              <w:spacing w:after="240" w:line="240" w:lineRule="auto"/>
              <w:rPr>
                <w:rFonts w:ascii="Arial" w:eastAsia="Times New Roman" w:hAnsi="Arial" w:cs="Arial"/>
                <w:sz w:val="20"/>
                <w:szCs w:val="20"/>
                <w:lang w:eastAsia="en-GB"/>
              </w:rPr>
            </w:pPr>
          </w:p>
        </w:tc>
      </w:tr>
      <w:tr w:rsidR="00E70CD3" w:rsidRPr="00491197" w14:paraId="078EDFD8" w14:textId="77777777" w:rsidTr="00697C96">
        <w:trPr>
          <w:trHeight w:val="1355"/>
        </w:trPr>
        <w:tc>
          <w:tcPr>
            <w:tcW w:w="9432" w:type="dxa"/>
            <w:gridSpan w:val="5"/>
            <w:tcBorders>
              <w:top w:val="nil"/>
              <w:left w:val="nil"/>
              <w:bottom w:val="nil"/>
              <w:right w:val="nil"/>
            </w:tcBorders>
            <w:shd w:val="clear" w:color="auto" w:fill="auto"/>
            <w:hideMark/>
          </w:tcPr>
          <w:p w14:paraId="0D58179F" w14:textId="77777777" w:rsidR="00E70CD3" w:rsidRPr="00C322AE" w:rsidRDefault="00E70CD3" w:rsidP="006647C2">
            <w:pPr>
              <w:spacing w:after="0" w:line="240" w:lineRule="auto"/>
              <w:jc w:val="both"/>
              <w:rPr>
                <w:rFonts w:ascii="Arial" w:eastAsia="Times New Roman" w:hAnsi="Arial" w:cs="Arial"/>
                <w:color w:val="1B1C20"/>
                <w:sz w:val="24"/>
                <w:szCs w:val="24"/>
                <w:lang w:eastAsia="en-GB"/>
              </w:rPr>
            </w:pPr>
            <w:r w:rsidRPr="00C322AE">
              <w:rPr>
                <w:rFonts w:ascii="Arial" w:eastAsia="Times New Roman" w:hAnsi="Arial" w:cs="Arial"/>
                <w:color w:val="1B1C20"/>
                <w:sz w:val="24"/>
                <w:szCs w:val="24"/>
                <w:lang w:eastAsia="en-GB"/>
              </w:rPr>
              <w:t>The Shaw Trust Limited is the corporate trustee of Palmer Gardens, which is a charitable trust, first registered as a charity on 25 March 1977 under number 273092. Under a Scheme dated 21 August 2008 a uniting direction was passed combining The Shaw Trust Limited and Palmer Gardens for accounting purposes. Consequently, the trading results, assets and liabilities of Palmer Gardens are accounted for within the restricted funds of The Shaw Trust Lim</w:t>
            </w:r>
            <w:r w:rsidR="008E5A7C">
              <w:rPr>
                <w:rFonts w:ascii="Arial" w:eastAsia="Times New Roman" w:hAnsi="Arial" w:cs="Arial"/>
                <w:color w:val="1B1C20"/>
                <w:sz w:val="24"/>
                <w:szCs w:val="24"/>
                <w:lang w:eastAsia="en-GB"/>
              </w:rPr>
              <w:t>ited.</w:t>
            </w:r>
            <w:r w:rsidRPr="00C322AE">
              <w:rPr>
                <w:rFonts w:ascii="Arial" w:eastAsia="Times New Roman" w:hAnsi="Arial" w:cs="Arial"/>
                <w:color w:val="1B1C20"/>
                <w:sz w:val="24"/>
                <w:szCs w:val="24"/>
                <w:lang w:eastAsia="en-GB"/>
              </w:rPr>
              <w:t xml:space="preserve"> The financial results of Palmer Gardens are shown below.</w:t>
            </w:r>
          </w:p>
        </w:tc>
      </w:tr>
      <w:tr w:rsidR="00E70CD3" w:rsidRPr="00491197" w14:paraId="1306A1B2" w14:textId="77777777" w:rsidTr="00697C96">
        <w:trPr>
          <w:trHeight w:val="324"/>
        </w:trPr>
        <w:tc>
          <w:tcPr>
            <w:tcW w:w="6684" w:type="dxa"/>
            <w:gridSpan w:val="2"/>
            <w:tcBorders>
              <w:top w:val="nil"/>
              <w:left w:val="nil"/>
              <w:bottom w:val="nil"/>
              <w:right w:val="nil"/>
            </w:tcBorders>
            <w:shd w:val="clear" w:color="auto" w:fill="auto"/>
            <w:noWrap/>
            <w:vAlign w:val="center"/>
            <w:hideMark/>
          </w:tcPr>
          <w:p w14:paraId="0F2E13F9" w14:textId="77777777" w:rsidR="00E70CD3" w:rsidRPr="00C322AE" w:rsidRDefault="00E70CD3" w:rsidP="006647C2">
            <w:pPr>
              <w:spacing w:after="0" w:line="240" w:lineRule="auto"/>
              <w:jc w:val="both"/>
              <w:rPr>
                <w:rFonts w:ascii="Arial" w:eastAsia="Times New Roman" w:hAnsi="Arial" w:cs="Arial"/>
                <w:color w:val="1B1C20"/>
                <w:sz w:val="24"/>
                <w:szCs w:val="24"/>
                <w:lang w:eastAsia="en-GB"/>
              </w:rPr>
            </w:pPr>
          </w:p>
        </w:tc>
        <w:tc>
          <w:tcPr>
            <w:tcW w:w="2456" w:type="dxa"/>
            <w:gridSpan w:val="2"/>
            <w:tcBorders>
              <w:top w:val="nil"/>
              <w:left w:val="nil"/>
              <w:bottom w:val="nil"/>
              <w:right w:val="nil"/>
            </w:tcBorders>
            <w:shd w:val="clear" w:color="auto" w:fill="auto"/>
            <w:noWrap/>
            <w:vAlign w:val="center"/>
            <w:hideMark/>
          </w:tcPr>
          <w:p w14:paraId="75C0FB44" w14:textId="77777777" w:rsidR="00E70CD3" w:rsidRPr="00C322AE" w:rsidRDefault="00E70CD3" w:rsidP="007729E5">
            <w:pPr>
              <w:spacing w:after="0" w:line="240" w:lineRule="auto"/>
              <w:rPr>
                <w:rFonts w:ascii="Times New Roman" w:eastAsia="Times New Roman" w:hAnsi="Times New Roman" w:cs="Times New Roman"/>
                <w:sz w:val="24"/>
                <w:szCs w:val="24"/>
                <w:lang w:eastAsia="en-GB"/>
              </w:rPr>
            </w:pPr>
          </w:p>
        </w:tc>
        <w:tc>
          <w:tcPr>
            <w:tcW w:w="290" w:type="dxa"/>
            <w:tcBorders>
              <w:top w:val="nil"/>
              <w:left w:val="nil"/>
              <w:bottom w:val="nil"/>
              <w:right w:val="nil"/>
            </w:tcBorders>
            <w:shd w:val="clear" w:color="auto" w:fill="auto"/>
            <w:noWrap/>
            <w:vAlign w:val="center"/>
            <w:hideMark/>
          </w:tcPr>
          <w:p w14:paraId="0774484F" w14:textId="77777777" w:rsidR="00E70CD3" w:rsidRPr="00C322AE" w:rsidRDefault="00E70CD3" w:rsidP="007729E5">
            <w:pPr>
              <w:spacing w:after="0" w:line="240" w:lineRule="auto"/>
              <w:rPr>
                <w:rFonts w:ascii="Times New Roman" w:eastAsia="Times New Roman" w:hAnsi="Times New Roman" w:cs="Times New Roman"/>
                <w:sz w:val="24"/>
                <w:szCs w:val="24"/>
                <w:lang w:eastAsia="en-GB"/>
              </w:rPr>
            </w:pPr>
          </w:p>
        </w:tc>
      </w:tr>
      <w:tr w:rsidR="00E70CD3" w:rsidRPr="00491197" w14:paraId="43B1AB43" w14:textId="77777777" w:rsidTr="00697C96">
        <w:trPr>
          <w:trHeight w:val="587"/>
        </w:trPr>
        <w:tc>
          <w:tcPr>
            <w:tcW w:w="9432" w:type="dxa"/>
            <w:gridSpan w:val="5"/>
            <w:tcBorders>
              <w:top w:val="nil"/>
              <w:left w:val="nil"/>
              <w:bottom w:val="nil"/>
              <w:right w:val="nil"/>
            </w:tcBorders>
            <w:shd w:val="clear" w:color="auto" w:fill="auto"/>
            <w:hideMark/>
          </w:tcPr>
          <w:p w14:paraId="0075D67A" w14:textId="77777777" w:rsidR="00E70CD3" w:rsidRPr="00C322AE" w:rsidRDefault="00E70CD3" w:rsidP="006647C2">
            <w:pPr>
              <w:spacing w:after="0" w:line="240" w:lineRule="auto"/>
              <w:jc w:val="both"/>
              <w:rPr>
                <w:rFonts w:ascii="Arial" w:eastAsia="Times New Roman" w:hAnsi="Arial" w:cs="Arial"/>
                <w:sz w:val="24"/>
                <w:szCs w:val="24"/>
                <w:lang w:eastAsia="en-GB"/>
              </w:rPr>
            </w:pPr>
            <w:r w:rsidRPr="00C322AE">
              <w:rPr>
                <w:rFonts w:ascii="Arial" w:eastAsia="Times New Roman" w:hAnsi="Arial" w:cs="Arial"/>
                <w:sz w:val="24"/>
                <w:szCs w:val="24"/>
                <w:lang w:eastAsia="en-GB"/>
              </w:rPr>
              <w:t xml:space="preserve">As at 31 August </w:t>
            </w:r>
            <w:r w:rsidR="0037645F">
              <w:rPr>
                <w:rFonts w:ascii="Arial" w:eastAsia="Times New Roman" w:hAnsi="Arial" w:cs="Arial"/>
                <w:sz w:val="24"/>
                <w:szCs w:val="24"/>
                <w:lang w:eastAsia="en-GB"/>
              </w:rPr>
              <w:t>2020</w:t>
            </w:r>
            <w:r w:rsidRPr="00C322AE">
              <w:rPr>
                <w:rFonts w:ascii="Arial" w:eastAsia="Times New Roman" w:hAnsi="Arial" w:cs="Arial"/>
                <w:sz w:val="24"/>
                <w:szCs w:val="24"/>
                <w:lang w:eastAsia="en-GB"/>
              </w:rPr>
              <w:t xml:space="preserve">, Palmer Gardens has </w:t>
            </w:r>
            <w:r w:rsidRPr="00893575">
              <w:rPr>
                <w:rFonts w:ascii="Arial" w:eastAsia="Times New Roman" w:hAnsi="Arial" w:cs="Arial"/>
                <w:sz w:val="24"/>
                <w:szCs w:val="24"/>
                <w:lang w:eastAsia="en-GB"/>
              </w:rPr>
              <w:t>a Revenue Fund of</w:t>
            </w:r>
            <w:r w:rsidRPr="00C322AE">
              <w:rPr>
                <w:rFonts w:ascii="Arial" w:eastAsia="Times New Roman" w:hAnsi="Arial" w:cs="Arial"/>
                <w:sz w:val="24"/>
                <w:szCs w:val="24"/>
                <w:lang w:eastAsia="en-GB"/>
              </w:rPr>
              <w:t xml:space="preserve"> £Nil (</w:t>
            </w:r>
            <w:r w:rsidR="0037645F">
              <w:rPr>
                <w:rFonts w:ascii="Arial" w:eastAsia="Times New Roman" w:hAnsi="Arial" w:cs="Arial"/>
                <w:sz w:val="24"/>
                <w:szCs w:val="24"/>
                <w:lang w:eastAsia="en-GB"/>
              </w:rPr>
              <w:t>2019</w:t>
            </w:r>
            <w:r w:rsidRPr="00C322AE">
              <w:rPr>
                <w:rFonts w:ascii="Arial" w:eastAsia="Times New Roman" w:hAnsi="Arial" w:cs="Arial"/>
                <w:sz w:val="24"/>
                <w:szCs w:val="24"/>
                <w:lang w:eastAsia="en-GB"/>
              </w:rPr>
              <w:t>: £Nil) and a Capital Fund of £</w:t>
            </w:r>
            <w:r w:rsidR="00893575" w:rsidRPr="00100F23">
              <w:rPr>
                <w:rFonts w:ascii="Arial" w:eastAsia="Times New Roman" w:hAnsi="Arial" w:cs="Arial"/>
                <w:sz w:val="24"/>
                <w:szCs w:val="24"/>
                <w:lang w:eastAsia="en-GB"/>
              </w:rPr>
              <w:t>547,000</w:t>
            </w:r>
            <w:r w:rsidR="00893575">
              <w:rPr>
                <w:rFonts w:ascii="Arial" w:eastAsia="Times New Roman" w:hAnsi="Arial" w:cs="Arial"/>
                <w:sz w:val="24"/>
                <w:szCs w:val="24"/>
                <w:lang w:eastAsia="en-GB"/>
              </w:rPr>
              <w:t xml:space="preserve"> </w:t>
            </w:r>
            <w:r w:rsidRPr="00C322AE">
              <w:rPr>
                <w:rFonts w:ascii="Arial" w:eastAsia="Times New Roman" w:hAnsi="Arial" w:cs="Arial"/>
                <w:sz w:val="24"/>
                <w:szCs w:val="24"/>
                <w:lang w:eastAsia="en-GB"/>
              </w:rPr>
              <w:t>(</w:t>
            </w:r>
            <w:r w:rsidR="0037645F">
              <w:rPr>
                <w:rFonts w:ascii="Arial" w:eastAsia="Times New Roman" w:hAnsi="Arial" w:cs="Arial"/>
                <w:sz w:val="24"/>
                <w:szCs w:val="24"/>
                <w:lang w:eastAsia="en-GB"/>
              </w:rPr>
              <w:t>2019</w:t>
            </w:r>
            <w:r w:rsidRPr="00C322AE">
              <w:rPr>
                <w:rFonts w:ascii="Arial" w:eastAsia="Times New Roman" w:hAnsi="Arial" w:cs="Arial"/>
                <w:sz w:val="24"/>
                <w:szCs w:val="24"/>
                <w:lang w:eastAsia="en-GB"/>
              </w:rPr>
              <w:t>: £</w:t>
            </w:r>
            <w:r w:rsidR="00265730" w:rsidRPr="00C322AE">
              <w:rPr>
                <w:rFonts w:ascii="Arial" w:eastAsia="Times New Roman" w:hAnsi="Arial" w:cs="Arial"/>
                <w:sz w:val="24"/>
                <w:szCs w:val="24"/>
                <w:lang w:eastAsia="en-GB"/>
              </w:rPr>
              <w:t>566,000</w:t>
            </w:r>
            <w:r w:rsidRPr="00C322AE">
              <w:rPr>
                <w:rFonts w:ascii="Arial" w:eastAsia="Times New Roman" w:hAnsi="Arial" w:cs="Arial"/>
                <w:sz w:val="24"/>
                <w:szCs w:val="24"/>
                <w:lang w:eastAsia="en-GB"/>
              </w:rPr>
              <w:t>). The income and expenditure account for the Revenue Fund is set out below:</w:t>
            </w:r>
          </w:p>
        </w:tc>
      </w:tr>
      <w:tr w:rsidR="00E70CD3" w:rsidRPr="00491197" w14:paraId="07E025EF" w14:textId="77777777" w:rsidTr="00697C96">
        <w:trPr>
          <w:trHeight w:val="324"/>
        </w:trPr>
        <w:tc>
          <w:tcPr>
            <w:tcW w:w="6684" w:type="dxa"/>
            <w:gridSpan w:val="2"/>
            <w:tcBorders>
              <w:top w:val="nil"/>
              <w:left w:val="nil"/>
              <w:bottom w:val="nil"/>
              <w:right w:val="nil"/>
            </w:tcBorders>
            <w:shd w:val="clear" w:color="auto" w:fill="auto"/>
            <w:noWrap/>
            <w:vAlign w:val="center"/>
            <w:hideMark/>
          </w:tcPr>
          <w:p w14:paraId="1203F1E0" w14:textId="77777777" w:rsidR="00E70CD3" w:rsidRPr="00491197" w:rsidRDefault="00E70CD3" w:rsidP="007729E5">
            <w:pPr>
              <w:spacing w:after="0" w:line="240" w:lineRule="auto"/>
              <w:rPr>
                <w:rFonts w:ascii="Arial" w:eastAsia="Times New Roman" w:hAnsi="Arial" w:cs="Arial"/>
                <w:sz w:val="20"/>
                <w:szCs w:val="20"/>
                <w:lang w:eastAsia="en-GB"/>
              </w:rPr>
            </w:pPr>
          </w:p>
        </w:tc>
        <w:tc>
          <w:tcPr>
            <w:tcW w:w="2456" w:type="dxa"/>
            <w:gridSpan w:val="2"/>
            <w:tcBorders>
              <w:top w:val="nil"/>
              <w:left w:val="nil"/>
              <w:bottom w:val="nil"/>
              <w:right w:val="nil"/>
            </w:tcBorders>
            <w:shd w:val="clear" w:color="auto" w:fill="auto"/>
            <w:noWrap/>
            <w:vAlign w:val="center"/>
            <w:hideMark/>
          </w:tcPr>
          <w:p w14:paraId="3C62D6B9" w14:textId="77777777" w:rsidR="00E70CD3" w:rsidRPr="00491197" w:rsidRDefault="00E70CD3" w:rsidP="007729E5">
            <w:pPr>
              <w:spacing w:after="0" w:line="240" w:lineRule="auto"/>
              <w:rPr>
                <w:rFonts w:ascii="Times New Roman" w:eastAsia="Times New Roman" w:hAnsi="Times New Roman" w:cs="Times New Roman"/>
                <w:sz w:val="20"/>
                <w:szCs w:val="20"/>
                <w:lang w:eastAsia="en-GB"/>
              </w:rPr>
            </w:pPr>
          </w:p>
        </w:tc>
        <w:tc>
          <w:tcPr>
            <w:tcW w:w="290" w:type="dxa"/>
            <w:tcBorders>
              <w:top w:val="nil"/>
              <w:left w:val="nil"/>
              <w:bottom w:val="nil"/>
              <w:right w:val="nil"/>
            </w:tcBorders>
            <w:shd w:val="clear" w:color="auto" w:fill="auto"/>
            <w:noWrap/>
            <w:vAlign w:val="center"/>
            <w:hideMark/>
          </w:tcPr>
          <w:p w14:paraId="36D44176" w14:textId="77777777" w:rsidR="00E70CD3" w:rsidRPr="00491197" w:rsidRDefault="00E70CD3" w:rsidP="007729E5">
            <w:pPr>
              <w:spacing w:after="0" w:line="240" w:lineRule="auto"/>
              <w:rPr>
                <w:rFonts w:ascii="Times New Roman" w:eastAsia="Times New Roman" w:hAnsi="Times New Roman" w:cs="Times New Roman"/>
                <w:sz w:val="20"/>
                <w:szCs w:val="20"/>
                <w:lang w:eastAsia="en-GB"/>
              </w:rPr>
            </w:pPr>
          </w:p>
        </w:tc>
      </w:tr>
      <w:tr w:rsidR="00E70CD3" w:rsidRPr="00491197" w14:paraId="5A8170A6" w14:textId="77777777" w:rsidTr="00697C96">
        <w:trPr>
          <w:trHeight w:val="324"/>
        </w:trPr>
        <w:tc>
          <w:tcPr>
            <w:tcW w:w="6684" w:type="dxa"/>
            <w:gridSpan w:val="2"/>
            <w:tcBorders>
              <w:top w:val="nil"/>
              <w:left w:val="nil"/>
              <w:bottom w:val="nil"/>
              <w:right w:val="nil"/>
            </w:tcBorders>
            <w:shd w:val="clear" w:color="auto" w:fill="auto"/>
            <w:noWrap/>
            <w:vAlign w:val="center"/>
            <w:hideMark/>
          </w:tcPr>
          <w:p w14:paraId="3D1C020A" w14:textId="77777777" w:rsidR="00E70CD3" w:rsidRPr="00491197" w:rsidRDefault="00E70CD3" w:rsidP="007729E5">
            <w:pPr>
              <w:spacing w:after="0" w:line="240" w:lineRule="auto"/>
              <w:rPr>
                <w:rFonts w:ascii="Arial" w:eastAsia="Times New Roman" w:hAnsi="Arial" w:cs="Arial"/>
                <w:b/>
                <w:bCs/>
                <w:sz w:val="20"/>
                <w:szCs w:val="20"/>
                <w:lang w:eastAsia="en-GB"/>
              </w:rPr>
            </w:pPr>
            <w:r w:rsidRPr="00491197">
              <w:rPr>
                <w:rFonts w:ascii="Arial" w:eastAsia="Times New Roman" w:hAnsi="Arial" w:cs="Arial"/>
                <w:b/>
                <w:bCs/>
                <w:sz w:val="20"/>
                <w:szCs w:val="20"/>
                <w:lang w:eastAsia="en-GB"/>
              </w:rPr>
              <w:t>Revenue Fund</w:t>
            </w:r>
          </w:p>
        </w:tc>
        <w:tc>
          <w:tcPr>
            <w:tcW w:w="1582" w:type="dxa"/>
            <w:tcBorders>
              <w:top w:val="nil"/>
              <w:left w:val="nil"/>
              <w:bottom w:val="nil"/>
              <w:right w:val="nil"/>
            </w:tcBorders>
            <w:shd w:val="clear" w:color="auto" w:fill="auto"/>
            <w:noWrap/>
            <w:vAlign w:val="center"/>
            <w:hideMark/>
          </w:tcPr>
          <w:p w14:paraId="768706A8" w14:textId="77777777" w:rsidR="00E70CD3" w:rsidRPr="00491197" w:rsidRDefault="0037645F" w:rsidP="005B39D0">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2020</w:t>
            </w:r>
          </w:p>
        </w:tc>
        <w:tc>
          <w:tcPr>
            <w:tcW w:w="1164" w:type="dxa"/>
            <w:gridSpan w:val="2"/>
            <w:tcBorders>
              <w:top w:val="nil"/>
              <w:left w:val="nil"/>
              <w:bottom w:val="nil"/>
              <w:right w:val="nil"/>
            </w:tcBorders>
            <w:shd w:val="clear" w:color="auto" w:fill="auto"/>
            <w:noWrap/>
            <w:vAlign w:val="center"/>
            <w:hideMark/>
          </w:tcPr>
          <w:p w14:paraId="351750BF" w14:textId="77777777" w:rsidR="00E70CD3" w:rsidRPr="00491197" w:rsidRDefault="0037645F" w:rsidP="005B39D0">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2019</w:t>
            </w:r>
          </w:p>
        </w:tc>
      </w:tr>
      <w:tr w:rsidR="00E70CD3" w:rsidRPr="00491197" w14:paraId="5877BC05" w14:textId="77777777" w:rsidTr="00697C96">
        <w:trPr>
          <w:trHeight w:val="324"/>
        </w:trPr>
        <w:tc>
          <w:tcPr>
            <w:tcW w:w="6684" w:type="dxa"/>
            <w:gridSpan w:val="2"/>
            <w:tcBorders>
              <w:top w:val="nil"/>
              <w:left w:val="nil"/>
              <w:bottom w:val="single" w:sz="4" w:space="0" w:color="auto"/>
              <w:right w:val="nil"/>
            </w:tcBorders>
            <w:shd w:val="clear" w:color="auto" w:fill="auto"/>
            <w:noWrap/>
            <w:vAlign w:val="center"/>
            <w:hideMark/>
          </w:tcPr>
          <w:p w14:paraId="32CB722A" w14:textId="77777777" w:rsidR="00E70CD3" w:rsidRPr="00491197" w:rsidRDefault="00E70CD3" w:rsidP="007729E5">
            <w:pPr>
              <w:spacing w:after="0" w:line="240" w:lineRule="auto"/>
              <w:rPr>
                <w:rFonts w:ascii="Arial" w:eastAsia="Times New Roman" w:hAnsi="Arial" w:cs="Arial"/>
                <w:sz w:val="20"/>
                <w:szCs w:val="20"/>
                <w:lang w:eastAsia="en-GB"/>
              </w:rPr>
            </w:pPr>
            <w:r w:rsidRPr="00491197">
              <w:rPr>
                <w:rFonts w:ascii="Arial" w:eastAsia="Times New Roman" w:hAnsi="Arial" w:cs="Arial"/>
                <w:sz w:val="20"/>
                <w:szCs w:val="20"/>
                <w:lang w:eastAsia="en-GB"/>
              </w:rPr>
              <w:t> </w:t>
            </w:r>
          </w:p>
        </w:tc>
        <w:tc>
          <w:tcPr>
            <w:tcW w:w="1582" w:type="dxa"/>
            <w:tcBorders>
              <w:top w:val="nil"/>
              <w:left w:val="nil"/>
              <w:bottom w:val="single" w:sz="4" w:space="0" w:color="auto"/>
              <w:right w:val="nil"/>
            </w:tcBorders>
            <w:shd w:val="clear" w:color="auto" w:fill="auto"/>
            <w:noWrap/>
            <w:vAlign w:val="center"/>
            <w:hideMark/>
          </w:tcPr>
          <w:p w14:paraId="41E77147" w14:textId="77777777" w:rsidR="00E70CD3" w:rsidRPr="00491197" w:rsidRDefault="00E70CD3" w:rsidP="005B39D0">
            <w:pPr>
              <w:spacing w:after="0" w:line="240" w:lineRule="auto"/>
              <w:jc w:val="right"/>
              <w:rPr>
                <w:rFonts w:ascii="Arial" w:eastAsia="Times New Roman" w:hAnsi="Arial" w:cs="Arial"/>
                <w:b/>
                <w:bCs/>
                <w:sz w:val="20"/>
                <w:szCs w:val="20"/>
                <w:lang w:eastAsia="en-GB"/>
              </w:rPr>
            </w:pPr>
            <w:r w:rsidRPr="00491197">
              <w:rPr>
                <w:rFonts w:ascii="Arial" w:eastAsia="Times New Roman" w:hAnsi="Arial" w:cs="Arial"/>
                <w:b/>
                <w:bCs/>
                <w:sz w:val="20"/>
                <w:szCs w:val="20"/>
                <w:lang w:eastAsia="en-GB"/>
              </w:rPr>
              <w:t>£'000</w:t>
            </w:r>
          </w:p>
        </w:tc>
        <w:tc>
          <w:tcPr>
            <w:tcW w:w="1164" w:type="dxa"/>
            <w:gridSpan w:val="2"/>
            <w:tcBorders>
              <w:top w:val="nil"/>
              <w:left w:val="nil"/>
              <w:bottom w:val="single" w:sz="4" w:space="0" w:color="auto"/>
              <w:right w:val="nil"/>
            </w:tcBorders>
            <w:shd w:val="clear" w:color="auto" w:fill="auto"/>
            <w:noWrap/>
            <w:vAlign w:val="center"/>
            <w:hideMark/>
          </w:tcPr>
          <w:p w14:paraId="66F17739" w14:textId="77777777" w:rsidR="00E70CD3" w:rsidRPr="00491197" w:rsidRDefault="00E70CD3" w:rsidP="005B39D0">
            <w:pPr>
              <w:spacing w:after="0" w:line="240" w:lineRule="auto"/>
              <w:jc w:val="right"/>
              <w:rPr>
                <w:rFonts w:ascii="Arial" w:eastAsia="Times New Roman" w:hAnsi="Arial" w:cs="Arial"/>
                <w:sz w:val="20"/>
                <w:szCs w:val="20"/>
                <w:lang w:eastAsia="en-GB"/>
              </w:rPr>
            </w:pPr>
            <w:r w:rsidRPr="00491197">
              <w:rPr>
                <w:rFonts w:ascii="Arial" w:eastAsia="Times New Roman" w:hAnsi="Arial" w:cs="Arial"/>
                <w:sz w:val="20"/>
                <w:szCs w:val="20"/>
                <w:lang w:eastAsia="en-GB"/>
              </w:rPr>
              <w:t>£'000</w:t>
            </w:r>
          </w:p>
        </w:tc>
      </w:tr>
      <w:tr w:rsidR="00265730" w:rsidRPr="00491197" w14:paraId="296E9437" w14:textId="77777777" w:rsidTr="00697C96">
        <w:trPr>
          <w:trHeight w:val="324"/>
        </w:trPr>
        <w:tc>
          <w:tcPr>
            <w:tcW w:w="6684" w:type="dxa"/>
            <w:gridSpan w:val="2"/>
            <w:tcBorders>
              <w:top w:val="nil"/>
              <w:left w:val="nil"/>
              <w:bottom w:val="nil"/>
              <w:right w:val="nil"/>
            </w:tcBorders>
            <w:shd w:val="clear" w:color="auto" w:fill="auto"/>
            <w:noWrap/>
            <w:vAlign w:val="center"/>
            <w:hideMark/>
          </w:tcPr>
          <w:p w14:paraId="0474DE64" w14:textId="77777777" w:rsidR="00265730" w:rsidRPr="00491197" w:rsidRDefault="00265730" w:rsidP="00265730">
            <w:pPr>
              <w:spacing w:after="0" w:line="240" w:lineRule="auto"/>
              <w:rPr>
                <w:rFonts w:ascii="Arial" w:eastAsia="Times New Roman" w:hAnsi="Arial" w:cs="Arial"/>
                <w:sz w:val="20"/>
                <w:szCs w:val="20"/>
                <w:lang w:eastAsia="en-GB"/>
              </w:rPr>
            </w:pPr>
            <w:r w:rsidRPr="00491197">
              <w:rPr>
                <w:rFonts w:ascii="Arial" w:eastAsia="Times New Roman" w:hAnsi="Arial" w:cs="Arial"/>
                <w:sz w:val="20"/>
                <w:szCs w:val="20"/>
                <w:lang w:eastAsia="en-GB"/>
              </w:rPr>
              <w:t>Turnover</w:t>
            </w:r>
          </w:p>
        </w:tc>
        <w:tc>
          <w:tcPr>
            <w:tcW w:w="1582" w:type="dxa"/>
            <w:tcBorders>
              <w:top w:val="nil"/>
              <w:left w:val="nil"/>
              <w:bottom w:val="nil"/>
              <w:right w:val="nil"/>
            </w:tcBorders>
            <w:shd w:val="clear" w:color="auto" w:fill="auto"/>
            <w:noWrap/>
            <w:vAlign w:val="center"/>
          </w:tcPr>
          <w:p w14:paraId="12845C40" w14:textId="77777777" w:rsidR="00265730" w:rsidRPr="00491197" w:rsidRDefault="00E756D8" w:rsidP="00265730">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287</w:t>
            </w:r>
          </w:p>
        </w:tc>
        <w:tc>
          <w:tcPr>
            <w:tcW w:w="1164" w:type="dxa"/>
            <w:gridSpan w:val="2"/>
            <w:tcBorders>
              <w:top w:val="nil"/>
              <w:left w:val="nil"/>
              <w:bottom w:val="nil"/>
              <w:right w:val="nil"/>
            </w:tcBorders>
            <w:shd w:val="clear" w:color="auto" w:fill="auto"/>
            <w:noWrap/>
            <w:vAlign w:val="center"/>
            <w:hideMark/>
          </w:tcPr>
          <w:p w14:paraId="7AD3C662" w14:textId="77777777" w:rsidR="00265730" w:rsidRPr="002E528C" w:rsidRDefault="00265730" w:rsidP="00265730">
            <w:pPr>
              <w:spacing w:after="0" w:line="240" w:lineRule="auto"/>
              <w:jc w:val="right"/>
              <w:rPr>
                <w:rFonts w:ascii="Arial" w:eastAsia="Times New Roman" w:hAnsi="Arial" w:cs="Arial"/>
                <w:sz w:val="20"/>
                <w:szCs w:val="20"/>
                <w:lang w:eastAsia="en-GB"/>
              </w:rPr>
            </w:pPr>
            <w:r w:rsidRPr="006647C2">
              <w:rPr>
                <w:rFonts w:ascii="Arial" w:eastAsia="Times New Roman" w:hAnsi="Arial" w:cs="Arial"/>
                <w:bCs/>
                <w:sz w:val="20"/>
                <w:szCs w:val="20"/>
                <w:lang w:eastAsia="en-GB"/>
              </w:rPr>
              <w:t>761</w:t>
            </w:r>
          </w:p>
        </w:tc>
      </w:tr>
      <w:tr w:rsidR="00265730" w:rsidRPr="00491197" w14:paraId="18C1A6DA" w14:textId="77777777" w:rsidTr="00697C96">
        <w:trPr>
          <w:trHeight w:val="324"/>
        </w:trPr>
        <w:tc>
          <w:tcPr>
            <w:tcW w:w="6684" w:type="dxa"/>
            <w:gridSpan w:val="2"/>
            <w:tcBorders>
              <w:top w:val="nil"/>
              <w:left w:val="nil"/>
              <w:bottom w:val="single" w:sz="4" w:space="0" w:color="auto"/>
              <w:right w:val="nil"/>
            </w:tcBorders>
            <w:shd w:val="clear" w:color="auto" w:fill="auto"/>
            <w:noWrap/>
            <w:vAlign w:val="center"/>
            <w:hideMark/>
          </w:tcPr>
          <w:p w14:paraId="1238CA24" w14:textId="77777777" w:rsidR="00265730" w:rsidRPr="00543D10" w:rsidRDefault="00265730" w:rsidP="00265730">
            <w:pPr>
              <w:spacing w:after="0" w:line="240" w:lineRule="auto"/>
              <w:rPr>
                <w:rFonts w:ascii="Arial" w:eastAsia="Times New Roman" w:hAnsi="Arial" w:cs="Arial"/>
                <w:sz w:val="20"/>
                <w:szCs w:val="20"/>
                <w:lang w:eastAsia="en-GB"/>
              </w:rPr>
            </w:pPr>
            <w:r w:rsidRPr="00543D10">
              <w:rPr>
                <w:rFonts w:ascii="Arial" w:eastAsia="Times New Roman" w:hAnsi="Arial" w:cs="Arial"/>
                <w:sz w:val="20"/>
                <w:szCs w:val="20"/>
                <w:lang w:eastAsia="en-GB"/>
              </w:rPr>
              <w:t>Cost of sales</w:t>
            </w:r>
          </w:p>
        </w:tc>
        <w:tc>
          <w:tcPr>
            <w:tcW w:w="1582" w:type="dxa"/>
            <w:tcBorders>
              <w:top w:val="nil"/>
              <w:left w:val="nil"/>
              <w:bottom w:val="single" w:sz="4" w:space="0" w:color="auto"/>
              <w:right w:val="nil"/>
            </w:tcBorders>
            <w:shd w:val="clear" w:color="auto" w:fill="auto"/>
            <w:noWrap/>
            <w:vAlign w:val="center"/>
          </w:tcPr>
          <w:p w14:paraId="27AF777C" w14:textId="77777777" w:rsidR="00265730" w:rsidRPr="00543D10" w:rsidRDefault="00E756D8" w:rsidP="00265730">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(249)</w:t>
            </w:r>
          </w:p>
        </w:tc>
        <w:tc>
          <w:tcPr>
            <w:tcW w:w="1164" w:type="dxa"/>
            <w:gridSpan w:val="2"/>
            <w:tcBorders>
              <w:top w:val="nil"/>
              <w:left w:val="nil"/>
              <w:bottom w:val="single" w:sz="4" w:space="0" w:color="auto"/>
              <w:right w:val="nil"/>
            </w:tcBorders>
            <w:shd w:val="clear" w:color="auto" w:fill="auto"/>
            <w:noWrap/>
            <w:vAlign w:val="center"/>
            <w:hideMark/>
          </w:tcPr>
          <w:p w14:paraId="11879090" w14:textId="77777777" w:rsidR="00265730" w:rsidRPr="002E528C" w:rsidRDefault="00265730" w:rsidP="00265730">
            <w:pPr>
              <w:spacing w:after="0" w:line="240" w:lineRule="auto"/>
              <w:jc w:val="right"/>
              <w:rPr>
                <w:rFonts w:ascii="Arial" w:eastAsia="Times New Roman" w:hAnsi="Arial" w:cs="Arial"/>
                <w:sz w:val="20"/>
                <w:szCs w:val="20"/>
                <w:lang w:eastAsia="en-GB"/>
              </w:rPr>
            </w:pPr>
            <w:r w:rsidRPr="006647C2">
              <w:rPr>
                <w:rFonts w:ascii="Arial" w:eastAsia="Times New Roman" w:hAnsi="Arial" w:cs="Arial"/>
                <w:bCs/>
                <w:sz w:val="20"/>
                <w:szCs w:val="20"/>
                <w:lang w:eastAsia="en-GB"/>
              </w:rPr>
              <w:t>(329)</w:t>
            </w:r>
          </w:p>
        </w:tc>
      </w:tr>
      <w:tr w:rsidR="00265730" w:rsidRPr="00491197" w14:paraId="3CFC99DB" w14:textId="77777777" w:rsidTr="00697C96">
        <w:trPr>
          <w:trHeight w:val="324"/>
        </w:trPr>
        <w:tc>
          <w:tcPr>
            <w:tcW w:w="6684" w:type="dxa"/>
            <w:gridSpan w:val="2"/>
            <w:tcBorders>
              <w:top w:val="nil"/>
              <w:left w:val="nil"/>
              <w:bottom w:val="nil"/>
              <w:right w:val="nil"/>
            </w:tcBorders>
            <w:shd w:val="clear" w:color="auto" w:fill="auto"/>
            <w:noWrap/>
            <w:vAlign w:val="center"/>
            <w:hideMark/>
          </w:tcPr>
          <w:p w14:paraId="582AB80F" w14:textId="77777777" w:rsidR="00265730" w:rsidRPr="00543D10" w:rsidRDefault="00265730" w:rsidP="00265730">
            <w:pPr>
              <w:spacing w:after="0" w:line="240" w:lineRule="auto"/>
              <w:rPr>
                <w:rFonts w:ascii="Arial" w:eastAsia="Times New Roman" w:hAnsi="Arial" w:cs="Arial"/>
                <w:sz w:val="20"/>
                <w:szCs w:val="20"/>
                <w:lang w:eastAsia="en-GB"/>
              </w:rPr>
            </w:pPr>
            <w:r w:rsidRPr="00543D10">
              <w:rPr>
                <w:rFonts w:ascii="Arial" w:eastAsia="Times New Roman" w:hAnsi="Arial" w:cs="Arial"/>
                <w:sz w:val="20"/>
                <w:szCs w:val="20"/>
                <w:lang w:eastAsia="en-GB"/>
              </w:rPr>
              <w:t>Gross Profit</w:t>
            </w:r>
          </w:p>
        </w:tc>
        <w:tc>
          <w:tcPr>
            <w:tcW w:w="1582" w:type="dxa"/>
            <w:tcBorders>
              <w:top w:val="nil"/>
              <w:left w:val="nil"/>
              <w:bottom w:val="nil"/>
              <w:right w:val="nil"/>
            </w:tcBorders>
            <w:shd w:val="clear" w:color="auto" w:fill="auto"/>
            <w:noWrap/>
            <w:vAlign w:val="center"/>
          </w:tcPr>
          <w:p w14:paraId="79E4007F" w14:textId="77777777" w:rsidR="00265730" w:rsidRPr="00543D10" w:rsidRDefault="00E756D8" w:rsidP="00265730">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38</w:t>
            </w:r>
          </w:p>
        </w:tc>
        <w:tc>
          <w:tcPr>
            <w:tcW w:w="1164" w:type="dxa"/>
            <w:gridSpan w:val="2"/>
            <w:tcBorders>
              <w:top w:val="nil"/>
              <w:left w:val="nil"/>
              <w:bottom w:val="nil"/>
              <w:right w:val="nil"/>
            </w:tcBorders>
            <w:shd w:val="clear" w:color="auto" w:fill="auto"/>
            <w:noWrap/>
            <w:vAlign w:val="center"/>
            <w:hideMark/>
          </w:tcPr>
          <w:p w14:paraId="3AF3FB4D" w14:textId="77777777" w:rsidR="00265730" w:rsidRPr="002E528C" w:rsidRDefault="00265730" w:rsidP="00265730">
            <w:pPr>
              <w:spacing w:after="0" w:line="240" w:lineRule="auto"/>
              <w:jc w:val="right"/>
              <w:rPr>
                <w:rFonts w:ascii="Arial" w:eastAsia="Times New Roman" w:hAnsi="Arial" w:cs="Arial"/>
                <w:sz w:val="20"/>
                <w:szCs w:val="20"/>
                <w:lang w:eastAsia="en-GB"/>
              </w:rPr>
            </w:pPr>
            <w:r w:rsidRPr="006647C2">
              <w:rPr>
                <w:rFonts w:ascii="Arial" w:eastAsia="Times New Roman" w:hAnsi="Arial" w:cs="Arial"/>
                <w:bCs/>
                <w:sz w:val="20"/>
                <w:szCs w:val="20"/>
                <w:lang w:eastAsia="en-GB"/>
              </w:rPr>
              <w:t>432</w:t>
            </w:r>
          </w:p>
        </w:tc>
      </w:tr>
      <w:tr w:rsidR="00265730" w:rsidRPr="00491197" w14:paraId="3AA8EF32" w14:textId="77777777" w:rsidTr="00697C96">
        <w:trPr>
          <w:trHeight w:val="324"/>
        </w:trPr>
        <w:tc>
          <w:tcPr>
            <w:tcW w:w="6684" w:type="dxa"/>
            <w:gridSpan w:val="2"/>
            <w:tcBorders>
              <w:top w:val="nil"/>
              <w:left w:val="nil"/>
              <w:bottom w:val="nil"/>
              <w:right w:val="nil"/>
            </w:tcBorders>
            <w:shd w:val="clear" w:color="auto" w:fill="auto"/>
            <w:noWrap/>
            <w:vAlign w:val="center"/>
            <w:hideMark/>
          </w:tcPr>
          <w:p w14:paraId="41A73B14" w14:textId="77777777" w:rsidR="00265730" w:rsidRPr="00543D10" w:rsidRDefault="00265730" w:rsidP="00265730">
            <w:pPr>
              <w:spacing w:after="0" w:line="240" w:lineRule="auto"/>
              <w:rPr>
                <w:rFonts w:ascii="Arial" w:eastAsia="Times New Roman" w:hAnsi="Arial" w:cs="Arial"/>
                <w:sz w:val="20"/>
                <w:szCs w:val="20"/>
                <w:lang w:eastAsia="en-GB"/>
              </w:rPr>
            </w:pPr>
            <w:r w:rsidRPr="00543D10">
              <w:rPr>
                <w:rFonts w:ascii="Arial" w:eastAsia="Times New Roman" w:hAnsi="Arial" w:cs="Arial"/>
                <w:sz w:val="20"/>
                <w:szCs w:val="20"/>
                <w:lang w:eastAsia="en-GB"/>
              </w:rPr>
              <w:t>Selling and distribution</w:t>
            </w:r>
          </w:p>
        </w:tc>
        <w:tc>
          <w:tcPr>
            <w:tcW w:w="1582" w:type="dxa"/>
            <w:tcBorders>
              <w:top w:val="nil"/>
              <w:left w:val="nil"/>
              <w:bottom w:val="nil"/>
              <w:right w:val="nil"/>
            </w:tcBorders>
            <w:shd w:val="clear" w:color="auto" w:fill="auto"/>
            <w:noWrap/>
            <w:vAlign w:val="center"/>
          </w:tcPr>
          <w:p w14:paraId="479243E9" w14:textId="77777777" w:rsidR="00265730" w:rsidRPr="00543D10" w:rsidRDefault="00E756D8" w:rsidP="00265730">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(301)</w:t>
            </w:r>
          </w:p>
        </w:tc>
        <w:tc>
          <w:tcPr>
            <w:tcW w:w="1164" w:type="dxa"/>
            <w:gridSpan w:val="2"/>
            <w:tcBorders>
              <w:top w:val="nil"/>
              <w:left w:val="nil"/>
              <w:bottom w:val="nil"/>
              <w:right w:val="nil"/>
            </w:tcBorders>
            <w:shd w:val="clear" w:color="auto" w:fill="auto"/>
            <w:noWrap/>
            <w:vAlign w:val="center"/>
            <w:hideMark/>
          </w:tcPr>
          <w:p w14:paraId="51440CB9" w14:textId="77777777" w:rsidR="00265730" w:rsidRPr="002E528C" w:rsidRDefault="00265730" w:rsidP="00265730">
            <w:pPr>
              <w:spacing w:after="0" w:line="240" w:lineRule="auto"/>
              <w:jc w:val="right"/>
              <w:rPr>
                <w:rFonts w:ascii="Arial" w:eastAsia="Times New Roman" w:hAnsi="Arial" w:cs="Arial"/>
                <w:sz w:val="20"/>
                <w:szCs w:val="20"/>
                <w:lang w:eastAsia="en-GB"/>
              </w:rPr>
            </w:pPr>
            <w:r w:rsidRPr="006647C2">
              <w:rPr>
                <w:rFonts w:ascii="Arial" w:eastAsia="Times New Roman" w:hAnsi="Arial" w:cs="Arial"/>
                <w:bCs/>
                <w:sz w:val="20"/>
                <w:szCs w:val="20"/>
                <w:lang w:eastAsia="en-GB"/>
              </w:rPr>
              <w:t>(340)</w:t>
            </w:r>
          </w:p>
        </w:tc>
      </w:tr>
      <w:tr w:rsidR="00265730" w:rsidRPr="00491197" w14:paraId="1131DA1B" w14:textId="77777777" w:rsidTr="00697C96">
        <w:trPr>
          <w:trHeight w:val="324"/>
        </w:trPr>
        <w:tc>
          <w:tcPr>
            <w:tcW w:w="6684" w:type="dxa"/>
            <w:gridSpan w:val="2"/>
            <w:tcBorders>
              <w:top w:val="nil"/>
              <w:left w:val="nil"/>
              <w:bottom w:val="nil"/>
              <w:right w:val="nil"/>
            </w:tcBorders>
            <w:shd w:val="clear" w:color="auto" w:fill="auto"/>
            <w:noWrap/>
            <w:vAlign w:val="center"/>
            <w:hideMark/>
          </w:tcPr>
          <w:p w14:paraId="7DED30C5" w14:textId="77777777" w:rsidR="00265730" w:rsidRPr="00543D10" w:rsidRDefault="00265730" w:rsidP="00265730">
            <w:pPr>
              <w:spacing w:after="0" w:line="240" w:lineRule="auto"/>
              <w:rPr>
                <w:rFonts w:ascii="Arial" w:eastAsia="Times New Roman" w:hAnsi="Arial" w:cs="Arial"/>
                <w:sz w:val="20"/>
                <w:szCs w:val="20"/>
                <w:lang w:eastAsia="en-GB"/>
              </w:rPr>
            </w:pPr>
            <w:r w:rsidRPr="00543D10">
              <w:rPr>
                <w:rFonts w:ascii="Arial" w:eastAsia="Times New Roman" w:hAnsi="Arial" w:cs="Arial"/>
                <w:sz w:val="20"/>
                <w:szCs w:val="20"/>
                <w:lang w:eastAsia="en-GB"/>
              </w:rPr>
              <w:t>Administration</w:t>
            </w:r>
          </w:p>
        </w:tc>
        <w:tc>
          <w:tcPr>
            <w:tcW w:w="1582" w:type="dxa"/>
            <w:tcBorders>
              <w:top w:val="nil"/>
              <w:left w:val="nil"/>
              <w:bottom w:val="nil"/>
              <w:right w:val="nil"/>
            </w:tcBorders>
            <w:shd w:val="clear" w:color="auto" w:fill="auto"/>
            <w:noWrap/>
            <w:vAlign w:val="center"/>
          </w:tcPr>
          <w:p w14:paraId="0F74ED15" w14:textId="77777777" w:rsidR="00265730" w:rsidRPr="00543D10" w:rsidRDefault="00E756D8" w:rsidP="00265730">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(68)</w:t>
            </w:r>
          </w:p>
        </w:tc>
        <w:tc>
          <w:tcPr>
            <w:tcW w:w="1164" w:type="dxa"/>
            <w:gridSpan w:val="2"/>
            <w:tcBorders>
              <w:top w:val="nil"/>
              <w:left w:val="nil"/>
              <w:bottom w:val="nil"/>
              <w:right w:val="nil"/>
            </w:tcBorders>
            <w:shd w:val="clear" w:color="auto" w:fill="auto"/>
            <w:noWrap/>
            <w:vAlign w:val="center"/>
            <w:hideMark/>
          </w:tcPr>
          <w:p w14:paraId="13B7E751" w14:textId="77777777" w:rsidR="00265730" w:rsidRPr="002E528C" w:rsidRDefault="00265730" w:rsidP="00265730">
            <w:pPr>
              <w:spacing w:after="0" w:line="240" w:lineRule="auto"/>
              <w:jc w:val="right"/>
              <w:rPr>
                <w:rFonts w:ascii="Arial" w:eastAsia="Times New Roman" w:hAnsi="Arial" w:cs="Arial"/>
                <w:sz w:val="20"/>
                <w:szCs w:val="20"/>
                <w:lang w:eastAsia="en-GB"/>
              </w:rPr>
            </w:pPr>
            <w:r w:rsidRPr="006647C2">
              <w:rPr>
                <w:rFonts w:ascii="Arial" w:eastAsia="Times New Roman" w:hAnsi="Arial" w:cs="Arial"/>
                <w:bCs/>
                <w:sz w:val="20"/>
                <w:szCs w:val="20"/>
                <w:lang w:eastAsia="en-GB"/>
              </w:rPr>
              <w:t>(74)</w:t>
            </w:r>
          </w:p>
        </w:tc>
      </w:tr>
      <w:tr w:rsidR="00265730" w:rsidRPr="00491197" w14:paraId="64474979" w14:textId="77777777" w:rsidTr="00697C96">
        <w:trPr>
          <w:trHeight w:val="324"/>
        </w:trPr>
        <w:tc>
          <w:tcPr>
            <w:tcW w:w="6684" w:type="dxa"/>
            <w:gridSpan w:val="2"/>
            <w:tcBorders>
              <w:top w:val="nil"/>
              <w:left w:val="nil"/>
              <w:bottom w:val="single" w:sz="4" w:space="0" w:color="auto"/>
              <w:right w:val="nil"/>
            </w:tcBorders>
            <w:shd w:val="clear" w:color="auto" w:fill="auto"/>
            <w:noWrap/>
            <w:vAlign w:val="center"/>
            <w:hideMark/>
          </w:tcPr>
          <w:p w14:paraId="408902D1" w14:textId="77777777" w:rsidR="00265730" w:rsidRPr="00543D10" w:rsidRDefault="00265730" w:rsidP="00265730">
            <w:pPr>
              <w:spacing w:after="0" w:line="240" w:lineRule="auto"/>
              <w:rPr>
                <w:rFonts w:ascii="Arial" w:eastAsia="Times New Roman" w:hAnsi="Arial" w:cs="Arial"/>
                <w:sz w:val="20"/>
                <w:szCs w:val="20"/>
                <w:lang w:eastAsia="en-GB"/>
              </w:rPr>
            </w:pPr>
            <w:r w:rsidRPr="00543D10">
              <w:rPr>
                <w:rFonts w:ascii="Arial" w:eastAsia="Times New Roman" w:hAnsi="Arial" w:cs="Arial"/>
                <w:sz w:val="20"/>
                <w:szCs w:val="20"/>
                <w:lang w:eastAsia="en-GB"/>
              </w:rPr>
              <w:t>Finance</w:t>
            </w:r>
          </w:p>
        </w:tc>
        <w:tc>
          <w:tcPr>
            <w:tcW w:w="1582" w:type="dxa"/>
            <w:tcBorders>
              <w:top w:val="nil"/>
              <w:left w:val="nil"/>
              <w:bottom w:val="single" w:sz="4" w:space="0" w:color="auto"/>
              <w:right w:val="nil"/>
            </w:tcBorders>
            <w:shd w:val="clear" w:color="auto" w:fill="auto"/>
            <w:noWrap/>
            <w:vAlign w:val="center"/>
          </w:tcPr>
          <w:p w14:paraId="633DF0ED" w14:textId="77777777" w:rsidR="00265730" w:rsidRPr="00543D10" w:rsidRDefault="00E756D8" w:rsidP="00265730">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(1)</w:t>
            </w:r>
          </w:p>
        </w:tc>
        <w:tc>
          <w:tcPr>
            <w:tcW w:w="1164" w:type="dxa"/>
            <w:gridSpan w:val="2"/>
            <w:tcBorders>
              <w:top w:val="nil"/>
              <w:left w:val="nil"/>
              <w:bottom w:val="single" w:sz="4" w:space="0" w:color="auto"/>
              <w:right w:val="nil"/>
            </w:tcBorders>
            <w:shd w:val="clear" w:color="auto" w:fill="auto"/>
            <w:noWrap/>
            <w:vAlign w:val="center"/>
            <w:hideMark/>
          </w:tcPr>
          <w:p w14:paraId="5A50AE9B" w14:textId="77777777" w:rsidR="00265730" w:rsidRPr="002E528C" w:rsidRDefault="00265730" w:rsidP="00265730">
            <w:pPr>
              <w:spacing w:after="0" w:line="240" w:lineRule="auto"/>
              <w:jc w:val="right"/>
              <w:rPr>
                <w:rFonts w:ascii="Arial" w:eastAsia="Times New Roman" w:hAnsi="Arial" w:cs="Arial"/>
                <w:sz w:val="20"/>
                <w:szCs w:val="20"/>
                <w:lang w:eastAsia="en-GB"/>
              </w:rPr>
            </w:pPr>
            <w:r w:rsidRPr="006647C2">
              <w:rPr>
                <w:rFonts w:ascii="Arial" w:eastAsia="Times New Roman" w:hAnsi="Arial" w:cs="Arial"/>
                <w:bCs/>
                <w:sz w:val="20"/>
                <w:szCs w:val="20"/>
                <w:lang w:eastAsia="en-GB"/>
              </w:rPr>
              <w:t>1</w:t>
            </w:r>
          </w:p>
        </w:tc>
      </w:tr>
      <w:tr w:rsidR="00265730" w:rsidRPr="00491197" w14:paraId="59758F66" w14:textId="77777777" w:rsidTr="00697C96">
        <w:trPr>
          <w:trHeight w:val="324"/>
        </w:trPr>
        <w:tc>
          <w:tcPr>
            <w:tcW w:w="6684" w:type="dxa"/>
            <w:gridSpan w:val="2"/>
            <w:tcBorders>
              <w:top w:val="nil"/>
              <w:left w:val="nil"/>
              <w:bottom w:val="nil"/>
              <w:right w:val="nil"/>
            </w:tcBorders>
            <w:shd w:val="clear" w:color="auto" w:fill="auto"/>
            <w:noWrap/>
            <w:vAlign w:val="center"/>
            <w:hideMark/>
          </w:tcPr>
          <w:p w14:paraId="1DDA86A5" w14:textId="77777777" w:rsidR="00265730" w:rsidRPr="00543D10" w:rsidRDefault="00265730" w:rsidP="00265730">
            <w:pPr>
              <w:spacing w:after="0" w:line="240" w:lineRule="auto"/>
              <w:rPr>
                <w:rFonts w:ascii="Arial" w:eastAsia="Times New Roman" w:hAnsi="Arial" w:cs="Arial"/>
                <w:sz w:val="20"/>
                <w:szCs w:val="20"/>
                <w:lang w:eastAsia="en-GB"/>
              </w:rPr>
            </w:pPr>
            <w:r w:rsidRPr="00543D10">
              <w:rPr>
                <w:rFonts w:ascii="Arial" w:eastAsia="Times New Roman" w:hAnsi="Arial" w:cs="Arial"/>
                <w:sz w:val="20"/>
                <w:szCs w:val="20"/>
                <w:lang w:eastAsia="en-GB"/>
              </w:rPr>
              <w:t xml:space="preserve">Operating </w:t>
            </w:r>
            <w:r w:rsidR="004237B4">
              <w:rPr>
                <w:rFonts w:ascii="Arial" w:hAnsi="Arial" w:cs="Arial"/>
                <w:sz w:val="20"/>
                <w:szCs w:val="20"/>
                <w:lang w:eastAsia="en-GB"/>
              </w:rPr>
              <w:t>(deficit) / surplus</w:t>
            </w:r>
          </w:p>
        </w:tc>
        <w:tc>
          <w:tcPr>
            <w:tcW w:w="1582" w:type="dxa"/>
            <w:tcBorders>
              <w:top w:val="nil"/>
              <w:left w:val="nil"/>
              <w:bottom w:val="nil"/>
              <w:right w:val="nil"/>
            </w:tcBorders>
            <w:shd w:val="clear" w:color="auto" w:fill="auto"/>
            <w:noWrap/>
            <w:vAlign w:val="center"/>
          </w:tcPr>
          <w:p w14:paraId="636C19B1" w14:textId="77777777" w:rsidR="00265730" w:rsidRPr="00543D10" w:rsidRDefault="00E756D8" w:rsidP="00265730">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(332)</w:t>
            </w:r>
          </w:p>
        </w:tc>
        <w:tc>
          <w:tcPr>
            <w:tcW w:w="1164" w:type="dxa"/>
            <w:gridSpan w:val="2"/>
            <w:tcBorders>
              <w:top w:val="nil"/>
              <w:left w:val="nil"/>
              <w:bottom w:val="nil"/>
              <w:right w:val="nil"/>
            </w:tcBorders>
            <w:shd w:val="clear" w:color="auto" w:fill="auto"/>
            <w:noWrap/>
            <w:vAlign w:val="center"/>
            <w:hideMark/>
          </w:tcPr>
          <w:p w14:paraId="45228C84" w14:textId="77777777" w:rsidR="00265730" w:rsidRPr="002E528C" w:rsidRDefault="00265730" w:rsidP="00265730">
            <w:pPr>
              <w:spacing w:after="0" w:line="240" w:lineRule="auto"/>
              <w:jc w:val="right"/>
              <w:rPr>
                <w:rFonts w:ascii="Arial" w:eastAsia="Times New Roman" w:hAnsi="Arial" w:cs="Arial"/>
                <w:sz w:val="20"/>
                <w:szCs w:val="20"/>
                <w:lang w:eastAsia="en-GB"/>
              </w:rPr>
            </w:pPr>
            <w:r w:rsidRPr="006647C2">
              <w:rPr>
                <w:rFonts w:ascii="Arial" w:eastAsia="Times New Roman" w:hAnsi="Arial" w:cs="Arial"/>
                <w:bCs/>
                <w:sz w:val="20"/>
                <w:szCs w:val="20"/>
                <w:lang w:eastAsia="en-GB"/>
              </w:rPr>
              <w:t>19</w:t>
            </w:r>
          </w:p>
        </w:tc>
      </w:tr>
      <w:tr w:rsidR="00265730" w:rsidRPr="00491197" w14:paraId="2B626225" w14:textId="77777777" w:rsidTr="00697C96">
        <w:trPr>
          <w:trHeight w:val="324"/>
        </w:trPr>
        <w:tc>
          <w:tcPr>
            <w:tcW w:w="6684" w:type="dxa"/>
            <w:gridSpan w:val="2"/>
            <w:tcBorders>
              <w:top w:val="nil"/>
              <w:left w:val="nil"/>
              <w:bottom w:val="nil"/>
              <w:right w:val="nil"/>
            </w:tcBorders>
            <w:shd w:val="clear" w:color="auto" w:fill="auto"/>
            <w:noWrap/>
            <w:vAlign w:val="center"/>
            <w:hideMark/>
          </w:tcPr>
          <w:p w14:paraId="0E0B2808" w14:textId="77777777" w:rsidR="00265730" w:rsidRPr="00543D10" w:rsidRDefault="00265730" w:rsidP="00265730">
            <w:pPr>
              <w:spacing w:after="0" w:line="240" w:lineRule="auto"/>
              <w:rPr>
                <w:rFonts w:ascii="Arial" w:eastAsia="Times New Roman" w:hAnsi="Arial" w:cs="Arial"/>
                <w:sz w:val="20"/>
                <w:szCs w:val="20"/>
                <w:lang w:eastAsia="en-GB"/>
              </w:rPr>
            </w:pPr>
            <w:r w:rsidRPr="00543D10">
              <w:rPr>
                <w:rFonts w:ascii="Arial" w:eastAsia="Times New Roman" w:hAnsi="Arial" w:cs="Arial"/>
                <w:sz w:val="20"/>
                <w:szCs w:val="20"/>
                <w:lang w:eastAsia="en-GB"/>
              </w:rPr>
              <w:t>Support costs</w:t>
            </w:r>
          </w:p>
        </w:tc>
        <w:tc>
          <w:tcPr>
            <w:tcW w:w="1582" w:type="dxa"/>
            <w:tcBorders>
              <w:top w:val="nil"/>
              <w:left w:val="nil"/>
              <w:bottom w:val="nil"/>
              <w:right w:val="nil"/>
            </w:tcBorders>
            <w:shd w:val="clear" w:color="auto" w:fill="auto"/>
            <w:noWrap/>
            <w:vAlign w:val="center"/>
          </w:tcPr>
          <w:p w14:paraId="5D0B6491" w14:textId="77777777" w:rsidR="00265730" w:rsidRPr="00543D10" w:rsidRDefault="00E756D8" w:rsidP="00265730">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(21)</w:t>
            </w:r>
          </w:p>
        </w:tc>
        <w:tc>
          <w:tcPr>
            <w:tcW w:w="1164" w:type="dxa"/>
            <w:gridSpan w:val="2"/>
            <w:tcBorders>
              <w:top w:val="nil"/>
              <w:left w:val="nil"/>
              <w:bottom w:val="nil"/>
              <w:right w:val="nil"/>
            </w:tcBorders>
            <w:shd w:val="clear" w:color="auto" w:fill="auto"/>
            <w:noWrap/>
            <w:vAlign w:val="center"/>
            <w:hideMark/>
          </w:tcPr>
          <w:p w14:paraId="191DE838" w14:textId="77777777" w:rsidR="00265730" w:rsidRPr="002E528C" w:rsidRDefault="00265730" w:rsidP="00265730">
            <w:pPr>
              <w:spacing w:after="0" w:line="240" w:lineRule="auto"/>
              <w:jc w:val="right"/>
              <w:rPr>
                <w:rFonts w:ascii="Arial" w:eastAsia="Times New Roman" w:hAnsi="Arial" w:cs="Arial"/>
                <w:sz w:val="20"/>
                <w:szCs w:val="20"/>
                <w:lang w:eastAsia="en-GB"/>
              </w:rPr>
            </w:pPr>
            <w:r w:rsidRPr="006647C2">
              <w:rPr>
                <w:rFonts w:ascii="Arial" w:eastAsia="Times New Roman" w:hAnsi="Arial" w:cs="Arial"/>
                <w:bCs/>
                <w:sz w:val="20"/>
                <w:szCs w:val="20"/>
                <w:lang w:eastAsia="en-GB"/>
              </w:rPr>
              <w:t>(80)</w:t>
            </w:r>
          </w:p>
        </w:tc>
      </w:tr>
      <w:tr w:rsidR="00265730" w:rsidRPr="00491197" w14:paraId="00EC1BA9" w14:textId="77777777" w:rsidTr="00697C96">
        <w:trPr>
          <w:trHeight w:val="324"/>
        </w:trPr>
        <w:tc>
          <w:tcPr>
            <w:tcW w:w="6684" w:type="dxa"/>
            <w:gridSpan w:val="2"/>
            <w:tcBorders>
              <w:top w:val="nil"/>
              <w:left w:val="nil"/>
              <w:bottom w:val="single" w:sz="4" w:space="0" w:color="auto"/>
              <w:right w:val="nil"/>
            </w:tcBorders>
            <w:shd w:val="clear" w:color="auto" w:fill="auto"/>
            <w:noWrap/>
            <w:vAlign w:val="center"/>
            <w:hideMark/>
          </w:tcPr>
          <w:p w14:paraId="785BE8F3" w14:textId="77777777" w:rsidR="00265730" w:rsidRPr="00543D10" w:rsidRDefault="00265730" w:rsidP="00265730">
            <w:pPr>
              <w:spacing w:after="0" w:line="240" w:lineRule="auto"/>
              <w:rPr>
                <w:rFonts w:ascii="Arial" w:eastAsia="Times New Roman" w:hAnsi="Arial" w:cs="Arial"/>
                <w:sz w:val="20"/>
                <w:szCs w:val="20"/>
                <w:lang w:eastAsia="en-GB"/>
              </w:rPr>
            </w:pPr>
            <w:r w:rsidRPr="00543D10">
              <w:rPr>
                <w:rFonts w:ascii="Arial" w:eastAsia="Times New Roman" w:hAnsi="Arial" w:cs="Arial"/>
                <w:sz w:val="20"/>
                <w:szCs w:val="20"/>
                <w:lang w:eastAsia="en-GB"/>
              </w:rPr>
              <w:t>Depreciation</w:t>
            </w:r>
          </w:p>
        </w:tc>
        <w:tc>
          <w:tcPr>
            <w:tcW w:w="1582" w:type="dxa"/>
            <w:tcBorders>
              <w:top w:val="nil"/>
              <w:left w:val="nil"/>
              <w:bottom w:val="single" w:sz="4" w:space="0" w:color="auto"/>
              <w:right w:val="nil"/>
            </w:tcBorders>
            <w:shd w:val="clear" w:color="auto" w:fill="auto"/>
            <w:noWrap/>
            <w:vAlign w:val="center"/>
          </w:tcPr>
          <w:p w14:paraId="7904A55D" w14:textId="77777777" w:rsidR="00265730" w:rsidRPr="00543D10" w:rsidRDefault="00E756D8" w:rsidP="00265730">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(19)</w:t>
            </w:r>
          </w:p>
        </w:tc>
        <w:tc>
          <w:tcPr>
            <w:tcW w:w="1164" w:type="dxa"/>
            <w:gridSpan w:val="2"/>
            <w:tcBorders>
              <w:top w:val="nil"/>
              <w:left w:val="nil"/>
              <w:bottom w:val="single" w:sz="4" w:space="0" w:color="auto"/>
              <w:right w:val="nil"/>
            </w:tcBorders>
            <w:shd w:val="clear" w:color="auto" w:fill="auto"/>
            <w:noWrap/>
            <w:vAlign w:val="center"/>
            <w:hideMark/>
          </w:tcPr>
          <w:p w14:paraId="4248E0FD" w14:textId="77777777" w:rsidR="00265730" w:rsidRPr="002E528C" w:rsidRDefault="00265730" w:rsidP="00265730">
            <w:pPr>
              <w:spacing w:after="0" w:line="240" w:lineRule="auto"/>
              <w:jc w:val="right"/>
              <w:rPr>
                <w:rFonts w:ascii="Arial" w:eastAsia="Times New Roman" w:hAnsi="Arial" w:cs="Arial"/>
                <w:sz w:val="20"/>
                <w:szCs w:val="20"/>
                <w:lang w:eastAsia="en-GB"/>
              </w:rPr>
            </w:pPr>
            <w:r w:rsidRPr="006647C2">
              <w:rPr>
                <w:rFonts w:ascii="Arial" w:eastAsia="Times New Roman" w:hAnsi="Arial" w:cs="Arial"/>
                <w:bCs/>
                <w:sz w:val="20"/>
                <w:szCs w:val="20"/>
                <w:lang w:eastAsia="en-GB"/>
              </w:rPr>
              <w:t>(21)</w:t>
            </w:r>
          </w:p>
        </w:tc>
      </w:tr>
      <w:tr w:rsidR="00265730" w:rsidRPr="00491197" w14:paraId="71626E8C" w14:textId="77777777" w:rsidTr="00697C96">
        <w:trPr>
          <w:trHeight w:val="324"/>
        </w:trPr>
        <w:tc>
          <w:tcPr>
            <w:tcW w:w="6684" w:type="dxa"/>
            <w:gridSpan w:val="2"/>
            <w:tcBorders>
              <w:top w:val="nil"/>
              <w:left w:val="nil"/>
              <w:bottom w:val="nil"/>
              <w:right w:val="nil"/>
            </w:tcBorders>
            <w:shd w:val="clear" w:color="auto" w:fill="auto"/>
            <w:noWrap/>
            <w:vAlign w:val="center"/>
            <w:hideMark/>
          </w:tcPr>
          <w:p w14:paraId="7CEDDC63" w14:textId="77777777" w:rsidR="00265730" w:rsidRPr="00543D10" w:rsidRDefault="00265730" w:rsidP="00265730">
            <w:pPr>
              <w:spacing w:after="0" w:line="240" w:lineRule="auto"/>
              <w:rPr>
                <w:rFonts w:ascii="Arial" w:eastAsia="Times New Roman" w:hAnsi="Arial" w:cs="Arial"/>
                <w:sz w:val="20"/>
                <w:szCs w:val="20"/>
                <w:lang w:eastAsia="en-GB"/>
              </w:rPr>
            </w:pPr>
            <w:r w:rsidRPr="00543D10">
              <w:rPr>
                <w:rFonts w:ascii="Arial" w:eastAsia="Times New Roman" w:hAnsi="Arial" w:cs="Arial"/>
                <w:sz w:val="20"/>
                <w:szCs w:val="20"/>
                <w:lang w:eastAsia="en-GB"/>
              </w:rPr>
              <w:t>Net deficit</w:t>
            </w:r>
          </w:p>
        </w:tc>
        <w:tc>
          <w:tcPr>
            <w:tcW w:w="1582" w:type="dxa"/>
            <w:tcBorders>
              <w:top w:val="nil"/>
              <w:left w:val="nil"/>
              <w:bottom w:val="nil"/>
              <w:right w:val="nil"/>
            </w:tcBorders>
            <w:shd w:val="clear" w:color="auto" w:fill="auto"/>
            <w:noWrap/>
            <w:vAlign w:val="center"/>
          </w:tcPr>
          <w:p w14:paraId="4C2CB26F" w14:textId="77777777" w:rsidR="00265730" w:rsidRPr="00543D10" w:rsidRDefault="00E756D8" w:rsidP="00265730">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(372)</w:t>
            </w:r>
          </w:p>
        </w:tc>
        <w:tc>
          <w:tcPr>
            <w:tcW w:w="1164" w:type="dxa"/>
            <w:gridSpan w:val="2"/>
            <w:tcBorders>
              <w:top w:val="nil"/>
              <w:left w:val="nil"/>
              <w:bottom w:val="nil"/>
              <w:right w:val="nil"/>
            </w:tcBorders>
            <w:shd w:val="clear" w:color="auto" w:fill="auto"/>
            <w:noWrap/>
            <w:vAlign w:val="center"/>
            <w:hideMark/>
          </w:tcPr>
          <w:p w14:paraId="69C62410" w14:textId="77777777" w:rsidR="00265730" w:rsidRPr="002E528C" w:rsidRDefault="00265730" w:rsidP="00265730">
            <w:pPr>
              <w:spacing w:after="0" w:line="240" w:lineRule="auto"/>
              <w:jc w:val="right"/>
              <w:rPr>
                <w:rFonts w:ascii="Arial" w:eastAsia="Times New Roman" w:hAnsi="Arial" w:cs="Arial"/>
                <w:sz w:val="20"/>
                <w:szCs w:val="20"/>
                <w:lang w:eastAsia="en-GB"/>
              </w:rPr>
            </w:pPr>
            <w:r w:rsidRPr="006647C2">
              <w:rPr>
                <w:rFonts w:ascii="Arial" w:eastAsia="Times New Roman" w:hAnsi="Arial" w:cs="Arial"/>
                <w:bCs/>
                <w:sz w:val="20"/>
                <w:szCs w:val="20"/>
                <w:lang w:eastAsia="en-GB"/>
              </w:rPr>
              <w:t>(82)</w:t>
            </w:r>
          </w:p>
        </w:tc>
      </w:tr>
      <w:tr w:rsidR="00265730" w:rsidRPr="00491197" w14:paraId="6B773A65" w14:textId="77777777" w:rsidTr="00697C96">
        <w:trPr>
          <w:trHeight w:val="324"/>
        </w:trPr>
        <w:tc>
          <w:tcPr>
            <w:tcW w:w="6684" w:type="dxa"/>
            <w:gridSpan w:val="2"/>
            <w:tcBorders>
              <w:top w:val="nil"/>
              <w:left w:val="nil"/>
              <w:bottom w:val="nil"/>
              <w:right w:val="nil"/>
            </w:tcBorders>
            <w:shd w:val="clear" w:color="auto" w:fill="auto"/>
            <w:noWrap/>
            <w:vAlign w:val="center"/>
            <w:hideMark/>
          </w:tcPr>
          <w:p w14:paraId="6837F0E9" w14:textId="77777777" w:rsidR="00265730" w:rsidRPr="00543D10" w:rsidRDefault="00265730" w:rsidP="00265730">
            <w:pPr>
              <w:spacing w:after="0" w:line="240" w:lineRule="auto"/>
              <w:rPr>
                <w:rFonts w:ascii="Arial" w:eastAsia="Times New Roman" w:hAnsi="Arial" w:cs="Arial"/>
                <w:sz w:val="20"/>
                <w:szCs w:val="20"/>
                <w:lang w:eastAsia="en-GB"/>
              </w:rPr>
            </w:pPr>
            <w:r w:rsidRPr="00543D10">
              <w:rPr>
                <w:rFonts w:ascii="Arial" w:eastAsia="Times New Roman" w:hAnsi="Arial" w:cs="Arial"/>
                <w:sz w:val="20"/>
                <w:szCs w:val="20"/>
                <w:lang w:eastAsia="en-GB"/>
              </w:rPr>
              <w:t>Palmer Gardens Revenue Fund brought forward</w:t>
            </w:r>
          </w:p>
        </w:tc>
        <w:tc>
          <w:tcPr>
            <w:tcW w:w="1582" w:type="dxa"/>
            <w:tcBorders>
              <w:top w:val="nil"/>
              <w:left w:val="nil"/>
              <w:bottom w:val="nil"/>
              <w:right w:val="nil"/>
            </w:tcBorders>
            <w:shd w:val="clear" w:color="auto" w:fill="auto"/>
            <w:noWrap/>
            <w:vAlign w:val="center"/>
          </w:tcPr>
          <w:p w14:paraId="452204D1" w14:textId="77777777" w:rsidR="00265730" w:rsidRPr="00543D10" w:rsidRDefault="00C51D9C" w:rsidP="00265730">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w:t>
            </w:r>
          </w:p>
        </w:tc>
        <w:tc>
          <w:tcPr>
            <w:tcW w:w="1164" w:type="dxa"/>
            <w:gridSpan w:val="2"/>
            <w:tcBorders>
              <w:top w:val="nil"/>
              <w:left w:val="nil"/>
              <w:bottom w:val="nil"/>
              <w:right w:val="nil"/>
            </w:tcBorders>
            <w:shd w:val="clear" w:color="auto" w:fill="auto"/>
            <w:noWrap/>
            <w:vAlign w:val="center"/>
          </w:tcPr>
          <w:p w14:paraId="451FAE87" w14:textId="77777777" w:rsidR="00265730" w:rsidRPr="002E528C" w:rsidRDefault="00C51D9C" w:rsidP="00265730">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w:t>
            </w:r>
          </w:p>
        </w:tc>
      </w:tr>
      <w:tr w:rsidR="00265730" w:rsidRPr="00491197" w14:paraId="036D1DD0" w14:textId="77777777" w:rsidTr="00697C96">
        <w:trPr>
          <w:trHeight w:val="324"/>
        </w:trPr>
        <w:tc>
          <w:tcPr>
            <w:tcW w:w="6684" w:type="dxa"/>
            <w:gridSpan w:val="2"/>
            <w:tcBorders>
              <w:top w:val="nil"/>
              <w:left w:val="nil"/>
              <w:bottom w:val="nil"/>
              <w:right w:val="nil"/>
            </w:tcBorders>
            <w:shd w:val="clear" w:color="auto" w:fill="auto"/>
            <w:noWrap/>
            <w:vAlign w:val="center"/>
            <w:hideMark/>
          </w:tcPr>
          <w:p w14:paraId="58082E39" w14:textId="77777777" w:rsidR="00265730" w:rsidRPr="00543D10" w:rsidRDefault="00265730" w:rsidP="00265730">
            <w:pPr>
              <w:spacing w:after="0" w:line="240" w:lineRule="auto"/>
              <w:rPr>
                <w:rFonts w:ascii="Arial" w:eastAsia="Times New Roman" w:hAnsi="Arial" w:cs="Arial"/>
                <w:sz w:val="20"/>
                <w:szCs w:val="20"/>
                <w:lang w:eastAsia="en-GB"/>
              </w:rPr>
            </w:pPr>
            <w:r w:rsidRPr="00543D10">
              <w:rPr>
                <w:rFonts w:ascii="Arial" w:eastAsia="Times New Roman" w:hAnsi="Arial" w:cs="Arial"/>
                <w:sz w:val="20"/>
                <w:szCs w:val="20"/>
                <w:lang w:eastAsia="en-GB"/>
              </w:rPr>
              <w:t>Transfer from capital fund</w:t>
            </w:r>
          </w:p>
        </w:tc>
        <w:tc>
          <w:tcPr>
            <w:tcW w:w="1582" w:type="dxa"/>
            <w:tcBorders>
              <w:top w:val="nil"/>
              <w:left w:val="nil"/>
              <w:bottom w:val="nil"/>
              <w:right w:val="nil"/>
            </w:tcBorders>
            <w:shd w:val="clear" w:color="auto" w:fill="auto"/>
            <w:noWrap/>
            <w:vAlign w:val="center"/>
          </w:tcPr>
          <w:p w14:paraId="4CE23286" w14:textId="77777777" w:rsidR="00265730" w:rsidRPr="00543D10" w:rsidRDefault="00E756D8" w:rsidP="00265730">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19</w:t>
            </w:r>
          </w:p>
        </w:tc>
        <w:tc>
          <w:tcPr>
            <w:tcW w:w="1164" w:type="dxa"/>
            <w:gridSpan w:val="2"/>
            <w:tcBorders>
              <w:top w:val="nil"/>
              <w:left w:val="nil"/>
              <w:bottom w:val="nil"/>
              <w:right w:val="nil"/>
            </w:tcBorders>
            <w:shd w:val="clear" w:color="auto" w:fill="auto"/>
            <w:noWrap/>
            <w:vAlign w:val="center"/>
            <w:hideMark/>
          </w:tcPr>
          <w:p w14:paraId="1CB91526" w14:textId="77777777" w:rsidR="00265730" w:rsidRPr="002E528C" w:rsidRDefault="00265730" w:rsidP="00265730">
            <w:pPr>
              <w:spacing w:after="0" w:line="240" w:lineRule="auto"/>
              <w:jc w:val="right"/>
              <w:rPr>
                <w:rFonts w:ascii="Arial" w:eastAsia="Times New Roman" w:hAnsi="Arial" w:cs="Arial"/>
                <w:sz w:val="20"/>
                <w:szCs w:val="20"/>
                <w:lang w:eastAsia="en-GB"/>
              </w:rPr>
            </w:pPr>
            <w:r w:rsidRPr="006647C2">
              <w:rPr>
                <w:rFonts w:ascii="Arial" w:eastAsia="Times New Roman" w:hAnsi="Arial" w:cs="Arial"/>
                <w:bCs/>
                <w:sz w:val="20"/>
                <w:szCs w:val="20"/>
                <w:lang w:eastAsia="en-GB"/>
              </w:rPr>
              <w:t>21</w:t>
            </w:r>
          </w:p>
        </w:tc>
      </w:tr>
      <w:tr w:rsidR="00265730" w:rsidRPr="00491197" w14:paraId="18259159" w14:textId="77777777" w:rsidTr="00697C96">
        <w:trPr>
          <w:trHeight w:val="324"/>
        </w:trPr>
        <w:tc>
          <w:tcPr>
            <w:tcW w:w="6684" w:type="dxa"/>
            <w:gridSpan w:val="2"/>
            <w:tcBorders>
              <w:top w:val="nil"/>
              <w:left w:val="nil"/>
              <w:bottom w:val="nil"/>
              <w:right w:val="nil"/>
            </w:tcBorders>
            <w:shd w:val="clear" w:color="auto" w:fill="auto"/>
            <w:noWrap/>
            <w:vAlign w:val="center"/>
            <w:hideMark/>
          </w:tcPr>
          <w:p w14:paraId="0C1D6139" w14:textId="77777777" w:rsidR="00265730" w:rsidRPr="00543D10" w:rsidRDefault="00265730" w:rsidP="00265730">
            <w:pPr>
              <w:spacing w:after="0" w:line="240" w:lineRule="auto"/>
              <w:rPr>
                <w:rFonts w:ascii="Arial" w:eastAsia="Times New Roman" w:hAnsi="Arial" w:cs="Arial"/>
                <w:sz w:val="20"/>
                <w:szCs w:val="20"/>
                <w:lang w:eastAsia="en-GB"/>
              </w:rPr>
            </w:pPr>
            <w:r w:rsidRPr="00543D10">
              <w:rPr>
                <w:rFonts w:ascii="Arial" w:eastAsia="Times New Roman" w:hAnsi="Arial" w:cs="Arial"/>
                <w:sz w:val="20"/>
                <w:szCs w:val="20"/>
                <w:lang w:eastAsia="en-GB"/>
              </w:rPr>
              <w:t xml:space="preserve">Donation from Shaw Trust </w:t>
            </w:r>
            <w:r w:rsidR="00613BAD">
              <w:rPr>
                <w:rFonts w:ascii="Arial" w:eastAsia="Times New Roman" w:hAnsi="Arial" w:cs="Arial"/>
                <w:sz w:val="20"/>
                <w:szCs w:val="20"/>
                <w:lang w:eastAsia="en-GB"/>
              </w:rPr>
              <w:t xml:space="preserve">Limited </w:t>
            </w:r>
            <w:r w:rsidRPr="00543D10">
              <w:rPr>
                <w:rFonts w:ascii="Arial" w:eastAsia="Times New Roman" w:hAnsi="Arial" w:cs="Arial"/>
                <w:sz w:val="20"/>
                <w:szCs w:val="20"/>
                <w:lang w:eastAsia="en-GB"/>
              </w:rPr>
              <w:t>to Palmer Gardens</w:t>
            </w:r>
          </w:p>
        </w:tc>
        <w:tc>
          <w:tcPr>
            <w:tcW w:w="1582" w:type="dxa"/>
            <w:tcBorders>
              <w:top w:val="nil"/>
              <w:left w:val="nil"/>
              <w:bottom w:val="single" w:sz="4" w:space="0" w:color="auto"/>
              <w:right w:val="nil"/>
            </w:tcBorders>
            <w:shd w:val="clear" w:color="auto" w:fill="auto"/>
            <w:noWrap/>
            <w:vAlign w:val="center"/>
          </w:tcPr>
          <w:p w14:paraId="5E278512" w14:textId="77777777" w:rsidR="00265730" w:rsidRPr="00543D10" w:rsidRDefault="00E756D8" w:rsidP="00265730">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353</w:t>
            </w:r>
          </w:p>
        </w:tc>
        <w:tc>
          <w:tcPr>
            <w:tcW w:w="1164" w:type="dxa"/>
            <w:gridSpan w:val="2"/>
            <w:tcBorders>
              <w:top w:val="nil"/>
              <w:left w:val="nil"/>
              <w:bottom w:val="single" w:sz="4" w:space="0" w:color="auto"/>
              <w:right w:val="nil"/>
            </w:tcBorders>
            <w:shd w:val="clear" w:color="auto" w:fill="auto"/>
            <w:noWrap/>
            <w:vAlign w:val="center"/>
            <w:hideMark/>
          </w:tcPr>
          <w:p w14:paraId="2D28FAAD" w14:textId="77777777" w:rsidR="00265730" w:rsidRPr="002E528C" w:rsidRDefault="00265730" w:rsidP="00265730">
            <w:pPr>
              <w:spacing w:after="0" w:line="240" w:lineRule="auto"/>
              <w:jc w:val="right"/>
              <w:rPr>
                <w:rFonts w:ascii="Arial" w:eastAsia="Times New Roman" w:hAnsi="Arial" w:cs="Arial"/>
                <w:sz w:val="20"/>
                <w:szCs w:val="20"/>
                <w:lang w:eastAsia="en-GB"/>
              </w:rPr>
            </w:pPr>
            <w:r w:rsidRPr="006647C2">
              <w:rPr>
                <w:rFonts w:ascii="Arial" w:eastAsia="Times New Roman" w:hAnsi="Arial" w:cs="Arial"/>
                <w:bCs/>
                <w:sz w:val="20"/>
                <w:szCs w:val="20"/>
                <w:lang w:eastAsia="en-GB"/>
              </w:rPr>
              <w:t>61</w:t>
            </w:r>
          </w:p>
        </w:tc>
      </w:tr>
      <w:tr w:rsidR="00265730" w:rsidRPr="00491197" w14:paraId="5BE53418" w14:textId="77777777" w:rsidTr="00697C96">
        <w:trPr>
          <w:trHeight w:val="324"/>
        </w:trPr>
        <w:tc>
          <w:tcPr>
            <w:tcW w:w="6684" w:type="dxa"/>
            <w:gridSpan w:val="2"/>
            <w:tcBorders>
              <w:top w:val="single" w:sz="4" w:space="0" w:color="auto"/>
              <w:left w:val="nil"/>
              <w:bottom w:val="single" w:sz="4" w:space="0" w:color="auto"/>
              <w:right w:val="nil"/>
            </w:tcBorders>
            <w:shd w:val="clear" w:color="auto" w:fill="auto"/>
            <w:noWrap/>
            <w:vAlign w:val="center"/>
            <w:hideMark/>
          </w:tcPr>
          <w:p w14:paraId="7445B648" w14:textId="77777777" w:rsidR="00265730" w:rsidRPr="00543D10" w:rsidRDefault="00265730" w:rsidP="00265730">
            <w:pPr>
              <w:spacing w:after="0" w:line="240" w:lineRule="auto"/>
              <w:rPr>
                <w:rFonts w:ascii="Arial" w:eastAsia="Times New Roman" w:hAnsi="Arial" w:cs="Arial"/>
                <w:sz w:val="20"/>
                <w:szCs w:val="20"/>
                <w:lang w:eastAsia="en-GB"/>
              </w:rPr>
            </w:pPr>
            <w:r w:rsidRPr="00543D10">
              <w:rPr>
                <w:rFonts w:ascii="Arial" w:eastAsia="Times New Roman" w:hAnsi="Arial" w:cs="Arial"/>
                <w:sz w:val="20"/>
                <w:szCs w:val="20"/>
                <w:lang w:eastAsia="en-GB"/>
              </w:rPr>
              <w:t>Balance of restricted revenue reserve (see note 19)</w:t>
            </w:r>
          </w:p>
        </w:tc>
        <w:tc>
          <w:tcPr>
            <w:tcW w:w="1582" w:type="dxa"/>
            <w:tcBorders>
              <w:top w:val="nil"/>
              <w:left w:val="nil"/>
              <w:bottom w:val="single" w:sz="4" w:space="0" w:color="auto"/>
              <w:right w:val="nil"/>
            </w:tcBorders>
            <w:shd w:val="clear" w:color="auto" w:fill="auto"/>
            <w:noWrap/>
            <w:vAlign w:val="center"/>
          </w:tcPr>
          <w:p w14:paraId="316ED5C7" w14:textId="77777777" w:rsidR="00265730" w:rsidRPr="00543D10" w:rsidRDefault="00E756D8">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w:t>
            </w:r>
          </w:p>
        </w:tc>
        <w:tc>
          <w:tcPr>
            <w:tcW w:w="1164" w:type="dxa"/>
            <w:gridSpan w:val="2"/>
            <w:tcBorders>
              <w:top w:val="nil"/>
              <w:left w:val="nil"/>
              <w:bottom w:val="single" w:sz="4" w:space="0" w:color="auto"/>
              <w:right w:val="nil"/>
            </w:tcBorders>
            <w:shd w:val="clear" w:color="auto" w:fill="auto"/>
            <w:noWrap/>
            <w:vAlign w:val="center"/>
            <w:hideMark/>
          </w:tcPr>
          <w:p w14:paraId="040C033F" w14:textId="77777777" w:rsidR="00265730" w:rsidRPr="002E528C" w:rsidRDefault="00265730" w:rsidP="00265730">
            <w:pPr>
              <w:spacing w:after="0" w:line="240" w:lineRule="auto"/>
              <w:jc w:val="right"/>
              <w:rPr>
                <w:rFonts w:ascii="Arial" w:eastAsia="Times New Roman" w:hAnsi="Arial" w:cs="Arial"/>
                <w:sz w:val="20"/>
                <w:szCs w:val="20"/>
                <w:lang w:eastAsia="en-GB"/>
              </w:rPr>
            </w:pPr>
            <w:r w:rsidRPr="006647C2">
              <w:rPr>
                <w:rFonts w:ascii="Arial" w:eastAsia="Times New Roman" w:hAnsi="Arial" w:cs="Arial"/>
                <w:bCs/>
                <w:sz w:val="20"/>
                <w:szCs w:val="20"/>
                <w:lang w:eastAsia="en-GB"/>
              </w:rPr>
              <w:t>-</w:t>
            </w:r>
          </w:p>
        </w:tc>
      </w:tr>
      <w:tr w:rsidR="00E70CD3" w:rsidRPr="00491197" w14:paraId="308AACD3" w14:textId="77777777" w:rsidTr="00697C96">
        <w:trPr>
          <w:trHeight w:val="324"/>
        </w:trPr>
        <w:tc>
          <w:tcPr>
            <w:tcW w:w="6684" w:type="dxa"/>
            <w:gridSpan w:val="2"/>
            <w:tcBorders>
              <w:top w:val="nil"/>
              <w:left w:val="nil"/>
              <w:bottom w:val="nil"/>
              <w:right w:val="nil"/>
            </w:tcBorders>
            <w:shd w:val="clear" w:color="auto" w:fill="auto"/>
            <w:noWrap/>
            <w:vAlign w:val="center"/>
            <w:hideMark/>
          </w:tcPr>
          <w:p w14:paraId="030C5D01" w14:textId="77777777" w:rsidR="00E70CD3" w:rsidRPr="00491197" w:rsidRDefault="00E70CD3" w:rsidP="007729E5">
            <w:pPr>
              <w:spacing w:after="0" w:line="240" w:lineRule="auto"/>
              <w:rPr>
                <w:rFonts w:ascii="Arial" w:eastAsia="Times New Roman" w:hAnsi="Arial" w:cs="Arial"/>
                <w:sz w:val="20"/>
                <w:szCs w:val="20"/>
                <w:lang w:eastAsia="en-GB"/>
              </w:rPr>
            </w:pPr>
          </w:p>
        </w:tc>
        <w:tc>
          <w:tcPr>
            <w:tcW w:w="2456" w:type="dxa"/>
            <w:gridSpan w:val="2"/>
            <w:tcBorders>
              <w:top w:val="nil"/>
              <w:left w:val="nil"/>
              <w:bottom w:val="nil"/>
              <w:right w:val="nil"/>
            </w:tcBorders>
            <w:shd w:val="clear" w:color="auto" w:fill="auto"/>
            <w:noWrap/>
            <w:vAlign w:val="center"/>
            <w:hideMark/>
          </w:tcPr>
          <w:p w14:paraId="0C58B281" w14:textId="77777777" w:rsidR="00E70CD3" w:rsidRPr="00491197" w:rsidRDefault="00E70CD3" w:rsidP="007729E5">
            <w:pPr>
              <w:spacing w:after="0" w:line="240" w:lineRule="auto"/>
              <w:rPr>
                <w:rFonts w:ascii="Times New Roman" w:eastAsia="Times New Roman" w:hAnsi="Times New Roman" w:cs="Times New Roman"/>
                <w:sz w:val="20"/>
                <w:szCs w:val="20"/>
                <w:lang w:eastAsia="en-GB"/>
              </w:rPr>
            </w:pPr>
          </w:p>
        </w:tc>
        <w:tc>
          <w:tcPr>
            <w:tcW w:w="290" w:type="dxa"/>
            <w:tcBorders>
              <w:top w:val="nil"/>
              <w:left w:val="nil"/>
              <w:bottom w:val="nil"/>
              <w:right w:val="nil"/>
            </w:tcBorders>
            <w:shd w:val="clear" w:color="auto" w:fill="auto"/>
            <w:noWrap/>
            <w:vAlign w:val="center"/>
            <w:hideMark/>
          </w:tcPr>
          <w:p w14:paraId="41C4A8C0" w14:textId="77777777" w:rsidR="00E70CD3" w:rsidRPr="00491197" w:rsidRDefault="00E70CD3" w:rsidP="007729E5">
            <w:pPr>
              <w:spacing w:after="0" w:line="240" w:lineRule="auto"/>
              <w:rPr>
                <w:rFonts w:ascii="Times New Roman" w:eastAsia="Times New Roman" w:hAnsi="Times New Roman" w:cs="Times New Roman"/>
                <w:sz w:val="20"/>
                <w:szCs w:val="20"/>
                <w:lang w:eastAsia="en-GB"/>
              </w:rPr>
            </w:pPr>
          </w:p>
        </w:tc>
      </w:tr>
      <w:tr w:rsidR="00E70CD3" w:rsidRPr="00491197" w14:paraId="1E1E05DE" w14:textId="77777777" w:rsidTr="00697C96">
        <w:trPr>
          <w:trHeight w:val="255"/>
        </w:trPr>
        <w:tc>
          <w:tcPr>
            <w:tcW w:w="9432" w:type="dxa"/>
            <w:gridSpan w:val="5"/>
            <w:tcBorders>
              <w:top w:val="nil"/>
              <w:left w:val="nil"/>
              <w:bottom w:val="nil"/>
              <w:right w:val="nil"/>
            </w:tcBorders>
            <w:shd w:val="clear" w:color="auto" w:fill="auto"/>
            <w:vAlign w:val="center"/>
            <w:hideMark/>
          </w:tcPr>
          <w:p w14:paraId="5314F876" w14:textId="77777777" w:rsidR="007C4794" w:rsidRDefault="007C4794" w:rsidP="007729E5">
            <w:pPr>
              <w:spacing w:after="0" w:line="240" w:lineRule="auto"/>
              <w:rPr>
                <w:rFonts w:ascii="Arial" w:eastAsia="Times New Roman" w:hAnsi="Arial" w:cs="Arial"/>
                <w:sz w:val="20"/>
                <w:szCs w:val="20"/>
                <w:lang w:eastAsia="en-GB"/>
              </w:rPr>
            </w:pPr>
          </w:p>
          <w:p w14:paraId="668CB097" w14:textId="77777777" w:rsidR="007C4794" w:rsidRDefault="007C4794" w:rsidP="007729E5">
            <w:pPr>
              <w:spacing w:after="0" w:line="240" w:lineRule="auto"/>
              <w:rPr>
                <w:rFonts w:ascii="Arial" w:eastAsia="Times New Roman" w:hAnsi="Arial" w:cs="Arial"/>
                <w:sz w:val="20"/>
                <w:szCs w:val="20"/>
                <w:lang w:eastAsia="en-GB"/>
              </w:rPr>
            </w:pPr>
          </w:p>
          <w:p w14:paraId="3E5F7602" w14:textId="77777777" w:rsidR="007C4794" w:rsidRDefault="007C4794" w:rsidP="007729E5">
            <w:pPr>
              <w:spacing w:after="0" w:line="240" w:lineRule="auto"/>
              <w:rPr>
                <w:rFonts w:ascii="Arial" w:eastAsia="Times New Roman" w:hAnsi="Arial" w:cs="Arial"/>
                <w:sz w:val="20"/>
                <w:szCs w:val="20"/>
                <w:lang w:eastAsia="en-GB"/>
              </w:rPr>
            </w:pPr>
          </w:p>
          <w:p w14:paraId="6F3F0CCE" w14:textId="77777777" w:rsidR="007C4794" w:rsidRDefault="007C4794" w:rsidP="007729E5">
            <w:pPr>
              <w:spacing w:after="0" w:line="240" w:lineRule="auto"/>
              <w:rPr>
                <w:rFonts w:ascii="Arial" w:eastAsia="Times New Roman" w:hAnsi="Arial" w:cs="Arial"/>
                <w:sz w:val="20"/>
                <w:szCs w:val="20"/>
                <w:lang w:eastAsia="en-GB"/>
              </w:rPr>
            </w:pPr>
          </w:p>
          <w:p w14:paraId="60DB321F" w14:textId="77777777" w:rsidR="007C4794" w:rsidRDefault="007C4794" w:rsidP="007729E5">
            <w:pPr>
              <w:spacing w:after="0" w:line="240" w:lineRule="auto"/>
              <w:rPr>
                <w:rFonts w:ascii="Arial" w:eastAsia="Times New Roman" w:hAnsi="Arial" w:cs="Arial"/>
                <w:sz w:val="20"/>
                <w:szCs w:val="20"/>
                <w:lang w:eastAsia="en-GB"/>
              </w:rPr>
            </w:pPr>
          </w:p>
          <w:p w14:paraId="541EAFB2" w14:textId="77777777" w:rsidR="007C4794" w:rsidRDefault="007C4794" w:rsidP="007729E5">
            <w:pPr>
              <w:spacing w:after="0" w:line="240" w:lineRule="auto"/>
              <w:rPr>
                <w:rFonts w:ascii="Arial" w:eastAsia="Times New Roman" w:hAnsi="Arial" w:cs="Arial"/>
                <w:sz w:val="20"/>
                <w:szCs w:val="20"/>
                <w:lang w:eastAsia="en-GB"/>
              </w:rPr>
            </w:pPr>
          </w:p>
          <w:p w14:paraId="384710BD" w14:textId="77777777" w:rsidR="007C4794" w:rsidRDefault="007C4794" w:rsidP="007729E5">
            <w:pPr>
              <w:spacing w:after="0" w:line="240" w:lineRule="auto"/>
              <w:rPr>
                <w:rFonts w:ascii="Arial" w:eastAsia="Times New Roman" w:hAnsi="Arial" w:cs="Arial"/>
                <w:sz w:val="20"/>
                <w:szCs w:val="20"/>
                <w:lang w:eastAsia="en-GB"/>
              </w:rPr>
            </w:pPr>
          </w:p>
          <w:p w14:paraId="1959EAAB" w14:textId="77777777" w:rsidR="0096057A" w:rsidRDefault="0096057A" w:rsidP="007729E5">
            <w:pPr>
              <w:spacing w:after="0" w:line="240" w:lineRule="auto"/>
              <w:rPr>
                <w:rFonts w:ascii="Arial" w:eastAsia="Times New Roman" w:hAnsi="Arial" w:cs="Arial"/>
                <w:sz w:val="20"/>
                <w:szCs w:val="20"/>
                <w:lang w:eastAsia="en-GB"/>
              </w:rPr>
            </w:pPr>
          </w:p>
          <w:p w14:paraId="298C6AF4" w14:textId="77777777" w:rsidR="007C4794" w:rsidRDefault="007C4794" w:rsidP="007729E5">
            <w:pPr>
              <w:spacing w:after="0" w:line="240" w:lineRule="auto"/>
              <w:rPr>
                <w:rFonts w:ascii="Arial" w:eastAsia="Times New Roman" w:hAnsi="Arial" w:cs="Arial"/>
                <w:sz w:val="20"/>
                <w:szCs w:val="20"/>
                <w:lang w:eastAsia="en-GB"/>
              </w:rPr>
            </w:pPr>
          </w:p>
          <w:p w14:paraId="0AEFDB66" w14:textId="77777777" w:rsidR="007C4794" w:rsidRDefault="007C4794" w:rsidP="007729E5">
            <w:pPr>
              <w:spacing w:after="0" w:line="240" w:lineRule="auto"/>
              <w:rPr>
                <w:rFonts w:ascii="Arial" w:eastAsia="Times New Roman" w:hAnsi="Arial" w:cs="Arial"/>
                <w:sz w:val="20"/>
                <w:szCs w:val="20"/>
                <w:lang w:eastAsia="en-GB"/>
              </w:rPr>
            </w:pPr>
          </w:p>
          <w:p w14:paraId="2EC099D8" w14:textId="77777777" w:rsidR="007C4794" w:rsidRDefault="007C4794" w:rsidP="007729E5">
            <w:pPr>
              <w:spacing w:after="0" w:line="240" w:lineRule="auto"/>
              <w:rPr>
                <w:rFonts w:ascii="Arial" w:eastAsia="Times New Roman" w:hAnsi="Arial" w:cs="Arial"/>
                <w:sz w:val="20"/>
                <w:szCs w:val="20"/>
                <w:lang w:eastAsia="en-GB"/>
              </w:rPr>
            </w:pPr>
          </w:p>
          <w:p w14:paraId="2DDAB961" w14:textId="77777777" w:rsidR="007C4794" w:rsidRDefault="007C4794" w:rsidP="007729E5">
            <w:pPr>
              <w:spacing w:after="0" w:line="240" w:lineRule="auto"/>
              <w:rPr>
                <w:rFonts w:ascii="Arial" w:eastAsia="Times New Roman" w:hAnsi="Arial" w:cs="Arial"/>
                <w:sz w:val="20"/>
                <w:szCs w:val="20"/>
                <w:lang w:eastAsia="en-GB"/>
              </w:rPr>
            </w:pPr>
          </w:p>
          <w:p w14:paraId="3B0683C6" w14:textId="77777777" w:rsidR="007C4794" w:rsidRDefault="007C4794" w:rsidP="007729E5">
            <w:pPr>
              <w:spacing w:after="0" w:line="240" w:lineRule="auto"/>
              <w:rPr>
                <w:rFonts w:ascii="Arial" w:eastAsia="Times New Roman" w:hAnsi="Arial" w:cs="Arial"/>
                <w:sz w:val="20"/>
                <w:szCs w:val="20"/>
                <w:lang w:eastAsia="en-GB"/>
              </w:rPr>
            </w:pPr>
          </w:p>
          <w:p w14:paraId="03FA0BFD" w14:textId="17925319" w:rsidR="00356764" w:rsidRDefault="00356764" w:rsidP="00665BC7">
            <w:pPr>
              <w:tabs>
                <w:tab w:val="left" w:pos="567"/>
              </w:tabs>
              <w:ind w:left="567" w:hanging="567"/>
              <w:rPr>
                <w:rFonts w:ascii="Arial" w:hAnsi="Arial" w:cs="Arial"/>
                <w:b/>
                <w:i/>
                <w:sz w:val="24"/>
                <w:szCs w:val="24"/>
              </w:rPr>
            </w:pPr>
          </w:p>
          <w:p w14:paraId="638AADDD" w14:textId="77777777" w:rsidR="00E6025B" w:rsidRDefault="00E6025B" w:rsidP="00665BC7">
            <w:pPr>
              <w:tabs>
                <w:tab w:val="left" w:pos="567"/>
              </w:tabs>
              <w:ind w:left="567" w:hanging="567"/>
              <w:rPr>
                <w:rFonts w:ascii="Arial" w:hAnsi="Arial" w:cs="Arial"/>
                <w:b/>
                <w:i/>
                <w:sz w:val="24"/>
                <w:szCs w:val="24"/>
              </w:rPr>
            </w:pPr>
          </w:p>
          <w:p w14:paraId="2AAAA035" w14:textId="77777777" w:rsidR="00356764" w:rsidRDefault="00356764" w:rsidP="00665BC7">
            <w:pPr>
              <w:tabs>
                <w:tab w:val="left" w:pos="567"/>
              </w:tabs>
              <w:ind w:left="567" w:hanging="567"/>
              <w:rPr>
                <w:rFonts w:ascii="Arial" w:hAnsi="Arial" w:cs="Arial"/>
                <w:b/>
                <w:i/>
                <w:sz w:val="24"/>
                <w:szCs w:val="24"/>
              </w:rPr>
            </w:pPr>
          </w:p>
          <w:p w14:paraId="6ED0ED0A" w14:textId="77777777" w:rsidR="006C07DD" w:rsidRDefault="006C07DD" w:rsidP="006C07DD">
            <w:pPr>
              <w:spacing w:after="0" w:line="240" w:lineRule="auto"/>
              <w:rPr>
                <w:rFonts w:ascii="Arial" w:hAnsi="Arial" w:cs="Arial"/>
                <w:b/>
                <w:i/>
                <w:sz w:val="24"/>
                <w:szCs w:val="24"/>
              </w:rPr>
            </w:pPr>
            <w:r w:rsidRPr="0088736E">
              <w:rPr>
                <w:rFonts w:ascii="Arial" w:hAnsi="Arial" w:cs="Arial"/>
                <w:b/>
                <w:i/>
                <w:sz w:val="24"/>
                <w:szCs w:val="24"/>
              </w:rPr>
              <w:t xml:space="preserve">Notes to the financial </w:t>
            </w:r>
            <w:r>
              <w:rPr>
                <w:rFonts w:ascii="Arial" w:hAnsi="Arial" w:cs="Arial"/>
                <w:b/>
                <w:i/>
                <w:sz w:val="24"/>
                <w:szCs w:val="24"/>
              </w:rPr>
              <w:t>statements</w:t>
            </w:r>
            <w:r w:rsidRPr="0088736E">
              <w:rPr>
                <w:rFonts w:ascii="Arial" w:hAnsi="Arial" w:cs="Arial"/>
                <w:b/>
                <w:i/>
                <w:sz w:val="24"/>
                <w:szCs w:val="24"/>
              </w:rPr>
              <w:t xml:space="preserve"> (continued)</w:t>
            </w:r>
          </w:p>
          <w:p w14:paraId="60228607" w14:textId="77777777" w:rsidR="006C07DD" w:rsidRDefault="006C07DD" w:rsidP="007729E5">
            <w:pPr>
              <w:spacing w:after="0" w:line="240" w:lineRule="auto"/>
              <w:rPr>
                <w:rFonts w:ascii="Arial" w:eastAsia="Times New Roman" w:hAnsi="Arial" w:cs="Arial"/>
                <w:sz w:val="20"/>
                <w:szCs w:val="20"/>
                <w:lang w:eastAsia="en-GB"/>
              </w:rPr>
            </w:pPr>
          </w:p>
          <w:p w14:paraId="277C9BE0" w14:textId="77777777" w:rsidR="009215FA" w:rsidRDefault="00665BC7" w:rsidP="007729E5">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 xml:space="preserve"> </w:t>
            </w:r>
            <w:r w:rsidR="00BE0959">
              <w:rPr>
                <w:rFonts w:ascii="Arial" w:eastAsia="Times New Roman" w:hAnsi="Arial" w:cs="Arial"/>
                <w:b/>
                <w:bCs/>
                <w:sz w:val="24"/>
                <w:szCs w:val="24"/>
                <w:lang w:eastAsia="en-GB"/>
              </w:rPr>
              <w:t>11</w:t>
            </w:r>
            <w:r w:rsidR="009215FA" w:rsidRPr="006674F4">
              <w:rPr>
                <w:rFonts w:ascii="Arial" w:eastAsia="Times New Roman" w:hAnsi="Arial" w:cs="Arial"/>
                <w:b/>
                <w:bCs/>
                <w:sz w:val="24"/>
                <w:szCs w:val="24"/>
                <w:lang w:eastAsia="en-GB"/>
              </w:rPr>
              <w:t>. Palmer Gardens</w:t>
            </w:r>
            <w:r w:rsidR="009215FA" w:rsidRPr="00491197">
              <w:rPr>
                <w:rFonts w:ascii="Arial" w:eastAsia="Times New Roman" w:hAnsi="Arial" w:cs="Arial"/>
                <w:sz w:val="20"/>
                <w:szCs w:val="20"/>
                <w:lang w:eastAsia="en-GB"/>
              </w:rPr>
              <w:t xml:space="preserve"> </w:t>
            </w:r>
            <w:r w:rsidR="009215FA" w:rsidRPr="009215FA">
              <w:rPr>
                <w:rFonts w:ascii="Arial" w:eastAsia="Times New Roman" w:hAnsi="Arial" w:cs="Arial"/>
                <w:b/>
                <w:sz w:val="24"/>
                <w:szCs w:val="24"/>
                <w:lang w:eastAsia="en-GB"/>
              </w:rPr>
              <w:t>(continued)</w:t>
            </w:r>
          </w:p>
          <w:p w14:paraId="7274B857" w14:textId="77777777" w:rsidR="009215FA" w:rsidRDefault="009215FA" w:rsidP="007729E5">
            <w:pPr>
              <w:spacing w:after="0" w:line="240" w:lineRule="auto"/>
              <w:rPr>
                <w:rFonts w:ascii="Arial" w:eastAsia="Times New Roman" w:hAnsi="Arial" w:cs="Arial"/>
                <w:sz w:val="20"/>
                <w:szCs w:val="20"/>
                <w:lang w:eastAsia="en-GB"/>
              </w:rPr>
            </w:pPr>
          </w:p>
          <w:p w14:paraId="02D0C4E4" w14:textId="77777777" w:rsidR="00E70CD3" w:rsidRPr="00491197" w:rsidRDefault="00E70CD3" w:rsidP="007729E5">
            <w:pPr>
              <w:spacing w:after="0" w:line="240" w:lineRule="auto"/>
              <w:rPr>
                <w:rFonts w:ascii="Arial" w:eastAsia="Times New Roman" w:hAnsi="Arial" w:cs="Arial"/>
                <w:sz w:val="20"/>
                <w:szCs w:val="20"/>
                <w:lang w:eastAsia="en-GB"/>
              </w:rPr>
            </w:pPr>
            <w:r w:rsidRPr="00491197">
              <w:rPr>
                <w:rFonts w:ascii="Arial" w:eastAsia="Times New Roman" w:hAnsi="Arial" w:cs="Arial"/>
                <w:sz w:val="20"/>
                <w:szCs w:val="20"/>
                <w:lang w:eastAsia="en-GB"/>
              </w:rPr>
              <w:t>The assets and liabilities for the Capital Fund are set out below:</w:t>
            </w:r>
          </w:p>
        </w:tc>
      </w:tr>
      <w:tr w:rsidR="00E70CD3" w:rsidRPr="00491197" w14:paraId="03240307" w14:textId="77777777" w:rsidTr="00697C96">
        <w:trPr>
          <w:trHeight w:val="324"/>
        </w:trPr>
        <w:tc>
          <w:tcPr>
            <w:tcW w:w="6684" w:type="dxa"/>
            <w:gridSpan w:val="2"/>
            <w:tcBorders>
              <w:top w:val="nil"/>
              <w:left w:val="nil"/>
              <w:bottom w:val="nil"/>
              <w:right w:val="nil"/>
            </w:tcBorders>
            <w:shd w:val="clear" w:color="auto" w:fill="auto"/>
            <w:noWrap/>
            <w:vAlign w:val="center"/>
            <w:hideMark/>
          </w:tcPr>
          <w:p w14:paraId="00D3E17B" w14:textId="77777777" w:rsidR="00E70CD3" w:rsidRPr="00491197" w:rsidRDefault="00E70CD3" w:rsidP="007729E5">
            <w:pPr>
              <w:spacing w:after="0" w:line="240" w:lineRule="auto"/>
              <w:rPr>
                <w:rFonts w:ascii="Arial" w:eastAsia="Times New Roman" w:hAnsi="Arial" w:cs="Arial"/>
                <w:sz w:val="20"/>
                <w:szCs w:val="20"/>
                <w:lang w:eastAsia="en-GB"/>
              </w:rPr>
            </w:pPr>
          </w:p>
        </w:tc>
        <w:tc>
          <w:tcPr>
            <w:tcW w:w="2456" w:type="dxa"/>
            <w:gridSpan w:val="2"/>
            <w:tcBorders>
              <w:top w:val="nil"/>
              <w:left w:val="nil"/>
              <w:bottom w:val="nil"/>
              <w:right w:val="nil"/>
            </w:tcBorders>
            <w:shd w:val="clear" w:color="auto" w:fill="auto"/>
            <w:noWrap/>
            <w:vAlign w:val="center"/>
            <w:hideMark/>
          </w:tcPr>
          <w:p w14:paraId="5B7DEF44" w14:textId="77777777" w:rsidR="00E70CD3" w:rsidRPr="00491197" w:rsidRDefault="00E70CD3" w:rsidP="007729E5">
            <w:pPr>
              <w:spacing w:after="0" w:line="240" w:lineRule="auto"/>
              <w:rPr>
                <w:rFonts w:ascii="Times New Roman" w:eastAsia="Times New Roman" w:hAnsi="Times New Roman" w:cs="Times New Roman"/>
                <w:sz w:val="20"/>
                <w:szCs w:val="20"/>
                <w:lang w:eastAsia="en-GB"/>
              </w:rPr>
            </w:pPr>
          </w:p>
        </w:tc>
        <w:tc>
          <w:tcPr>
            <w:tcW w:w="290" w:type="dxa"/>
            <w:tcBorders>
              <w:top w:val="nil"/>
              <w:left w:val="nil"/>
              <w:bottom w:val="nil"/>
              <w:right w:val="nil"/>
            </w:tcBorders>
            <w:shd w:val="clear" w:color="auto" w:fill="auto"/>
            <w:noWrap/>
            <w:vAlign w:val="center"/>
            <w:hideMark/>
          </w:tcPr>
          <w:p w14:paraId="0950FDC4" w14:textId="77777777" w:rsidR="00E70CD3" w:rsidRPr="00491197" w:rsidRDefault="00E70CD3" w:rsidP="007729E5">
            <w:pPr>
              <w:spacing w:after="0" w:line="240" w:lineRule="auto"/>
              <w:rPr>
                <w:rFonts w:ascii="Times New Roman" w:eastAsia="Times New Roman" w:hAnsi="Times New Roman" w:cs="Times New Roman"/>
                <w:sz w:val="20"/>
                <w:szCs w:val="20"/>
                <w:lang w:eastAsia="en-GB"/>
              </w:rPr>
            </w:pPr>
          </w:p>
        </w:tc>
      </w:tr>
      <w:tr w:rsidR="00E70CD3" w:rsidRPr="00491197" w14:paraId="54BCB436" w14:textId="77777777" w:rsidTr="00697C96">
        <w:trPr>
          <w:gridAfter w:val="1"/>
          <w:wAfter w:w="292" w:type="dxa"/>
          <w:trHeight w:val="324"/>
        </w:trPr>
        <w:tc>
          <w:tcPr>
            <w:tcW w:w="6684" w:type="dxa"/>
            <w:gridSpan w:val="2"/>
            <w:tcBorders>
              <w:top w:val="nil"/>
              <w:left w:val="nil"/>
              <w:bottom w:val="nil"/>
              <w:right w:val="nil"/>
            </w:tcBorders>
            <w:shd w:val="clear" w:color="auto" w:fill="auto"/>
            <w:noWrap/>
            <w:vAlign w:val="center"/>
            <w:hideMark/>
          </w:tcPr>
          <w:p w14:paraId="1794C736" w14:textId="77777777" w:rsidR="00E70CD3" w:rsidRPr="00491197" w:rsidRDefault="00E70CD3" w:rsidP="007729E5">
            <w:pPr>
              <w:spacing w:after="0" w:line="240" w:lineRule="auto"/>
              <w:rPr>
                <w:rFonts w:ascii="Arial" w:eastAsia="Times New Roman" w:hAnsi="Arial" w:cs="Arial"/>
                <w:b/>
                <w:bCs/>
                <w:sz w:val="20"/>
                <w:szCs w:val="20"/>
                <w:lang w:eastAsia="en-GB"/>
              </w:rPr>
            </w:pPr>
            <w:r w:rsidRPr="00491197">
              <w:rPr>
                <w:rFonts w:ascii="Arial" w:eastAsia="Times New Roman" w:hAnsi="Arial" w:cs="Arial"/>
                <w:b/>
                <w:bCs/>
                <w:sz w:val="20"/>
                <w:szCs w:val="20"/>
                <w:lang w:eastAsia="en-GB"/>
              </w:rPr>
              <w:t>Capital Fund</w:t>
            </w:r>
          </w:p>
        </w:tc>
        <w:tc>
          <w:tcPr>
            <w:tcW w:w="1582" w:type="dxa"/>
            <w:tcBorders>
              <w:top w:val="nil"/>
              <w:left w:val="nil"/>
              <w:bottom w:val="nil"/>
              <w:right w:val="nil"/>
            </w:tcBorders>
            <w:shd w:val="clear" w:color="auto" w:fill="auto"/>
            <w:noWrap/>
            <w:vAlign w:val="center"/>
            <w:hideMark/>
          </w:tcPr>
          <w:p w14:paraId="41AB27C7" w14:textId="77777777" w:rsidR="00E70CD3" w:rsidRPr="00491197" w:rsidRDefault="0037645F" w:rsidP="005B39D0">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2020</w:t>
            </w:r>
          </w:p>
        </w:tc>
        <w:tc>
          <w:tcPr>
            <w:tcW w:w="874" w:type="dxa"/>
            <w:tcBorders>
              <w:top w:val="nil"/>
              <w:left w:val="nil"/>
              <w:bottom w:val="nil"/>
              <w:right w:val="nil"/>
            </w:tcBorders>
            <w:shd w:val="clear" w:color="auto" w:fill="auto"/>
            <w:noWrap/>
            <w:vAlign w:val="center"/>
            <w:hideMark/>
          </w:tcPr>
          <w:p w14:paraId="5E21E0DF" w14:textId="77777777" w:rsidR="00E70CD3" w:rsidRPr="00491197" w:rsidRDefault="0037645F" w:rsidP="005B39D0">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2019</w:t>
            </w:r>
          </w:p>
        </w:tc>
      </w:tr>
      <w:tr w:rsidR="00E70CD3" w:rsidRPr="00491197" w14:paraId="7BB71151" w14:textId="77777777" w:rsidTr="00697C96">
        <w:trPr>
          <w:gridAfter w:val="1"/>
          <w:wAfter w:w="292" w:type="dxa"/>
          <w:trHeight w:val="324"/>
        </w:trPr>
        <w:tc>
          <w:tcPr>
            <w:tcW w:w="6684" w:type="dxa"/>
            <w:gridSpan w:val="2"/>
            <w:tcBorders>
              <w:top w:val="nil"/>
              <w:left w:val="nil"/>
              <w:bottom w:val="single" w:sz="4" w:space="0" w:color="auto"/>
              <w:right w:val="nil"/>
            </w:tcBorders>
            <w:shd w:val="clear" w:color="auto" w:fill="auto"/>
            <w:noWrap/>
            <w:vAlign w:val="center"/>
            <w:hideMark/>
          </w:tcPr>
          <w:p w14:paraId="665A565A" w14:textId="77777777" w:rsidR="00E70CD3" w:rsidRPr="00491197" w:rsidRDefault="00E70CD3" w:rsidP="007729E5">
            <w:pPr>
              <w:spacing w:after="0" w:line="240" w:lineRule="auto"/>
              <w:rPr>
                <w:rFonts w:ascii="Arial" w:eastAsia="Times New Roman" w:hAnsi="Arial" w:cs="Arial"/>
                <w:sz w:val="20"/>
                <w:szCs w:val="20"/>
                <w:lang w:eastAsia="en-GB"/>
              </w:rPr>
            </w:pPr>
            <w:r w:rsidRPr="00491197">
              <w:rPr>
                <w:rFonts w:ascii="Arial" w:eastAsia="Times New Roman" w:hAnsi="Arial" w:cs="Arial"/>
                <w:sz w:val="20"/>
                <w:szCs w:val="20"/>
                <w:lang w:eastAsia="en-GB"/>
              </w:rPr>
              <w:t> </w:t>
            </w:r>
          </w:p>
        </w:tc>
        <w:tc>
          <w:tcPr>
            <w:tcW w:w="1582" w:type="dxa"/>
            <w:tcBorders>
              <w:top w:val="nil"/>
              <w:left w:val="nil"/>
              <w:bottom w:val="single" w:sz="4" w:space="0" w:color="auto"/>
              <w:right w:val="nil"/>
            </w:tcBorders>
            <w:shd w:val="clear" w:color="auto" w:fill="auto"/>
            <w:noWrap/>
            <w:vAlign w:val="center"/>
            <w:hideMark/>
          </w:tcPr>
          <w:p w14:paraId="32AFB9A0" w14:textId="77777777" w:rsidR="00E70CD3" w:rsidRPr="00491197" w:rsidRDefault="00E70CD3" w:rsidP="005B39D0">
            <w:pPr>
              <w:spacing w:after="0" w:line="240" w:lineRule="auto"/>
              <w:jc w:val="right"/>
              <w:rPr>
                <w:rFonts w:ascii="Arial" w:eastAsia="Times New Roman" w:hAnsi="Arial" w:cs="Arial"/>
                <w:b/>
                <w:bCs/>
                <w:sz w:val="20"/>
                <w:szCs w:val="20"/>
                <w:lang w:eastAsia="en-GB"/>
              </w:rPr>
            </w:pPr>
            <w:r w:rsidRPr="00491197">
              <w:rPr>
                <w:rFonts w:ascii="Arial" w:eastAsia="Times New Roman" w:hAnsi="Arial" w:cs="Arial"/>
                <w:b/>
                <w:bCs/>
                <w:sz w:val="20"/>
                <w:szCs w:val="20"/>
                <w:lang w:eastAsia="en-GB"/>
              </w:rPr>
              <w:t>£'000</w:t>
            </w:r>
          </w:p>
        </w:tc>
        <w:tc>
          <w:tcPr>
            <w:tcW w:w="874" w:type="dxa"/>
            <w:tcBorders>
              <w:top w:val="nil"/>
              <w:left w:val="nil"/>
              <w:bottom w:val="single" w:sz="4" w:space="0" w:color="auto"/>
              <w:right w:val="nil"/>
            </w:tcBorders>
            <w:shd w:val="clear" w:color="auto" w:fill="auto"/>
            <w:noWrap/>
            <w:vAlign w:val="center"/>
            <w:hideMark/>
          </w:tcPr>
          <w:p w14:paraId="1A70FD6D" w14:textId="77777777" w:rsidR="00E70CD3" w:rsidRPr="00491197" w:rsidRDefault="00E70CD3" w:rsidP="005B39D0">
            <w:pPr>
              <w:spacing w:after="0" w:line="240" w:lineRule="auto"/>
              <w:jc w:val="right"/>
              <w:rPr>
                <w:rFonts w:ascii="Arial" w:eastAsia="Times New Roman" w:hAnsi="Arial" w:cs="Arial"/>
                <w:sz w:val="20"/>
                <w:szCs w:val="20"/>
                <w:lang w:eastAsia="en-GB"/>
              </w:rPr>
            </w:pPr>
            <w:r w:rsidRPr="00491197">
              <w:rPr>
                <w:rFonts w:ascii="Arial" w:eastAsia="Times New Roman" w:hAnsi="Arial" w:cs="Arial"/>
                <w:sz w:val="20"/>
                <w:szCs w:val="20"/>
                <w:lang w:eastAsia="en-GB"/>
              </w:rPr>
              <w:t>£'000</w:t>
            </w:r>
          </w:p>
        </w:tc>
      </w:tr>
      <w:tr w:rsidR="00E70CD3" w:rsidRPr="00491197" w14:paraId="0A3ACFFA" w14:textId="77777777" w:rsidTr="00697C96">
        <w:trPr>
          <w:gridAfter w:val="1"/>
          <w:wAfter w:w="292" w:type="dxa"/>
          <w:trHeight w:val="324"/>
        </w:trPr>
        <w:tc>
          <w:tcPr>
            <w:tcW w:w="6684" w:type="dxa"/>
            <w:gridSpan w:val="2"/>
            <w:tcBorders>
              <w:top w:val="nil"/>
              <w:left w:val="nil"/>
              <w:bottom w:val="nil"/>
              <w:right w:val="nil"/>
            </w:tcBorders>
            <w:shd w:val="clear" w:color="auto" w:fill="auto"/>
            <w:noWrap/>
            <w:vAlign w:val="center"/>
            <w:hideMark/>
          </w:tcPr>
          <w:p w14:paraId="39203EA5" w14:textId="77777777" w:rsidR="00E70CD3" w:rsidRPr="00491197" w:rsidRDefault="00E70CD3" w:rsidP="007729E5">
            <w:pPr>
              <w:spacing w:after="0" w:line="240" w:lineRule="auto"/>
              <w:rPr>
                <w:rFonts w:ascii="Arial" w:eastAsia="Times New Roman" w:hAnsi="Arial" w:cs="Arial"/>
                <w:sz w:val="20"/>
                <w:szCs w:val="20"/>
                <w:lang w:eastAsia="en-GB"/>
              </w:rPr>
            </w:pPr>
            <w:r w:rsidRPr="00491197">
              <w:rPr>
                <w:rFonts w:ascii="Arial" w:eastAsia="Times New Roman" w:hAnsi="Arial" w:cs="Arial"/>
                <w:sz w:val="20"/>
                <w:szCs w:val="20"/>
                <w:lang w:eastAsia="en-GB"/>
              </w:rPr>
              <w:t>Fixed assets</w:t>
            </w:r>
          </w:p>
        </w:tc>
        <w:tc>
          <w:tcPr>
            <w:tcW w:w="1582" w:type="dxa"/>
            <w:tcBorders>
              <w:top w:val="nil"/>
              <w:left w:val="nil"/>
              <w:bottom w:val="nil"/>
              <w:right w:val="nil"/>
            </w:tcBorders>
            <w:shd w:val="clear" w:color="auto" w:fill="auto"/>
            <w:noWrap/>
            <w:vAlign w:val="center"/>
            <w:hideMark/>
          </w:tcPr>
          <w:p w14:paraId="25102146" w14:textId="77777777" w:rsidR="00E70CD3" w:rsidRPr="00491197" w:rsidRDefault="00E70CD3" w:rsidP="005B39D0">
            <w:pPr>
              <w:spacing w:after="0" w:line="240" w:lineRule="auto"/>
              <w:jc w:val="right"/>
              <w:rPr>
                <w:rFonts w:ascii="Arial" w:eastAsia="Times New Roman" w:hAnsi="Arial" w:cs="Arial"/>
                <w:sz w:val="20"/>
                <w:szCs w:val="20"/>
                <w:lang w:eastAsia="en-GB"/>
              </w:rPr>
            </w:pPr>
          </w:p>
        </w:tc>
        <w:tc>
          <w:tcPr>
            <w:tcW w:w="874" w:type="dxa"/>
            <w:tcBorders>
              <w:top w:val="nil"/>
              <w:left w:val="nil"/>
              <w:bottom w:val="nil"/>
              <w:right w:val="nil"/>
            </w:tcBorders>
            <w:shd w:val="clear" w:color="auto" w:fill="auto"/>
            <w:noWrap/>
            <w:vAlign w:val="center"/>
            <w:hideMark/>
          </w:tcPr>
          <w:p w14:paraId="76D95264" w14:textId="77777777" w:rsidR="00E70CD3" w:rsidRPr="00491197" w:rsidRDefault="00E70CD3" w:rsidP="005B39D0">
            <w:pPr>
              <w:spacing w:after="0" w:line="240" w:lineRule="auto"/>
              <w:jc w:val="right"/>
              <w:rPr>
                <w:rFonts w:ascii="Times New Roman" w:eastAsia="Times New Roman" w:hAnsi="Times New Roman" w:cs="Times New Roman"/>
                <w:sz w:val="20"/>
                <w:szCs w:val="20"/>
                <w:lang w:eastAsia="en-GB"/>
              </w:rPr>
            </w:pPr>
          </w:p>
        </w:tc>
      </w:tr>
      <w:tr w:rsidR="00265730" w:rsidRPr="00491197" w14:paraId="3BA76C6D" w14:textId="77777777" w:rsidTr="00697C96">
        <w:trPr>
          <w:gridAfter w:val="1"/>
          <w:wAfter w:w="292" w:type="dxa"/>
          <w:trHeight w:val="324"/>
        </w:trPr>
        <w:tc>
          <w:tcPr>
            <w:tcW w:w="6684" w:type="dxa"/>
            <w:gridSpan w:val="2"/>
            <w:tcBorders>
              <w:top w:val="nil"/>
              <w:left w:val="nil"/>
              <w:bottom w:val="nil"/>
              <w:right w:val="nil"/>
            </w:tcBorders>
            <w:shd w:val="clear" w:color="auto" w:fill="auto"/>
            <w:noWrap/>
            <w:vAlign w:val="center"/>
            <w:hideMark/>
          </w:tcPr>
          <w:p w14:paraId="0D4950DD" w14:textId="77777777" w:rsidR="00265730" w:rsidRPr="00491197" w:rsidRDefault="00265730" w:rsidP="00265730">
            <w:pPr>
              <w:spacing w:after="0" w:line="240" w:lineRule="auto"/>
              <w:rPr>
                <w:rFonts w:ascii="Arial" w:eastAsia="Times New Roman" w:hAnsi="Arial" w:cs="Arial"/>
                <w:sz w:val="20"/>
                <w:szCs w:val="20"/>
                <w:lang w:eastAsia="en-GB"/>
              </w:rPr>
            </w:pPr>
            <w:r w:rsidRPr="00491197">
              <w:rPr>
                <w:rFonts w:ascii="Arial" w:eastAsia="Times New Roman" w:hAnsi="Arial" w:cs="Arial"/>
                <w:sz w:val="20"/>
                <w:szCs w:val="20"/>
                <w:lang w:eastAsia="en-GB"/>
              </w:rPr>
              <w:t>Palmer Gardens</w:t>
            </w:r>
          </w:p>
        </w:tc>
        <w:tc>
          <w:tcPr>
            <w:tcW w:w="1582" w:type="dxa"/>
            <w:tcBorders>
              <w:top w:val="nil"/>
              <w:left w:val="nil"/>
              <w:bottom w:val="nil"/>
              <w:right w:val="nil"/>
            </w:tcBorders>
            <w:shd w:val="clear" w:color="auto" w:fill="auto"/>
            <w:noWrap/>
            <w:vAlign w:val="center"/>
          </w:tcPr>
          <w:p w14:paraId="50AFD3C0" w14:textId="77777777" w:rsidR="00265730" w:rsidRPr="00491197" w:rsidRDefault="00A01842" w:rsidP="00265730">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547</w:t>
            </w:r>
          </w:p>
        </w:tc>
        <w:tc>
          <w:tcPr>
            <w:tcW w:w="874" w:type="dxa"/>
            <w:tcBorders>
              <w:top w:val="nil"/>
              <w:left w:val="nil"/>
              <w:bottom w:val="nil"/>
              <w:right w:val="nil"/>
            </w:tcBorders>
            <w:shd w:val="clear" w:color="auto" w:fill="auto"/>
            <w:noWrap/>
            <w:vAlign w:val="center"/>
            <w:hideMark/>
          </w:tcPr>
          <w:p w14:paraId="045B3FB3" w14:textId="77777777" w:rsidR="00265730" w:rsidRPr="002E528C" w:rsidRDefault="00265730" w:rsidP="00265730">
            <w:pPr>
              <w:spacing w:after="0" w:line="240" w:lineRule="auto"/>
              <w:jc w:val="right"/>
              <w:rPr>
                <w:rFonts w:ascii="Arial" w:eastAsia="Times New Roman" w:hAnsi="Arial" w:cs="Arial"/>
                <w:sz w:val="20"/>
                <w:szCs w:val="20"/>
                <w:lang w:eastAsia="en-GB"/>
              </w:rPr>
            </w:pPr>
            <w:r w:rsidRPr="006647C2">
              <w:rPr>
                <w:rFonts w:ascii="Arial" w:eastAsia="Times New Roman" w:hAnsi="Arial" w:cs="Arial"/>
                <w:bCs/>
                <w:sz w:val="20"/>
                <w:szCs w:val="20"/>
                <w:lang w:eastAsia="en-GB"/>
              </w:rPr>
              <w:t>566</w:t>
            </w:r>
          </w:p>
        </w:tc>
      </w:tr>
      <w:tr w:rsidR="00265730" w:rsidRPr="00491197" w14:paraId="3A952768" w14:textId="77777777" w:rsidTr="00697C96">
        <w:trPr>
          <w:gridAfter w:val="1"/>
          <w:wAfter w:w="292" w:type="dxa"/>
          <w:trHeight w:val="324"/>
        </w:trPr>
        <w:tc>
          <w:tcPr>
            <w:tcW w:w="6684" w:type="dxa"/>
            <w:gridSpan w:val="2"/>
            <w:tcBorders>
              <w:top w:val="nil"/>
              <w:left w:val="nil"/>
              <w:bottom w:val="nil"/>
              <w:right w:val="nil"/>
            </w:tcBorders>
            <w:shd w:val="clear" w:color="auto" w:fill="auto"/>
            <w:noWrap/>
            <w:vAlign w:val="center"/>
            <w:hideMark/>
          </w:tcPr>
          <w:p w14:paraId="20F7667E" w14:textId="77777777" w:rsidR="00265730" w:rsidRPr="00491197" w:rsidRDefault="00265730" w:rsidP="00265730">
            <w:pPr>
              <w:spacing w:after="0" w:line="240" w:lineRule="auto"/>
              <w:rPr>
                <w:rFonts w:ascii="Arial" w:eastAsia="Times New Roman" w:hAnsi="Arial" w:cs="Arial"/>
                <w:sz w:val="20"/>
                <w:szCs w:val="20"/>
                <w:lang w:eastAsia="en-GB"/>
              </w:rPr>
            </w:pPr>
            <w:r w:rsidRPr="00491197">
              <w:rPr>
                <w:rFonts w:ascii="Arial" w:eastAsia="Times New Roman" w:hAnsi="Arial" w:cs="Arial"/>
                <w:sz w:val="20"/>
                <w:szCs w:val="20"/>
                <w:lang w:eastAsia="en-GB"/>
              </w:rPr>
              <w:t>Analysis of net assets:</w:t>
            </w:r>
          </w:p>
        </w:tc>
        <w:tc>
          <w:tcPr>
            <w:tcW w:w="1582" w:type="dxa"/>
            <w:tcBorders>
              <w:top w:val="nil"/>
              <w:left w:val="nil"/>
              <w:bottom w:val="nil"/>
              <w:right w:val="nil"/>
            </w:tcBorders>
            <w:shd w:val="clear" w:color="auto" w:fill="auto"/>
            <w:noWrap/>
            <w:vAlign w:val="center"/>
          </w:tcPr>
          <w:p w14:paraId="4E23C1E5" w14:textId="77777777" w:rsidR="00265730" w:rsidRPr="00491197" w:rsidRDefault="00265730" w:rsidP="00265730">
            <w:pPr>
              <w:spacing w:after="0" w:line="240" w:lineRule="auto"/>
              <w:jc w:val="right"/>
              <w:rPr>
                <w:rFonts w:ascii="Arial" w:eastAsia="Times New Roman" w:hAnsi="Arial" w:cs="Arial"/>
                <w:sz w:val="20"/>
                <w:szCs w:val="20"/>
                <w:lang w:eastAsia="en-GB"/>
              </w:rPr>
            </w:pPr>
          </w:p>
        </w:tc>
        <w:tc>
          <w:tcPr>
            <w:tcW w:w="874" w:type="dxa"/>
            <w:tcBorders>
              <w:top w:val="nil"/>
              <w:left w:val="nil"/>
              <w:bottom w:val="nil"/>
              <w:right w:val="nil"/>
            </w:tcBorders>
            <w:shd w:val="clear" w:color="auto" w:fill="auto"/>
            <w:noWrap/>
            <w:vAlign w:val="center"/>
            <w:hideMark/>
          </w:tcPr>
          <w:p w14:paraId="4CD24B07" w14:textId="77777777" w:rsidR="00265730" w:rsidRPr="002E528C" w:rsidRDefault="00265730" w:rsidP="00265730">
            <w:pPr>
              <w:spacing w:after="0" w:line="240" w:lineRule="auto"/>
              <w:jc w:val="right"/>
              <w:rPr>
                <w:rFonts w:ascii="Times New Roman" w:eastAsia="Times New Roman" w:hAnsi="Times New Roman" w:cs="Times New Roman"/>
                <w:sz w:val="20"/>
                <w:szCs w:val="20"/>
                <w:lang w:eastAsia="en-GB"/>
              </w:rPr>
            </w:pPr>
          </w:p>
        </w:tc>
      </w:tr>
      <w:tr w:rsidR="00265730" w:rsidRPr="00543D10" w14:paraId="3658F8AB" w14:textId="77777777" w:rsidTr="00697C96">
        <w:trPr>
          <w:gridAfter w:val="1"/>
          <w:wAfter w:w="292" w:type="dxa"/>
          <w:trHeight w:val="324"/>
        </w:trPr>
        <w:tc>
          <w:tcPr>
            <w:tcW w:w="6684" w:type="dxa"/>
            <w:gridSpan w:val="2"/>
            <w:tcBorders>
              <w:top w:val="nil"/>
              <w:left w:val="nil"/>
              <w:bottom w:val="nil"/>
              <w:right w:val="nil"/>
            </w:tcBorders>
            <w:shd w:val="clear" w:color="auto" w:fill="auto"/>
            <w:noWrap/>
            <w:vAlign w:val="center"/>
            <w:hideMark/>
          </w:tcPr>
          <w:p w14:paraId="07158EC9" w14:textId="77777777" w:rsidR="00265730" w:rsidRPr="00543D10" w:rsidRDefault="00265730" w:rsidP="00265730">
            <w:pPr>
              <w:spacing w:after="0" w:line="240" w:lineRule="auto"/>
              <w:rPr>
                <w:rFonts w:ascii="Arial" w:eastAsia="Times New Roman" w:hAnsi="Arial" w:cs="Arial"/>
                <w:sz w:val="20"/>
                <w:szCs w:val="20"/>
                <w:lang w:eastAsia="en-GB"/>
              </w:rPr>
            </w:pPr>
            <w:r w:rsidRPr="00543D10">
              <w:rPr>
                <w:rFonts w:ascii="Arial" w:eastAsia="Times New Roman" w:hAnsi="Arial" w:cs="Arial"/>
                <w:sz w:val="20"/>
                <w:szCs w:val="20"/>
                <w:lang w:eastAsia="en-GB"/>
              </w:rPr>
              <w:t>Current assets – stock</w:t>
            </w:r>
          </w:p>
        </w:tc>
        <w:tc>
          <w:tcPr>
            <w:tcW w:w="1582" w:type="dxa"/>
            <w:tcBorders>
              <w:top w:val="nil"/>
              <w:left w:val="nil"/>
              <w:bottom w:val="nil"/>
              <w:right w:val="nil"/>
            </w:tcBorders>
            <w:shd w:val="clear" w:color="auto" w:fill="auto"/>
            <w:noWrap/>
            <w:vAlign w:val="center"/>
          </w:tcPr>
          <w:p w14:paraId="61136BDE" w14:textId="77777777" w:rsidR="00265730" w:rsidRPr="00543D10" w:rsidRDefault="00A01842" w:rsidP="00265730">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121</w:t>
            </w:r>
          </w:p>
        </w:tc>
        <w:tc>
          <w:tcPr>
            <w:tcW w:w="874" w:type="dxa"/>
            <w:tcBorders>
              <w:top w:val="nil"/>
              <w:left w:val="nil"/>
              <w:bottom w:val="nil"/>
              <w:right w:val="nil"/>
            </w:tcBorders>
            <w:shd w:val="clear" w:color="auto" w:fill="auto"/>
            <w:noWrap/>
            <w:vAlign w:val="center"/>
            <w:hideMark/>
          </w:tcPr>
          <w:p w14:paraId="411DFBFD" w14:textId="77777777" w:rsidR="00265730" w:rsidRPr="002E528C" w:rsidRDefault="00265730" w:rsidP="00265730">
            <w:pPr>
              <w:spacing w:after="0" w:line="240" w:lineRule="auto"/>
              <w:jc w:val="right"/>
              <w:rPr>
                <w:rFonts w:ascii="Arial" w:eastAsia="Times New Roman" w:hAnsi="Arial" w:cs="Arial"/>
                <w:sz w:val="20"/>
                <w:szCs w:val="20"/>
                <w:lang w:eastAsia="en-GB"/>
              </w:rPr>
            </w:pPr>
            <w:r w:rsidRPr="006647C2">
              <w:rPr>
                <w:rFonts w:ascii="Arial" w:eastAsia="Times New Roman" w:hAnsi="Arial" w:cs="Arial"/>
                <w:bCs/>
                <w:sz w:val="20"/>
                <w:szCs w:val="20"/>
                <w:lang w:eastAsia="en-GB"/>
              </w:rPr>
              <w:t>130</w:t>
            </w:r>
          </w:p>
        </w:tc>
      </w:tr>
      <w:tr w:rsidR="00265730" w:rsidRPr="00543D10" w14:paraId="0C40339A" w14:textId="77777777" w:rsidTr="00697C96">
        <w:trPr>
          <w:gridAfter w:val="1"/>
          <w:wAfter w:w="292" w:type="dxa"/>
          <w:trHeight w:val="324"/>
        </w:trPr>
        <w:tc>
          <w:tcPr>
            <w:tcW w:w="6684" w:type="dxa"/>
            <w:gridSpan w:val="2"/>
            <w:tcBorders>
              <w:top w:val="nil"/>
              <w:left w:val="nil"/>
              <w:bottom w:val="single" w:sz="4" w:space="0" w:color="auto"/>
              <w:right w:val="nil"/>
            </w:tcBorders>
            <w:shd w:val="clear" w:color="auto" w:fill="auto"/>
            <w:noWrap/>
            <w:vAlign w:val="center"/>
            <w:hideMark/>
          </w:tcPr>
          <w:p w14:paraId="0E489735" w14:textId="77777777" w:rsidR="00265730" w:rsidRPr="00543D10" w:rsidRDefault="00265730" w:rsidP="00265730">
            <w:pPr>
              <w:spacing w:after="0" w:line="240" w:lineRule="auto"/>
              <w:rPr>
                <w:rFonts w:ascii="Arial" w:eastAsia="Times New Roman" w:hAnsi="Arial" w:cs="Arial"/>
                <w:sz w:val="20"/>
                <w:szCs w:val="20"/>
                <w:lang w:eastAsia="en-GB"/>
              </w:rPr>
            </w:pPr>
            <w:r w:rsidRPr="00543D10">
              <w:rPr>
                <w:rFonts w:ascii="Arial" w:eastAsia="Times New Roman" w:hAnsi="Arial" w:cs="Arial"/>
                <w:sz w:val="20"/>
                <w:szCs w:val="20"/>
                <w:lang w:eastAsia="en-GB"/>
              </w:rPr>
              <w:t>Current liabilities - creditors Shaw Trust</w:t>
            </w:r>
            <w:r w:rsidR="00613BAD">
              <w:rPr>
                <w:rFonts w:ascii="Arial" w:eastAsia="Times New Roman" w:hAnsi="Arial" w:cs="Arial"/>
                <w:sz w:val="20"/>
                <w:szCs w:val="20"/>
                <w:lang w:eastAsia="en-GB"/>
              </w:rPr>
              <w:t xml:space="preserve"> Limited</w:t>
            </w:r>
          </w:p>
        </w:tc>
        <w:tc>
          <w:tcPr>
            <w:tcW w:w="1582" w:type="dxa"/>
            <w:tcBorders>
              <w:top w:val="nil"/>
              <w:left w:val="nil"/>
              <w:bottom w:val="single" w:sz="4" w:space="0" w:color="auto"/>
              <w:right w:val="nil"/>
            </w:tcBorders>
            <w:shd w:val="clear" w:color="auto" w:fill="auto"/>
            <w:noWrap/>
            <w:vAlign w:val="center"/>
          </w:tcPr>
          <w:p w14:paraId="11DD92FD" w14:textId="77777777" w:rsidR="00265730" w:rsidRPr="00543D10" w:rsidRDefault="00A01842" w:rsidP="00265730">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(121)</w:t>
            </w:r>
          </w:p>
        </w:tc>
        <w:tc>
          <w:tcPr>
            <w:tcW w:w="874" w:type="dxa"/>
            <w:tcBorders>
              <w:top w:val="nil"/>
              <w:left w:val="nil"/>
              <w:bottom w:val="single" w:sz="4" w:space="0" w:color="auto"/>
              <w:right w:val="nil"/>
            </w:tcBorders>
            <w:shd w:val="clear" w:color="auto" w:fill="auto"/>
            <w:noWrap/>
            <w:vAlign w:val="center"/>
            <w:hideMark/>
          </w:tcPr>
          <w:p w14:paraId="7C5CB95E" w14:textId="77777777" w:rsidR="00265730" w:rsidRPr="002E528C" w:rsidRDefault="00265730" w:rsidP="00265730">
            <w:pPr>
              <w:spacing w:after="0" w:line="240" w:lineRule="auto"/>
              <w:jc w:val="right"/>
              <w:rPr>
                <w:rFonts w:ascii="Arial" w:eastAsia="Times New Roman" w:hAnsi="Arial" w:cs="Arial"/>
                <w:sz w:val="20"/>
                <w:szCs w:val="20"/>
                <w:lang w:eastAsia="en-GB"/>
              </w:rPr>
            </w:pPr>
            <w:r w:rsidRPr="006647C2">
              <w:rPr>
                <w:rFonts w:ascii="Arial" w:eastAsia="Times New Roman" w:hAnsi="Arial" w:cs="Arial"/>
                <w:bCs/>
                <w:sz w:val="20"/>
                <w:szCs w:val="20"/>
                <w:lang w:eastAsia="en-GB"/>
              </w:rPr>
              <w:t>(130)</w:t>
            </w:r>
          </w:p>
        </w:tc>
      </w:tr>
      <w:tr w:rsidR="00265730" w:rsidRPr="00543D10" w14:paraId="58D0F99B" w14:textId="77777777" w:rsidTr="00697C96">
        <w:trPr>
          <w:gridAfter w:val="1"/>
          <w:wAfter w:w="292" w:type="dxa"/>
          <w:trHeight w:val="324"/>
        </w:trPr>
        <w:tc>
          <w:tcPr>
            <w:tcW w:w="6684" w:type="dxa"/>
            <w:gridSpan w:val="2"/>
            <w:tcBorders>
              <w:top w:val="nil"/>
              <w:left w:val="nil"/>
              <w:bottom w:val="nil"/>
              <w:right w:val="nil"/>
            </w:tcBorders>
            <w:shd w:val="clear" w:color="auto" w:fill="auto"/>
            <w:noWrap/>
            <w:vAlign w:val="center"/>
            <w:hideMark/>
          </w:tcPr>
          <w:p w14:paraId="16085684" w14:textId="77777777" w:rsidR="00265730" w:rsidRPr="00543D10" w:rsidRDefault="00265730" w:rsidP="00265730">
            <w:pPr>
              <w:spacing w:after="0" w:line="240" w:lineRule="auto"/>
              <w:rPr>
                <w:rFonts w:ascii="Arial" w:eastAsia="Times New Roman" w:hAnsi="Arial" w:cs="Arial"/>
                <w:sz w:val="20"/>
                <w:szCs w:val="20"/>
                <w:lang w:eastAsia="en-GB"/>
              </w:rPr>
            </w:pPr>
            <w:r w:rsidRPr="00543D10">
              <w:rPr>
                <w:rFonts w:ascii="Arial" w:eastAsia="Times New Roman" w:hAnsi="Arial" w:cs="Arial"/>
                <w:sz w:val="20"/>
                <w:szCs w:val="20"/>
                <w:lang w:eastAsia="en-GB"/>
              </w:rPr>
              <w:t>Net current assets</w:t>
            </w:r>
          </w:p>
        </w:tc>
        <w:tc>
          <w:tcPr>
            <w:tcW w:w="1582" w:type="dxa"/>
            <w:tcBorders>
              <w:top w:val="nil"/>
              <w:left w:val="nil"/>
              <w:bottom w:val="nil"/>
              <w:right w:val="nil"/>
            </w:tcBorders>
            <w:shd w:val="clear" w:color="auto" w:fill="auto"/>
            <w:noWrap/>
            <w:vAlign w:val="center"/>
          </w:tcPr>
          <w:p w14:paraId="58EBC8F0" w14:textId="77777777" w:rsidR="00265730" w:rsidRPr="00543D10" w:rsidRDefault="00A01842" w:rsidP="00265730">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w:t>
            </w:r>
          </w:p>
        </w:tc>
        <w:tc>
          <w:tcPr>
            <w:tcW w:w="874" w:type="dxa"/>
            <w:tcBorders>
              <w:top w:val="nil"/>
              <w:left w:val="nil"/>
              <w:bottom w:val="nil"/>
              <w:right w:val="nil"/>
            </w:tcBorders>
            <w:shd w:val="clear" w:color="auto" w:fill="auto"/>
            <w:noWrap/>
            <w:vAlign w:val="center"/>
            <w:hideMark/>
          </w:tcPr>
          <w:p w14:paraId="688887DC" w14:textId="77777777" w:rsidR="00265730" w:rsidRPr="002E528C" w:rsidRDefault="00265730" w:rsidP="00265730">
            <w:pPr>
              <w:spacing w:after="0" w:line="240" w:lineRule="auto"/>
              <w:jc w:val="right"/>
              <w:rPr>
                <w:rFonts w:ascii="Arial" w:eastAsia="Times New Roman" w:hAnsi="Arial" w:cs="Arial"/>
                <w:sz w:val="20"/>
                <w:szCs w:val="20"/>
                <w:lang w:eastAsia="en-GB"/>
              </w:rPr>
            </w:pPr>
            <w:r w:rsidRPr="006647C2">
              <w:rPr>
                <w:rFonts w:ascii="Arial" w:eastAsia="Times New Roman" w:hAnsi="Arial" w:cs="Arial"/>
                <w:bCs/>
                <w:sz w:val="20"/>
                <w:szCs w:val="20"/>
                <w:lang w:eastAsia="en-GB"/>
              </w:rPr>
              <w:t>-</w:t>
            </w:r>
          </w:p>
        </w:tc>
      </w:tr>
      <w:tr w:rsidR="00265730" w:rsidRPr="00543D10" w14:paraId="656EE3F5" w14:textId="77777777" w:rsidTr="00697C96">
        <w:trPr>
          <w:gridAfter w:val="1"/>
          <w:wAfter w:w="292" w:type="dxa"/>
          <w:trHeight w:val="324"/>
        </w:trPr>
        <w:tc>
          <w:tcPr>
            <w:tcW w:w="6684" w:type="dxa"/>
            <w:gridSpan w:val="2"/>
            <w:tcBorders>
              <w:top w:val="single" w:sz="4" w:space="0" w:color="auto"/>
              <w:left w:val="nil"/>
              <w:bottom w:val="single" w:sz="4" w:space="0" w:color="auto"/>
              <w:right w:val="nil"/>
            </w:tcBorders>
            <w:shd w:val="clear" w:color="auto" w:fill="auto"/>
            <w:noWrap/>
            <w:vAlign w:val="center"/>
            <w:hideMark/>
          </w:tcPr>
          <w:p w14:paraId="6404A4B8" w14:textId="77777777" w:rsidR="00265730" w:rsidRPr="00543D10" w:rsidRDefault="00265730" w:rsidP="00265730">
            <w:pPr>
              <w:spacing w:after="0" w:line="240" w:lineRule="auto"/>
              <w:rPr>
                <w:rFonts w:ascii="Arial" w:eastAsia="Times New Roman" w:hAnsi="Arial" w:cs="Arial"/>
                <w:sz w:val="20"/>
                <w:szCs w:val="20"/>
                <w:lang w:eastAsia="en-GB"/>
              </w:rPr>
            </w:pPr>
            <w:r w:rsidRPr="00543D10">
              <w:rPr>
                <w:rFonts w:ascii="Arial" w:eastAsia="Times New Roman" w:hAnsi="Arial" w:cs="Arial"/>
                <w:sz w:val="20"/>
                <w:szCs w:val="20"/>
                <w:lang w:eastAsia="en-GB"/>
              </w:rPr>
              <w:t>Total assets less current liabilities</w:t>
            </w:r>
          </w:p>
        </w:tc>
        <w:tc>
          <w:tcPr>
            <w:tcW w:w="1582" w:type="dxa"/>
            <w:tcBorders>
              <w:top w:val="single" w:sz="4" w:space="0" w:color="auto"/>
              <w:left w:val="nil"/>
              <w:bottom w:val="single" w:sz="4" w:space="0" w:color="auto"/>
              <w:right w:val="nil"/>
            </w:tcBorders>
            <w:shd w:val="clear" w:color="auto" w:fill="auto"/>
            <w:noWrap/>
            <w:vAlign w:val="center"/>
          </w:tcPr>
          <w:p w14:paraId="213018E3" w14:textId="77777777" w:rsidR="00265730" w:rsidRPr="00543D10" w:rsidRDefault="00A01842" w:rsidP="00265730">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547</w:t>
            </w:r>
          </w:p>
        </w:tc>
        <w:tc>
          <w:tcPr>
            <w:tcW w:w="874" w:type="dxa"/>
            <w:tcBorders>
              <w:top w:val="single" w:sz="4" w:space="0" w:color="auto"/>
              <w:left w:val="nil"/>
              <w:bottom w:val="single" w:sz="4" w:space="0" w:color="auto"/>
              <w:right w:val="nil"/>
            </w:tcBorders>
            <w:shd w:val="clear" w:color="auto" w:fill="auto"/>
            <w:noWrap/>
            <w:vAlign w:val="center"/>
            <w:hideMark/>
          </w:tcPr>
          <w:p w14:paraId="4D378179" w14:textId="77777777" w:rsidR="00265730" w:rsidRPr="002E528C" w:rsidRDefault="00265730" w:rsidP="00265730">
            <w:pPr>
              <w:spacing w:after="0" w:line="240" w:lineRule="auto"/>
              <w:jc w:val="right"/>
              <w:rPr>
                <w:rFonts w:ascii="Arial" w:eastAsia="Times New Roman" w:hAnsi="Arial" w:cs="Arial"/>
                <w:sz w:val="20"/>
                <w:szCs w:val="20"/>
                <w:lang w:eastAsia="en-GB"/>
              </w:rPr>
            </w:pPr>
            <w:r w:rsidRPr="006647C2">
              <w:rPr>
                <w:rFonts w:ascii="Arial" w:eastAsia="Times New Roman" w:hAnsi="Arial" w:cs="Arial"/>
                <w:bCs/>
                <w:sz w:val="20"/>
                <w:szCs w:val="20"/>
                <w:lang w:eastAsia="en-GB"/>
              </w:rPr>
              <w:t>566</w:t>
            </w:r>
          </w:p>
        </w:tc>
      </w:tr>
      <w:tr w:rsidR="00265730" w:rsidRPr="00543D10" w14:paraId="042ABB3B" w14:textId="77777777" w:rsidTr="00697C96">
        <w:trPr>
          <w:gridAfter w:val="1"/>
          <w:wAfter w:w="292" w:type="dxa"/>
          <w:trHeight w:val="324"/>
        </w:trPr>
        <w:tc>
          <w:tcPr>
            <w:tcW w:w="6684" w:type="dxa"/>
            <w:gridSpan w:val="2"/>
            <w:tcBorders>
              <w:top w:val="nil"/>
              <w:left w:val="nil"/>
              <w:bottom w:val="nil"/>
              <w:right w:val="nil"/>
            </w:tcBorders>
            <w:shd w:val="clear" w:color="auto" w:fill="auto"/>
            <w:noWrap/>
            <w:vAlign w:val="center"/>
            <w:hideMark/>
          </w:tcPr>
          <w:p w14:paraId="6A2C2882" w14:textId="77777777" w:rsidR="00265730" w:rsidRPr="00543D10" w:rsidRDefault="00265730" w:rsidP="00265730">
            <w:pPr>
              <w:spacing w:after="0" w:line="240" w:lineRule="auto"/>
              <w:rPr>
                <w:rFonts w:ascii="Arial" w:eastAsia="Times New Roman" w:hAnsi="Arial" w:cs="Arial"/>
                <w:sz w:val="20"/>
                <w:szCs w:val="20"/>
                <w:lang w:eastAsia="en-GB"/>
              </w:rPr>
            </w:pPr>
            <w:r w:rsidRPr="00543D10">
              <w:rPr>
                <w:rFonts w:ascii="Arial" w:eastAsia="Times New Roman" w:hAnsi="Arial" w:cs="Arial"/>
                <w:sz w:val="20"/>
                <w:szCs w:val="20"/>
                <w:lang w:eastAsia="en-GB"/>
              </w:rPr>
              <w:t>Funds</w:t>
            </w:r>
          </w:p>
        </w:tc>
        <w:tc>
          <w:tcPr>
            <w:tcW w:w="1582" w:type="dxa"/>
            <w:tcBorders>
              <w:top w:val="nil"/>
              <w:left w:val="nil"/>
              <w:bottom w:val="nil"/>
              <w:right w:val="nil"/>
            </w:tcBorders>
            <w:shd w:val="clear" w:color="auto" w:fill="auto"/>
            <w:noWrap/>
            <w:vAlign w:val="center"/>
          </w:tcPr>
          <w:p w14:paraId="3B1B02C1" w14:textId="77777777" w:rsidR="00265730" w:rsidRPr="00543D10" w:rsidRDefault="00265730" w:rsidP="00265730">
            <w:pPr>
              <w:spacing w:after="0" w:line="240" w:lineRule="auto"/>
              <w:jc w:val="right"/>
              <w:rPr>
                <w:rFonts w:ascii="Arial" w:eastAsia="Times New Roman" w:hAnsi="Arial" w:cs="Arial"/>
                <w:sz w:val="20"/>
                <w:szCs w:val="20"/>
                <w:lang w:eastAsia="en-GB"/>
              </w:rPr>
            </w:pPr>
          </w:p>
        </w:tc>
        <w:tc>
          <w:tcPr>
            <w:tcW w:w="874" w:type="dxa"/>
            <w:tcBorders>
              <w:top w:val="nil"/>
              <w:left w:val="nil"/>
              <w:bottom w:val="nil"/>
              <w:right w:val="nil"/>
            </w:tcBorders>
            <w:shd w:val="clear" w:color="auto" w:fill="auto"/>
            <w:noWrap/>
            <w:vAlign w:val="center"/>
            <w:hideMark/>
          </w:tcPr>
          <w:p w14:paraId="164585CD" w14:textId="77777777" w:rsidR="00265730" w:rsidRPr="002E528C" w:rsidRDefault="00265730" w:rsidP="00265730">
            <w:pPr>
              <w:spacing w:after="0" w:line="240" w:lineRule="auto"/>
              <w:jc w:val="right"/>
              <w:rPr>
                <w:rFonts w:ascii="Times New Roman" w:eastAsia="Times New Roman" w:hAnsi="Times New Roman" w:cs="Times New Roman"/>
                <w:sz w:val="20"/>
                <w:szCs w:val="20"/>
                <w:lang w:eastAsia="en-GB"/>
              </w:rPr>
            </w:pPr>
          </w:p>
        </w:tc>
      </w:tr>
      <w:tr w:rsidR="00265730" w:rsidRPr="00543D10" w14:paraId="00B0BC6B" w14:textId="77777777" w:rsidTr="00697C96">
        <w:trPr>
          <w:gridAfter w:val="1"/>
          <w:wAfter w:w="292" w:type="dxa"/>
          <w:trHeight w:val="324"/>
        </w:trPr>
        <w:tc>
          <w:tcPr>
            <w:tcW w:w="6684" w:type="dxa"/>
            <w:gridSpan w:val="2"/>
            <w:tcBorders>
              <w:top w:val="nil"/>
              <w:left w:val="nil"/>
              <w:bottom w:val="nil"/>
              <w:right w:val="nil"/>
            </w:tcBorders>
            <w:shd w:val="clear" w:color="auto" w:fill="auto"/>
            <w:noWrap/>
            <w:vAlign w:val="center"/>
            <w:hideMark/>
          </w:tcPr>
          <w:p w14:paraId="765D6AEC" w14:textId="77777777" w:rsidR="00265730" w:rsidRPr="00543D10" w:rsidRDefault="00265730" w:rsidP="00265730">
            <w:pPr>
              <w:spacing w:after="0" w:line="240" w:lineRule="auto"/>
              <w:rPr>
                <w:rFonts w:ascii="Arial" w:eastAsia="Times New Roman" w:hAnsi="Arial" w:cs="Arial"/>
                <w:sz w:val="20"/>
                <w:szCs w:val="20"/>
                <w:lang w:eastAsia="en-GB"/>
              </w:rPr>
            </w:pPr>
            <w:r w:rsidRPr="00543D10">
              <w:rPr>
                <w:rFonts w:ascii="Arial" w:eastAsia="Times New Roman" w:hAnsi="Arial" w:cs="Arial"/>
                <w:sz w:val="20"/>
                <w:szCs w:val="20"/>
                <w:lang w:eastAsia="en-GB"/>
              </w:rPr>
              <w:t>Restricted capital funds</w:t>
            </w:r>
          </w:p>
        </w:tc>
        <w:tc>
          <w:tcPr>
            <w:tcW w:w="1582" w:type="dxa"/>
            <w:tcBorders>
              <w:top w:val="nil"/>
              <w:left w:val="nil"/>
              <w:bottom w:val="single" w:sz="4" w:space="0" w:color="auto"/>
              <w:right w:val="nil"/>
            </w:tcBorders>
            <w:shd w:val="clear" w:color="auto" w:fill="auto"/>
            <w:noWrap/>
            <w:vAlign w:val="center"/>
          </w:tcPr>
          <w:p w14:paraId="78DBCB2E" w14:textId="77777777" w:rsidR="00265730" w:rsidRPr="00543D10" w:rsidRDefault="00A01842" w:rsidP="00265730">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547</w:t>
            </w:r>
          </w:p>
        </w:tc>
        <w:tc>
          <w:tcPr>
            <w:tcW w:w="874" w:type="dxa"/>
            <w:tcBorders>
              <w:top w:val="nil"/>
              <w:left w:val="nil"/>
              <w:bottom w:val="single" w:sz="4" w:space="0" w:color="auto"/>
              <w:right w:val="nil"/>
            </w:tcBorders>
            <w:shd w:val="clear" w:color="auto" w:fill="auto"/>
            <w:noWrap/>
            <w:vAlign w:val="center"/>
            <w:hideMark/>
          </w:tcPr>
          <w:p w14:paraId="230E8FD6" w14:textId="77777777" w:rsidR="00265730" w:rsidRPr="002E528C" w:rsidRDefault="00265730" w:rsidP="00265730">
            <w:pPr>
              <w:spacing w:after="0" w:line="240" w:lineRule="auto"/>
              <w:jc w:val="right"/>
              <w:rPr>
                <w:rFonts w:ascii="Arial" w:eastAsia="Times New Roman" w:hAnsi="Arial" w:cs="Arial"/>
                <w:sz w:val="20"/>
                <w:szCs w:val="20"/>
                <w:lang w:eastAsia="en-GB"/>
              </w:rPr>
            </w:pPr>
            <w:r w:rsidRPr="006647C2">
              <w:rPr>
                <w:rFonts w:ascii="Arial" w:eastAsia="Times New Roman" w:hAnsi="Arial" w:cs="Arial"/>
                <w:bCs/>
                <w:sz w:val="20"/>
                <w:szCs w:val="20"/>
                <w:lang w:eastAsia="en-GB"/>
              </w:rPr>
              <w:t>566</w:t>
            </w:r>
          </w:p>
        </w:tc>
      </w:tr>
      <w:tr w:rsidR="00265730" w:rsidRPr="00543D10" w14:paraId="22A1953C" w14:textId="77777777" w:rsidTr="00697C96">
        <w:trPr>
          <w:gridAfter w:val="1"/>
          <w:wAfter w:w="292" w:type="dxa"/>
          <w:trHeight w:val="324"/>
        </w:trPr>
        <w:tc>
          <w:tcPr>
            <w:tcW w:w="6684" w:type="dxa"/>
            <w:gridSpan w:val="2"/>
            <w:tcBorders>
              <w:top w:val="single" w:sz="4" w:space="0" w:color="auto"/>
              <w:left w:val="nil"/>
              <w:bottom w:val="single" w:sz="4" w:space="0" w:color="auto"/>
              <w:right w:val="nil"/>
            </w:tcBorders>
            <w:shd w:val="clear" w:color="auto" w:fill="auto"/>
            <w:noWrap/>
            <w:vAlign w:val="center"/>
            <w:hideMark/>
          </w:tcPr>
          <w:p w14:paraId="173906C7" w14:textId="77777777" w:rsidR="00265730" w:rsidRPr="00543D10" w:rsidRDefault="00265730" w:rsidP="00265730">
            <w:pPr>
              <w:spacing w:after="0" w:line="240" w:lineRule="auto"/>
              <w:rPr>
                <w:rFonts w:ascii="Arial" w:eastAsia="Times New Roman" w:hAnsi="Arial" w:cs="Arial"/>
                <w:sz w:val="20"/>
                <w:szCs w:val="20"/>
                <w:lang w:eastAsia="en-GB"/>
              </w:rPr>
            </w:pPr>
            <w:r w:rsidRPr="00543D10">
              <w:rPr>
                <w:rFonts w:ascii="Arial" w:eastAsia="Times New Roman" w:hAnsi="Arial" w:cs="Arial"/>
                <w:sz w:val="20"/>
                <w:szCs w:val="20"/>
                <w:lang w:eastAsia="en-GB"/>
              </w:rPr>
              <w:t>Total (see note 19)</w:t>
            </w:r>
          </w:p>
        </w:tc>
        <w:tc>
          <w:tcPr>
            <w:tcW w:w="1582" w:type="dxa"/>
            <w:tcBorders>
              <w:top w:val="nil"/>
              <w:left w:val="nil"/>
              <w:bottom w:val="single" w:sz="4" w:space="0" w:color="auto"/>
              <w:right w:val="nil"/>
            </w:tcBorders>
            <w:shd w:val="clear" w:color="auto" w:fill="auto"/>
            <w:noWrap/>
            <w:vAlign w:val="center"/>
          </w:tcPr>
          <w:p w14:paraId="01C5B2BA" w14:textId="77777777" w:rsidR="00265730" w:rsidRPr="00543D10" w:rsidRDefault="00A01842" w:rsidP="00265730">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547</w:t>
            </w:r>
          </w:p>
        </w:tc>
        <w:tc>
          <w:tcPr>
            <w:tcW w:w="874" w:type="dxa"/>
            <w:tcBorders>
              <w:top w:val="nil"/>
              <w:left w:val="nil"/>
              <w:bottom w:val="single" w:sz="4" w:space="0" w:color="auto"/>
              <w:right w:val="nil"/>
            </w:tcBorders>
            <w:shd w:val="clear" w:color="auto" w:fill="auto"/>
            <w:noWrap/>
            <w:vAlign w:val="center"/>
            <w:hideMark/>
          </w:tcPr>
          <w:p w14:paraId="18662B8E" w14:textId="77777777" w:rsidR="00265730" w:rsidRPr="002E528C" w:rsidRDefault="00265730" w:rsidP="00265730">
            <w:pPr>
              <w:spacing w:after="0" w:line="240" w:lineRule="auto"/>
              <w:jc w:val="right"/>
              <w:rPr>
                <w:rFonts w:ascii="Arial" w:eastAsia="Times New Roman" w:hAnsi="Arial" w:cs="Arial"/>
                <w:sz w:val="20"/>
                <w:szCs w:val="20"/>
                <w:lang w:eastAsia="en-GB"/>
              </w:rPr>
            </w:pPr>
            <w:r w:rsidRPr="006647C2">
              <w:rPr>
                <w:rFonts w:ascii="Arial" w:eastAsia="Times New Roman" w:hAnsi="Arial" w:cs="Arial"/>
                <w:bCs/>
                <w:sz w:val="20"/>
                <w:szCs w:val="20"/>
                <w:lang w:eastAsia="en-GB"/>
              </w:rPr>
              <w:t>566</w:t>
            </w:r>
          </w:p>
        </w:tc>
      </w:tr>
    </w:tbl>
    <w:p w14:paraId="2BE6D8D5" w14:textId="77777777" w:rsidR="004B18B9" w:rsidRPr="00543D10" w:rsidRDefault="004B18B9" w:rsidP="00396F6C">
      <w:pPr>
        <w:tabs>
          <w:tab w:val="left" w:pos="567"/>
        </w:tabs>
        <w:rPr>
          <w:rFonts w:ascii="Arial" w:hAnsi="Arial" w:cs="Arial"/>
          <w:b/>
          <w:i/>
          <w:sz w:val="24"/>
          <w:szCs w:val="24"/>
        </w:rPr>
      </w:pPr>
    </w:p>
    <w:tbl>
      <w:tblPr>
        <w:tblW w:w="9137" w:type="dxa"/>
        <w:tblLook w:val="04A0" w:firstRow="1" w:lastRow="0" w:firstColumn="1" w:lastColumn="0" w:noHBand="0" w:noVBand="1"/>
      </w:tblPr>
      <w:tblGrid>
        <w:gridCol w:w="4041"/>
        <w:gridCol w:w="1632"/>
        <w:gridCol w:w="1155"/>
        <w:gridCol w:w="1154"/>
        <w:gridCol w:w="1155"/>
      </w:tblGrid>
      <w:tr w:rsidR="00543D10" w:rsidRPr="00543D10" w14:paraId="59D52691" w14:textId="77777777" w:rsidTr="00697C96">
        <w:trPr>
          <w:trHeight w:val="398"/>
        </w:trPr>
        <w:tc>
          <w:tcPr>
            <w:tcW w:w="4041" w:type="dxa"/>
            <w:tcBorders>
              <w:top w:val="nil"/>
              <w:left w:val="nil"/>
              <w:bottom w:val="nil"/>
              <w:right w:val="nil"/>
            </w:tcBorders>
            <w:shd w:val="clear" w:color="auto" w:fill="auto"/>
            <w:noWrap/>
            <w:vAlign w:val="center"/>
            <w:hideMark/>
          </w:tcPr>
          <w:p w14:paraId="52191DC9" w14:textId="77777777" w:rsidR="00E70CD3" w:rsidRPr="00543D10" w:rsidRDefault="00BE0959" w:rsidP="007729E5">
            <w:pPr>
              <w:spacing w:after="0" w:line="240" w:lineRule="auto"/>
              <w:rPr>
                <w:rFonts w:ascii="Arial" w:eastAsia="Times New Roman" w:hAnsi="Arial" w:cs="Arial"/>
                <w:b/>
                <w:bCs/>
                <w:sz w:val="24"/>
                <w:szCs w:val="24"/>
                <w:lang w:eastAsia="en-GB"/>
              </w:rPr>
            </w:pPr>
            <w:r w:rsidRPr="00543D10">
              <w:rPr>
                <w:rFonts w:ascii="Arial" w:eastAsia="Times New Roman" w:hAnsi="Arial" w:cs="Arial"/>
                <w:b/>
                <w:bCs/>
                <w:sz w:val="24"/>
                <w:szCs w:val="24"/>
                <w:lang w:eastAsia="en-GB"/>
              </w:rPr>
              <w:t>12</w:t>
            </w:r>
            <w:r w:rsidR="00E70CD3" w:rsidRPr="00543D10">
              <w:rPr>
                <w:rFonts w:ascii="Arial" w:eastAsia="Times New Roman" w:hAnsi="Arial" w:cs="Arial"/>
                <w:b/>
                <w:bCs/>
                <w:sz w:val="24"/>
                <w:szCs w:val="24"/>
                <w:lang w:eastAsia="en-GB"/>
              </w:rPr>
              <w:t>. Stocks</w:t>
            </w:r>
          </w:p>
        </w:tc>
        <w:tc>
          <w:tcPr>
            <w:tcW w:w="1632" w:type="dxa"/>
            <w:tcBorders>
              <w:top w:val="nil"/>
              <w:left w:val="nil"/>
              <w:bottom w:val="nil"/>
              <w:right w:val="nil"/>
            </w:tcBorders>
            <w:shd w:val="clear" w:color="auto" w:fill="auto"/>
            <w:noWrap/>
            <w:vAlign w:val="center"/>
            <w:hideMark/>
          </w:tcPr>
          <w:p w14:paraId="28988545" w14:textId="77777777" w:rsidR="00E70CD3" w:rsidRPr="00543D10" w:rsidRDefault="00E70CD3" w:rsidP="007729E5">
            <w:pPr>
              <w:spacing w:after="0" w:line="240" w:lineRule="auto"/>
              <w:rPr>
                <w:rFonts w:ascii="Arial" w:eastAsia="Times New Roman" w:hAnsi="Arial" w:cs="Arial"/>
                <w:b/>
                <w:bCs/>
                <w:sz w:val="24"/>
                <w:szCs w:val="24"/>
                <w:lang w:eastAsia="en-GB"/>
              </w:rPr>
            </w:pPr>
          </w:p>
        </w:tc>
        <w:tc>
          <w:tcPr>
            <w:tcW w:w="1154" w:type="dxa"/>
            <w:tcBorders>
              <w:top w:val="nil"/>
              <w:left w:val="nil"/>
              <w:bottom w:val="nil"/>
              <w:right w:val="nil"/>
            </w:tcBorders>
            <w:shd w:val="clear" w:color="auto" w:fill="auto"/>
            <w:noWrap/>
            <w:vAlign w:val="center"/>
            <w:hideMark/>
          </w:tcPr>
          <w:p w14:paraId="7E3D70BE" w14:textId="77777777" w:rsidR="00E70CD3" w:rsidRPr="00543D10" w:rsidRDefault="00E70CD3" w:rsidP="007729E5">
            <w:pPr>
              <w:spacing w:after="0" w:line="240" w:lineRule="auto"/>
              <w:rPr>
                <w:rFonts w:ascii="Times New Roman" w:eastAsia="Times New Roman" w:hAnsi="Times New Roman" w:cs="Times New Roman"/>
                <w:sz w:val="20"/>
                <w:szCs w:val="20"/>
                <w:lang w:eastAsia="en-GB"/>
              </w:rPr>
            </w:pPr>
          </w:p>
        </w:tc>
        <w:tc>
          <w:tcPr>
            <w:tcW w:w="1154" w:type="dxa"/>
            <w:tcBorders>
              <w:top w:val="nil"/>
              <w:left w:val="nil"/>
              <w:bottom w:val="nil"/>
              <w:right w:val="nil"/>
            </w:tcBorders>
            <w:shd w:val="clear" w:color="auto" w:fill="auto"/>
            <w:noWrap/>
            <w:vAlign w:val="center"/>
            <w:hideMark/>
          </w:tcPr>
          <w:p w14:paraId="161B3092" w14:textId="77777777" w:rsidR="00E70CD3" w:rsidRPr="00543D10" w:rsidRDefault="00E70CD3" w:rsidP="007729E5">
            <w:pPr>
              <w:spacing w:after="0" w:line="240" w:lineRule="auto"/>
              <w:rPr>
                <w:rFonts w:ascii="Times New Roman" w:eastAsia="Times New Roman" w:hAnsi="Times New Roman" w:cs="Times New Roman"/>
                <w:sz w:val="20"/>
                <w:szCs w:val="20"/>
                <w:lang w:eastAsia="en-GB"/>
              </w:rPr>
            </w:pPr>
          </w:p>
        </w:tc>
        <w:tc>
          <w:tcPr>
            <w:tcW w:w="1154" w:type="dxa"/>
            <w:tcBorders>
              <w:top w:val="nil"/>
              <w:left w:val="nil"/>
              <w:bottom w:val="nil"/>
              <w:right w:val="nil"/>
            </w:tcBorders>
            <w:shd w:val="clear" w:color="auto" w:fill="auto"/>
            <w:noWrap/>
            <w:vAlign w:val="center"/>
            <w:hideMark/>
          </w:tcPr>
          <w:p w14:paraId="2C231B25" w14:textId="77777777" w:rsidR="00E70CD3" w:rsidRPr="00543D10" w:rsidRDefault="00E70CD3" w:rsidP="007729E5">
            <w:pPr>
              <w:spacing w:after="0" w:line="240" w:lineRule="auto"/>
              <w:rPr>
                <w:rFonts w:ascii="Times New Roman" w:eastAsia="Times New Roman" w:hAnsi="Times New Roman" w:cs="Times New Roman"/>
                <w:sz w:val="20"/>
                <w:szCs w:val="20"/>
                <w:lang w:eastAsia="en-GB"/>
              </w:rPr>
            </w:pPr>
          </w:p>
        </w:tc>
      </w:tr>
      <w:tr w:rsidR="00543D10" w:rsidRPr="00543D10" w14:paraId="6F7300F3" w14:textId="77777777" w:rsidTr="00697C96">
        <w:trPr>
          <w:trHeight w:val="320"/>
        </w:trPr>
        <w:tc>
          <w:tcPr>
            <w:tcW w:w="4041" w:type="dxa"/>
            <w:tcBorders>
              <w:top w:val="nil"/>
              <w:left w:val="nil"/>
              <w:bottom w:val="nil"/>
              <w:right w:val="nil"/>
            </w:tcBorders>
            <w:shd w:val="clear" w:color="auto" w:fill="auto"/>
            <w:noWrap/>
            <w:vAlign w:val="center"/>
            <w:hideMark/>
          </w:tcPr>
          <w:p w14:paraId="6135777E" w14:textId="77777777" w:rsidR="00E70CD3" w:rsidRPr="00543D10" w:rsidRDefault="00E70CD3" w:rsidP="007729E5">
            <w:pPr>
              <w:spacing w:after="0" w:line="240" w:lineRule="auto"/>
              <w:rPr>
                <w:rFonts w:ascii="Times New Roman" w:eastAsia="Times New Roman" w:hAnsi="Times New Roman" w:cs="Times New Roman"/>
                <w:sz w:val="20"/>
                <w:szCs w:val="20"/>
                <w:lang w:eastAsia="en-GB"/>
              </w:rPr>
            </w:pPr>
          </w:p>
        </w:tc>
        <w:tc>
          <w:tcPr>
            <w:tcW w:w="2787" w:type="dxa"/>
            <w:gridSpan w:val="2"/>
            <w:tcBorders>
              <w:top w:val="nil"/>
              <w:left w:val="nil"/>
              <w:bottom w:val="nil"/>
              <w:right w:val="nil"/>
            </w:tcBorders>
            <w:shd w:val="clear" w:color="auto" w:fill="auto"/>
            <w:noWrap/>
            <w:vAlign w:val="center"/>
            <w:hideMark/>
          </w:tcPr>
          <w:p w14:paraId="5B360F6A" w14:textId="77777777" w:rsidR="00E70CD3" w:rsidRPr="00543D10" w:rsidRDefault="00AF1D07" w:rsidP="0078452D">
            <w:pPr>
              <w:spacing w:after="0" w:line="24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 xml:space="preserve">              </w:t>
            </w:r>
            <w:r w:rsidR="00E70CD3" w:rsidRPr="00543D10">
              <w:rPr>
                <w:rFonts w:ascii="Arial" w:eastAsia="Times New Roman" w:hAnsi="Arial" w:cs="Arial"/>
                <w:sz w:val="20"/>
                <w:szCs w:val="20"/>
                <w:lang w:eastAsia="en-GB"/>
              </w:rPr>
              <w:t>Group</w:t>
            </w:r>
          </w:p>
        </w:tc>
        <w:tc>
          <w:tcPr>
            <w:tcW w:w="2309" w:type="dxa"/>
            <w:gridSpan w:val="2"/>
            <w:tcBorders>
              <w:top w:val="nil"/>
              <w:left w:val="nil"/>
              <w:bottom w:val="nil"/>
              <w:right w:val="nil"/>
            </w:tcBorders>
            <w:shd w:val="clear" w:color="auto" w:fill="auto"/>
            <w:noWrap/>
            <w:vAlign w:val="center"/>
            <w:hideMark/>
          </w:tcPr>
          <w:p w14:paraId="43FA2BE6" w14:textId="77777777" w:rsidR="00E70CD3" w:rsidRPr="00543D10" w:rsidRDefault="00AF1D07">
            <w:pPr>
              <w:spacing w:after="0" w:line="24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 xml:space="preserve">     </w:t>
            </w:r>
            <w:r w:rsidR="00E70CD3" w:rsidRPr="00543D10">
              <w:rPr>
                <w:rFonts w:ascii="Arial" w:eastAsia="Times New Roman" w:hAnsi="Arial" w:cs="Arial"/>
                <w:sz w:val="20"/>
                <w:szCs w:val="20"/>
                <w:lang w:eastAsia="en-GB"/>
              </w:rPr>
              <w:t>Company</w:t>
            </w:r>
          </w:p>
        </w:tc>
      </w:tr>
      <w:tr w:rsidR="00543D10" w:rsidRPr="00543D10" w14:paraId="19624B9E" w14:textId="77777777" w:rsidTr="00697C96">
        <w:trPr>
          <w:trHeight w:val="320"/>
        </w:trPr>
        <w:tc>
          <w:tcPr>
            <w:tcW w:w="4041" w:type="dxa"/>
            <w:tcBorders>
              <w:top w:val="nil"/>
              <w:left w:val="nil"/>
              <w:bottom w:val="nil"/>
              <w:right w:val="nil"/>
            </w:tcBorders>
            <w:shd w:val="clear" w:color="auto" w:fill="auto"/>
            <w:noWrap/>
            <w:vAlign w:val="center"/>
            <w:hideMark/>
          </w:tcPr>
          <w:p w14:paraId="29F867C9" w14:textId="77777777" w:rsidR="00E70CD3" w:rsidRPr="00543D10" w:rsidRDefault="00E70CD3" w:rsidP="007729E5">
            <w:pPr>
              <w:spacing w:after="0" w:line="240" w:lineRule="auto"/>
              <w:rPr>
                <w:rFonts w:ascii="Arial" w:eastAsia="Times New Roman" w:hAnsi="Arial" w:cs="Arial"/>
                <w:b/>
                <w:bCs/>
                <w:sz w:val="20"/>
                <w:szCs w:val="20"/>
                <w:lang w:eastAsia="en-GB"/>
              </w:rPr>
            </w:pPr>
            <w:r w:rsidRPr="00543D10">
              <w:rPr>
                <w:rFonts w:ascii="Arial" w:eastAsia="Times New Roman" w:hAnsi="Arial" w:cs="Arial"/>
                <w:b/>
                <w:bCs/>
                <w:sz w:val="20"/>
                <w:szCs w:val="20"/>
                <w:lang w:eastAsia="en-GB"/>
              </w:rPr>
              <w:t>Finished goods</w:t>
            </w:r>
          </w:p>
        </w:tc>
        <w:tc>
          <w:tcPr>
            <w:tcW w:w="1632" w:type="dxa"/>
            <w:tcBorders>
              <w:top w:val="nil"/>
              <w:left w:val="nil"/>
              <w:bottom w:val="nil"/>
              <w:right w:val="nil"/>
            </w:tcBorders>
            <w:shd w:val="clear" w:color="auto" w:fill="auto"/>
            <w:noWrap/>
            <w:vAlign w:val="center"/>
            <w:hideMark/>
          </w:tcPr>
          <w:p w14:paraId="39B24716" w14:textId="77777777" w:rsidR="00E70CD3" w:rsidRPr="00543D10" w:rsidRDefault="0037645F" w:rsidP="005B39D0">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2020</w:t>
            </w:r>
          </w:p>
        </w:tc>
        <w:tc>
          <w:tcPr>
            <w:tcW w:w="1154" w:type="dxa"/>
            <w:tcBorders>
              <w:top w:val="nil"/>
              <w:left w:val="nil"/>
              <w:bottom w:val="nil"/>
              <w:right w:val="nil"/>
            </w:tcBorders>
            <w:shd w:val="clear" w:color="auto" w:fill="auto"/>
            <w:noWrap/>
            <w:vAlign w:val="center"/>
            <w:hideMark/>
          </w:tcPr>
          <w:p w14:paraId="075DF242" w14:textId="77777777" w:rsidR="00E70CD3" w:rsidRPr="00543D10" w:rsidRDefault="0037645F" w:rsidP="005B39D0">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2019</w:t>
            </w:r>
          </w:p>
        </w:tc>
        <w:tc>
          <w:tcPr>
            <w:tcW w:w="1154" w:type="dxa"/>
            <w:tcBorders>
              <w:top w:val="nil"/>
              <w:left w:val="nil"/>
              <w:bottom w:val="nil"/>
              <w:right w:val="nil"/>
            </w:tcBorders>
            <w:shd w:val="clear" w:color="auto" w:fill="auto"/>
            <w:noWrap/>
            <w:vAlign w:val="center"/>
            <w:hideMark/>
          </w:tcPr>
          <w:p w14:paraId="3A238A98" w14:textId="77777777" w:rsidR="00E70CD3" w:rsidRPr="00543D10" w:rsidRDefault="0037645F" w:rsidP="005B39D0">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2020</w:t>
            </w:r>
          </w:p>
        </w:tc>
        <w:tc>
          <w:tcPr>
            <w:tcW w:w="1154" w:type="dxa"/>
            <w:tcBorders>
              <w:top w:val="nil"/>
              <w:left w:val="nil"/>
              <w:bottom w:val="nil"/>
              <w:right w:val="nil"/>
            </w:tcBorders>
            <w:shd w:val="clear" w:color="auto" w:fill="auto"/>
            <w:noWrap/>
            <w:vAlign w:val="center"/>
            <w:hideMark/>
          </w:tcPr>
          <w:p w14:paraId="0088C10A" w14:textId="77777777" w:rsidR="00E70CD3" w:rsidRPr="00543D10" w:rsidRDefault="0037645F" w:rsidP="005B39D0">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2019</w:t>
            </w:r>
          </w:p>
        </w:tc>
      </w:tr>
      <w:tr w:rsidR="00543D10" w:rsidRPr="00543D10" w14:paraId="5B962D28" w14:textId="77777777" w:rsidTr="00697C96">
        <w:trPr>
          <w:trHeight w:val="320"/>
        </w:trPr>
        <w:tc>
          <w:tcPr>
            <w:tcW w:w="4041" w:type="dxa"/>
            <w:tcBorders>
              <w:top w:val="nil"/>
              <w:left w:val="nil"/>
              <w:bottom w:val="single" w:sz="4" w:space="0" w:color="auto"/>
              <w:right w:val="nil"/>
            </w:tcBorders>
            <w:shd w:val="clear" w:color="auto" w:fill="auto"/>
            <w:noWrap/>
            <w:vAlign w:val="center"/>
            <w:hideMark/>
          </w:tcPr>
          <w:p w14:paraId="6AFB9B9A" w14:textId="77777777" w:rsidR="00E70CD3" w:rsidRPr="00543D10" w:rsidRDefault="00E70CD3" w:rsidP="007729E5">
            <w:pPr>
              <w:spacing w:after="0" w:line="240" w:lineRule="auto"/>
              <w:rPr>
                <w:rFonts w:ascii="Arial" w:eastAsia="Times New Roman" w:hAnsi="Arial" w:cs="Arial"/>
                <w:sz w:val="20"/>
                <w:szCs w:val="20"/>
                <w:lang w:eastAsia="en-GB"/>
              </w:rPr>
            </w:pPr>
            <w:r w:rsidRPr="00543D10">
              <w:rPr>
                <w:rFonts w:ascii="Arial" w:eastAsia="Times New Roman" w:hAnsi="Arial" w:cs="Arial"/>
                <w:sz w:val="20"/>
                <w:szCs w:val="20"/>
                <w:lang w:eastAsia="en-GB"/>
              </w:rPr>
              <w:t> </w:t>
            </w:r>
          </w:p>
        </w:tc>
        <w:tc>
          <w:tcPr>
            <w:tcW w:w="1632" w:type="dxa"/>
            <w:tcBorders>
              <w:top w:val="nil"/>
              <w:left w:val="nil"/>
              <w:bottom w:val="single" w:sz="4" w:space="0" w:color="auto"/>
              <w:right w:val="nil"/>
            </w:tcBorders>
            <w:shd w:val="clear" w:color="auto" w:fill="auto"/>
            <w:noWrap/>
            <w:vAlign w:val="center"/>
            <w:hideMark/>
          </w:tcPr>
          <w:p w14:paraId="518D58EB" w14:textId="77777777" w:rsidR="00E70CD3" w:rsidRPr="00543D10" w:rsidRDefault="00E70CD3" w:rsidP="005B39D0">
            <w:pPr>
              <w:spacing w:after="0" w:line="240" w:lineRule="auto"/>
              <w:jc w:val="right"/>
              <w:rPr>
                <w:rFonts w:ascii="Arial" w:eastAsia="Times New Roman" w:hAnsi="Arial" w:cs="Arial"/>
                <w:b/>
                <w:bCs/>
                <w:sz w:val="20"/>
                <w:szCs w:val="20"/>
                <w:lang w:eastAsia="en-GB"/>
              </w:rPr>
            </w:pPr>
            <w:r w:rsidRPr="00543D10">
              <w:rPr>
                <w:rFonts w:ascii="Arial" w:eastAsia="Times New Roman" w:hAnsi="Arial" w:cs="Arial"/>
                <w:b/>
                <w:bCs/>
                <w:sz w:val="20"/>
                <w:szCs w:val="20"/>
                <w:lang w:eastAsia="en-GB"/>
              </w:rPr>
              <w:t>£'000</w:t>
            </w:r>
          </w:p>
        </w:tc>
        <w:tc>
          <w:tcPr>
            <w:tcW w:w="1154" w:type="dxa"/>
            <w:tcBorders>
              <w:top w:val="nil"/>
              <w:left w:val="nil"/>
              <w:bottom w:val="single" w:sz="4" w:space="0" w:color="auto"/>
              <w:right w:val="nil"/>
            </w:tcBorders>
            <w:shd w:val="clear" w:color="auto" w:fill="auto"/>
            <w:noWrap/>
            <w:vAlign w:val="center"/>
            <w:hideMark/>
          </w:tcPr>
          <w:p w14:paraId="36991C3E" w14:textId="77777777" w:rsidR="00E70CD3" w:rsidRPr="00543D10" w:rsidRDefault="00E70CD3" w:rsidP="005B39D0">
            <w:pPr>
              <w:spacing w:after="0" w:line="240" w:lineRule="auto"/>
              <w:jc w:val="right"/>
              <w:rPr>
                <w:rFonts w:ascii="Arial" w:eastAsia="Times New Roman" w:hAnsi="Arial" w:cs="Arial"/>
                <w:sz w:val="20"/>
                <w:szCs w:val="20"/>
                <w:lang w:eastAsia="en-GB"/>
              </w:rPr>
            </w:pPr>
            <w:r w:rsidRPr="00543D10">
              <w:rPr>
                <w:rFonts w:ascii="Arial" w:eastAsia="Times New Roman" w:hAnsi="Arial" w:cs="Arial"/>
                <w:sz w:val="20"/>
                <w:szCs w:val="20"/>
                <w:lang w:eastAsia="en-GB"/>
              </w:rPr>
              <w:t>£'000</w:t>
            </w:r>
          </w:p>
        </w:tc>
        <w:tc>
          <w:tcPr>
            <w:tcW w:w="1154" w:type="dxa"/>
            <w:tcBorders>
              <w:top w:val="nil"/>
              <w:left w:val="nil"/>
              <w:bottom w:val="single" w:sz="4" w:space="0" w:color="auto"/>
              <w:right w:val="nil"/>
            </w:tcBorders>
            <w:shd w:val="clear" w:color="auto" w:fill="auto"/>
            <w:noWrap/>
            <w:vAlign w:val="center"/>
            <w:hideMark/>
          </w:tcPr>
          <w:p w14:paraId="2ADD4D71" w14:textId="77777777" w:rsidR="00E70CD3" w:rsidRPr="00543D10" w:rsidRDefault="00E70CD3" w:rsidP="005B39D0">
            <w:pPr>
              <w:spacing w:after="0" w:line="240" w:lineRule="auto"/>
              <w:jc w:val="right"/>
              <w:rPr>
                <w:rFonts w:ascii="Arial" w:eastAsia="Times New Roman" w:hAnsi="Arial" w:cs="Arial"/>
                <w:b/>
                <w:bCs/>
                <w:sz w:val="20"/>
                <w:szCs w:val="20"/>
                <w:lang w:eastAsia="en-GB"/>
              </w:rPr>
            </w:pPr>
            <w:r w:rsidRPr="00543D10">
              <w:rPr>
                <w:rFonts w:ascii="Arial" w:eastAsia="Times New Roman" w:hAnsi="Arial" w:cs="Arial"/>
                <w:b/>
                <w:bCs/>
                <w:sz w:val="20"/>
                <w:szCs w:val="20"/>
                <w:lang w:eastAsia="en-GB"/>
              </w:rPr>
              <w:t>£'000</w:t>
            </w:r>
          </w:p>
        </w:tc>
        <w:tc>
          <w:tcPr>
            <w:tcW w:w="1154" w:type="dxa"/>
            <w:tcBorders>
              <w:top w:val="nil"/>
              <w:left w:val="nil"/>
              <w:bottom w:val="single" w:sz="4" w:space="0" w:color="auto"/>
              <w:right w:val="nil"/>
            </w:tcBorders>
            <w:shd w:val="clear" w:color="auto" w:fill="auto"/>
            <w:noWrap/>
            <w:vAlign w:val="center"/>
            <w:hideMark/>
          </w:tcPr>
          <w:p w14:paraId="06F0B681" w14:textId="77777777" w:rsidR="00E70CD3" w:rsidRPr="00543D10" w:rsidRDefault="00E70CD3" w:rsidP="005B39D0">
            <w:pPr>
              <w:spacing w:after="0" w:line="240" w:lineRule="auto"/>
              <w:jc w:val="right"/>
              <w:rPr>
                <w:rFonts w:ascii="Arial" w:eastAsia="Times New Roman" w:hAnsi="Arial" w:cs="Arial"/>
                <w:sz w:val="20"/>
                <w:szCs w:val="20"/>
                <w:lang w:eastAsia="en-GB"/>
              </w:rPr>
            </w:pPr>
            <w:r w:rsidRPr="00543D10">
              <w:rPr>
                <w:rFonts w:ascii="Arial" w:eastAsia="Times New Roman" w:hAnsi="Arial" w:cs="Arial"/>
                <w:sz w:val="20"/>
                <w:szCs w:val="20"/>
                <w:lang w:eastAsia="en-GB"/>
              </w:rPr>
              <w:t>£'000</w:t>
            </w:r>
          </w:p>
        </w:tc>
      </w:tr>
      <w:tr w:rsidR="00265730" w:rsidRPr="00491197" w14:paraId="1C36C4CD" w14:textId="77777777" w:rsidTr="00697C96">
        <w:trPr>
          <w:trHeight w:val="320"/>
        </w:trPr>
        <w:tc>
          <w:tcPr>
            <w:tcW w:w="4041" w:type="dxa"/>
            <w:tcBorders>
              <w:top w:val="nil"/>
              <w:left w:val="nil"/>
              <w:bottom w:val="nil"/>
              <w:right w:val="nil"/>
            </w:tcBorders>
            <w:shd w:val="clear" w:color="auto" w:fill="auto"/>
            <w:noWrap/>
            <w:vAlign w:val="center"/>
            <w:hideMark/>
          </w:tcPr>
          <w:p w14:paraId="2B4F3D83" w14:textId="77777777" w:rsidR="00265730" w:rsidRPr="00491197" w:rsidRDefault="00265730" w:rsidP="00265730">
            <w:pPr>
              <w:spacing w:after="0" w:line="240" w:lineRule="auto"/>
              <w:rPr>
                <w:rFonts w:ascii="Arial" w:eastAsia="Times New Roman" w:hAnsi="Arial" w:cs="Arial"/>
                <w:sz w:val="20"/>
                <w:szCs w:val="20"/>
                <w:lang w:eastAsia="en-GB"/>
              </w:rPr>
            </w:pPr>
            <w:r w:rsidRPr="00491197">
              <w:rPr>
                <w:rFonts w:ascii="Arial" w:eastAsia="Times New Roman" w:hAnsi="Arial" w:cs="Arial"/>
                <w:sz w:val="20"/>
                <w:szCs w:val="20"/>
                <w:lang w:eastAsia="en-GB"/>
              </w:rPr>
              <w:t>Plants, shrubs and nursery</w:t>
            </w:r>
          </w:p>
        </w:tc>
        <w:tc>
          <w:tcPr>
            <w:tcW w:w="1632" w:type="dxa"/>
            <w:tcBorders>
              <w:top w:val="nil"/>
              <w:left w:val="nil"/>
              <w:bottom w:val="nil"/>
              <w:right w:val="nil"/>
            </w:tcBorders>
            <w:shd w:val="clear" w:color="auto" w:fill="auto"/>
            <w:noWrap/>
            <w:vAlign w:val="center"/>
          </w:tcPr>
          <w:p w14:paraId="19F7863C" w14:textId="77777777" w:rsidR="00265730" w:rsidRPr="00491197" w:rsidRDefault="0036398E" w:rsidP="00265730">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439</w:t>
            </w:r>
          </w:p>
        </w:tc>
        <w:tc>
          <w:tcPr>
            <w:tcW w:w="1154" w:type="dxa"/>
            <w:tcBorders>
              <w:top w:val="nil"/>
              <w:left w:val="nil"/>
              <w:bottom w:val="nil"/>
              <w:right w:val="nil"/>
            </w:tcBorders>
            <w:shd w:val="clear" w:color="auto" w:fill="auto"/>
            <w:noWrap/>
            <w:vAlign w:val="center"/>
            <w:hideMark/>
          </w:tcPr>
          <w:p w14:paraId="47E575C0" w14:textId="77777777" w:rsidR="00265730" w:rsidRPr="00265730" w:rsidRDefault="00265730" w:rsidP="00265730">
            <w:pPr>
              <w:spacing w:after="0" w:line="240" w:lineRule="auto"/>
              <w:jc w:val="right"/>
              <w:rPr>
                <w:rFonts w:ascii="Arial" w:eastAsia="Times New Roman" w:hAnsi="Arial" w:cs="Arial"/>
                <w:sz w:val="20"/>
                <w:szCs w:val="20"/>
                <w:lang w:eastAsia="en-GB"/>
              </w:rPr>
            </w:pPr>
            <w:r w:rsidRPr="00265730">
              <w:rPr>
                <w:rFonts w:ascii="Arial" w:eastAsia="Times New Roman" w:hAnsi="Arial" w:cs="Arial"/>
                <w:bCs/>
                <w:sz w:val="20"/>
                <w:szCs w:val="20"/>
                <w:lang w:eastAsia="en-GB"/>
              </w:rPr>
              <w:t>575</w:t>
            </w:r>
          </w:p>
        </w:tc>
        <w:tc>
          <w:tcPr>
            <w:tcW w:w="1154" w:type="dxa"/>
            <w:tcBorders>
              <w:top w:val="nil"/>
              <w:left w:val="nil"/>
              <w:bottom w:val="nil"/>
              <w:right w:val="nil"/>
            </w:tcBorders>
            <w:shd w:val="clear" w:color="auto" w:fill="auto"/>
            <w:noWrap/>
            <w:vAlign w:val="center"/>
          </w:tcPr>
          <w:p w14:paraId="48E32B4E" w14:textId="77777777" w:rsidR="00265730" w:rsidRPr="00491197" w:rsidRDefault="0036398E" w:rsidP="0036398E">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214</w:t>
            </w:r>
          </w:p>
        </w:tc>
        <w:tc>
          <w:tcPr>
            <w:tcW w:w="1154" w:type="dxa"/>
            <w:tcBorders>
              <w:top w:val="nil"/>
              <w:left w:val="nil"/>
              <w:bottom w:val="nil"/>
              <w:right w:val="nil"/>
            </w:tcBorders>
            <w:shd w:val="clear" w:color="auto" w:fill="auto"/>
            <w:noWrap/>
            <w:vAlign w:val="center"/>
            <w:hideMark/>
          </w:tcPr>
          <w:p w14:paraId="4E012008" w14:textId="77777777" w:rsidR="00265730" w:rsidRPr="00265730" w:rsidRDefault="00265730" w:rsidP="00265730">
            <w:pPr>
              <w:spacing w:after="0" w:line="240" w:lineRule="auto"/>
              <w:jc w:val="right"/>
              <w:rPr>
                <w:rFonts w:ascii="Arial" w:eastAsia="Times New Roman" w:hAnsi="Arial" w:cs="Arial"/>
                <w:sz w:val="20"/>
                <w:szCs w:val="20"/>
                <w:lang w:eastAsia="en-GB"/>
              </w:rPr>
            </w:pPr>
            <w:r w:rsidRPr="00265730">
              <w:rPr>
                <w:rFonts w:ascii="Arial" w:eastAsia="Times New Roman" w:hAnsi="Arial" w:cs="Arial"/>
                <w:bCs/>
                <w:sz w:val="20"/>
                <w:szCs w:val="20"/>
                <w:lang w:eastAsia="en-GB"/>
              </w:rPr>
              <w:t>370</w:t>
            </w:r>
          </w:p>
        </w:tc>
      </w:tr>
      <w:tr w:rsidR="00265730" w:rsidRPr="00491197" w14:paraId="285DA8E3" w14:textId="77777777" w:rsidTr="00697C96">
        <w:trPr>
          <w:trHeight w:val="320"/>
        </w:trPr>
        <w:tc>
          <w:tcPr>
            <w:tcW w:w="4041" w:type="dxa"/>
            <w:tcBorders>
              <w:top w:val="nil"/>
              <w:left w:val="nil"/>
              <w:bottom w:val="nil"/>
              <w:right w:val="nil"/>
            </w:tcBorders>
            <w:shd w:val="clear" w:color="auto" w:fill="auto"/>
            <w:noWrap/>
            <w:vAlign w:val="center"/>
            <w:hideMark/>
          </w:tcPr>
          <w:p w14:paraId="7C28A38B" w14:textId="77777777" w:rsidR="00265730" w:rsidRPr="00491197" w:rsidRDefault="00265730" w:rsidP="00265730">
            <w:pPr>
              <w:spacing w:after="0" w:line="240" w:lineRule="auto"/>
              <w:rPr>
                <w:rFonts w:ascii="Arial" w:eastAsia="Times New Roman" w:hAnsi="Arial" w:cs="Arial"/>
                <w:sz w:val="20"/>
                <w:szCs w:val="20"/>
                <w:lang w:eastAsia="en-GB"/>
              </w:rPr>
            </w:pPr>
            <w:r w:rsidRPr="00491197">
              <w:rPr>
                <w:rFonts w:ascii="Arial" w:eastAsia="Times New Roman" w:hAnsi="Arial" w:cs="Arial"/>
                <w:sz w:val="20"/>
                <w:szCs w:val="20"/>
                <w:lang w:eastAsia="en-GB"/>
              </w:rPr>
              <w:t>Shop stock</w:t>
            </w:r>
          </w:p>
        </w:tc>
        <w:tc>
          <w:tcPr>
            <w:tcW w:w="1632" w:type="dxa"/>
            <w:tcBorders>
              <w:top w:val="nil"/>
              <w:left w:val="nil"/>
              <w:bottom w:val="nil"/>
              <w:right w:val="nil"/>
            </w:tcBorders>
            <w:shd w:val="clear" w:color="auto" w:fill="auto"/>
            <w:noWrap/>
            <w:vAlign w:val="center"/>
          </w:tcPr>
          <w:p w14:paraId="3E16F8BE" w14:textId="77777777" w:rsidR="00265730" w:rsidRPr="00491197" w:rsidRDefault="00A01842" w:rsidP="00265730">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68</w:t>
            </w:r>
          </w:p>
        </w:tc>
        <w:tc>
          <w:tcPr>
            <w:tcW w:w="1154" w:type="dxa"/>
            <w:tcBorders>
              <w:top w:val="nil"/>
              <w:left w:val="nil"/>
              <w:bottom w:val="nil"/>
              <w:right w:val="nil"/>
            </w:tcBorders>
            <w:shd w:val="clear" w:color="auto" w:fill="auto"/>
            <w:noWrap/>
            <w:vAlign w:val="center"/>
            <w:hideMark/>
          </w:tcPr>
          <w:p w14:paraId="12516492" w14:textId="77777777" w:rsidR="00265730" w:rsidRPr="00265730" w:rsidRDefault="00265730" w:rsidP="00265730">
            <w:pPr>
              <w:spacing w:after="0" w:line="240" w:lineRule="auto"/>
              <w:jc w:val="right"/>
              <w:rPr>
                <w:rFonts w:ascii="Arial" w:eastAsia="Times New Roman" w:hAnsi="Arial" w:cs="Arial"/>
                <w:sz w:val="20"/>
                <w:szCs w:val="20"/>
                <w:lang w:eastAsia="en-GB"/>
              </w:rPr>
            </w:pPr>
            <w:r w:rsidRPr="00265730">
              <w:rPr>
                <w:rFonts w:ascii="Arial" w:eastAsia="Times New Roman" w:hAnsi="Arial" w:cs="Arial"/>
                <w:bCs/>
                <w:sz w:val="20"/>
                <w:szCs w:val="20"/>
                <w:lang w:eastAsia="en-GB"/>
              </w:rPr>
              <w:t>132</w:t>
            </w:r>
          </w:p>
        </w:tc>
        <w:tc>
          <w:tcPr>
            <w:tcW w:w="1154" w:type="dxa"/>
            <w:tcBorders>
              <w:top w:val="nil"/>
              <w:left w:val="nil"/>
              <w:bottom w:val="nil"/>
              <w:right w:val="nil"/>
            </w:tcBorders>
            <w:shd w:val="clear" w:color="auto" w:fill="auto"/>
            <w:noWrap/>
            <w:vAlign w:val="center"/>
          </w:tcPr>
          <w:p w14:paraId="578BFCD2" w14:textId="77777777" w:rsidR="00265730" w:rsidRPr="00491197" w:rsidRDefault="00A01842" w:rsidP="00265730">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68</w:t>
            </w:r>
          </w:p>
        </w:tc>
        <w:tc>
          <w:tcPr>
            <w:tcW w:w="1154" w:type="dxa"/>
            <w:tcBorders>
              <w:top w:val="nil"/>
              <w:left w:val="nil"/>
              <w:bottom w:val="nil"/>
              <w:right w:val="nil"/>
            </w:tcBorders>
            <w:shd w:val="clear" w:color="auto" w:fill="auto"/>
            <w:noWrap/>
            <w:vAlign w:val="center"/>
            <w:hideMark/>
          </w:tcPr>
          <w:p w14:paraId="306EDE94" w14:textId="77777777" w:rsidR="00265730" w:rsidRPr="00265730" w:rsidRDefault="00265730" w:rsidP="00265730">
            <w:pPr>
              <w:spacing w:after="0" w:line="240" w:lineRule="auto"/>
              <w:jc w:val="right"/>
              <w:rPr>
                <w:rFonts w:ascii="Arial" w:eastAsia="Times New Roman" w:hAnsi="Arial" w:cs="Arial"/>
                <w:sz w:val="20"/>
                <w:szCs w:val="20"/>
                <w:lang w:eastAsia="en-GB"/>
              </w:rPr>
            </w:pPr>
            <w:r w:rsidRPr="00265730">
              <w:rPr>
                <w:rFonts w:ascii="Arial" w:eastAsia="Times New Roman" w:hAnsi="Arial" w:cs="Arial"/>
                <w:bCs/>
                <w:sz w:val="20"/>
                <w:szCs w:val="20"/>
                <w:lang w:eastAsia="en-GB"/>
              </w:rPr>
              <w:t>132</w:t>
            </w:r>
          </w:p>
        </w:tc>
      </w:tr>
      <w:tr w:rsidR="00265730" w:rsidRPr="00491197" w14:paraId="2572A2A7" w14:textId="77777777" w:rsidTr="00697C96">
        <w:trPr>
          <w:trHeight w:val="320"/>
        </w:trPr>
        <w:tc>
          <w:tcPr>
            <w:tcW w:w="4041" w:type="dxa"/>
            <w:tcBorders>
              <w:top w:val="nil"/>
              <w:left w:val="nil"/>
              <w:bottom w:val="nil"/>
              <w:right w:val="nil"/>
            </w:tcBorders>
            <w:shd w:val="clear" w:color="auto" w:fill="auto"/>
            <w:noWrap/>
            <w:vAlign w:val="center"/>
            <w:hideMark/>
          </w:tcPr>
          <w:p w14:paraId="2C24CD21" w14:textId="77777777" w:rsidR="00265730" w:rsidRPr="00491197" w:rsidRDefault="00265730" w:rsidP="00265730">
            <w:pPr>
              <w:spacing w:after="0" w:line="240" w:lineRule="auto"/>
              <w:rPr>
                <w:rFonts w:ascii="Arial" w:eastAsia="Times New Roman" w:hAnsi="Arial" w:cs="Arial"/>
                <w:sz w:val="20"/>
                <w:szCs w:val="20"/>
                <w:lang w:eastAsia="en-GB"/>
              </w:rPr>
            </w:pPr>
            <w:r w:rsidRPr="00491197">
              <w:rPr>
                <w:rFonts w:ascii="Arial" w:eastAsia="Times New Roman" w:hAnsi="Arial" w:cs="Arial"/>
                <w:sz w:val="20"/>
                <w:szCs w:val="20"/>
                <w:lang w:eastAsia="en-GB"/>
              </w:rPr>
              <w:t>Other</w:t>
            </w:r>
          </w:p>
        </w:tc>
        <w:tc>
          <w:tcPr>
            <w:tcW w:w="1632" w:type="dxa"/>
            <w:tcBorders>
              <w:top w:val="nil"/>
              <w:left w:val="nil"/>
              <w:bottom w:val="nil"/>
              <w:right w:val="nil"/>
            </w:tcBorders>
            <w:shd w:val="clear" w:color="auto" w:fill="auto"/>
            <w:noWrap/>
            <w:vAlign w:val="center"/>
          </w:tcPr>
          <w:p w14:paraId="1ADE3B77" w14:textId="77777777" w:rsidR="00265730" w:rsidRPr="00491197" w:rsidRDefault="0036398E" w:rsidP="00265730">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41</w:t>
            </w:r>
          </w:p>
        </w:tc>
        <w:tc>
          <w:tcPr>
            <w:tcW w:w="1154" w:type="dxa"/>
            <w:tcBorders>
              <w:top w:val="nil"/>
              <w:left w:val="nil"/>
              <w:bottom w:val="nil"/>
              <w:right w:val="nil"/>
            </w:tcBorders>
            <w:shd w:val="clear" w:color="auto" w:fill="auto"/>
            <w:noWrap/>
            <w:vAlign w:val="center"/>
            <w:hideMark/>
          </w:tcPr>
          <w:p w14:paraId="5A9BFADA" w14:textId="77777777" w:rsidR="00265730" w:rsidRPr="00265730" w:rsidRDefault="00265730" w:rsidP="00265730">
            <w:pPr>
              <w:spacing w:after="0" w:line="240" w:lineRule="auto"/>
              <w:jc w:val="right"/>
              <w:rPr>
                <w:rFonts w:ascii="Arial" w:eastAsia="Times New Roman" w:hAnsi="Arial" w:cs="Arial"/>
                <w:sz w:val="20"/>
                <w:szCs w:val="20"/>
                <w:lang w:eastAsia="en-GB"/>
              </w:rPr>
            </w:pPr>
            <w:r w:rsidRPr="00265730">
              <w:rPr>
                <w:rFonts w:ascii="Arial" w:eastAsia="Times New Roman" w:hAnsi="Arial" w:cs="Arial"/>
                <w:bCs/>
                <w:sz w:val="20"/>
                <w:szCs w:val="20"/>
                <w:lang w:eastAsia="en-GB"/>
              </w:rPr>
              <w:t>42</w:t>
            </w:r>
          </w:p>
        </w:tc>
        <w:tc>
          <w:tcPr>
            <w:tcW w:w="1154" w:type="dxa"/>
            <w:tcBorders>
              <w:top w:val="nil"/>
              <w:left w:val="nil"/>
              <w:bottom w:val="nil"/>
              <w:right w:val="nil"/>
            </w:tcBorders>
            <w:shd w:val="clear" w:color="auto" w:fill="auto"/>
            <w:noWrap/>
            <w:vAlign w:val="center"/>
          </w:tcPr>
          <w:p w14:paraId="2CF366FF" w14:textId="77777777" w:rsidR="00265730" w:rsidRPr="00491197" w:rsidRDefault="0036398E" w:rsidP="00265730">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41</w:t>
            </w:r>
          </w:p>
        </w:tc>
        <w:tc>
          <w:tcPr>
            <w:tcW w:w="1154" w:type="dxa"/>
            <w:tcBorders>
              <w:top w:val="nil"/>
              <w:left w:val="nil"/>
              <w:bottom w:val="nil"/>
              <w:right w:val="nil"/>
            </w:tcBorders>
            <w:shd w:val="clear" w:color="auto" w:fill="auto"/>
            <w:noWrap/>
            <w:vAlign w:val="center"/>
            <w:hideMark/>
          </w:tcPr>
          <w:p w14:paraId="10C30A66" w14:textId="77777777" w:rsidR="00265730" w:rsidRPr="00265730" w:rsidRDefault="00265730" w:rsidP="00265730">
            <w:pPr>
              <w:spacing w:after="0" w:line="240" w:lineRule="auto"/>
              <w:jc w:val="right"/>
              <w:rPr>
                <w:rFonts w:ascii="Arial" w:eastAsia="Times New Roman" w:hAnsi="Arial" w:cs="Arial"/>
                <w:sz w:val="20"/>
                <w:szCs w:val="20"/>
                <w:lang w:eastAsia="en-GB"/>
              </w:rPr>
            </w:pPr>
            <w:r w:rsidRPr="00265730">
              <w:rPr>
                <w:rFonts w:ascii="Arial" w:eastAsia="Times New Roman" w:hAnsi="Arial" w:cs="Arial"/>
                <w:bCs/>
                <w:sz w:val="20"/>
                <w:szCs w:val="20"/>
                <w:lang w:eastAsia="en-GB"/>
              </w:rPr>
              <w:t>42</w:t>
            </w:r>
          </w:p>
        </w:tc>
      </w:tr>
      <w:tr w:rsidR="00265730" w:rsidRPr="00491197" w14:paraId="1136B5EA" w14:textId="77777777" w:rsidTr="00697C96">
        <w:trPr>
          <w:trHeight w:val="320"/>
        </w:trPr>
        <w:tc>
          <w:tcPr>
            <w:tcW w:w="4041" w:type="dxa"/>
            <w:tcBorders>
              <w:top w:val="single" w:sz="4" w:space="0" w:color="auto"/>
              <w:left w:val="nil"/>
              <w:bottom w:val="single" w:sz="4" w:space="0" w:color="auto"/>
              <w:right w:val="nil"/>
            </w:tcBorders>
            <w:shd w:val="clear" w:color="auto" w:fill="auto"/>
            <w:noWrap/>
            <w:vAlign w:val="center"/>
            <w:hideMark/>
          </w:tcPr>
          <w:p w14:paraId="39D6B1F7" w14:textId="77777777" w:rsidR="00265730" w:rsidRPr="00491197" w:rsidRDefault="00265730" w:rsidP="00265730">
            <w:pPr>
              <w:spacing w:after="0" w:line="240" w:lineRule="auto"/>
              <w:rPr>
                <w:rFonts w:ascii="Arial" w:eastAsia="Times New Roman" w:hAnsi="Arial" w:cs="Arial"/>
                <w:sz w:val="20"/>
                <w:szCs w:val="20"/>
                <w:lang w:eastAsia="en-GB"/>
              </w:rPr>
            </w:pPr>
            <w:r w:rsidRPr="00491197">
              <w:rPr>
                <w:rFonts w:ascii="Arial" w:eastAsia="Times New Roman" w:hAnsi="Arial" w:cs="Arial"/>
                <w:sz w:val="20"/>
                <w:szCs w:val="20"/>
                <w:lang w:eastAsia="en-GB"/>
              </w:rPr>
              <w:t>Total</w:t>
            </w:r>
          </w:p>
        </w:tc>
        <w:tc>
          <w:tcPr>
            <w:tcW w:w="1632" w:type="dxa"/>
            <w:tcBorders>
              <w:top w:val="single" w:sz="4" w:space="0" w:color="auto"/>
              <w:left w:val="nil"/>
              <w:bottom w:val="single" w:sz="4" w:space="0" w:color="auto"/>
              <w:right w:val="nil"/>
            </w:tcBorders>
            <w:shd w:val="clear" w:color="auto" w:fill="auto"/>
            <w:noWrap/>
            <w:vAlign w:val="center"/>
          </w:tcPr>
          <w:p w14:paraId="7C762DA3" w14:textId="77777777" w:rsidR="00265730" w:rsidRPr="00491197" w:rsidRDefault="00A01842" w:rsidP="00265730">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548</w:t>
            </w:r>
          </w:p>
        </w:tc>
        <w:tc>
          <w:tcPr>
            <w:tcW w:w="1154" w:type="dxa"/>
            <w:tcBorders>
              <w:top w:val="single" w:sz="4" w:space="0" w:color="auto"/>
              <w:left w:val="nil"/>
              <w:bottom w:val="single" w:sz="4" w:space="0" w:color="auto"/>
              <w:right w:val="nil"/>
            </w:tcBorders>
            <w:shd w:val="clear" w:color="auto" w:fill="auto"/>
            <w:noWrap/>
            <w:vAlign w:val="center"/>
            <w:hideMark/>
          </w:tcPr>
          <w:p w14:paraId="5CC1CF68" w14:textId="77777777" w:rsidR="00265730" w:rsidRPr="00265730" w:rsidRDefault="00265730" w:rsidP="00265730">
            <w:pPr>
              <w:spacing w:after="0" w:line="240" w:lineRule="auto"/>
              <w:jc w:val="right"/>
              <w:rPr>
                <w:rFonts w:ascii="Arial" w:eastAsia="Times New Roman" w:hAnsi="Arial" w:cs="Arial"/>
                <w:sz w:val="20"/>
                <w:szCs w:val="20"/>
                <w:lang w:eastAsia="en-GB"/>
              </w:rPr>
            </w:pPr>
            <w:r w:rsidRPr="00265730">
              <w:rPr>
                <w:rFonts w:ascii="Arial" w:eastAsia="Times New Roman" w:hAnsi="Arial" w:cs="Arial"/>
                <w:bCs/>
                <w:sz w:val="20"/>
                <w:szCs w:val="20"/>
                <w:lang w:eastAsia="en-GB"/>
              </w:rPr>
              <w:t>749</w:t>
            </w:r>
          </w:p>
        </w:tc>
        <w:tc>
          <w:tcPr>
            <w:tcW w:w="1154" w:type="dxa"/>
            <w:tcBorders>
              <w:top w:val="single" w:sz="4" w:space="0" w:color="auto"/>
              <w:left w:val="nil"/>
              <w:bottom w:val="single" w:sz="4" w:space="0" w:color="auto"/>
              <w:right w:val="nil"/>
            </w:tcBorders>
            <w:shd w:val="clear" w:color="auto" w:fill="auto"/>
            <w:noWrap/>
            <w:vAlign w:val="center"/>
          </w:tcPr>
          <w:p w14:paraId="123EB91A" w14:textId="77777777" w:rsidR="00265730" w:rsidRPr="00491197" w:rsidRDefault="00A01842" w:rsidP="00265730">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323</w:t>
            </w:r>
          </w:p>
        </w:tc>
        <w:tc>
          <w:tcPr>
            <w:tcW w:w="1154" w:type="dxa"/>
            <w:tcBorders>
              <w:top w:val="single" w:sz="4" w:space="0" w:color="auto"/>
              <w:left w:val="nil"/>
              <w:bottom w:val="single" w:sz="4" w:space="0" w:color="auto"/>
              <w:right w:val="nil"/>
            </w:tcBorders>
            <w:shd w:val="clear" w:color="auto" w:fill="auto"/>
            <w:noWrap/>
            <w:vAlign w:val="center"/>
            <w:hideMark/>
          </w:tcPr>
          <w:p w14:paraId="0B4FD8A4" w14:textId="77777777" w:rsidR="00265730" w:rsidRPr="00265730" w:rsidRDefault="00265730" w:rsidP="00265730">
            <w:pPr>
              <w:spacing w:after="0" w:line="240" w:lineRule="auto"/>
              <w:jc w:val="right"/>
              <w:rPr>
                <w:rFonts w:ascii="Arial" w:eastAsia="Times New Roman" w:hAnsi="Arial" w:cs="Arial"/>
                <w:sz w:val="20"/>
                <w:szCs w:val="20"/>
                <w:lang w:eastAsia="en-GB"/>
              </w:rPr>
            </w:pPr>
            <w:r w:rsidRPr="00265730">
              <w:rPr>
                <w:rFonts w:ascii="Arial" w:eastAsia="Times New Roman" w:hAnsi="Arial" w:cs="Arial"/>
                <w:bCs/>
                <w:sz w:val="20"/>
                <w:szCs w:val="20"/>
                <w:lang w:eastAsia="en-GB"/>
              </w:rPr>
              <w:t>544</w:t>
            </w:r>
          </w:p>
        </w:tc>
      </w:tr>
    </w:tbl>
    <w:p w14:paraId="7AED9D88" w14:textId="77777777" w:rsidR="00E70CD3" w:rsidRDefault="00E70CD3" w:rsidP="00E70CD3">
      <w:pPr>
        <w:autoSpaceDE w:val="0"/>
        <w:autoSpaceDN w:val="0"/>
        <w:adjustRightInd w:val="0"/>
        <w:spacing w:after="0" w:line="240" w:lineRule="auto"/>
        <w:rPr>
          <w:rFonts w:ascii="Arial" w:hAnsi="Arial" w:cs="Arial"/>
          <w:sz w:val="20"/>
          <w:szCs w:val="20"/>
        </w:rPr>
      </w:pPr>
    </w:p>
    <w:tbl>
      <w:tblPr>
        <w:tblW w:w="9137" w:type="dxa"/>
        <w:tblLook w:val="04A0" w:firstRow="1" w:lastRow="0" w:firstColumn="1" w:lastColumn="0" w:noHBand="0" w:noVBand="1"/>
      </w:tblPr>
      <w:tblGrid>
        <w:gridCol w:w="3544"/>
        <w:gridCol w:w="709"/>
        <w:gridCol w:w="1256"/>
        <w:gridCol w:w="1296"/>
        <w:gridCol w:w="1256"/>
        <w:gridCol w:w="1076"/>
      </w:tblGrid>
      <w:tr w:rsidR="007C4794" w:rsidRPr="007C4794" w14:paraId="43441C35" w14:textId="77777777" w:rsidTr="006647C2">
        <w:trPr>
          <w:trHeight w:val="402"/>
        </w:trPr>
        <w:tc>
          <w:tcPr>
            <w:tcW w:w="3544" w:type="dxa"/>
            <w:tcBorders>
              <w:top w:val="nil"/>
              <w:left w:val="nil"/>
              <w:bottom w:val="nil"/>
              <w:right w:val="nil"/>
            </w:tcBorders>
            <w:shd w:val="clear" w:color="auto" w:fill="auto"/>
            <w:noWrap/>
            <w:vAlign w:val="center"/>
            <w:hideMark/>
          </w:tcPr>
          <w:p w14:paraId="08C16E35" w14:textId="77777777" w:rsidR="007C4794" w:rsidRPr="007C4794" w:rsidRDefault="00BE0959" w:rsidP="007C4794">
            <w:pPr>
              <w:spacing w:after="0" w:line="240" w:lineRule="auto"/>
              <w:rPr>
                <w:rFonts w:ascii="Arial" w:eastAsia="Times New Roman" w:hAnsi="Arial" w:cs="Arial"/>
                <w:b/>
                <w:bCs/>
                <w:sz w:val="24"/>
                <w:szCs w:val="24"/>
                <w:lang w:eastAsia="en-GB"/>
              </w:rPr>
            </w:pPr>
            <w:r>
              <w:rPr>
                <w:rFonts w:ascii="Arial" w:eastAsia="Times New Roman" w:hAnsi="Arial" w:cs="Arial"/>
                <w:b/>
                <w:bCs/>
                <w:sz w:val="24"/>
                <w:szCs w:val="24"/>
                <w:lang w:eastAsia="en-GB"/>
              </w:rPr>
              <w:t>13</w:t>
            </w:r>
            <w:r w:rsidR="007C4794" w:rsidRPr="007C4794">
              <w:rPr>
                <w:rFonts w:ascii="Arial" w:eastAsia="Times New Roman" w:hAnsi="Arial" w:cs="Arial"/>
                <w:b/>
                <w:bCs/>
                <w:sz w:val="24"/>
                <w:szCs w:val="24"/>
                <w:lang w:eastAsia="en-GB"/>
              </w:rPr>
              <w:t>. Debtors</w:t>
            </w:r>
          </w:p>
        </w:tc>
        <w:tc>
          <w:tcPr>
            <w:tcW w:w="709" w:type="dxa"/>
            <w:tcBorders>
              <w:top w:val="nil"/>
              <w:left w:val="nil"/>
              <w:bottom w:val="nil"/>
              <w:right w:val="nil"/>
            </w:tcBorders>
            <w:shd w:val="clear" w:color="auto" w:fill="auto"/>
            <w:noWrap/>
            <w:vAlign w:val="center"/>
            <w:hideMark/>
          </w:tcPr>
          <w:p w14:paraId="7FADAE35" w14:textId="77777777" w:rsidR="007C4794" w:rsidRPr="007C4794" w:rsidRDefault="007C4794" w:rsidP="007C4794">
            <w:pPr>
              <w:spacing w:after="0" w:line="240" w:lineRule="auto"/>
              <w:rPr>
                <w:rFonts w:ascii="Arial" w:eastAsia="Times New Roman" w:hAnsi="Arial" w:cs="Arial"/>
                <w:b/>
                <w:bCs/>
                <w:sz w:val="24"/>
                <w:szCs w:val="24"/>
                <w:lang w:eastAsia="en-GB"/>
              </w:rPr>
            </w:pPr>
          </w:p>
        </w:tc>
        <w:tc>
          <w:tcPr>
            <w:tcW w:w="1256" w:type="dxa"/>
            <w:tcBorders>
              <w:top w:val="nil"/>
              <w:left w:val="nil"/>
              <w:bottom w:val="nil"/>
              <w:right w:val="nil"/>
            </w:tcBorders>
            <w:shd w:val="clear" w:color="auto" w:fill="auto"/>
            <w:noWrap/>
            <w:vAlign w:val="center"/>
            <w:hideMark/>
          </w:tcPr>
          <w:p w14:paraId="450127FB" w14:textId="77777777" w:rsidR="007C4794" w:rsidRPr="007C4794" w:rsidRDefault="007C4794" w:rsidP="007C4794">
            <w:pPr>
              <w:spacing w:after="0" w:line="240" w:lineRule="auto"/>
              <w:rPr>
                <w:rFonts w:ascii="Times New Roman" w:eastAsia="Times New Roman" w:hAnsi="Times New Roman" w:cs="Times New Roman"/>
                <w:sz w:val="20"/>
                <w:szCs w:val="20"/>
                <w:lang w:eastAsia="en-GB"/>
              </w:rPr>
            </w:pPr>
          </w:p>
        </w:tc>
        <w:tc>
          <w:tcPr>
            <w:tcW w:w="1296" w:type="dxa"/>
            <w:tcBorders>
              <w:top w:val="nil"/>
              <w:left w:val="nil"/>
              <w:bottom w:val="nil"/>
              <w:right w:val="nil"/>
            </w:tcBorders>
            <w:shd w:val="clear" w:color="auto" w:fill="auto"/>
            <w:noWrap/>
            <w:vAlign w:val="center"/>
            <w:hideMark/>
          </w:tcPr>
          <w:p w14:paraId="5867A46B" w14:textId="77777777" w:rsidR="007C4794" w:rsidRPr="007C4794" w:rsidRDefault="007C4794" w:rsidP="007C4794">
            <w:pPr>
              <w:spacing w:after="0" w:line="240" w:lineRule="auto"/>
              <w:rPr>
                <w:rFonts w:ascii="Times New Roman" w:eastAsia="Times New Roman" w:hAnsi="Times New Roman" w:cs="Times New Roman"/>
                <w:sz w:val="20"/>
                <w:szCs w:val="20"/>
                <w:lang w:eastAsia="en-GB"/>
              </w:rPr>
            </w:pPr>
          </w:p>
        </w:tc>
        <w:tc>
          <w:tcPr>
            <w:tcW w:w="1256" w:type="dxa"/>
            <w:tcBorders>
              <w:top w:val="nil"/>
              <w:left w:val="nil"/>
              <w:bottom w:val="nil"/>
              <w:right w:val="nil"/>
            </w:tcBorders>
            <w:shd w:val="clear" w:color="auto" w:fill="auto"/>
            <w:noWrap/>
            <w:vAlign w:val="center"/>
            <w:hideMark/>
          </w:tcPr>
          <w:p w14:paraId="1B1B8DB7" w14:textId="77777777" w:rsidR="007C4794" w:rsidRPr="007C4794" w:rsidRDefault="007C4794" w:rsidP="007C4794">
            <w:pPr>
              <w:spacing w:after="0" w:line="240" w:lineRule="auto"/>
              <w:rPr>
                <w:rFonts w:ascii="Times New Roman" w:eastAsia="Times New Roman" w:hAnsi="Times New Roman" w:cs="Times New Roman"/>
                <w:sz w:val="20"/>
                <w:szCs w:val="20"/>
                <w:lang w:eastAsia="en-GB"/>
              </w:rPr>
            </w:pPr>
          </w:p>
        </w:tc>
        <w:tc>
          <w:tcPr>
            <w:tcW w:w="1076" w:type="dxa"/>
            <w:tcBorders>
              <w:top w:val="nil"/>
              <w:left w:val="nil"/>
              <w:bottom w:val="nil"/>
              <w:right w:val="nil"/>
            </w:tcBorders>
            <w:shd w:val="clear" w:color="auto" w:fill="auto"/>
            <w:noWrap/>
            <w:vAlign w:val="center"/>
            <w:hideMark/>
          </w:tcPr>
          <w:p w14:paraId="0B186E17" w14:textId="77777777" w:rsidR="007C4794" w:rsidRPr="007C4794" w:rsidRDefault="007C4794" w:rsidP="007C4794">
            <w:pPr>
              <w:spacing w:after="0" w:line="240" w:lineRule="auto"/>
              <w:rPr>
                <w:rFonts w:ascii="Times New Roman" w:eastAsia="Times New Roman" w:hAnsi="Times New Roman" w:cs="Times New Roman"/>
                <w:sz w:val="20"/>
                <w:szCs w:val="20"/>
                <w:lang w:eastAsia="en-GB"/>
              </w:rPr>
            </w:pPr>
          </w:p>
        </w:tc>
      </w:tr>
      <w:tr w:rsidR="007C4794" w:rsidRPr="007C4794" w14:paraId="20624DAC" w14:textId="77777777" w:rsidTr="006647C2">
        <w:trPr>
          <w:trHeight w:val="402"/>
        </w:trPr>
        <w:tc>
          <w:tcPr>
            <w:tcW w:w="3544" w:type="dxa"/>
            <w:tcBorders>
              <w:top w:val="nil"/>
              <w:left w:val="nil"/>
              <w:bottom w:val="nil"/>
              <w:right w:val="nil"/>
            </w:tcBorders>
            <w:shd w:val="clear" w:color="auto" w:fill="auto"/>
            <w:noWrap/>
            <w:vAlign w:val="center"/>
            <w:hideMark/>
          </w:tcPr>
          <w:p w14:paraId="26FAEB68" w14:textId="77777777" w:rsidR="007C4794" w:rsidRPr="007C4794" w:rsidRDefault="007C4794" w:rsidP="007C4794">
            <w:pPr>
              <w:spacing w:after="0" w:line="240" w:lineRule="auto"/>
              <w:rPr>
                <w:rFonts w:ascii="Times New Roman" w:eastAsia="Times New Roman" w:hAnsi="Times New Roman" w:cs="Times New Roman"/>
                <w:sz w:val="20"/>
                <w:szCs w:val="20"/>
                <w:lang w:eastAsia="en-GB"/>
              </w:rPr>
            </w:pPr>
          </w:p>
        </w:tc>
        <w:tc>
          <w:tcPr>
            <w:tcW w:w="709" w:type="dxa"/>
            <w:tcBorders>
              <w:top w:val="nil"/>
              <w:left w:val="nil"/>
              <w:bottom w:val="nil"/>
              <w:right w:val="nil"/>
            </w:tcBorders>
            <w:shd w:val="clear" w:color="auto" w:fill="auto"/>
            <w:noWrap/>
            <w:vAlign w:val="center"/>
            <w:hideMark/>
          </w:tcPr>
          <w:p w14:paraId="0325B992" w14:textId="77777777" w:rsidR="007C4794" w:rsidRPr="007C4794" w:rsidRDefault="007C4794" w:rsidP="007C4794">
            <w:pPr>
              <w:spacing w:after="0" w:line="240" w:lineRule="auto"/>
              <w:rPr>
                <w:rFonts w:ascii="Times New Roman" w:eastAsia="Times New Roman" w:hAnsi="Times New Roman" w:cs="Times New Roman"/>
                <w:sz w:val="20"/>
                <w:szCs w:val="20"/>
                <w:lang w:eastAsia="en-GB"/>
              </w:rPr>
            </w:pPr>
          </w:p>
        </w:tc>
        <w:tc>
          <w:tcPr>
            <w:tcW w:w="1256" w:type="dxa"/>
            <w:tcBorders>
              <w:top w:val="nil"/>
              <w:left w:val="nil"/>
              <w:bottom w:val="nil"/>
              <w:right w:val="nil"/>
            </w:tcBorders>
            <w:shd w:val="clear" w:color="auto" w:fill="auto"/>
            <w:noWrap/>
            <w:vAlign w:val="center"/>
            <w:hideMark/>
          </w:tcPr>
          <w:p w14:paraId="594CBFC6" w14:textId="77777777" w:rsidR="007C4794" w:rsidRPr="007C4794" w:rsidRDefault="007C4794" w:rsidP="007C4794">
            <w:pPr>
              <w:spacing w:after="0" w:line="240" w:lineRule="auto"/>
              <w:rPr>
                <w:rFonts w:ascii="Times New Roman" w:eastAsia="Times New Roman" w:hAnsi="Times New Roman" w:cs="Times New Roman"/>
                <w:sz w:val="20"/>
                <w:szCs w:val="20"/>
                <w:lang w:eastAsia="en-GB"/>
              </w:rPr>
            </w:pPr>
          </w:p>
        </w:tc>
        <w:tc>
          <w:tcPr>
            <w:tcW w:w="1296" w:type="dxa"/>
            <w:tcBorders>
              <w:top w:val="nil"/>
              <w:left w:val="nil"/>
              <w:bottom w:val="nil"/>
              <w:right w:val="nil"/>
            </w:tcBorders>
            <w:shd w:val="clear" w:color="auto" w:fill="auto"/>
            <w:noWrap/>
            <w:vAlign w:val="center"/>
            <w:hideMark/>
          </w:tcPr>
          <w:p w14:paraId="7065EF70" w14:textId="77777777" w:rsidR="007C4794" w:rsidRPr="007C4794" w:rsidRDefault="007C4794" w:rsidP="007C4794">
            <w:pPr>
              <w:spacing w:after="0" w:line="240" w:lineRule="auto"/>
              <w:rPr>
                <w:rFonts w:ascii="Times New Roman" w:eastAsia="Times New Roman" w:hAnsi="Times New Roman" w:cs="Times New Roman"/>
                <w:sz w:val="20"/>
                <w:szCs w:val="20"/>
                <w:lang w:eastAsia="en-GB"/>
              </w:rPr>
            </w:pPr>
          </w:p>
        </w:tc>
        <w:tc>
          <w:tcPr>
            <w:tcW w:w="1256" w:type="dxa"/>
            <w:tcBorders>
              <w:top w:val="nil"/>
              <w:left w:val="nil"/>
              <w:bottom w:val="nil"/>
              <w:right w:val="nil"/>
            </w:tcBorders>
            <w:shd w:val="clear" w:color="auto" w:fill="auto"/>
            <w:noWrap/>
            <w:vAlign w:val="center"/>
            <w:hideMark/>
          </w:tcPr>
          <w:p w14:paraId="119F8ABC" w14:textId="77777777" w:rsidR="007C4794" w:rsidRPr="007C4794" w:rsidRDefault="007C4794" w:rsidP="007C4794">
            <w:pPr>
              <w:spacing w:after="0" w:line="240" w:lineRule="auto"/>
              <w:rPr>
                <w:rFonts w:ascii="Times New Roman" w:eastAsia="Times New Roman" w:hAnsi="Times New Roman" w:cs="Times New Roman"/>
                <w:sz w:val="20"/>
                <w:szCs w:val="20"/>
                <w:lang w:eastAsia="en-GB"/>
              </w:rPr>
            </w:pPr>
          </w:p>
        </w:tc>
        <w:tc>
          <w:tcPr>
            <w:tcW w:w="1076" w:type="dxa"/>
            <w:tcBorders>
              <w:top w:val="nil"/>
              <w:left w:val="nil"/>
              <w:bottom w:val="nil"/>
              <w:right w:val="nil"/>
            </w:tcBorders>
            <w:shd w:val="clear" w:color="auto" w:fill="auto"/>
            <w:noWrap/>
            <w:vAlign w:val="center"/>
            <w:hideMark/>
          </w:tcPr>
          <w:p w14:paraId="309A0944" w14:textId="77777777" w:rsidR="007C4794" w:rsidRPr="007C4794" w:rsidRDefault="007C4794" w:rsidP="007C4794">
            <w:pPr>
              <w:spacing w:after="0" w:line="240" w:lineRule="auto"/>
              <w:rPr>
                <w:rFonts w:ascii="Times New Roman" w:eastAsia="Times New Roman" w:hAnsi="Times New Roman" w:cs="Times New Roman"/>
                <w:sz w:val="20"/>
                <w:szCs w:val="20"/>
                <w:lang w:eastAsia="en-GB"/>
              </w:rPr>
            </w:pPr>
          </w:p>
        </w:tc>
      </w:tr>
      <w:tr w:rsidR="007C4794" w:rsidRPr="007C4794" w14:paraId="0C84B5BC" w14:textId="77777777" w:rsidTr="006647C2">
        <w:trPr>
          <w:trHeight w:val="323"/>
        </w:trPr>
        <w:tc>
          <w:tcPr>
            <w:tcW w:w="3544" w:type="dxa"/>
            <w:tcBorders>
              <w:top w:val="nil"/>
              <w:left w:val="nil"/>
              <w:bottom w:val="nil"/>
              <w:right w:val="nil"/>
            </w:tcBorders>
            <w:shd w:val="clear" w:color="auto" w:fill="auto"/>
            <w:noWrap/>
            <w:vAlign w:val="center"/>
            <w:hideMark/>
          </w:tcPr>
          <w:p w14:paraId="764A7C66" w14:textId="77777777" w:rsidR="007C4794" w:rsidRPr="007C4794" w:rsidRDefault="007C4794" w:rsidP="007C4794">
            <w:pPr>
              <w:spacing w:after="0" w:line="240" w:lineRule="auto"/>
              <w:rPr>
                <w:rFonts w:ascii="Arial" w:eastAsia="Times New Roman" w:hAnsi="Arial" w:cs="Arial"/>
                <w:sz w:val="20"/>
                <w:szCs w:val="20"/>
                <w:lang w:eastAsia="en-GB"/>
              </w:rPr>
            </w:pPr>
            <w:r w:rsidRPr="007C4794">
              <w:rPr>
                <w:rFonts w:ascii="Arial" w:eastAsia="Times New Roman" w:hAnsi="Arial" w:cs="Arial"/>
                <w:sz w:val="20"/>
                <w:szCs w:val="20"/>
                <w:lang w:eastAsia="en-GB"/>
              </w:rPr>
              <w:t>Amounts falling due within 1 year:</w:t>
            </w:r>
          </w:p>
        </w:tc>
        <w:tc>
          <w:tcPr>
            <w:tcW w:w="709" w:type="dxa"/>
            <w:tcBorders>
              <w:top w:val="nil"/>
              <w:left w:val="nil"/>
              <w:bottom w:val="nil"/>
              <w:right w:val="nil"/>
            </w:tcBorders>
            <w:shd w:val="clear" w:color="auto" w:fill="auto"/>
            <w:noWrap/>
            <w:vAlign w:val="center"/>
            <w:hideMark/>
          </w:tcPr>
          <w:p w14:paraId="229348BF" w14:textId="77777777" w:rsidR="007C4794" w:rsidRPr="007C4794" w:rsidRDefault="007C4794" w:rsidP="007C4794">
            <w:pPr>
              <w:spacing w:after="0" w:line="240" w:lineRule="auto"/>
              <w:rPr>
                <w:rFonts w:ascii="Arial" w:eastAsia="Times New Roman" w:hAnsi="Arial" w:cs="Arial"/>
                <w:sz w:val="20"/>
                <w:szCs w:val="20"/>
                <w:lang w:eastAsia="en-GB"/>
              </w:rPr>
            </w:pPr>
          </w:p>
        </w:tc>
        <w:tc>
          <w:tcPr>
            <w:tcW w:w="1256" w:type="dxa"/>
            <w:tcBorders>
              <w:top w:val="nil"/>
              <w:left w:val="nil"/>
              <w:bottom w:val="nil"/>
              <w:right w:val="nil"/>
            </w:tcBorders>
            <w:shd w:val="clear" w:color="auto" w:fill="auto"/>
            <w:noWrap/>
            <w:vAlign w:val="center"/>
            <w:hideMark/>
          </w:tcPr>
          <w:p w14:paraId="075A8C40" w14:textId="77777777" w:rsidR="007C4794" w:rsidRPr="007C4794" w:rsidRDefault="007C4794" w:rsidP="007C4794">
            <w:pPr>
              <w:spacing w:after="0" w:line="240" w:lineRule="auto"/>
              <w:rPr>
                <w:rFonts w:ascii="Times New Roman" w:eastAsia="Times New Roman" w:hAnsi="Times New Roman" w:cs="Times New Roman"/>
                <w:sz w:val="20"/>
                <w:szCs w:val="20"/>
                <w:lang w:eastAsia="en-GB"/>
              </w:rPr>
            </w:pPr>
          </w:p>
        </w:tc>
        <w:tc>
          <w:tcPr>
            <w:tcW w:w="1296" w:type="dxa"/>
            <w:tcBorders>
              <w:top w:val="nil"/>
              <w:left w:val="nil"/>
              <w:bottom w:val="nil"/>
              <w:right w:val="nil"/>
            </w:tcBorders>
            <w:shd w:val="clear" w:color="auto" w:fill="auto"/>
            <w:noWrap/>
            <w:vAlign w:val="center"/>
            <w:hideMark/>
          </w:tcPr>
          <w:p w14:paraId="37C323F4" w14:textId="77777777" w:rsidR="007C4794" w:rsidRPr="007C4794" w:rsidRDefault="007C4794" w:rsidP="007C4794">
            <w:pPr>
              <w:spacing w:after="0" w:line="240" w:lineRule="auto"/>
              <w:rPr>
                <w:rFonts w:ascii="Times New Roman" w:eastAsia="Times New Roman" w:hAnsi="Times New Roman" w:cs="Times New Roman"/>
                <w:sz w:val="20"/>
                <w:szCs w:val="20"/>
                <w:lang w:eastAsia="en-GB"/>
              </w:rPr>
            </w:pPr>
          </w:p>
        </w:tc>
        <w:tc>
          <w:tcPr>
            <w:tcW w:w="1256" w:type="dxa"/>
            <w:tcBorders>
              <w:top w:val="nil"/>
              <w:left w:val="nil"/>
              <w:bottom w:val="nil"/>
              <w:right w:val="nil"/>
            </w:tcBorders>
            <w:shd w:val="clear" w:color="auto" w:fill="auto"/>
            <w:noWrap/>
            <w:vAlign w:val="center"/>
            <w:hideMark/>
          </w:tcPr>
          <w:p w14:paraId="54472407" w14:textId="77777777" w:rsidR="007C4794" w:rsidRPr="007C4794" w:rsidRDefault="007C4794" w:rsidP="007C4794">
            <w:pPr>
              <w:spacing w:after="0" w:line="240" w:lineRule="auto"/>
              <w:rPr>
                <w:rFonts w:ascii="Times New Roman" w:eastAsia="Times New Roman" w:hAnsi="Times New Roman" w:cs="Times New Roman"/>
                <w:sz w:val="20"/>
                <w:szCs w:val="20"/>
                <w:lang w:eastAsia="en-GB"/>
              </w:rPr>
            </w:pPr>
          </w:p>
        </w:tc>
        <w:tc>
          <w:tcPr>
            <w:tcW w:w="1076" w:type="dxa"/>
            <w:tcBorders>
              <w:top w:val="nil"/>
              <w:left w:val="nil"/>
              <w:bottom w:val="nil"/>
              <w:right w:val="nil"/>
            </w:tcBorders>
            <w:shd w:val="clear" w:color="auto" w:fill="auto"/>
            <w:noWrap/>
            <w:vAlign w:val="center"/>
            <w:hideMark/>
          </w:tcPr>
          <w:p w14:paraId="483DF8F5" w14:textId="77777777" w:rsidR="007C4794" w:rsidRPr="007C4794" w:rsidRDefault="007C4794" w:rsidP="007C4794">
            <w:pPr>
              <w:spacing w:after="0" w:line="240" w:lineRule="auto"/>
              <w:rPr>
                <w:rFonts w:ascii="Times New Roman" w:eastAsia="Times New Roman" w:hAnsi="Times New Roman" w:cs="Times New Roman"/>
                <w:sz w:val="20"/>
                <w:szCs w:val="20"/>
                <w:lang w:eastAsia="en-GB"/>
              </w:rPr>
            </w:pPr>
          </w:p>
        </w:tc>
      </w:tr>
      <w:tr w:rsidR="007C4794" w:rsidRPr="007C4794" w14:paraId="1FAFD8E2" w14:textId="77777777" w:rsidTr="006647C2">
        <w:trPr>
          <w:trHeight w:val="323"/>
        </w:trPr>
        <w:tc>
          <w:tcPr>
            <w:tcW w:w="3544" w:type="dxa"/>
            <w:tcBorders>
              <w:top w:val="nil"/>
              <w:left w:val="nil"/>
              <w:bottom w:val="nil"/>
              <w:right w:val="nil"/>
            </w:tcBorders>
            <w:shd w:val="clear" w:color="auto" w:fill="auto"/>
            <w:noWrap/>
            <w:vAlign w:val="center"/>
            <w:hideMark/>
          </w:tcPr>
          <w:p w14:paraId="5A3CA1E5" w14:textId="77777777" w:rsidR="007C4794" w:rsidRPr="007C4794" w:rsidRDefault="007C4794" w:rsidP="007C4794">
            <w:pPr>
              <w:spacing w:after="0" w:line="240" w:lineRule="auto"/>
              <w:rPr>
                <w:rFonts w:ascii="Times New Roman" w:eastAsia="Times New Roman" w:hAnsi="Times New Roman" w:cs="Times New Roman"/>
                <w:sz w:val="20"/>
                <w:szCs w:val="20"/>
                <w:lang w:eastAsia="en-GB"/>
              </w:rPr>
            </w:pPr>
          </w:p>
        </w:tc>
        <w:tc>
          <w:tcPr>
            <w:tcW w:w="709" w:type="dxa"/>
            <w:tcBorders>
              <w:top w:val="nil"/>
              <w:left w:val="nil"/>
              <w:bottom w:val="nil"/>
              <w:right w:val="nil"/>
            </w:tcBorders>
            <w:shd w:val="clear" w:color="auto" w:fill="auto"/>
            <w:noWrap/>
            <w:vAlign w:val="center"/>
            <w:hideMark/>
          </w:tcPr>
          <w:p w14:paraId="631BBBA9" w14:textId="77777777" w:rsidR="007C4794" w:rsidRPr="007C4794" w:rsidRDefault="007C4794" w:rsidP="007C4794">
            <w:pPr>
              <w:spacing w:after="0" w:line="240" w:lineRule="auto"/>
              <w:rPr>
                <w:rFonts w:ascii="Times New Roman" w:eastAsia="Times New Roman" w:hAnsi="Times New Roman" w:cs="Times New Roman"/>
                <w:sz w:val="20"/>
                <w:szCs w:val="20"/>
                <w:lang w:eastAsia="en-GB"/>
              </w:rPr>
            </w:pPr>
          </w:p>
        </w:tc>
        <w:tc>
          <w:tcPr>
            <w:tcW w:w="2552" w:type="dxa"/>
            <w:gridSpan w:val="2"/>
            <w:tcBorders>
              <w:top w:val="nil"/>
              <w:left w:val="nil"/>
              <w:bottom w:val="nil"/>
              <w:right w:val="nil"/>
            </w:tcBorders>
            <w:shd w:val="clear" w:color="auto" w:fill="auto"/>
            <w:noWrap/>
            <w:vAlign w:val="center"/>
            <w:hideMark/>
          </w:tcPr>
          <w:p w14:paraId="39FB2AB2" w14:textId="77777777" w:rsidR="007C4794" w:rsidRPr="007C4794" w:rsidRDefault="007C4794" w:rsidP="007C4794">
            <w:pPr>
              <w:spacing w:after="0" w:line="240" w:lineRule="auto"/>
              <w:jc w:val="center"/>
              <w:rPr>
                <w:rFonts w:ascii="Arial" w:eastAsia="Times New Roman" w:hAnsi="Arial" w:cs="Arial"/>
                <w:sz w:val="20"/>
                <w:szCs w:val="20"/>
                <w:lang w:eastAsia="en-GB"/>
              </w:rPr>
            </w:pPr>
            <w:r w:rsidRPr="007C4794">
              <w:rPr>
                <w:rFonts w:ascii="Arial" w:eastAsia="Times New Roman" w:hAnsi="Arial" w:cs="Arial"/>
                <w:sz w:val="20"/>
                <w:szCs w:val="20"/>
                <w:lang w:eastAsia="en-GB"/>
              </w:rPr>
              <w:t>Group</w:t>
            </w:r>
          </w:p>
        </w:tc>
        <w:tc>
          <w:tcPr>
            <w:tcW w:w="2332" w:type="dxa"/>
            <w:gridSpan w:val="2"/>
            <w:tcBorders>
              <w:top w:val="nil"/>
              <w:left w:val="nil"/>
              <w:bottom w:val="nil"/>
              <w:right w:val="nil"/>
            </w:tcBorders>
            <w:shd w:val="clear" w:color="auto" w:fill="auto"/>
            <w:noWrap/>
            <w:vAlign w:val="center"/>
            <w:hideMark/>
          </w:tcPr>
          <w:p w14:paraId="73A1C282" w14:textId="77777777" w:rsidR="007C4794" w:rsidRPr="007C4794" w:rsidRDefault="007C4794" w:rsidP="007C4794">
            <w:pPr>
              <w:spacing w:after="0" w:line="240" w:lineRule="auto"/>
              <w:jc w:val="center"/>
              <w:rPr>
                <w:rFonts w:ascii="Arial" w:eastAsia="Times New Roman" w:hAnsi="Arial" w:cs="Arial"/>
                <w:sz w:val="20"/>
                <w:szCs w:val="20"/>
                <w:lang w:eastAsia="en-GB"/>
              </w:rPr>
            </w:pPr>
            <w:r w:rsidRPr="007C4794">
              <w:rPr>
                <w:rFonts w:ascii="Arial" w:eastAsia="Times New Roman" w:hAnsi="Arial" w:cs="Arial"/>
                <w:sz w:val="20"/>
                <w:szCs w:val="20"/>
                <w:lang w:eastAsia="en-GB"/>
              </w:rPr>
              <w:t>Company</w:t>
            </w:r>
          </w:p>
        </w:tc>
      </w:tr>
      <w:tr w:rsidR="007C4794" w:rsidRPr="007C4794" w14:paraId="54F1662F" w14:textId="77777777" w:rsidTr="006647C2">
        <w:trPr>
          <w:trHeight w:val="323"/>
        </w:trPr>
        <w:tc>
          <w:tcPr>
            <w:tcW w:w="3544" w:type="dxa"/>
            <w:tcBorders>
              <w:top w:val="nil"/>
              <w:left w:val="nil"/>
              <w:bottom w:val="nil"/>
              <w:right w:val="nil"/>
            </w:tcBorders>
            <w:shd w:val="clear" w:color="auto" w:fill="auto"/>
            <w:noWrap/>
            <w:vAlign w:val="center"/>
            <w:hideMark/>
          </w:tcPr>
          <w:p w14:paraId="3820200E" w14:textId="77777777" w:rsidR="007C4794" w:rsidRPr="007C4794" w:rsidRDefault="007C4794" w:rsidP="007C4794">
            <w:pPr>
              <w:spacing w:after="0" w:line="240" w:lineRule="auto"/>
              <w:jc w:val="center"/>
              <w:rPr>
                <w:rFonts w:ascii="Arial" w:eastAsia="Times New Roman" w:hAnsi="Arial" w:cs="Arial"/>
                <w:sz w:val="20"/>
                <w:szCs w:val="20"/>
                <w:lang w:eastAsia="en-GB"/>
              </w:rPr>
            </w:pPr>
          </w:p>
        </w:tc>
        <w:tc>
          <w:tcPr>
            <w:tcW w:w="709" w:type="dxa"/>
            <w:tcBorders>
              <w:top w:val="nil"/>
              <w:left w:val="nil"/>
              <w:bottom w:val="nil"/>
              <w:right w:val="nil"/>
            </w:tcBorders>
            <w:shd w:val="clear" w:color="auto" w:fill="auto"/>
            <w:noWrap/>
            <w:vAlign w:val="center"/>
            <w:hideMark/>
          </w:tcPr>
          <w:p w14:paraId="437A9DA4" w14:textId="77777777" w:rsidR="007C4794" w:rsidRPr="007C4794" w:rsidRDefault="007C4794" w:rsidP="007C4794">
            <w:pPr>
              <w:spacing w:after="0" w:line="240" w:lineRule="auto"/>
              <w:rPr>
                <w:rFonts w:ascii="Times New Roman" w:eastAsia="Times New Roman" w:hAnsi="Times New Roman" w:cs="Times New Roman"/>
                <w:sz w:val="20"/>
                <w:szCs w:val="20"/>
                <w:lang w:eastAsia="en-GB"/>
              </w:rPr>
            </w:pPr>
          </w:p>
        </w:tc>
        <w:tc>
          <w:tcPr>
            <w:tcW w:w="1256" w:type="dxa"/>
            <w:tcBorders>
              <w:top w:val="nil"/>
              <w:left w:val="nil"/>
              <w:bottom w:val="nil"/>
              <w:right w:val="nil"/>
            </w:tcBorders>
            <w:shd w:val="clear" w:color="auto" w:fill="auto"/>
            <w:noWrap/>
            <w:vAlign w:val="center"/>
            <w:hideMark/>
          </w:tcPr>
          <w:p w14:paraId="51FE6D46" w14:textId="77777777" w:rsidR="007C4794" w:rsidRPr="007C4794" w:rsidRDefault="0037645F" w:rsidP="007C4794">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2020</w:t>
            </w:r>
          </w:p>
        </w:tc>
        <w:tc>
          <w:tcPr>
            <w:tcW w:w="1296" w:type="dxa"/>
            <w:tcBorders>
              <w:top w:val="nil"/>
              <w:left w:val="nil"/>
              <w:bottom w:val="nil"/>
              <w:right w:val="nil"/>
            </w:tcBorders>
            <w:shd w:val="clear" w:color="auto" w:fill="auto"/>
            <w:noWrap/>
            <w:vAlign w:val="center"/>
            <w:hideMark/>
          </w:tcPr>
          <w:p w14:paraId="28B30853" w14:textId="77777777" w:rsidR="007C4794" w:rsidRPr="007C4794" w:rsidRDefault="0037645F" w:rsidP="007C4794">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2019</w:t>
            </w:r>
          </w:p>
        </w:tc>
        <w:tc>
          <w:tcPr>
            <w:tcW w:w="1256" w:type="dxa"/>
            <w:tcBorders>
              <w:top w:val="nil"/>
              <w:left w:val="nil"/>
              <w:bottom w:val="nil"/>
              <w:right w:val="nil"/>
            </w:tcBorders>
            <w:shd w:val="clear" w:color="auto" w:fill="auto"/>
            <w:noWrap/>
            <w:vAlign w:val="center"/>
            <w:hideMark/>
          </w:tcPr>
          <w:p w14:paraId="77530F39" w14:textId="77777777" w:rsidR="007C4794" w:rsidRPr="007C4794" w:rsidRDefault="0037645F" w:rsidP="007C4794">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2020</w:t>
            </w:r>
          </w:p>
        </w:tc>
        <w:tc>
          <w:tcPr>
            <w:tcW w:w="1076" w:type="dxa"/>
            <w:tcBorders>
              <w:top w:val="nil"/>
              <w:left w:val="nil"/>
              <w:bottom w:val="nil"/>
              <w:right w:val="nil"/>
            </w:tcBorders>
            <w:shd w:val="clear" w:color="auto" w:fill="auto"/>
            <w:noWrap/>
            <w:vAlign w:val="center"/>
            <w:hideMark/>
          </w:tcPr>
          <w:p w14:paraId="487BEAF4" w14:textId="77777777" w:rsidR="007C4794" w:rsidRPr="007C4794" w:rsidRDefault="0037645F" w:rsidP="007C4794">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2019</w:t>
            </w:r>
          </w:p>
        </w:tc>
      </w:tr>
      <w:tr w:rsidR="007C4794" w:rsidRPr="007C4794" w14:paraId="21934AF5" w14:textId="77777777" w:rsidTr="006647C2">
        <w:trPr>
          <w:trHeight w:val="323"/>
        </w:trPr>
        <w:tc>
          <w:tcPr>
            <w:tcW w:w="3544" w:type="dxa"/>
            <w:tcBorders>
              <w:top w:val="nil"/>
              <w:left w:val="nil"/>
              <w:bottom w:val="single" w:sz="4" w:space="0" w:color="auto"/>
              <w:right w:val="nil"/>
            </w:tcBorders>
            <w:shd w:val="clear" w:color="auto" w:fill="auto"/>
            <w:noWrap/>
            <w:vAlign w:val="center"/>
            <w:hideMark/>
          </w:tcPr>
          <w:p w14:paraId="4BEA0738" w14:textId="77777777" w:rsidR="007C4794" w:rsidRPr="007C4794" w:rsidRDefault="007C4794" w:rsidP="007C4794">
            <w:pPr>
              <w:spacing w:after="0" w:line="240" w:lineRule="auto"/>
              <w:rPr>
                <w:rFonts w:ascii="Arial" w:eastAsia="Times New Roman" w:hAnsi="Arial" w:cs="Arial"/>
                <w:sz w:val="20"/>
                <w:szCs w:val="20"/>
                <w:lang w:eastAsia="en-GB"/>
              </w:rPr>
            </w:pPr>
            <w:r w:rsidRPr="007C4794">
              <w:rPr>
                <w:rFonts w:ascii="Arial" w:eastAsia="Times New Roman" w:hAnsi="Arial" w:cs="Arial"/>
                <w:sz w:val="20"/>
                <w:szCs w:val="20"/>
                <w:lang w:eastAsia="en-GB"/>
              </w:rPr>
              <w:t> </w:t>
            </w:r>
          </w:p>
        </w:tc>
        <w:tc>
          <w:tcPr>
            <w:tcW w:w="709" w:type="dxa"/>
            <w:tcBorders>
              <w:top w:val="nil"/>
              <w:left w:val="nil"/>
              <w:bottom w:val="single" w:sz="4" w:space="0" w:color="auto"/>
              <w:right w:val="nil"/>
            </w:tcBorders>
            <w:shd w:val="clear" w:color="auto" w:fill="auto"/>
            <w:noWrap/>
            <w:vAlign w:val="center"/>
            <w:hideMark/>
          </w:tcPr>
          <w:p w14:paraId="6C23C9A1" w14:textId="77777777" w:rsidR="007C4794" w:rsidRPr="007C4794" w:rsidRDefault="007C4794" w:rsidP="007C4794">
            <w:pPr>
              <w:spacing w:after="0" w:line="240" w:lineRule="auto"/>
              <w:rPr>
                <w:rFonts w:ascii="Arial" w:eastAsia="Times New Roman" w:hAnsi="Arial" w:cs="Arial"/>
                <w:sz w:val="20"/>
                <w:szCs w:val="20"/>
                <w:lang w:eastAsia="en-GB"/>
              </w:rPr>
            </w:pPr>
            <w:r w:rsidRPr="007C4794">
              <w:rPr>
                <w:rFonts w:ascii="Arial" w:eastAsia="Times New Roman" w:hAnsi="Arial" w:cs="Arial"/>
                <w:sz w:val="20"/>
                <w:szCs w:val="20"/>
                <w:lang w:eastAsia="en-GB"/>
              </w:rPr>
              <w:t> </w:t>
            </w:r>
          </w:p>
        </w:tc>
        <w:tc>
          <w:tcPr>
            <w:tcW w:w="1256" w:type="dxa"/>
            <w:tcBorders>
              <w:top w:val="nil"/>
              <w:left w:val="nil"/>
              <w:bottom w:val="single" w:sz="4" w:space="0" w:color="auto"/>
              <w:right w:val="nil"/>
            </w:tcBorders>
            <w:shd w:val="clear" w:color="auto" w:fill="auto"/>
            <w:noWrap/>
            <w:vAlign w:val="center"/>
            <w:hideMark/>
          </w:tcPr>
          <w:p w14:paraId="33FB20F9" w14:textId="77777777" w:rsidR="007C4794" w:rsidRPr="007C4794" w:rsidRDefault="007C4794" w:rsidP="007C4794">
            <w:pPr>
              <w:spacing w:after="0" w:line="240" w:lineRule="auto"/>
              <w:jc w:val="right"/>
              <w:rPr>
                <w:rFonts w:ascii="Arial" w:eastAsia="Times New Roman" w:hAnsi="Arial" w:cs="Arial"/>
                <w:b/>
                <w:bCs/>
                <w:sz w:val="20"/>
                <w:szCs w:val="20"/>
                <w:lang w:eastAsia="en-GB"/>
              </w:rPr>
            </w:pPr>
            <w:r w:rsidRPr="007C4794">
              <w:rPr>
                <w:rFonts w:ascii="Arial" w:eastAsia="Times New Roman" w:hAnsi="Arial" w:cs="Arial"/>
                <w:b/>
                <w:bCs/>
                <w:sz w:val="20"/>
                <w:szCs w:val="20"/>
                <w:lang w:eastAsia="en-GB"/>
              </w:rPr>
              <w:t>£'000</w:t>
            </w:r>
          </w:p>
        </w:tc>
        <w:tc>
          <w:tcPr>
            <w:tcW w:w="1296" w:type="dxa"/>
            <w:tcBorders>
              <w:top w:val="nil"/>
              <w:left w:val="nil"/>
              <w:bottom w:val="single" w:sz="4" w:space="0" w:color="auto"/>
              <w:right w:val="nil"/>
            </w:tcBorders>
            <w:shd w:val="clear" w:color="auto" w:fill="auto"/>
            <w:noWrap/>
            <w:vAlign w:val="center"/>
            <w:hideMark/>
          </w:tcPr>
          <w:p w14:paraId="442CB11F" w14:textId="77777777" w:rsidR="007C4794" w:rsidRPr="007C4794" w:rsidRDefault="007C4794" w:rsidP="007C4794">
            <w:pPr>
              <w:spacing w:after="0" w:line="240" w:lineRule="auto"/>
              <w:jc w:val="right"/>
              <w:rPr>
                <w:rFonts w:ascii="Arial" w:eastAsia="Times New Roman" w:hAnsi="Arial" w:cs="Arial"/>
                <w:sz w:val="20"/>
                <w:szCs w:val="20"/>
                <w:lang w:eastAsia="en-GB"/>
              </w:rPr>
            </w:pPr>
            <w:r w:rsidRPr="007C4794">
              <w:rPr>
                <w:rFonts w:ascii="Arial" w:eastAsia="Times New Roman" w:hAnsi="Arial" w:cs="Arial"/>
                <w:sz w:val="20"/>
                <w:szCs w:val="20"/>
                <w:lang w:eastAsia="en-GB"/>
              </w:rPr>
              <w:t>£'000</w:t>
            </w:r>
          </w:p>
        </w:tc>
        <w:tc>
          <w:tcPr>
            <w:tcW w:w="1256" w:type="dxa"/>
            <w:tcBorders>
              <w:top w:val="nil"/>
              <w:left w:val="nil"/>
              <w:bottom w:val="single" w:sz="4" w:space="0" w:color="auto"/>
              <w:right w:val="nil"/>
            </w:tcBorders>
            <w:shd w:val="clear" w:color="auto" w:fill="auto"/>
            <w:noWrap/>
            <w:vAlign w:val="center"/>
            <w:hideMark/>
          </w:tcPr>
          <w:p w14:paraId="0193C2BD" w14:textId="77777777" w:rsidR="007C4794" w:rsidRPr="007C4794" w:rsidRDefault="007C4794" w:rsidP="007C4794">
            <w:pPr>
              <w:spacing w:after="0" w:line="240" w:lineRule="auto"/>
              <w:jc w:val="right"/>
              <w:rPr>
                <w:rFonts w:ascii="Arial" w:eastAsia="Times New Roman" w:hAnsi="Arial" w:cs="Arial"/>
                <w:b/>
                <w:bCs/>
                <w:sz w:val="20"/>
                <w:szCs w:val="20"/>
                <w:lang w:eastAsia="en-GB"/>
              </w:rPr>
            </w:pPr>
            <w:r w:rsidRPr="007C4794">
              <w:rPr>
                <w:rFonts w:ascii="Arial" w:eastAsia="Times New Roman" w:hAnsi="Arial" w:cs="Arial"/>
                <w:b/>
                <w:bCs/>
                <w:sz w:val="20"/>
                <w:szCs w:val="20"/>
                <w:lang w:eastAsia="en-GB"/>
              </w:rPr>
              <w:t>£'000</w:t>
            </w:r>
          </w:p>
        </w:tc>
        <w:tc>
          <w:tcPr>
            <w:tcW w:w="1076" w:type="dxa"/>
            <w:tcBorders>
              <w:top w:val="nil"/>
              <w:left w:val="nil"/>
              <w:bottom w:val="single" w:sz="4" w:space="0" w:color="auto"/>
              <w:right w:val="nil"/>
            </w:tcBorders>
            <w:shd w:val="clear" w:color="auto" w:fill="auto"/>
            <w:noWrap/>
            <w:vAlign w:val="center"/>
            <w:hideMark/>
          </w:tcPr>
          <w:p w14:paraId="1CA28349" w14:textId="77777777" w:rsidR="007C4794" w:rsidRPr="007C4794" w:rsidRDefault="007C4794" w:rsidP="007C4794">
            <w:pPr>
              <w:spacing w:after="0" w:line="240" w:lineRule="auto"/>
              <w:jc w:val="right"/>
              <w:rPr>
                <w:rFonts w:ascii="Arial" w:eastAsia="Times New Roman" w:hAnsi="Arial" w:cs="Arial"/>
                <w:sz w:val="20"/>
                <w:szCs w:val="20"/>
                <w:lang w:eastAsia="en-GB"/>
              </w:rPr>
            </w:pPr>
            <w:r w:rsidRPr="007C4794">
              <w:rPr>
                <w:rFonts w:ascii="Arial" w:eastAsia="Times New Roman" w:hAnsi="Arial" w:cs="Arial"/>
                <w:sz w:val="20"/>
                <w:szCs w:val="20"/>
                <w:lang w:eastAsia="en-GB"/>
              </w:rPr>
              <w:t>£'000</w:t>
            </w:r>
          </w:p>
        </w:tc>
      </w:tr>
      <w:tr w:rsidR="007C4794" w:rsidRPr="007C4794" w14:paraId="58D80299" w14:textId="77777777" w:rsidTr="006647C2">
        <w:trPr>
          <w:trHeight w:val="323"/>
        </w:trPr>
        <w:tc>
          <w:tcPr>
            <w:tcW w:w="3544" w:type="dxa"/>
            <w:tcBorders>
              <w:top w:val="nil"/>
              <w:left w:val="nil"/>
              <w:bottom w:val="nil"/>
              <w:right w:val="nil"/>
            </w:tcBorders>
            <w:shd w:val="clear" w:color="auto" w:fill="auto"/>
            <w:noWrap/>
            <w:vAlign w:val="center"/>
            <w:hideMark/>
          </w:tcPr>
          <w:p w14:paraId="2AAF6A44" w14:textId="77777777" w:rsidR="007C4794" w:rsidRPr="007C4794" w:rsidRDefault="007C4794" w:rsidP="007C4794">
            <w:pPr>
              <w:spacing w:after="0" w:line="240" w:lineRule="auto"/>
              <w:rPr>
                <w:rFonts w:ascii="Arial" w:eastAsia="Times New Roman" w:hAnsi="Arial" w:cs="Arial"/>
                <w:sz w:val="20"/>
                <w:szCs w:val="20"/>
                <w:lang w:eastAsia="en-GB"/>
              </w:rPr>
            </w:pPr>
            <w:r w:rsidRPr="007C4794">
              <w:rPr>
                <w:rFonts w:ascii="Arial" w:eastAsia="Times New Roman" w:hAnsi="Arial" w:cs="Arial"/>
                <w:sz w:val="20"/>
                <w:szCs w:val="20"/>
                <w:lang w:eastAsia="en-GB"/>
              </w:rPr>
              <w:t>Amounts falling due within one year:</w:t>
            </w:r>
          </w:p>
        </w:tc>
        <w:tc>
          <w:tcPr>
            <w:tcW w:w="709" w:type="dxa"/>
            <w:tcBorders>
              <w:top w:val="nil"/>
              <w:left w:val="nil"/>
              <w:bottom w:val="nil"/>
              <w:right w:val="nil"/>
            </w:tcBorders>
            <w:shd w:val="clear" w:color="auto" w:fill="auto"/>
            <w:noWrap/>
            <w:vAlign w:val="center"/>
            <w:hideMark/>
          </w:tcPr>
          <w:p w14:paraId="268C78F3" w14:textId="77777777" w:rsidR="007C4794" w:rsidRPr="007C4794" w:rsidRDefault="007C4794" w:rsidP="007C4794">
            <w:pPr>
              <w:spacing w:after="0" w:line="240" w:lineRule="auto"/>
              <w:rPr>
                <w:rFonts w:ascii="Arial" w:eastAsia="Times New Roman" w:hAnsi="Arial" w:cs="Arial"/>
                <w:sz w:val="20"/>
                <w:szCs w:val="20"/>
                <w:lang w:eastAsia="en-GB"/>
              </w:rPr>
            </w:pPr>
          </w:p>
        </w:tc>
        <w:tc>
          <w:tcPr>
            <w:tcW w:w="1256" w:type="dxa"/>
            <w:tcBorders>
              <w:top w:val="nil"/>
              <w:left w:val="nil"/>
              <w:bottom w:val="nil"/>
              <w:right w:val="nil"/>
            </w:tcBorders>
            <w:shd w:val="clear" w:color="auto" w:fill="auto"/>
            <w:noWrap/>
            <w:vAlign w:val="center"/>
            <w:hideMark/>
          </w:tcPr>
          <w:p w14:paraId="7608D3FC" w14:textId="77777777" w:rsidR="007C4794" w:rsidRPr="007C4794" w:rsidRDefault="007C4794" w:rsidP="007C4794">
            <w:pPr>
              <w:spacing w:after="0" w:line="240" w:lineRule="auto"/>
              <w:rPr>
                <w:rFonts w:ascii="Times New Roman" w:eastAsia="Times New Roman" w:hAnsi="Times New Roman" w:cs="Times New Roman"/>
                <w:sz w:val="20"/>
                <w:szCs w:val="20"/>
                <w:lang w:eastAsia="en-GB"/>
              </w:rPr>
            </w:pPr>
          </w:p>
        </w:tc>
        <w:tc>
          <w:tcPr>
            <w:tcW w:w="1296" w:type="dxa"/>
            <w:tcBorders>
              <w:top w:val="nil"/>
              <w:left w:val="nil"/>
              <w:bottom w:val="nil"/>
              <w:right w:val="nil"/>
            </w:tcBorders>
            <w:shd w:val="clear" w:color="auto" w:fill="auto"/>
            <w:noWrap/>
            <w:vAlign w:val="center"/>
            <w:hideMark/>
          </w:tcPr>
          <w:p w14:paraId="4BB95A9A" w14:textId="77777777" w:rsidR="007C4794" w:rsidRPr="007C4794" w:rsidRDefault="007C4794" w:rsidP="007C4794">
            <w:pPr>
              <w:spacing w:after="0" w:line="240" w:lineRule="auto"/>
              <w:rPr>
                <w:rFonts w:ascii="Times New Roman" w:eastAsia="Times New Roman" w:hAnsi="Times New Roman" w:cs="Times New Roman"/>
                <w:sz w:val="20"/>
                <w:szCs w:val="20"/>
                <w:lang w:eastAsia="en-GB"/>
              </w:rPr>
            </w:pPr>
          </w:p>
        </w:tc>
        <w:tc>
          <w:tcPr>
            <w:tcW w:w="1256" w:type="dxa"/>
            <w:tcBorders>
              <w:top w:val="nil"/>
              <w:left w:val="nil"/>
              <w:bottom w:val="nil"/>
              <w:right w:val="nil"/>
            </w:tcBorders>
            <w:shd w:val="clear" w:color="auto" w:fill="auto"/>
            <w:noWrap/>
            <w:vAlign w:val="center"/>
            <w:hideMark/>
          </w:tcPr>
          <w:p w14:paraId="20D5A555" w14:textId="77777777" w:rsidR="007C4794" w:rsidRPr="007C4794" w:rsidRDefault="007C4794" w:rsidP="007C4794">
            <w:pPr>
              <w:spacing w:after="0" w:line="240" w:lineRule="auto"/>
              <w:rPr>
                <w:rFonts w:ascii="Times New Roman" w:eastAsia="Times New Roman" w:hAnsi="Times New Roman" w:cs="Times New Roman"/>
                <w:sz w:val="20"/>
                <w:szCs w:val="20"/>
                <w:lang w:eastAsia="en-GB"/>
              </w:rPr>
            </w:pPr>
          </w:p>
        </w:tc>
        <w:tc>
          <w:tcPr>
            <w:tcW w:w="1076" w:type="dxa"/>
            <w:tcBorders>
              <w:top w:val="nil"/>
              <w:left w:val="nil"/>
              <w:bottom w:val="nil"/>
              <w:right w:val="nil"/>
            </w:tcBorders>
            <w:shd w:val="clear" w:color="auto" w:fill="auto"/>
            <w:noWrap/>
            <w:vAlign w:val="center"/>
            <w:hideMark/>
          </w:tcPr>
          <w:p w14:paraId="3F346A1F" w14:textId="77777777" w:rsidR="007C4794" w:rsidRPr="007C4794" w:rsidRDefault="007C4794" w:rsidP="007C4794">
            <w:pPr>
              <w:spacing w:after="0" w:line="240" w:lineRule="auto"/>
              <w:rPr>
                <w:rFonts w:ascii="Times New Roman" w:eastAsia="Times New Roman" w:hAnsi="Times New Roman" w:cs="Times New Roman"/>
                <w:sz w:val="20"/>
                <w:szCs w:val="20"/>
                <w:lang w:eastAsia="en-GB"/>
              </w:rPr>
            </w:pPr>
          </w:p>
        </w:tc>
      </w:tr>
      <w:tr w:rsidR="00265730" w:rsidRPr="007C4794" w14:paraId="254AA0CE" w14:textId="77777777" w:rsidTr="006647C2">
        <w:trPr>
          <w:trHeight w:val="323"/>
        </w:trPr>
        <w:tc>
          <w:tcPr>
            <w:tcW w:w="3544" w:type="dxa"/>
            <w:tcBorders>
              <w:top w:val="nil"/>
              <w:left w:val="nil"/>
              <w:bottom w:val="nil"/>
              <w:right w:val="nil"/>
            </w:tcBorders>
            <w:shd w:val="clear" w:color="auto" w:fill="auto"/>
            <w:noWrap/>
            <w:vAlign w:val="center"/>
            <w:hideMark/>
          </w:tcPr>
          <w:p w14:paraId="71E89187" w14:textId="77777777" w:rsidR="00265730" w:rsidRPr="007C4794" w:rsidRDefault="00265730" w:rsidP="00265730">
            <w:pPr>
              <w:spacing w:after="0" w:line="240" w:lineRule="auto"/>
              <w:rPr>
                <w:rFonts w:ascii="Arial" w:eastAsia="Times New Roman" w:hAnsi="Arial" w:cs="Arial"/>
                <w:sz w:val="20"/>
                <w:szCs w:val="20"/>
                <w:lang w:eastAsia="en-GB"/>
              </w:rPr>
            </w:pPr>
            <w:r w:rsidRPr="007C4794">
              <w:rPr>
                <w:rFonts w:ascii="Arial" w:eastAsia="Times New Roman" w:hAnsi="Arial" w:cs="Arial"/>
                <w:sz w:val="20"/>
                <w:szCs w:val="20"/>
                <w:lang w:eastAsia="en-GB"/>
              </w:rPr>
              <w:t>Trade debtors</w:t>
            </w:r>
          </w:p>
        </w:tc>
        <w:tc>
          <w:tcPr>
            <w:tcW w:w="709" w:type="dxa"/>
            <w:tcBorders>
              <w:top w:val="nil"/>
              <w:left w:val="nil"/>
              <w:bottom w:val="nil"/>
              <w:right w:val="nil"/>
            </w:tcBorders>
            <w:shd w:val="clear" w:color="auto" w:fill="auto"/>
            <w:noWrap/>
            <w:vAlign w:val="center"/>
            <w:hideMark/>
          </w:tcPr>
          <w:p w14:paraId="0223E21B" w14:textId="77777777" w:rsidR="00265730" w:rsidRPr="007C4794" w:rsidRDefault="00265730" w:rsidP="00265730">
            <w:pPr>
              <w:spacing w:after="0" w:line="240" w:lineRule="auto"/>
              <w:rPr>
                <w:rFonts w:ascii="Arial" w:eastAsia="Times New Roman" w:hAnsi="Arial" w:cs="Arial"/>
                <w:sz w:val="20"/>
                <w:szCs w:val="20"/>
                <w:lang w:eastAsia="en-GB"/>
              </w:rPr>
            </w:pPr>
          </w:p>
        </w:tc>
        <w:tc>
          <w:tcPr>
            <w:tcW w:w="1256" w:type="dxa"/>
            <w:tcBorders>
              <w:top w:val="nil"/>
              <w:left w:val="nil"/>
              <w:bottom w:val="nil"/>
              <w:right w:val="nil"/>
            </w:tcBorders>
            <w:shd w:val="clear" w:color="auto" w:fill="auto"/>
            <w:noWrap/>
            <w:vAlign w:val="center"/>
          </w:tcPr>
          <w:p w14:paraId="35A5D53D" w14:textId="77777777" w:rsidR="00265730" w:rsidRPr="007C4794" w:rsidRDefault="00A01842" w:rsidP="00265730">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11,111</w:t>
            </w:r>
          </w:p>
        </w:tc>
        <w:tc>
          <w:tcPr>
            <w:tcW w:w="1296" w:type="dxa"/>
            <w:tcBorders>
              <w:top w:val="nil"/>
              <w:left w:val="nil"/>
              <w:bottom w:val="nil"/>
              <w:right w:val="nil"/>
            </w:tcBorders>
            <w:shd w:val="clear" w:color="auto" w:fill="auto"/>
            <w:noWrap/>
            <w:vAlign w:val="center"/>
            <w:hideMark/>
          </w:tcPr>
          <w:p w14:paraId="35F25E2E" w14:textId="77777777" w:rsidR="00265730" w:rsidRPr="00265730" w:rsidRDefault="00265730" w:rsidP="00265730">
            <w:pPr>
              <w:spacing w:after="0" w:line="240" w:lineRule="auto"/>
              <w:jc w:val="right"/>
              <w:rPr>
                <w:rFonts w:ascii="Arial" w:eastAsia="Times New Roman" w:hAnsi="Arial" w:cs="Arial"/>
                <w:sz w:val="20"/>
                <w:szCs w:val="20"/>
                <w:lang w:eastAsia="en-GB"/>
              </w:rPr>
            </w:pPr>
            <w:r w:rsidRPr="00265730">
              <w:rPr>
                <w:rFonts w:ascii="Arial" w:eastAsia="Times New Roman" w:hAnsi="Arial" w:cs="Arial"/>
                <w:bCs/>
                <w:sz w:val="20"/>
                <w:szCs w:val="20"/>
                <w:lang w:eastAsia="en-GB"/>
              </w:rPr>
              <w:t>14,203</w:t>
            </w:r>
          </w:p>
        </w:tc>
        <w:tc>
          <w:tcPr>
            <w:tcW w:w="1256" w:type="dxa"/>
            <w:tcBorders>
              <w:top w:val="nil"/>
              <w:left w:val="nil"/>
              <w:bottom w:val="nil"/>
              <w:right w:val="nil"/>
            </w:tcBorders>
            <w:shd w:val="clear" w:color="auto" w:fill="auto"/>
            <w:noWrap/>
            <w:vAlign w:val="center"/>
          </w:tcPr>
          <w:p w14:paraId="2E13CD19" w14:textId="77777777" w:rsidR="00265730" w:rsidRPr="007C4794" w:rsidRDefault="000974F6" w:rsidP="00265730">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2,018</w:t>
            </w:r>
          </w:p>
        </w:tc>
        <w:tc>
          <w:tcPr>
            <w:tcW w:w="1076" w:type="dxa"/>
            <w:tcBorders>
              <w:top w:val="nil"/>
              <w:left w:val="nil"/>
              <w:bottom w:val="nil"/>
              <w:right w:val="nil"/>
            </w:tcBorders>
            <w:shd w:val="clear" w:color="auto" w:fill="auto"/>
            <w:noWrap/>
            <w:vAlign w:val="center"/>
            <w:hideMark/>
          </w:tcPr>
          <w:p w14:paraId="48B00F60" w14:textId="77777777" w:rsidR="00265730" w:rsidRPr="00265730" w:rsidRDefault="00265730" w:rsidP="00265730">
            <w:pPr>
              <w:spacing w:after="0" w:line="240" w:lineRule="auto"/>
              <w:jc w:val="right"/>
              <w:rPr>
                <w:rFonts w:ascii="Arial" w:eastAsia="Times New Roman" w:hAnsi="Arial" w:cs="Arial"/>
                <w:sz w:val="20"/>
                <w:szCs w:val="20"/>
                <w:lang w:eastAsia="en-GB"/>
              </w:rPr>
            </w:pPr>
            <w:r w:rsidRPr="00265730">
              <w:rPr>
                <w:rFonts w:ascii="Arial" w:eastAsia="Times New Roman" w:hAnsi="Arial" w:cs="Arial"/>
                <w:bCs/>
                <w:sz w:val="20"/>
                <w:szCs w:val="20"/>
                <w:lang w:eastAsia="en-GB"/>
              </w:rPr>
              <w:t>4,477</w:t>
            </w:r>
          </w:p>
        </w:tc>
      </w:tr>
      <w:tr w:rsidR="00265730" w:rsidRPr="007C4794" w14:paraId="469D8497" w14:textId="77777777" w:rsidTr="006647C2">
        <w:trPr>
          <w:trHeight w:val="255"/>
        </w:trPr>
        <w:tc>
          <w:tcPr>
            <w:tcW w:w="3544" w:type="dxa"/>
            <w:tcBorders>
              <w:top w:val="nil"/>
              <w:left w:val="nil"/>
              <w:bottom w:val="nil"/>
              <w:right w:val="nil"/>
            </w:tcBorders>
            <w:shd w:val="clear" w:color="auto" w:fill="auto"/>
            <w:noWrap/>
            <w:vAlign w:val="bottom"/>
            <w:hideMark/>
          </w:tcPr>
          <w:p w14:paraId="3B07CAE4" w14:textId="77777777" w:rsidR="00265730" w:rsidRPr="007C4794" w:rsidRDefault="00265730" w:rsidP="00265730">
            <w:pPr>
              <w:spacing w:after="0" w:line="240" w:lineRule="auto"/>
              <w:outlineLvl w:val="0"/>
              <w:rPr>
                <w:rFonts w:ascii="Arial" w:eastAsia="Times New Roman" w:hAnsi="Arial" w:cs="Arial"/>
                <w:sz w:val="20"/>
                <w:szCs w:val="20"/>
                <w:lang w:eastAsia="en-GB"/>
              </w:rPr>
            </w:pPr>
            <w:r w:rsidRPr="007C4794">
              <w:rPr>
                <w:rFonts w:ascii="Arial" w:eastAsia="Times New Roman" w:hAnsi="Arial" w:cs="Arial"/>
                <w:sz w:val="20"/>
                <w:szCs w:val="20"/>
                <w:lang w:eastAsia="en-GB"/>
              </w:rPr>
              <w:t>Amounts due from group undertakings</w:t>
            </w:r>
          </w:p>
        </w:tc>
        <w:tc>
          <w:tcPr>
            <w:tcW w:w="709" w:type="dxa"/>
            <w:tcBorders>
              <w:top w:val="nil"/>
              <w:left w:val="nil"/>
              <w:bottom w:val="nil"/>
              <w:right w:val="nil"/>
            </w:tcBorders>
            <w:shd w:val="clear" w:color="auto" w:fill="auto"/>
            <w:noWrap/>
            <w:vAlign w:val="center"/>
            <w:hideMark/>
          </w:tcPr>
          <w:p w14:paraId="34FF4E51" w14:textId="77777777" w:rsidR="00265730" w:rsidRPr="007C4794" w:rsidRDefault="00265730" w:rsidP="00265730">
            <w:pPr>
              <w:spacing w:after="0" w:line="240" w:lineRule="auto"/>
              <w:outlineLvl w:val="0"/>
              <w:rPr>
                <w:rFonts w:ascii="Arial" w:eastAsia="Times New Roman" w:hAnsi="Arial" w:cs="Arial"/>
                <w:sz w:val="20"/>
                <w:szCs w:val="20"/>
                <w:lang w:eastAsia="en-GB"/>
              </w:rPr>
            </w:pPr>
          </w:p>
        </w:tc>
        <w:tc>
          <w:tcPr>
            <w:tcW w:w="1256" w:type="dxa"/>
            <w:tcBorders>
              <w:top w:val="nil"/>
              <w:left w:val="nil"/>
              <w:bottom w:val="nil"/>
              <w:right w:val="nil"/>
            </w:tcBorders>
            <w:shd w:val="clear" w:color="auto" w:fill="auto"/>
            <w:noWrap/>
            <w:vAlign w:val="center"/>
          </w:tcPr>
          <w:p w14:paraId="416C49D3" w14:textId="77777777" w:rsidR="00265730" w:rsidRPr="007C4794" w:rsidRDefault="000C489C">
            <w:pPr>
              <w:spacing w:after="0" w:line="240" w:lineRule="auto"/>
              <w:jc w:val="right"/>
              <w:outlineLvl w:val="0"/>
              <w:rPr>
                <w:rFonts w:ascii="Arial" w:eastAsia="Times New Roman" w:hAnsi="Arial" w:cs="Arial"/>
                <w:b/>
                <w:bCs/>
                <w:sz w:val="20"/>
                <w:szCs w:val="20"/>
                <w:lang w:eastAsia="en-GB"/>
              </w:rPr>
            </w:pPr>
            <w:r>
              <w:rPr>
                <w:rFonts w:ascii="Arial" w:eastAsia="Times New Roman" w:hAnsi="Arial" w:cs="Arial"/>
                <w:b/>
                <w:bCs/>
                <w:sz w:val="20"/>
                <w:szCs w:val="20"/>
                <w:lang w:eastAsia="en-GB"/>
              </w:rPr>
              <w:t>-</w:t>
            </w:r>
          </w:p>
        </w:tc>
        <w:tc>
          <w:tcPr>
            <w:tcW w:w="1296" w:type="dxa"/>
            <w:tcBorders>
              <w:top w:val="nil"/>
              <w:left w:val="nil"/>
              <w:bottom w:val="nil"/>
              <w:right w:val="nil"/>
            </w:tcBorders>
            <w:shd w:val="clear" w:color="auto" w:fill="auto"/>
            <w:noWrap/>
            <w:vAlign w:val="center"/>
            <w:hideMark/>
          </w:tcPr>
          <w:p w14:paraId="7258F9AB" w14:textId="77777777" w:rsidR="00265730" w:rsidRPr="00265730" w:rsidRDefault="00265730" w:rsidP="00265730">
            <w:pPr>
              <w:spacing w:after="0" w:line="240" w:lineRule="auto"/>
              <w:jc w:val="right"/>
              <w:outlineLvl w:val="0"/>
              <w:rPr>
                <w:rFonts w:ascii="Arial" w:eastAsia="Times New Roman" w:hAnsi="Arial" w:cs="Arial"/>
                <w:sz w:val="20"/>
                <w:szCs w:val="20"/>
                <w:lang w:eastAsia="en-GB"/>
              </w:rPr>
            </w:pPr>
            <w:r w:rsidRPr="00265730">
              <w:rPr>
                <w:rFonts w:ascii="Arial" w:eastAsia="Times New Roman" w:hAnsi="Arial" w:cs="Arial"/>
                <w:bCs/>
                <w:sz w:val="20"/>
                <w:szCs w:val="20"/>
                <w:lang w:eastAsia="en-GB"/>
              </w:rPr>
              <w:t>-</w:t>
            </w:r>
          </w:p>
        </w:tc>
        <w:tc>
          <w:tcPr>
            <w:tcW w:w="1256" w:type="dxa"/>
            <w:tcBorders>
              <w:top w:val="nil"/>
              <w:left w:val="nil"/>
              <w:bottom w:val="nil"/>
              <w:right w:val="nil"/>
            </w:tcBorders>
            <w:shd w:val="clear" w:color="auto" w:fill="auto"/>
            <w:noWrap/>
            <w:vAlign w:val="center"/>
          </w:tcPr>
          <w:p w14:paraId="5A6F030A" w14:textId="77777777" w:rsidR="00265730" w:rsidRPr="007C4794" w:rsidRDefault="0098178B" w:rsidP="00265730">
            <w:pPr>
              <w:spacing w:after="0" w:line="240" w:lineRule="auto"/>
              <w:jc w:val="right"/>
              <w:outlineLvl w:val="0"/>
              <w:rPr>
                <w:rFonts w:ascii="Arial" w:eastAsia="Times New Roman" w:hAnsi="Arial" w:cs="Arial"/>
                <w:b/>
                <w:bCs/>
                <w:sz w:val="20"/>
                <w:szCs w:val="20"/>
                <w:lang w:eastAsia="en-GB"/>
              </w:rPr>
            </w:pPr>
            <w:r>
              <w:rPr>
                <w:rFonts w:ascii="Arial" w:eastAsia="Times New Roman" w:hAnsi="Arial" w:cs="Arial"/>
                <w:b/>
                <w:bCs/>
                <w:sz w:val="20"/>
                <w:szCs w:val="20"/>
                <w:lang w:eastAsia="en-GB"/>
              </w:rPr>
              <w:t>1</w:t>
            </w:r>
            <w:r w:rsidR="00702021">
              <w:rPr>
                <w:rFonts w:ascii="Arial" w:eastAsia="Times New Roman" w:hAnsi="Arial" w:cs="Arial"/>
                <w:b/>
                <w:bCs/>
                <w:sz w:val="20"/>
                <w:szCs w:val="20"/>
                <w:lang w:eastAsia="en-GB"/>
              </w:rPr>
              <w:t>2,205</w:t>
            </w:r>
          </w:p>
        </w:tc>
        <w:tc>
          <w:tcPr>
            <w:tcW w:w="1076" w:type="dxa"/>
            <w:tcBorders>
              <w:top w:val="nil"/>
              <w:left w:val="nil"/>
              <w:bottom w:val="nil"/>
              <w:right w:val="nil"/>
            </w:tcBorders>
            <w:shd w:val="clear" w:color="auto" w:fill="auto"/>
            <w:noWrap/>
            <w:vAlign w:val="center"/>
            <w:hideMark/>
          </w:tcPr>
          <w:p w14:paraId="6FD48274" w14:textId="77777777" w:rsidR="00265730" w:rsidRPr="00265730" w:rsidRDefault="00265730" w:rsidP="00265730">
            <w:pPr>
              <w:spacing w:after="0" w:line="240" w:lineRule="auto"/>
              <w:jc w:val="right"/>
              <w:outlineLvl w:val="0"/>
              <w:rPr>
                <w:rFonts w:ascii="Arial" w:eastAsia="Times New Roman" w:hAnsi="Arial" w:cs="Arial"/>
                <w:sz w:val="20"/>
                <w:szCs w:val="20"/>
                <w:lang w:eastAsia="en-GB"/>
              </w:rPr>
            </w:pPr>
            <w:r w:rsidRPr="00265730">
              <w:rPr>
                <w:rFonts w:ascii="Arial" w:eastAsia="Times New Roman" w:hAnsi="Arial" w:cs="Arial"/>
                <w:bCs/>
                <w:sz w:val="20"/>
                <w:szCs w:val="20"/>
                <w:lang w:eastAsia="en-GB"/>
              </w:rPr>
              <w:t>8,906</w:t>
            </w:r>
          </w:p>
        </w:tc>
      </w:tr>
      <w:tr w:rsidR="0098178B" w:rsidRPr="007C4794" w14:paraId="1329D897" w14:textId="77777777" w:rsidTr="006647C2">
        <w:trPr>
          <w:trHeight w:val="255"/>
        </w:trPr>
        <w:tc>
          <w:tcPr>
            <w:tcW w:w="3544" w:type="dxa"/>
            <w:tcBorders>
              <w:top w:val="nil"/>
              <w:left w:val="nil"/>
              <w:bottom w:val="nil"/>
              <w:right w:val="nil"/>
            </w:tcBorders>
            <w:shd w:val="clear" w:color="auto" w:fill="auto"/>
            <w:noWrap/>
            <w:vAlign w:val="center"/>
          </w:tcPr>
          <w:p w14:paraId="23F476CA" w14:textId="77777777" w:rsidR="0098178B" w:rsidRPr="007C4794" w:rsidRDefault="0098178B" w:rsidP="00265730">
            <w:pPr>
              <w:spacing w:after="0" w:line="240" w:lineRule="auto"/>
              <w:outlineLvl w:val="0"/>
              <w:rPr>
                <w:rFonts w:ascii="Arial" w:eastAsia="Times New Roman" w:hAnsi="Arial" w:cs="Arial"/>
                <w:sz w:val="20"/>
                <w:szCs w:val="20"/>
                <w:lang w:eastAsia="en-GB"/>
              </w:rPr>
            </w:pPr>
            <w:r>
              <w:rPr>
                <w:rFonts w:ascii="Arial" w:eastAsia="Times New Roman" w:hAnsi="Arial" w:cs="Arial"/>
                <w:sz w:val="20"/>
                <w:szCs w:val="20"/>
                <w:lang w:eastAsia="en-GB"/>
              </w:rPr>
              <w:t>Loans to group undertakings</w:t>
            </w:r>
          </w:p>
        </w:tc>
        <w:tc>
          <w:tcPr>
            <w:tcW w:w="709" w:type="dxa"/>
            <w:tcBorders>
              <w:top w:val="nil"/>
              <w:left w:val="nil"/>
              <w:bottom w:val="nil"/>
              <w:right w:val="nil"/>
            </w:tcBorders>
            <w:shd w:val="clear" w:color="auto" w:fill="auto"/>
            <w:noWrap/>
            <w:vAlign w:val="center"/>
          </w:tcPr>
          <w:p w14:paraId="747DE65E" w14:textId="77777777" w:rsidR="0098178B" w:rsidRPr="007C4794" w:rsidRDefault="0098178B" w:rsidP="00265730">
            <w:pPr>
              <w:spacing w:after="0" w:line="240" w:lineRule="auto"/>
              <w:outlineLvl w:val="0"/>
              <w:rPr>
                <w:rFonts w:ascii="Arial" w:eastAsia="Times New Roman" w:hAnsi="Arial" w:cs="Arial"/>
                <w:sz w:val="20"/>
                <w:szCs w:val="20"/>
                <w:lang w:eastAsia="en-GB"/>
              </w:rPr>
            </w:pPr>
          </w:p>
        </w:tc>
        <w:tc>
          <w:tcPr>
            <w:tcW w:w="1256" w:type="dxa"/>
            <w:tcBorders>
              <w:top w:val="nil"/>
              <w:left w:val="nil"/>
              <w:bottom w:val="nil"/>
              <w:right w:val="nil"/>
            </w:tcBorders>
            <w:shd w:val="clear" w:color="auto" w:fill="auto"/>
            <w:noWrap/>
            <w:vAlign w:val="center"/>
          </w:tcPr>
          <w:p w14:paraId="1CFB8CD3" w14:textId="77777777" w:rsidR="0098178B" w:rsidRDefault="0098178B" w:rsidP="00265730">
            <w:pPr>
              <w:spacing w:after="0" w:line="240" w:lineRule="auto"/>
              <w:jc w:val="right"/>
              <w:outlineLvl w:val="0"/>
              <w:rPr>
                <w:rFonts w:ascii="Arial" w:eastAsia="Times New Roman" w:hAnsi="Arial" w:cs="Arial"/>
                <w:b/>
                <w:bCs/>
                <w:sz w:val="20"/>
                <w:szCs w:val="20"/>
                <w:lang w:eastAsia="en-GB"/>
              </w:rPr>
            </w:pPr>
            <w:r>
              <w:rPr>
                <w:rFonts w:ascii="Arial" w:eastAsia="Times New Roman" w:hAnsi="Arial" w:cs="Arial"/>
                <w:b/>
                <w:bCs/>
                <w:sz w:val="20"/>
                <w:szCs w:val="20"/>
                <w:lang w:eastAsia="en-GB"/>
              </w:rPr>
              <w:t>-</w:t>
            </w:r>
          </w:p>
        </w:tc>
        <w:tc>
          <w:tcPr>
            <w:tcW w:w="1296" w:type="dxa"/>
            <w:tcBorders>
              <w:top w:val="nil"/>
              <w:left w:val="nil"/>
              <w:bottom w:val="nil"/>
              <w:right w:val="nil"/>
            </w:tcBorders>
            <w:shd w:val="clear" w:color="auto" w:fill="auto"/>
            <w:noWrap/>
            <w:vAlign w:val="center"/>
          </w:tcPr>
          <w:p w14:paraId="79564B0C" w14:textId="77777777" w:rsidR="0098178B" w:rsidRPr="00265730" w:rsidRDefault="0098178B" w:rsidP="00265730">
            <w:pPr>
              <w:spacing w:after="0" w:line="240" w:lineRule="auto"/>
              <w:jc w:val="right"/>
              <w:outlineLvl w:val="0"/>
              <w:rPr>
                <w:rFonts w:ascii="Arial" w:eastAsia="Times New Roman" w:hAnsi="Arial" w:cs="Arial"/>
                <w:bCs/>
                <w:sz w:val="20"/>
                <w:szCs w:val="20"/>
                <w:lang w:eastAsia="en-GB"/>
              </w:rPr>
            </w:pPr>
            <w:r>
              <w:rPr>
                <w:rFonts w:ascii="Arial" w:eastAsia="Times New Roman" w:hAnsi="Arial" w:cs="Arial"/>
                <w:bCs/>
                <w:sz w:val="20"/>
                <w:szCs w:val="20"/>
                <w:lang w:eastAsia="en-GB"/>
              </w:rPr>
              <w:t>-</w:t>
            </w:r>
          </w:p>
        </w:tc>
        <w:tc>
          <w:tcPr>
            <w:tcW w:w="1256" w:type="dxa"/>
            <w:tcBorders>
              <w:top w:val="nil"/>
              <w:left w:val="nil"/>
              <w:bottom w:val="nil"/>
              <w:right w:val="nil"/>
            </w:tcBorders>
            <w:shd w:val="clear" w:color="auto" w:fill="auto"/>
            <w:noWrap/>
            <w:vAlign w:val="center"/>
          </w:tcPr>
          <w:p w14:paraId="7E8A07BD" w14:textId="77777777" w:rsidR="0098178B" w:rsidRDefault="0098178B" w:rsidP="00265730">
            <w:pPr>
              <w:spacing w:after="0" w:line="240" w:lineRule="auto"/>
              <w:jc w:val="right"/>
              <w:outlineLvl w:val="0"/>
              <w:rPr>
                <w:rFonts w:ascii="Arial" w:eastAsia="Times New Roman" w:hAnsi="Arial" w:cs="Arial"/>
                <w:b/>
                <w:bCs/>
                <w:sz w:val="20"/>
                <w:szCs w:val="20"/>
                <w:lang w:eastAsia="en-GB"/>
              </w:rPr>
            </w:pPr>
            <w:r>
              <w:rPr>
                <w:rFonts w:ascii="Arial" w:eastAsia="Times New Roman" w:hAnsi="Arial" w:cs="Arial"/>
                <w:b/>
                <w:bCs/>
                <w:sz w:val="20"/>
                <w:szCs w:val="20"/>
                <w:lang w:eastAsia="en-GB"/>
              </w:rPr>
              <w:t>400</w:t>
            </w:r>
          </w:p>
        </w:tc>
        <w:tc>
          <w:tcPr>
            <w:tcW w:w="1076" w:type="dxa"/>
            <w:tcBorders>
              <w:top w:val="nil"/>
              <w:left w:val="nil"/>
              <w:bottom w:val="nil"/>
              <w:right w:val="nil"/>
            </w:tcBorders>
            <w:shd w:val="clear" w:color="auto" w:fill="auto"/>
            <w:noWrap/>
            <w:vAlign w:val="center"/>
          </w:tcPr>
          <w:p w14:paraId="1057CB95" w14:textId="77777777" w:rsidR="0098178B" w:rsidRDefault="0098178B" w:rsidP="00265730">
            <w:pPr>
              <w:spacing w:after="0" w:line="240" w:lineRule="auto"/>
              <w:jc w:val="right"/>
              <w:outlineLvl w:val="0"/>
              <w:rPr>
                <w:rFonts w:ascii="Arial" w:eastAsia="Times New Roman" w:hAnsi="Arial" w:cs="Arial"/>
                <w:bCs/>
                <w:sz w:val="20"/>
                <w:szCs w:val="20"/>
                <w:lang w:eastAsia="en-GB"/>
              </w:rPr>
            </w:pPr>
            <w:r>
              <w:rPr>
                <w:rFonts w:ascii="Arial" w:eastAsia="Times New Roman" w:hAnsi="Arial" w:cs="Arial"/>
                <w:bCs/>
                <w:sz w:val="20"/>
                <w:szCs w:val="20"/>
                <w:lang w:eastAsia="en-GB"/>
              </w:rPr>
              <w:t>-</w:t>
            </w:r>
          </w:p>
        </w:tc>
      </w:tr>
      <w:tr w:rsidR="00265730" w:rsidRPr="007C4794" w14:paraId="4FDF2A68" w14:textId="77777777" w:rsidTr="006647C2">
        <w:trPr>
          <w:trHeight w:val="255"/>
        </w:trPr>
        <w:tc>
          <w:tcPr>
            <w:tcW w:w="3544" w:type="dxa"/>
            <w:tcBorders>
              <w:top w:val="nil"/>
              <w:left w:val="nil"/>
              <w:bottom w:val="nil"/>
              <w:right w:val="nil"/>
            </w:tcBorders>
            <w:shd w:val="clear" w:color="auto" w:fill="auto"/>
            <w:noWrap/>
            <w:vAlign w:val="center"/>
            <w:hideMark/>
          </w:tcPr>
          <w:p w14:paraId="4766DAF1" w14:textId="77777777" w:rsidR="00265730" w:rsidRPr="007C4794" w:rsidRDefault="00265730" w:rsidP="00265730">
            <w:pPr>
              <w:spacing w:after="0" w:line="240" w:lineRule="auto"/>
              <w:outlineLvl w:val="0"/>
              <w:rPr>
                <w:rFonts w:ascii="Arial" w:eastAsia="Times New Roman" w:hAnsi="Arial" w:cs="Arial"/>
                <w:sz w:val="20"/>
                <w:szCs w:val="20"/>
                <w:lang w:eastAsia="en-GB"/>
              </w:rPr>
            </w:pPr>
            <w:r w:rsidRPr="007C4794">
              <w:rPr>
                <w:rFonts w:ascii="Arial" w:eastAsia="Times New Roman" w:hAnsi="Arial" w:cs="Arial"/>
                <w:sz w:val="20"/>
                <w:szCs w:val="20"/>
                <w:lang w:eastAsia="en-GB"/>
              </w:rPr>
              <w:t>Deferred tax asset</w:t>
            </w:r>
          </w:p>
        </w:tc>
        <w:tc>
          <w:tcPr>
            <w:tcW w:w="709" w:type="dxa"/>
            <w:tcBorders>
              <w:top w:val="nil"/>
              <w:left w:val="nil"/>
              <w:bottom w:val="nil"/>
              <w:right w:val="nil"/>
            </w:tcBorders>
            <w:shd w:val="clear" w:color="auto" w:fill="auto"/>
            <w:noWrap/>
            <w:vAlign w:val="center"/>
            <w:hideMark/>
          </w:tcPr>
          <w:p w14:paraId="4FEA3155" w14:textId="77777777" w:rsidR="00265730" w:rsidRPr="007C4794" w:rsidRDefault="00265730" w:rsidP="00265730">
            <w:pPr>
              <w:spacing w:after="0" w:line="240" w:lineRule="auto"/>
              <w:outlineLvl w:val="0"/>
              <w:rPr>
                <w:rFonts w:ascii="Arial" w:eastAsia="Times New Roman" w:hAnsi="Arial" w:cs="Arial"/>
                <w:sz w:val="20"/>
                <w:szCs w:val="20"/>
                <w:lang w:eastAsia="en-GB"/>
              </w:rPr>
            </w:pPr>
          </w:p>
        </w:tc>
        <w:tc>
          <w:tcPr>
            <w:tcW w:w="1256" w:type="dxa"/>
            <w:tcBorders>
              <w:top w:val="nil"/>
              <w:left w:val="nil"/>
              <w:bottom w:val="nil"/>
              <w:right w:val="nil"/>
            </w:tcBorders>
            <w:shd w:val="clear" w:color="auto" w:fill="auto"/>
            <w:noWrap/>
            <w:vAlign w:val="center"/>
          </w:tcPr>
          <w:p w14:paraId="6673654A" w14:textId="77777777" w:rsidR="00265730" w:rsidRPr="007C4794" w:rsidRDefault="000974F6" w:rsidP="00265730">
            <w:pPr>
              <w:spacing w:after="0" w:line="240" w:lineRule="auto"/>
              <w:jc w:val="right"/>
              <w:outlineLvl w:val="0"/>
              <w:rPr>
                <w:rFonts w:ascii="Arial" w:eastAsia="Times New Roman" w:hAnsi="Arial" w:cs="Arial"/>
                <w:b/>
                <w:bCs/>
                <w:sz w:val="20"/>
                <w:szCs w:val="20"/>
                <w:lang w:eastAsia="en-GB"/>
              </w:rPr>
            </w:pPr>
            <w:r>
              <w:rPr>
                <w:rFonts w:ascii="Arial" w:eastAsia="Times New Roman" w:hAnsi="Arial" w:cs="Arial"/>
                <w:b/>
                <w:bCs/>
                <w:sz w:val="20"/>
                <w:szCs w:val="20"/>
                <w:lang w:eastAsia="en-GB"/>
              </w:rPr>
              <w:t>106</w:t>
            </w:r>
          </w:p>
        </w:tc>
        <w:tc>
          <w:tcPr>
            <w:tcW w:w="1296" w:type="dxa"/>
            <w:tcBorders>
              <w:top w:val="nil"/>
              <w:left w:val="nil"/>
              <w:bottom w:val="nil"/>
              <w:right w:val="nil"/>
            </w:tcBorders>
            <w:shd w:val="clear" w:color="auto" w:fill="auto"/>
            <w:noWrap/>
            <w:vAlign w:val="center"/>
            <w:hideMark/>
          </w:tcPr>
          <w:p w14:paraId="7401B8CC" w14:textId="77777777" w:rsidR="00265730" w:rsidRPr="00265730" w:rsidRDefault="00265730" w:rsidP="00265730">
            <w:pPr>
              <w:spacing w:after="0" w:line="240" w:lineRule="auto"/>
              <w:jc w:val="right"/>
              <w:outlineLvl w:val="0"/>
              <w:rPr>
                <w:rFonts w:ascii="Arial" w:eastAsia="Times New Roman" w:hAnsi="Arial" w:cs="Arial"/>
                <w:sz w:val="20"/>
                <w:szCs w:val="20"/>
                <w:lang w:eastAsia="en-GB"/>
              </w:rPr>
            </w:pPr>
            <w:r w:rsidRPr="00265730">
              <w:rPr>
                <w:rFonts w:ascii="Arial" w:eastAsia="Times New Roman" w:hAnsi="Arial" w:cs="Arial"/>
                <w:bCs/>
                <w:sz w:val="20"/>
                <w:szCs w:val="20"/>
                <w:lang w:eastAsia="en-GB"/>
              </w:rPr>
              <w:t>325</w:t>
            </w:r>
          </w:p>
        </w:tc>
        <w:tc>
          <w:tcPr>
            <w:tcW w:w="1256" w:type="dxa"/>
            <w:tcBorders>
              <w:top w:val="nil"/>
              <w:left w:val="nil"/>
              <w:bottom w:val="nil"/>
              <w:right w:val="nil"/>
            </w:tcBorders>
            <w:shd w:val="clear" w:color="auto" w:fill="auto"/>
            <w:noWrap/>
            <w:vAlign w:val="center"/>
          </w:tcPr>
          <w:p w14:paraId="011B600D" w14:textId="77777777" w:rsidR="00265730" w:rsidRPr="007C4794" w:rsidRDefault="0098178B" w:rsidP="00265730">
            <w:pPr>
              <w:spacing w:after="0" w:line="240" w:lineRule="auto"/>
              <w:jc w:val="right"/>
              <w:outlineLvl w:val="0"/>
              <w:rPr>
                <w:rFonts w:ascii="Arial" w:eastAsia="Times New Roman" w:hAnsi="Arial" w:cs="Arial"/>
                <w:b/>
                <w:bCs/>
                <w:sz w:val="20"/>
                <w:szCs w:val="20"/>
                <w:lang w:eastAsia="en-GB"/>
              </w:rPr>
            </w:pPr>
            <w:r>
              <w:rPr>
                <w:rFonts w:ascii="Arial" w:eastAsia="Times New Roman" w:hAnsi="Arial" w:cs="Arial"/>
                <w:b/>
                <w:bCs/>
                <w:sz w:val="20"/>
                <w:szCs w:val="20"/>
                <w:lang w:eastAsia="en-GB"/>
              </w:rPr>
              <w:t>-</w:t>
            </w:r>
          </w:p>
        </w:tc>
        <w:tc>
          <w:tcPr>
            <w:tcW w:w="1076" w:type="dxa"/>
            <w:tcBorders>
              <w:top w:val="nil"/>
              <w:left w:val="nil"/>
              <w:bottom w:val="nil"/>
              <w:right w:val="nil"/>
            </w:tcBorders>
            <w:shd w:val="clear" w:color="auto" w:fill="auto"/>
            <w:noWrap/>
            <w:vAlign w:val="center"/>
            <w:hideMark/>
          </w:tcPr>
          <w:p w14:paraId="1240829B" w14:textId="77777777" w:rsidR="00265730" w:rsidRPr="00265730" w:rsidRDefault="002E528C" w:rsidP="00265730">
            <w:pPr>
              <w:spacing w:after="0" w:line="240" w:lineRule="auto"/>
              <w:jc w:val="right"/>
              <w:outlineLvl w:val="0"/>
              <w:rPr>
                <w:rFonts w:ascii="Arial" w:eastAsia="Times New Roman" w:hAnsi="Arial" w:cs="Arial"/>
                <w:sz w:val="20"/>
                <w:szCs w:val="20"/>
                <w:lang w:eastAsia="en-GB"/>
              </w:rPr>
            </w:pPr>
            <w:r>
              <w:rPr>
                <w:rFonts w:ascii="Arial" w:eastAsia="Times New Roman" w:hAnsi="Arial" w:cs="Arial"/>
                <w:bCs/>
                <w:sz w:val="20"/>
                <w:szCs w:val="20"/>
                <w:lang w:eastAsia="en-GB"/>
              </w:rPr>
              <w:t>-</w:t>
            </w:r>
          </w:p>
        </w:tc>
      </w:tr>
      <w:tr w:rsidR="00265730" w:rsidRPr="007C4794" w14:paraId="119AC592" w14:textId="77777777" w:rsidTr="006647C2">
        <w:trPr>
          <w:trHeight w:val="323"/>
        </w:trPr>
        <w:tc>
          <w:tcPr>
            <w:tcW w:w="3544" w:type="dxa"/>
            <w:tcBorders>
              <w:top w:val="nil"/>
              <w:left w:val="nil"/>
              <w:bottom w:val="nil"/>
              <w:right w:val="nil"/>
            </w:tcBorders>
            <w:shd w:val="clear" w:color="auto" w:fill="auto"/>
            <w:noWrap/>
            <w:vAlign w:val="center"/>
            <w:hideMark/>
          </w:tcPr>
          <w:p w14:paraId="3F6AC2AB" w14:textId="77777777" w:rsidR="00265730" w:rsidRPr="007C4794" w:rsidRDefault="00265730" w:rsidP="00265730">
            <w:pPr>
              <w:spacing w:after="0" w:line="240" w:lineRule="auto"/>
              <w:rPr>
                <w:rFonts w:ascii="Arial" w:eastAsia="Times New Roman" w:hAnsi="Arial" w:cs="Arial"/>
                <w:sz w:val="20"/>
                <w:szCs w:val="20"/>
                <w:lang w:eastAsia="en-GB"/>
              </w:rPr>
            </w:pPr>
            <w:r w:rsidRPr="007C4794">
              <w:rPr>
                <w:rFonts w:ascii="Arial" w:eastAsia="Times New Roman" w:hAnsi="Arial" w:cs="Arial"/>
                <w:sz w:val="20"/>
                <w:szCs w:val="20"/>
                <w:lang w:eastAsia="en-GB"/>
              </w:rPr>
              <w:t>Other debtors</w:t>
            </w:r>
          </w:p>
        </w:tc>
        <w:tc>
          <w:tcPr>
            <w:tcW w:w="709" w:type="dxa"/>
            <w:tcBorders>
              <w:top w:val="nil"/>
              <w:left w:val="nil"/>
              <w:bottom w:val="nil"/>
              <w:right w:val="nil"/>
            </w:tcBorders>
            <w:shd w:val="clear" w:color="auto" w:fill="auto"/>
            <w:noWrap/>
            <w:vAlign w:val="center"/>
            <w:hideMark/>
          </w:tcPr>
          <w:p w14:paraId="7DBAE50C" w14:textId="77777777" w:rsidR="00265730" w:rsidRPr="007C4794" w:rsidRDefault="00265730" w:rsidP="00265730">
            <w:pPr>
              <w:spacing w:after="0" w:line="240" w:lineRule="auto"/>
              <w:rPr>
                <w:rFonts w:ascii="Arial" w:eastAsia="Times New Roman" w:hAnsi="Arial" w:cs="Arial"/>
                <w:sz w:val="20"/>
                <w:szCs w:val="20"/>
                <w:lang w:eastAsia="en-GB"/>
              </w:rPr>
            </w:pPr>
          </w:p>
        </w:tc>
        <w:tc>
          <w:tcPr>
            <w:tcW w:w="1256" w:type="dxa"/>
            <w:tcBorders>
              <w:top w:val="nil"/>
              <w:left w:val="nil"/>
              <w:bottom w:val="nil"/>
              <w:right w:val="nil"/>
            </w:tcBorders>
            <w:shd w:val="clear" w:color="auto" w:fill="auto"/>
            <w:noWrap/>
            <w:vAlign w:val="center"/>
          </w:tcPr>
          <w:p w14:paraId="05F1EFC7" w14:textId="77777777" w:rsidR="00265730" w:rsidRPr="007C4794" w:rsidRDefault="00A01842" w:rsidP="00265730">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567</w:t>
            </w:r>
          </w:p>
        </w:tc>
        <w:tc>
          <w:tcPr>
            <w:tcW w:w="1296" w:type="dxa"/>
            <w:tcBorders>
              <w:top w:val="nil"/>
              <w:left w:val="nil"/>
              <w:bottom w:val="nil"/>
              <w:right w:val="nil"/>
            </w:tcBorders>
            <w:shd w:val="clear" w:color="auto" w:fill="auto"/>
            <w:noWrap/>
            <w:vAlign w:val="center"/>
            <w:hideMark/>
          </w:tcPr>
          <w:p w14:paraId="2D8866DB" w14:textId="77777777" w:rsidR="00265730" w:rsidRPr="00265730" w:rsidRDefault="00162AEF" w:rsidP="00265730">
            <w:pPr>
              <w:spacing w:after="0" w:line="240" w:lineRule="auto"/>
              <w:jc w:val="right"/>
              <w:rPr>
                <w:rFonts w:ascii="Arial" w:eastAsia="Times New Roman" w:hAnsi="Arial" w:cs="Arial"/>
                <w:sz w:val="20"/>
                <w:szCs w:val="20"/>
                <w:lang w:eastAsia="en-GB"/>
              </w:rPr>
            </w:pPr>
            <w:r>
              <w:rPr>
                <w:rFonts w:ascii="Arial" w:eastAsia="Times New Roman" w:hAnsi="Arial" w:cs="Arial"/>
                <w:bCs/>
                <w:sz w:val="20"/>
                <w:szCs w:val="20"/>
                <w:lang w:eastAsia="en-GB"/>
              </w:rPr>
              <w:t>3,856</w:t>
            </w:r>
          </w:p>
        </w:tc>
        <w:tc>
          <w:tcPr>
            <w:tcW w:w="1256" w:type="dxa"/>
            <w:tcBorders>
              <w:top w:val="nil"/>
              <w:left w:val="nil"/>
              <w:bottom w:val="nil"/>
              <w:right w:val="nil"/>
            </w:tcBorders>
            <w:shd w:val="clear" w:color="auto" w:fill="auto"/>
            <w:noWrap/>
            <w:vAlign w:val="center"/>
          </w:tcPr>
          <w:p w14:paraId="64DEB6EC" w14:textId="77777777" w:rsidR="00265730" w:rsidRPr="007C4794" w:rsidRDefault="0098178B" w:rsidP="00265730">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37</w:t>
            </w:r>
          </w:p>
        </w:tc>
        <w:tc>
          <w:tcPr>
            <w:tcW w:w="1076" w:type="dxa"/>
            <w:tcBorders>
              <w:top w:val="nil"/>
              <w:left w:val="nil"/>
              <w:bottom w:val="nil"/>
              <w:right w:val="nil"/>
            </w:tcBorders>
            <w:shd w:val="clear" w:color="auto" w:fill="auto"/>
            <w:noWrap/>
            <w:vAlign w:val="center"/>
            <w:hideMark/>
          </w:tcPr>
          <w:p w14:paraId="4F1C73FE" w14:textId="77777777" w:rsidR="00265730" w:rsidRPr="00265730" w:rsidRDefault="00265730" w:rsidP="00265730">
            <w:pPr>
              <w:spacing w:after="0" w:line="240" w:lineRule="auto"/>
              <w:jc w:val="right"/>
              <w:rPr>
                <w:rFonts w:ascii="Arial" w:eastAsia="Times New Roman" w:hAnsi="Arial" w:cs="Arial"/>
                <w:sz w:val="20"/>
                <w:szCs w:val="20"/>
                <w:lang w:eastAsia="en-GB"/>
              </w:rPr>
            </w:pPr>
            <w:r w:rsidRPr="00265730">
              <w:rPr>
                <w:rFonts w:ascii="Arial" w:eastAsia="Times New Roman" w:hAnsi="Arial" w:cs="Arial"/>
                <w:bCs/>
                <w:sz w:val="20"/>
                <w:szCs w:val="20"/>
                <w:lang w:eastAsia="en-GB"/>
              </w:rPr>
              <w:t>408</w:t>
            </w:r>
          </w:p>
        </w:tc>
      </w:tr>
      <w:tr w:rsidR="00265730" w:rsidRPr="007C4794" w14:paraId="54C1BE87" w14:textId="77777777" w:rsidTr="006647C2">
        <w:trPr>
          <w:trHeight w:val="323"/>
        </w:trPr>
        <w:tc>
          <w:tcPr>
            <w:tcW w:w="3544" w:type="dxa"/>
            <w:tcBorders>
              <w:top w:val="nil"/>
              <w:left w:val="nil"/>
              <w:bottom w:val="nil"/>
              <w:right w:val="nil"/>
            </w:tcBorders>
            <w:shd w:val="clear" w:color="auto" w:fill="auto"/>
            <w:noWrap/>
            <w:vAlign w:val="center"/>
            <w:hideMark/>
          </w:tcPr>
          <w:p w14:paraId="799A33E6" w14:textId="77777777" w:rsidR="00265730" w:rsidRPr="007C4794" w:rsidRDefault="00265730" w:rsidP="00265730">
            <w:pPr>
              <w:spacing w:after="0" w:line="240" w:lineRule="auto"/>
              <w:rPr>
                <w:rFonts w:ascii="Arial" w:eastAsia="Times New Roman" w:hAnsi="Arial" w:cs="Arial"/>
                <w:sz w:val="20"/>
                <w:szCs w:val="20"/>
                <w:lang w:eastAsia="en-GB"/>
              </w:rPr>
            </w:pPr>
            <w:r w:rsidRPr="007C4794">
              <w:rPr>
                <w:rFonts w:ascii="Arial" w:eastAsia="Times New Roman" w:hAnsi="Arial" w:cs="Arial"/>
                <w:sz w:val="20"/>
                <w:szCs w:val="20"/>
                <w:lang w:eastAsia="en-GB"/>
              </w:rPr>
              <w:t>Prepayments and accrued income</w:t>
            </w:r>
          </w:p>
        </w:tc>
        <w:tc>
          <w:tcPr>
            <w:tcW w:w="709" w:type="dxa"/>
            <w:tcBorders>
              <w:top w:val="nil"/>
              <w:left w:val="nil"/>
              <w:bottom w:val="nil"/>
              <w:right w:val="nil"/>
            </w:tcBorders>
            <w:shd w:val="clear" w:color="auto" w:fill="auto"/>
            <w:noWrap/>
            <w:vAlign w:val="center"/>
            <w:hideMark/>
          </w:tcPr>
          <w:p w14:paraId="2BC5F1CC" w14:textId="77777777" w:rsidR="00265730" w:rsidRPr="007C4794" w:rsidRDefault="00265730" w:rsidP="00265730">
            <w:pPr>
              <w:spacing w:after="0" w:line="240" w:lineRule="auto"/>
              <w:rPr>
                <w:rFonts w:ascii="Arial" w:eastAsia="Times New Roman" w:hAnsi="Arial" w:cs="Arial"/>
                <w:sz w:val="20"/>
                <w:szCs w:val="20"/>
                <w:lang w:eastAsia="en-GB"/>
              </w:rPr>
            </w:pPr>
          </w:p>
        </w:tc>
        <w:tc>
          <w:tcPr>
            <w:tcW w:w="1256" w:type="dxa"/>
            <w:tcBorders>
              <w:top w:val="nil"/>
              <w:left w:val="nil"/>
              <w:bottom w:val="nil"/>
              <w:right w:val="nil"/>
            </w:tcBorders>
            <w:shd w:val="clear" w:color="auto" w:fill="auto"/>
            <w:noWrap/>
            <w:vAlign w:val="center"/>
          </w:tcPr>
          <w:p w14:paraId="63D9E0AB" w14:textId="77777777" w:rsidR="00265730" w:rsidRPr="007C4794" w:rsidRDefault="00A01842" w:rsidP="00265730">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19,00</w:t>
            </w:r>
            <w:r w:rsidR="00A1479A">
              <w:rPr>
                <w:rFonts w:ascii="Arial" w:eastAsia="Times New Roman" w:hAnsi="Arial" w:cs="Arial"/>
                <w:b/>
                <w:bCs/>
                <w:sz w:val="20"/>
                <w:szCs w:val="20"/>
                <w:lang w:eastAsia="en-GB"/>
              </w:rPr>
              <w:t>4</w:t>
            </w:r>
          </w:p>
        </w:tc>
        <w:tc>
          <w:tcPr>
            <w:tcW w:w="1296" w:type="dxa"/>
            <w:tcBorders>
              <w:top w:val="nil"/>
              <w:left w:val="nil"/>
              <w:bottom w:val="nil"/>
              <w:right w:val="nil"/>
            </w:tcBorders>
            <w:shd w:val="clear" w:color="auto" w:fill="auto"/>
            <w:noWrap/>
            <w:vAlign w:val="center"/>
            <w:hideMark/>
          </w:tcPr>
          <w:p w14:paraId="388CFDDA" w14:textId="77777777" w:rsidR="00265730" w:rsidRPr="00265730" w:rsidRDefault="00DF6B7A" w:rsidP="00265730">
            <w:pPr>
              <w:spacing w:after="0" w:line="240" w:lineRule="auto"/>
              <w:jc w:val="right"/>
              <w:rPr>
                <w:rFonts w:ascii="Arial" w:eastAsia="Times New Roman" w:hAnsi="Arial" w:cs="Arial"/>
                <w:sz w:val="20"/>
                <w:szCs w:val="20"/>
                <w:lang w:eastAsia="en-GB"/>
              </w:rPr>
            </w:pPr>
            <w:r>
              <w:rPr>
                <w:rFonts w:ascii="Arial" w:eastAsia="Times New Roman" w:hAnsi="Arial" w:cs="Arial"/>
                <w:bCs/>
                <w:sz w:val="20"/>
                <w:szCs w:val="20"/>
                <w:lang w:eastAsia="en-GB"/>
              </w:rPr>
              <w:t>7,94</w:t>
            </w:r>
            <w:r w:rsidR="00162AEF">
              <w:rPr>
                <w:rFonts w:ascii="Arial" w:eastAsia="Times New Roman" w:hAnsi="Arial" w:cs="Arial"/>
                <w:bCs/>
                <w:sz w:val="20"/>
                <w:szCs w:val="20"/>
                <w:lang w:eastAsia="en-GB"/>
              </w:rPr>
              <w:t>5</w:t>
            </w:r>
          </w:p>
        </w:tc>
        <w:tc>
          <w:tcPr>
            <w:tcW w:w="1256" w:type="dxa"/>
            <w:tcBorders>
              <w:top w:val="nil"/>
              <w:left w:val="nil"/>
              <w:bottom w:val="nil"/>
              <w:right w:val="nil"/>
            </w:tcBorders>
            <w:shd w:val="clear" w:color="auto" w:fill="auto"/>
            <w:noWrap/>
            <w:vAlign w:val="center"/>
          </w:tcPr>
          <w:p w14:paraId="13F36618" w14:textId="77777777" w:rsidR="00265730" w:rsidRPr="007C4794" w:rsidRDefault="00702021" w:rsidP="00265730">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2,509</w:t>
            </w:r>
          </w:p>
        </w:tc>
        <w:tc>
          <w:tcPr>
            <w:tcW w:w="1076" w:type="dxa"/>
            <w:tcBorders>
              <w:top w:val="nil"/>
              <w:left w:val="nil"/>
              <w:bottom w:val="nil"/>
              <w:right w:val="nil"/>
            </w:tcBorders>
            <w:shd w:val="clear" w:color="auto" w:fill="auto"/>
            <w:noWrap/>
            <w:vAlign w:val="center"/>
            <w:hideMark/>
          </w:tcPr>
          <w:p w14:paraId="7BA06EA6" w14:textId="77777777" w:rsidR="00265730" w:rsidRPr="00265730" w:rsidRDefault="00265730" w:rsidP="00265730">
            <w:pPr>
              <w:spacing w:after="0" w:line="240" w:lineRule="auto"/>
              <w:jc w:val="right"/>
              <w:rPr>
                <w:rFonts w:ascii="Arial" w:eastAsia="Times New Roman" w:hAnsi="Arial" w:cs="Arial"/>
                <w:sz w:val="20"/>
                <w:szCs w:val="20"/>
                <w:lang w:eastAsia="en-GB"/>
              </w:rPr>
            </w:pPr>
            <w:r w:rsidRPr="00265730">
              <w:rPr>
                <w:rFonts w:ascii="Arial" w:eastAsia="Times New Roman" w:hAnsi="Arial" w:cs="Arial"/>
                <w:bCs/>
                <w:sz w:val="20"/>
                <w:szCs w:val="20"/>
                <w:lang w:eastAsia="en-GB"/>
              </w:rPr>
              <w:t>2,112</w:t>
            </w:r>
          </w:p>
        </w:tc>
      </w:tr>
      <w:tr w:rsidR="00265730" w:rsidRPr="007C4794" w14:paraId="59857CD4" w14:textId="77777777" w:rsidTr="006647C2">
        <w:trPr>
          <w:trHeight w:val="323"/>
        </w:trPr>
        <w:tc>
          <w:tcPr>
            <w:tcW w:w="3544" w:type="dxa"/>
            <w:tcBorders>
              <w:top w:val="single" w:sz="4" w:space="0" w:color="auto"/>
              <w:left w:val="nil"/>
              <w:bottom w:val="single" w:sz="4" w:space="0" w:color="auto"/>
              <w:right w:val="nil"/>
            </w:tcBorders>
            <w:shd w:val="clear" w:color="auto" w:fill="auto"/>
            <w:noWrap/>
            <w:vAlign w:val="center"/>
            <w:hideMark/>
          </w:tcPr>
          <w:p w14:paraId="27B7345C" w14:textId="77777777" w:rsidR="00265730" w:rsidRPr="007C4794" w:rsidRDefault="00265730" w:rsidP="00265730">
            <w:pPr>
              <w:spacing w:after="0" w:line="240" w:lineRule="auto"/>
              <w:rPr>
                <w:rFonts w:ascii="Arial" w:eastAsia="Times New Roman" w:hAnsi="Arial" w:cs="Arial"/>
                <w:sz w:val="20"/>
                <w:szCs w:val="20"/>
                <w:lang w:eastAsia="en-GB"/>
              </w:rPr>
            </w:pPr>
            <w:r w:rsidRPr="007C4794">
              <w:rPr>
                <w:rFonts w:ascii="Arial" w:eastAsia="Times New Roman" w:hAnsi="Arial" w:cs="Arial"/>
                <w:sz w:val="20"/>
                <w:szCs w:val="20"/>
                <w:lang w:eastAsia="en-GB"/>
              </w:rPr>
              <w:t>Total</w:t>
            </w:r>
          </w:p>
        </w:tc>
        <w:tc>
          <w:tcPr>
            <w:tcW w:w="709" w:type="dxa"/>
            <w:tcBorders>
              <w:top w:val="single" w:sz="4" w:space="0" w:color="auto"/>
              <w:left w:val="nil"/>
              <w:bottom w:val="single" w:sz="4" w:space="0" w:color="auto"/>
              <w:right w:val="nil"/>
            </w:tcBorders>
            <w:shd w:val="clear" w:color="auto" w:fill="auto"/>
            <w:noWrap/>
            <w:vAlign w:val="center"/>
            <w:hideMark/>
          </w:tcPr>
          <w:p w14:paraId="3A6075CE" w14:textId="77777777" w:rsidR="00265730" w:rsidRPr="007C4794" w:rsidRDefault="00265730" w:rsidP="00265730">
            <w:pPr>
              <w:spacing w:after="0" w:line="240" w:lineRule="auto"/>
              <w:rPr>
                <w:rFonts w:ascii="Arial" w:eastAsia="Times New Roman" w:hAnsi="Arial" w:cs="Arial"/>
                <w:sz w:val="20"/>
                <w:szCs w:val="20"/>
                <w:lang w:eastAsia="en-GB"/>
              </w:rPr>
            </w:pPr>
            <w:r w:rsidRPr="007C4794">
              <w:rPr>
                <w:rFonts w:ascii="Arial" w:eastAsia="Times New Roman" w:hAnsi="Arial" w:cs="Arial"/>
                <w:sz w:val="20"/>
                <w:szCs w:val="20"/>
                <w:lang w:eastAsia="en-GB"/>
              </w:rPr>
              <w:t> </w:t>
            </w:r>
          </w:p>
        </w:tc>
        <w:tc>
          <w:tcPr>
            <w:tcW w:w="1256" w:type="dxa"/>
            <w:tcBorders>
              <w:top w:val="single" w:sz="4" w:space="0" w:color="auto"/>
              <w:left w:val="nil"/>
              <w:bottom w:val="single" w:sz="4" w:space="0" w:color="auto"/>
              <w:right w:val="nil"/>
            </w:tcBorders>
            <w:shd w:val="clear" w:color="auto" w:fill="auto"/>
            <w:noWrap/>
            <w:vAlign w:val="center"/>
          </w:tcPr>
          <w:p w14:paraId="21942526" w14:textId="77777777" w:rsidR="00265730" w:rsidRPr="007C4794" w:rsidRDefault="00A01842" w:rsidP="00265730">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3</w:t>
            </w:r>
            <w:r w:rsidR="00A1479A">
              <w:rPr>
                <w:rFonts w:ascii="Arial" w:eastAsia="Times New Roman" w:hAnsi="Arial" w:cs="Arial"/>
                <w:b/>
                <w:bCs/>
                <w:sz w:val="20"/>
                <w:szCs w:val="20"/>
                <w:lang w:eastAsia="en-GB"/>
              </w:rPr>
              <w:t>0,788</w:t>
            </w:r>
          </w:p>
        </w:tc>
        <w:tc>
          <w:tcPr>
            <w:tcW w:w="1296" w:type="dxa"/>
            <w:tcBorders>
              <w:top w:val="single" w:sz="4" w:space="0" w:color="auto"/>
              <w:left w:val="nil"/>
              <w:bottom w:val="single" w:sz="4" w:space="0" w:color="auto"/>
              <w:right w:val="nil"/>
            </w:tcBorders>
            <w:shd w:val="clear" w:color="auto" w:fill="auto"/>
            <w:noWrap/>
            <w:vAlign w:val="center"/>
            <w:hideMark/>
          </w:tcPr>
          <w:p w14:paraId="4B61D6F4" w14:textId="77777777" w:rsidR="00265730" w:rsidRPr="00265730" w:rsidRDefault="008D2BF3" w:rsidP="00265730">
            <w:pPr>
              <w:spacing w:after="0" w:line="240" w:lineRule="auto"/>
              <w:jc w:val="right"/>
              <w:rPr>
                <w:rFonts w:ascii="Arial" w:eastAsia="Times New Roman" w:hAnsi="Arial" w:cs="Arial"/>
                <w:sz w:val="20"/>
                <w:szCs w:val="20"/>
                <w:lang w:eastAsia="en-GB"/>
              </w:rPr>
            </w:pPr>
            <w:r>
              <w:rPr>
                <w:rFonts w:ascii="Arial" w:eastAsia="Times New Roman" w:hAnsi="Arial" w:cs="Arial"/>
                <w:bCs/>
                <w:sz w:val="20"/>
                <w:szCs w:val="20"/>
                <w:lang w:eastAsia="en-GB"/>
              </w:rPr>
              <w:t>26,329</w:t>
            </w:r>
          </w:p>
        </w:tc>
        <w:tc>
          <w:tcPr>
            <w:tcW w:w="1256" w:type="dxa"/>
            <w:tcBorders>
              <w:top w:val="single" w:sz="4" w:space="0" w:color="auto"/>
              <w:left w:val="nil"/>
              <w:bottom w:val="single" w:sz="4" w:space="0" w:color="auto"/>
              <w:right w:val="nil"/>
            </w:tcBorders>
            <w:shd w:val="clear" w:color="auto" w:fill="auto"/>
            <w:noWrap/>
            <w:vAlign w:val="center"/>
          </w:tcPr>
          <w:p w14:paraId="038038AB" w14:textId="77777777" w:rsidR="00265730" w:rsidRPr="007C4794" w:rsidRDefault="0098178B" w:rsidP="00265730">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1</w:t>
            </w:r>
            <w:r w:rsidR="00702021">
              <w:rPr>
                <w:rFonts w:ascii="Arial" w:eastAsia="Times New Roman" w:hAnsi="Arial" w:cs="Arial"/>
                <w:b/>
                <w:bCs/>
                <w:sz w:val="20"/>
                <w:szCs w:val="20"/>
                <w:lang w:eastAsia="en-GB"/>
              </w:rPr>
              <w:t>7,169</w:t>
            </w:r>
          </w:p>
        </w:tc>
        <w:tc>
          <w:tcPr>
            <w:tcW w:w="1076" w:type="dxa"/>
            <w:tcBorders>
              <w:top w:val="single" w:sz="4" w:space="0" w:color="auto"/>
              <w:left w:val="nil"/>
              <w:bottom w:val="single" w:sz="4" w:space="0" w:color="auto"/>
              <w:right w:val="nil"/>
            </w:tcBorders>
            <w:shd w:val="clear" w:color="auto" w:fill="auto"/>
            <w:noWrap/>
            <w:vAlign w:val="center"/>
            <w:hideMark/>
          </w:tcPr>
          <w:p w14:paraId="690AAC6B" w14:textId="77777777" w:rsidR="00265730" w:rsidRPr="00265730" w:rsidRDefault="008D2BF3" w:rsidP="00265730">
            <w:pPr>
              <w:spacing w:after="0" w:line="240" w:lineRule="auto"/>
              <w:jc w:val="right"/>
              <w:rPr>
                <w:rFonts w:ascii="Arial" w:eastAsia="Times New Roman" w:hAnsi="Arial" w:cs="Arial"/>
                <w:sz w:val="20"/>
                <w:szCs w:val="20"/>
                <w:lang w:eastAsia="en-GB"/>
              </w:rPr>
            </w:pPr>
            <w:r>
              <w:rPr>
                <w:rFonts w:ascii="Arial" w:eastAsia="Times New Roman" w:hAnsi="Arial" w:cs="Arial"/>
                <w:bCs/>
                <w:sz w:val="20"/>
                <w:szCs w:val="20"/>
                <w:lang w:eastAsia="en-GB"/>
              </w:rPr>
              <w:t>15,903</w:t>
            </w:r>
          </w:p>
        </w:tc>
      </w:tr>
    </w:tbl>
    <w:p w14:paraId="7112C9CC" w14:textId="77777777" w:rsidR="00E00E32" w:rsidRDefault="00E00E32" w:rsidP="00396F6C">
      <w:pPr>
        <w:tabs>
          <w:tab w:val="left" w:pos="567"/>
        </w:tabs>
        <w:rPr>
          <w:rFonts w:ascii="Arial" w:hAnsi="Arial" w:cs="Arial"/>
          <w:b/>
          <w:i/>
          <w:sz w:val="24"/>
          <w:szCs w:val="24"/>
        </w:rPr>
      </w:pPr>
    </w:p>
    <w:p w14:paraId="0D9E36BF" w14:textId="28A9F4AA" w:rsidR="006C07DD" w:rsidRDefault="006C07DD" w:rsidP="00E6025B">
      <w:pPr>
        <w:spacing w:after="0" w:line="240" w:lineRule="auto"/>
        <w:rPr>
          <w:rFonts w:ascii="Arial" w:hAnsi="Arial" w:cs="Arial"/>
          <w:b/>
          <w:i/>
          <w:sz w:val="24"/>
          <w:szCs w:val="24"/>
        </w:rPr>
      </w:pPr>
      <w:r w:rsidRPr="0088736E">
        <w:rPr>
          <w:rFonts w:ascii="Arial" w:hAnsi="Arial" w:cs="Arial"/>
          <w:b/>
          <w:i/>
          <w:sz w:val="24"/>
          <w:szCs w:val="24"/>
        </w:rPr>
        <w:lastRenderedPageBreak/>
        <w:t xml:space="preserve">Notes to the financial </w:t>
      </w:r>
      <w:r>
        <w:rPr>
          <w:rFonts w:ascii="Arial" w:hAnsi="Arial" w:cs="Arial"/>
          <w:b/>
          <w:i/>
          <w:sz w:val="24"/>
          <w:szCs w:val="24"/>
        </w:rPr>
        <w:t>statements</w:t>
      </w:r>
      <w:r w:rsidRPr="0088736E">
        <w:rPr>
          <w:rFonts w:ascii="Arial" w:hAnsi="Arial" w:cs="Arial"/>
          <w:b/>
          <w:i/>
          <w:sz w:val="24"/>
          <w:szCs w:val="24"/>
        </w:rPr>
        <w:t xml:space="preserve"> (continued)</w:t>
      </w:r>
    </w:p>
    <w:p w14:paraId="1B1BD73B" w14:textId="77777777" w:rsidR="00E6025B" w:rsidRDefault="00E6025B" w:rsidP="00E6025B">
      <w:pPr>
        <w:spacing w:after="0" w:line="240" w:lineRule="auto"/>
        <w:rPr>
          <w:rFonts w:ascii="Arial" w:hAnsi="Arial" w:cs="Arial"/>
          <w:b/>
          <w:i/>
          <w:sz w:val="24"/>
          <w:szCs w:val="24"/>
        </w:rPr>
      </w:pPr>
    </w:p>
    <w:p w14:paraId="63F4A5A5" w14:textId="77777777" w:rsidR="00CD49F7" w:rsidRDefault="00BE0959" w:rsidP="00E6025B">
      <w:pPr>
        <w:tabs>
          <w:tab w:val="left" w:pos="567"/>
        </w:tabs>
        <w:spacing w:after="0" w:line="240" w:lineRule="auto"/>
        <w:rPr>
          <w:rFonts w:ascii="Arial" w:eastAsia="Times New Roman" w:hAnsi="Arial" w:cs="Arial"/>
          <w:b/>
          <w:bCs/>
          <w:sz w:val="24"/>
          <w:szCs w:val="24"/>
          <w:lang w:eastAsia="en-GB"/>
        </w:rPr>
      </w:pPr>
      <w:r>
        <w:rPr>
          <w:rFonts w:ascii="Arial" w:eastAsia="Times New Roman" w:hAnsi="Arial" w:cs="Arial"/>
          <w:b/>
          <w:bCs/>
          <w:sz w:val="24"/>
          <w:szCs w:val="24"/>
          <w:lang w:eastAsia="en-GB"/>
        </w:rPr>
        <w:t>13</w:t>
      </w:r>
      <w:r w:rsidR="00CD49F7" w:rsidRPr="007C4794">
        <w:rPr>
          <w:rFonts w:ascii="Arial" w:eastAsia="Times New Roman" w:hAnsi="Arial" w:cs="Arial"/>
          <w:b/>
          <w:bCs/>
          <w:sz w:val="24"/>
          <w:szCs w:val="24"/>
          <w:lang w:eastAsia="en-GB"/>
        </w:rPr>
        <w:t>. Debtors</w:t>
      </w:r>
      <w:r w:rsidR="00CD49F7">
        <w:rPr>
          <w:rFonts w:ascii="Arial" w:eastAsia="Times New Roman" w:hAnsi="Arial" w:cs="Arial"/>
          <w:b/>
          <w:bCs/>
          <w:sz w:val="24"/>
          <w:szCs w:val="24"/>
          <w:lang w:eastAsia="en-GB"/>
        </w:rPr>
        <w:t xml:space="preserve"> (continued)</w:t>
      </w:r>
    </w:p>
    <w:p w14:paraId="3B83A034" w14:textId="77777777" w:rsidR="000C5A33" w:rsidRDefault="00DD5595" w:rsidP="0096057A">
      <w:pPr>
        <w:tabs>
          <w:tab w:val="left" w:pos="567"/>
        </w:tabs>
        <w:rPr>
          <w:rFonts w:ascii="Arial" w:hAnsi="Arial" w:cs="Arial"/>
          <w:sz w:val="24"/>
          <w:szCs w:val="24"/>
        </w:rPr>
      </w:pPr>
      <w:r w:rsidRPr="0003722F">
        <w:rPr>
          <w:rFonts w:ascii="Arial" w:hAnsi="Arial" w:cs="Arial"/>
          <w:sz w:val="24"/>
          <w:szCs w:val="24"/>
        </w:rPr>
        <w:t>Balances</w:t>
      </w:r>
      <w:r w:rsidR="00455BE3">
        <w:rPr>
          <w:rFonts w:ascii="Arial" w:hAnsi="Arial" w:cs="Arial"/>
          <w:sz w:val="24"/>
          <w:szCs w:val="24"/>
        </w:rPr>
        <w:t xml:space="preserve"> within Prepayments and Accrued income have risen substantially </w:t>
      </w:r>
      <w:r w:rsidR="006C1142">
        <w:rPr>
          <w:rFonts w:ascii="Arial" w:hAnsi="Arial" w:cs="Arial"/>
          <w:sz w:val="24"/>
          <w:szCs w:val="24"/>
        </w:rPr>
        <w:t>primarily due to different timing of invoicing.</w:t>
      </w:r>
    </w:p>
    <w:p w14:paraId="43A5CEFF" w14:textId="77777777" w:rsidR="006C1142" w:rsidRPr="00DC1512" w:rsidRDefault="006C1142" w:rsidP="0096057A">
      <w:pPr>
        <w:tabs>
          <w:tab w:val="left" w:pos="567"/>
        </w:tabs>
        <w:rPr>
          <w:rFonts w:ascii="Arial" w:hAnsi="Arial" w:cs="Arial"/>
          <w:b/>
          <w:i/>
          <w:sz w:val="24"/>
          <w:szCs w:val="24"/>
        </w:rPr>
      </w:pPr>
    </w:p>
    <w:tbl>
      <w:tblPr>
        <w:tblW w:w="9490" w:type="dxa"/>
        <w:tblLook w:val="04A0" w:firstRow="1" w:lastRow="0" w:firstColumn="1" w:lastColumn="0" w:noHBand="0" w:noVBand="1"/>
      </w:tblPr>
      <w:tblGrid>
        <w:gridCol w:w="3520"/>
        <w:gridCol w:w="786"/>
        <w:gridCol w:w="1272"/>
        <w:gridCol w:w="1312"/>
        <w:gridCol w:w="1272"/>
        <w:gridCol w:w="1089"/>
        <w:gridCol w:w="239"/>
      </w:tblGrid>
      <w:tr w:rsidR="007C4794" w:rsidRPr="007C4794" w14:paraId="6B034054" w14:textId="77777777" w:rsidTr="00697C96">
        <w:trPr>
          <w:trHeight w:val="260"/>
        </w:trPr>
        <w:tc>
          <w:tcPr>
            <w:tcW w:w="3520" w:type="dxa"/>
            <w:tcBorders>
              <w:top w:val="nil"/>
              <w:left w:val="nil"/>
              <w:bottom w:val="nil"/>
              <w:right w:val="nil"/>
            </w:tcBorders>
            <w:shd w:val="clear" w:color="auto" w:fill="auto"/>
            <w:noWrap/>
            <w:vAlign w:val="center"/>
            <w:hideMark/>
          </w:tcPr>
          <w:p w14:paraId="4B02D9E3" w14:textId="77777777" w:rsidR="007C4794" w:rsidRPr="007C4794" w:rsidRDefault="007C4794" w:rsidP="007C4794">
            <w:pPr>
              <w:spacing w:after="0" w:line="240" w:lineRule="auto"/>
              <w:rPr>
                <w:rFonts w:ascii="Arial" w:eastAsia="Times New Roman" w:hAnsi="Arial" w:cs="Arial"/>
                <w:sz w:val="20"/>
                <w:szCs w:val="20"/>
                <w:lang w:eastAsia="en-GB"/>
              </w:rPr>
            </w:pPr>
            <w:r w:rsidRPr="007C4794">
              <w:rPr>
                <w:rFonts w:ascii="Arial" w:eastAsia="Times New Roman" w:hAnsi="Arial" w:cs="Arial"/>
                <w:sz w:val="20"/>
                <w:szCs w:val="20"/>
                <w:lang w:eastAsia="en-GB"/>
              </w:rPr>
              <w:t>Amounts falling due after 1 year:</w:t>
            </w:r>
          </w:p>
        </w:tc>
        <w:tc>
          <w:tcPr>
            <w:tcW w:w="786" w:type="dxa"/>
            <w:tcBorders>
              <w:top w:val="nil"/>
              <w:left w:val="nil"/>
              <w:bottom w:val="nil"/>
              <w:right w:val="nil"/>
            </w:tcBorders>
            <w:shd w:val="clear" w:color="auto" w:fill="auto"/>
            <w:noWrap/>
            <w:vAlign w:val="bottom"/>
            <w:hideMark/>
          </w:tcPr>
          <w:p w14:paraId="476DBDB8" w14:textId="77777777" w:rsidR="007C4794" w:rsidRPr="007C4794" w:rsidRDefault="007C4794" w:rsidP="007C4794">
            <w:pPr>
              <w:spacing w:after="0" w:line="240" w:lineRule="auto"/>
              <w:rPr>
                <w:rFonts w:ascii="Arial" w:eastAsia="Times New Roman" w:hAnsi="Arial" w:cs="Arial"/>
                <w:sz w:val="20"/>
                <w:szCs w:val="20"/>
                <w:lang w:eastAsia="en-GB"/>
              </w:rPr>
            </w:pPr>
          </w:p>
        </w:tc>
        <w:tc>
          <w:tcPr>
            <w:tcW w:w="1272" w:type="dxa"/>
            <w:tcBorders>
              <w:top w:val="nil"/>
              <w:left w:val="nil"/>
              <w:bottom w:val="nil"/>
              <w:right w:val="nil"/>
            </w:tcBorders>
            <w:shd w:val="clear" w:color="auto" w:fill="auto"/>
            <w:noWrap/>
            <w:vAlign w:val="bottom"/>
            <w:hideMark/>
          </w:tcPr>
          <w:p w14:paraId="58141708" w14:textId="77777777" w:rsidR="007C4794" w:rsidRPr="007C4794" w:rsidRDefault="007C4794" w:rsidP="007C4794">
            <w:pPr>
              <w:spacing w:after="0" w:line="240" w:lineRule="auto"/>
              <w:rPr>
                <w:rFonts w:ascii="Times New Roman" w:eastAsia="Times New Roman" w:hAnsi="Times New Roman" w:cs="Times New Roman"/>
                <w:sz w:val="20"/>
                <w:szCs w:val="20"/>
                <w:lang w:eastAsia="en-GB"/>
              </w:rPr>
            </w:pPr>
          </w:p>
        </w:tc>
        <w:tc>
          <w:tcPr>
            <w:tcW w:w="1312" w:type="dxa"/>
            <w:tcBorders>
              <w:top w:val="nil"/>
              <w:left w:val="nil"/>
              <w:bottom w:val="nil"/>
              <w:right w:val="nil"/>
            </w:tcBorders>
            <w:shd w:val="clear" w:color="auto" w:fill="auto"/>
            <w:noWrap/>
            <w:vAlign w:val="bottom"/>
            <w:hideMark/>
          </w:tcPr>
          <w:p w14:paraId="15C469EC" w14:textId="77777777" w:rsidR="007C4794" w:rsidRPr="007C4794" w:rsidRDefault="007C4794" w:rsidP="007C4794">
            <w:pPr>
              <w:spacing w:after="0" w:line="240" w:lineRule="auto"/>
              <w:rPr>
                <w:rFonts w:ascii="Times New Roman" w:eastAsia="Times New Roman" w:hAnsi="Times New Roman" w:cs="Times New Roman"/>
                <w:sz w:val="20"/>
                <w:szCs w:val="20"/>
                <w:lang w:eastAsia="en-GB"/>
              </w:rPr>
            </w:pPr>
          </w:p>
        </w:tc>
        <w:tc>
          <w:tcPr>
            <w:tcW w:w="1272" w:type="dxa"/>
            <w:tcBorders>
              <w:top w:val="nil"/>
              <w:left w:val="nil"/>
              <w:bottom w:val="nil"/>
              <w:right w:val="nil"/>
            </w:tcBorders>
            <w:shd w:val="clear" w:color="auto" w:fill="auto"/>
            <w:noWrap/>
            <w:vAlign w:val="bottom"/>
            <w:hideMark/>
          </w:tcPr>
          <w:p w14:paraId="2B20384F" w14:textId="77777777" w:rsidR="007C4794" w:rsidRPr="007C4794" w:rsidRDefault="007C4794" w:rsidP="007C4794">
            <w:pPr>
              <w:spacing w:after="0" w:line="240" w:lineRule="auto"/>
              <w:rPr>
                <w:rFonts w:ascii="Times New Roman" w:eastAsia="Times New Roman" w:hAnsi="Times New Roman" w:cs="Times New Roman"/>
                <w:sz w:val="20"/>
                <w:szCs w:val="20"/>
                <w:lang w:eastAsia="en-GB"/>
              </w:rPr>
            </w:pPr>
          </w:p>
        </w:tc>
        <w:tc>
          <w:tcPr>
            <w:tcW w:w="1089" w:type="dxa"/>
            <w:tcBorders>
              <w:top w:val="nil"/>
              <w:left w:val="nil"/>
              <w:bottom w:val="nil"/>
              <w:right w:val="nil"/>
            </w:tcBorders>
            <w:shd w:val="clear" w:color="auto" w:fill="auto"/>
            <w:noWrap/>
            <w:vAlign w:val="bottom"/>
            <w:hideMark/>
          </w:tcPr>
          <w:p w14:paraId="0E1D03AC" w14:textId="77777777" w:rsidR="007C4794" w:rsidRPr="007C4794" w:rsidRDefault="007C4794" w:rsidP="007C4794">
            <w:pPr>
              <w:spacing w:after="0" w:line="240" w:lineRule="auto"/>
              <w:rPr>
                <w:rFonts w:ascii="Times New Roman" w:eastAsia="Times New Roman" w:hAnsi="Times New Roman" w:cs="Times New Roman"/>
                <w:sz w:val="20"/>
                <w:szCs w:val="20"/>
                <w:lang w:eastAsia="en-GB"/>
              </w:rPr>
            </w:pPr>
          </w:p>
        </w:tc>
        <w:tc>
          <w:tcPr>
            <w:tcW w:w="239" w:type="dxa"/>
            <w:tcBorders>
              <w:top w:val="nil"/>
              <w:left w:val="nil"/>
              <w:bottom w:val="nil"/>
              <w:right w:val="nil"/>
            </w:tcBorders>
            <w:shd w:val="clear" w:color="auto" w:fill="auto"/>
            <w:noWrap/>
            <w:vAlign w:val="center"/>
            <w:hideMark/>
          </w:tcPr>
          <w:p w14:paraId="0A229037" w14:textId="77777777" w:rsidR="007C4794" w:rsidRPr="007C4794" w:rsidRDefault="007C4794" w:rsidP="007C4794">
            <w:pPr>
              <w:spacing w:after="0" w:line="240" w:lineRule="auto"/>
              <w:rPr>
                <w:rFonts w:ascii="Times New Roman" w:eastAsia="Times New Roman" w:hAnsi="Times New Roman" w:cs="Times New Roman"/>
                <w:sz w:val="20"/>
                <w:szCs w:val="20"/>
                <w:lang w:eastAsia="en-GB"/>
              </w:rPr>
            </w:pPr>
          </w:p>
        </w:tc>
      </w:tr>
      <w:tr w:rsidR="007C4794" w:rsidRPr="007C4794" w14:paraId="4418CBD1" w14:textId="77777777" w:rsidTr="00697C96">
        <w:trPr>
          <w:trHeight w:val="260"/>
        </w:trPr>
        <w:tc>
          <w:tcPr>
            <w:tcW w:w="3520" w:type="dxa"/>
            <w:tcBorders>
              <w:top w:val="nil"/>
              <w:left w:val="nil"/>
              <w:bottom w:val="nil"/>
              <w:right w:val="nil"/>
            </w:tcBorders>
            <w:shd w:val="clear" w:color="auto" w:fill="auto"/>
            <w:noWrap/>
            <w:vAlign w:val="bottom"/>
            <w:hideMark/>
          </w:tcPr>
          <w:p w14:paraId="76C7D91D" w14:textId="77777777" w:rsidR="007C4794" w:rsidRPr="007C4794" w:rsidRDefault="007C4794" w:rsidP="007C4794">
            <w:pPr>
              <w:spacing w:after="0" w:line="240" w:lineRule="auto"/>
              <w:rPr>
                <w:rFonts w:ascii="Times New Roman" w:eastAsia="Times New Roman" w:hAnsi="Times New Roman" w:cs="Times New Roman"/>
                <w:sz w:val="20"/>
                <w:szCs w:val="20"/>
                <w:lang w:eastAsia="en-GB"/>
              </w:rPr>
            </w:pPr>
          </w:p>
        </w:tc>
        <w:tc>
          <w:tcPr>
            <w:tcW w:w="786" w:type="dxa"/>
            <w:tcBorders>
              <w:top w:val="nil"/>
              <w:left w:val="nil"/>
              <w:bottom w:val="nil"/>
              <w:right w:val="nil"/>
            </w:tcBorders>
            <w:shd w:val="clear" w:color="auto" w:fill="auto"/>
            <w:noWrap/>
            <w:vAlign w:val="bottom"/>
            <w:hideMark/>
          </w:tcPr>
          <w:p w14:paraId="6BE11E73" w14:textId="77777777" w:rsidR="007C4794" w:rsidRPr="007C4794" w:rsidRDefault="007C4794" w:rsidP="007C4794">
            <w:pPr>
              <w:spacing w:after="0" w:line="240" w:lineRule="auto"/>
              <w:rPr>
                <w:rFonts w:ascii="Times New Roman" w:eastAsia="Times New Roman" w:hAnsi="Times New Roman" w:cs="Times New Roman"/>
                <w:sz w:val="20"/>
                <w:szCs w:val="20"/>
                <w:lang w:eastAsia="en-GB"/>
              </w:rPr>
            </w:pPr>
          </w:p>
        </w:tc>
        <w:tc>
          <w:tcPr>
            <w:tcW w:w="2584" w:type="dxa"/>
            <w:gridSpan w:val="2"/>
            <w:tcBorders>
              <w:top w:val="nil"/>
              <w:left w:val="nil"/>
              <w:bottom w:val="nil"/>
              <w:right w:val="nil"/>
            </w:tcBorders>
            <w:shd w:val="clear" w:color="auto" w:fill="auto"/>
            <w:noWrap/>
            <w:vAlign w:val="center"/>
            <w:hideMark/>
          </w:tcPr>
          <w:p w14:paraId="365A17CA" w14:textId="77777777" w:rsidR="007C4794" w:rsidRPr="007C4794" w:rsidRDefault="007C4794" w:rsidP="007C4794">
            <w:pPr>
              <w:spacing w:after="0" w:line="240" w:lineRule="auto"/>
              <w:jc w:val="center"/>
              <w:rPr>
                <w:rFonts w:ascii="Arial" w:eastAsia="Times New Roman" w:hAnsi="Arial" w:cs="Arial"/>
                <w:sz w:val="20"/>
                <w:szCs w:val="20"/>
                <w:lang w:eastAsia="en-GB"/>
              </w:rPr>
            </w:pPr>
            <w:r w:rsidRPr="007C4794">
              <w:rPr>
                <w:rFonts w:ascii="Arial" w:eastAsia="Times New Roman" w:hAnsi="Arial" w:cs="Arial"/>
                <w:sz w:val="20"/>
                <w:szCs w:val="20"/>
                <w:lang w:eastAsia="en-GB"/>
              </w:rPr>
              <w:t>Group</w:t>
            </w:r>
          </w:p>
        </w:tc>
        <w:tc>
          <w:tcPr>
            <w:tcW w:w="2361" w:type="dxa"/>
            <w:gridSpan w:val="2"/>
            <w:tcBorders>
              <w:top w:val="nil"/>
              <w:left w:val="nil"/>
              <w:bottom w:val="nil"/>
              <w:right w:val="nil"/>
            </w:tcBorders>
            <w:shd w:val="clear" w:color="auto" w:fill="auto"/>
            <w:noWrap/>
            <w:vAlign w:val="center"/>
            <w:hideMark/>
          </w:tcPr>
          <w:p w14:paraId="394F7D85" w14:textId="77777777" w:rsidR="007C4794" w:rsidRPr="007C4794" w:rsidRDefault="007C4794" w:rsidP="007C4794">
            <w:pPr>
              <w:spacing w:after="0" w:line="240" w:lineRule="auto"/>
              <w:jc w:val="center"/>
              <w:rPr>
                <w:rFonts w:ascii="Arial" w:eastAsia="Times New Roman" w:hAnsi="Arial" w:cs="Arial"/>
                <w:sz w:val="20"/>
                <w:szCs w:val="20"/>
                <w:lang w:eastAsia="en-GB"/>
              </w:rPr>
            </w:pPr>
            <w:r w:rsidRPr="007C4794">
              <w:rPr>
                <w:rFonts w:ascii="Arial" w:eastAsia="Times New Roman" w:hAnsi="Arial" w:cs="Arial"/>
                <w:sz w:val="20"/>
                <w:szCs w:val="20"/>
                <w:lang w:eastAsia="en-GB"/>
              </w:rPr>
              <w:t>Company</w:t>
            </w:r>
          </w:p>
        </w:tc>
        <w:tc>
          <w:tcPr>
            <w:tcW w:w="239" w:type="dxa"/>
            <w:tcBorders>
              <w:top w:val="nil"/>
              <w:left w:val="nil"/>
              <w:bottom w:val="nil"/>
              <w:right w:val="nil"/>
            </w:tcBorders>
            <w:shd w:val="clear" w:color="auto" w:fill="auto"/>
            <w:noWrap/>
            <w:vAlign w:val="center"/>
            <w:hideMark/>
          </w:tcPr>
          <w:p w14:paraId="398F28B0" w14:textId="77777777" w:rsidR="007C4794" w:rsidRPr="007C4794" w:rsidRDefault="007C4794" w:rsidP="007C4794">
            <w:pPr>
              <w:spacing w:after="0" w:line="240" w:lineRule="auto"/>
              <w:jc w:val="center"/>
              <w:rPr>
                <w:rFonts w:ascii="Arial" w:eastAsia="Times New Roman" w:hAnsi="Arial" w:cs="Arial"/>
                <w:sz w:val="20"/>
                <w:szCs w:val="20"/>
                <w:lang w:eastAsia="en-GB"/>
              </w:rPr>
            </w:pPr>
          </w:p>
        </w:tc>
      </w:tr>
      <w:tr w:rsidR="007C4794" w:rsidRPr="007C4794" w14:paraId="5CEBD37C" w14:textId="77777777" w:rsidTr="00697C96">
        <w:trPr>
          <w:trHeight w:val="260"/>
        </w:trPr>
        <w:tc>
          <w:tcPr>
            <w:tcW w:w="3520" w:type="dxa"/>
            <w:tcBorders>
              <w:top w:val="nil"/>
              <w:left w:val="nil"/>
              <w:bottom w:val="nil"/>
              <w:right w:val="nil"/>
            </w:tcBorders>
            <w:shd w:val="clear" w:color="auto" w:fill="auto"/>
            <w:noWrap/>
            <w:vAlign w:val="bottom"/>
            <w:hideMark/>
          </w:tcPr>
          <w:p w14:paraId="064FEFA4" w14:textId="77777777" w:rsidR="007C4794" w:rsidRPr="007C4794" w:rsidRDefault="007C4794" w:rsidP="007C4794">
            <w:pPr>
              <w:spacing w:after="0" w:line="240" w:lineRule="auto"/>
              <w:rPr>
                <w:rFonts w:ascii="Times New Roman" w:eastAsia="Times New Roman" w:hAnsi="Times New Roman" w:cs="Times New Roman"/>
                <w:sz w:val="20"/>
                <w:szCs w:val="20"/>
                <w:lang w:eastAsia="en-GB"/>
              </w:rPr>
            </w:pPr>
          </w:p>
        </w:tc>
        <w:tc>
          <w:tcPr>
            <w:tcW w:w="786" w:type="dxa"/>
            <w:tcBorders>
              <w:top w:val="nil"/>
              <w:left w:val="nil"/>
              <w:bottom w:val="nil"/>
              <w:right w:val="nil"/>
            </w:tcBorders>
            <w:shd w:val="clear" w:color="auto" w:fill="auto"/>
            <w:noWrap/>
            <w:vAlign w:val="bottom"/>
            <w:hideMark/>
          </w:tcPr>
          <w:p w14:paraId="43A90A78" w14:textId="77777777" w:rsidR="007C4794" w:rsidRPr="007C4794" w:rsidRDefault="007C4794" w:rsidP="007C4794">
            <w:pPr>
              <w:spacing w:after="0" w:line="240" w:lineRule="auto"/>
              <w:rPr>
                <w:rFonts w:ascii="Times New Roman" w:eastAsia="Times New Roman" w:hAnsi="Times New Roman" w:cs="Times New Roman"/>
                <w:sz w:val="20"/>
                <w:szCs w:val="20"/>
                <w:lang w:eastAsia="en-GB"/>
              </w:rPr>
            </w:pPr>
          </w:p>
        </w:tc>
        <w:tc>
          <w:tcPr>
            <w:tcW w:w="1272" w:type="dxa"/>
            <w:tcBorders>
              <w:top w:val="nil"/>
              <w:left w:val="nil"/>
              <w:bottom w:val="nil"/>
              <w:right w:val="nil"/>
            </w:tcBorders>
            <w:shd w:val="clear" w:color="auto" w:fill="auto"/>
            <w:noWrap/>
            <w:vAlign w:val="center"/>
            <w:hideMark/>
          </w:tcPr>
          <w:p w14:paraId="470377A8" w14:textId="77777777" w:rsidR="007C4794" w:rsidRPr="007C4794" w:rsidRDefault="0037645F" w:rsidP="007C4794">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2020</w:t>
            </w:r>
          </w:p>
        </w:tc>
        <w:tc>
          <w:tcPr>
            <w:tcW w:w="1312" w:type="dxa"/>
            <w:tcBorders>
              <w:top w:val="nil"/>
              <w:left w:val="nil"/>
              <w:bottom w:val="nil"/>
              <w:right w:val="nil"/>
            </w:tcBorders>
            <w:shd w:val="clear" w:color="auto" w:fill="auto"/>
            <w:noWrap/>
            <w:vAlign w:val="center"/>
            <w:hideMark/>
          </w:tcPr>
          <w:p w14:paraId="6B124E9B" w14:textId="77777777" w:rsidR="007C4794" w:rsidRPr="007C4794" w:rsidRDefault="0037645F" w:rsidP="007C4794">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2019</w:t>
            </w:r>
          </w:p>
        </w:tc>
        <w:tc>
          <w:tcPr>
            <w:tcW w:w="1272" w:type="dxa"/>
            <w:tcBorders>
              <w:top w:val="nil"/>
              <w:left w:val="nil"/>
              <w:bottom w:val="nil"/>
              <w:right w:val="nil"/>
            </w:tcBorders>
            <w:shd w:val="clear" w:color="auto" w:fill="auto"/>
            <w:noWrap/>
            <w:vAlign w:val="center"/>
            <w:hideMark/>
          </w:tcPr>
          <w:p w14:paraId="385E83B3" w14:textId="77777777" w:rsidR="007C4794" w:rsidRPr="007C4794" w:rsidRDefault="0037645F" w:rsidP="007C4794">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2020</w:t>
            </w:r>
          </w:p>
        </w:tc>
        <w:tc>
          <w:tcPr>
            <w:tcW w:w="1089" w:type="dxa"/>
            <w:tcBorders>
              <w:top w:val="nil"/>
              <w:left w:val="nil"/>
              <w:bottom w:val="nil"/>
              <w:right w:val="nil"/>
            </w:tcBorders>
            <w:shd w:val="clear" w:color="auto" w:fill="auto"/>
            <w:noWrap/>
            <w:vAlign w:val="center"/>
            <w:hideMark/>
          </w:tcPr>
          <w:p w14:paraId="1CEF3961" w14:textId="77777777" w:rsidR="007C4794" w:rsidRPr="007C4794" w:rsidRDefault="0037645F" w:rsidP="007C4794">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2019</w:t>
            </w:r>
          </w:p>
        </w:tc>
        <w:tc>
          <w:tcPr>
            <w:tcW w:w="239" w:type="dxa"/>
            <w:tcBorders>
              <w:top w:val="nil"/>
              <w:left w:val="nil"/>
              <w:bottom w:val="nil"/>
              <w:right w:val="nil"/>
            </w:tcBorders>
            <w:shd w:val="clear" w:color="auto" w:fill="auto"/>
            <w:noWrap/>
            <w:vAlign w:val="center"/>
            <w:hideMark/>
          </w:tcPr>
          <w:p w14:paraId="2078FF6E" w14:textId="77777777" w:rsidR="007C4794" w:rsidRPr="007C4794" w:rsidRDefault="007C4794" w:rsidP="007C4794">
            <w:pPr>
              <w:spacing w:after="0" w:line="240" w:lineRule="auto"/>
              <w:jc w:val="right"/>
              <w:rPr>
                <w:rFonts w:ascii="Arial" w:eastAsia="Times New Roman" w:hAnsi="Arial" w:cs="Arial"/>
                <w:sz w:val="20"/>
                <w:szCs w:val="20"/>
                <w:lang w:eastAsia="en-GB"/>
              </w:rPr>
            </w:pPr>
          </w:p>
        </w:tc>
      </w:tr>
      <w:tr w:rsidR="007C4794" w:rsidRPr="007C4794" w14:paraId="65F00DE6" w14:textId="77777777" w:rsidTr="00697C96">
        <w:trPr>
          <w:trHeight w:val="260"/>
        </w:trPr>
        <w:tc>
          <w:tcPr>
            <w:tcW w:w="3520" w:type="dxa"/>
            <w:tcBorders>
              <w:top w:val="nil"/>
              <w:left w:val="nil"/>
              <w:bottom w:val="nil"/>
              <w:right w:val="nil"/>
            </w:tcBorders>
            <w:shd w:val="clear" w:color="auto" w:fill="auto"/>
            <w:noWrap/>
            <w:vAlign w:val="bottom"/>
            <w:hideMark/>
          </w:tcPr>
          <w:p w14:paraId="5E1D228C" w14:textId="77777777" w:rsidR="007C4794" w:rsidRPr="007C4794" w:rsidRDefault="007C4794" w:rsidP="007C4794">
            <w:pPr>
              <w:spacing w:after="0" w:line="240" w:lineRule="auto"/>
              <w:rPr>
                <w:rFonts w:ascii="Times New Roman" w:eastAsia="Times New Roman" w:hAnsi="Times New Roman" w:cs="Times New Roman"/>
                <w:sz w:val="20"/>
                <w:szCs w:val="20"/>
                <w:lang w:eastAsia="en-GB"/>
              </w:rPr>
            </w:pPr>
          </w:p>
        </w:tc>
        <w:tc>
          <w:tcPr>
            <w:tcW w:w="786" w:type="dxa"/>
            <w:tcBorders>
              <w:top w:val="nil"/>
              <w:left w:val="nil"/>
              <w:bottom w:val="nil"/>
              <w:right w:val="nil"/>
            </w:tcBorders>
            <w:shd w:val="clear" w:color="auto" w:fill="auto"/>
            <w:noWrap/>
            <w:vAlign w:val="bottom"/>
            <w:hideMark/>
          </w:tcPr>
          <w:p w14:paraId="1EC34148" w14:textId="77777777" w:rsidR="007C4794" w:rsidRPr="007C4794" w:rsidRDefault="007C4794" w:rsidP="007C4794">
            <w:pPr>
              <w:spacing w:after="0" w:line="240" w:lineRule="auto"/>
              <w:rPr>
                <w:rFonts w:ascii="Times New Roman" w:eastAsia="Times New Roman" w:hAnsi="Times New Roman" w:cs="Times New Roman"/>
                <w:sz w:val="20"/>
                <w:szCs w:val="20"/>
                <w:lang w:eastAsia="en-GB"/>
              </w:rPr>
            </w:pPr>
          </w:p>
        </w:tc>
        <w:tc>
          <w:tcPr>
            <w:tcW w:w="1272" w:type="dxa"/>
            <w:tcBorders>
              <w:top w:val="nil"/>
              <w:left w:val="nil"/>
              <w:bottom w:val="single" w:sz="4" w:space="0" w:color="auto"/>
              <w:right w:val="nil"/>
            </w:tcBorders>
            <w:shd w:val="clear" w:color="auto" w:fill="auto"/>
            <w:noWrap/>
            <w:vAlign w:val="center"/>
            <w:hideMark/>
          </w:tcPr>
          <w:p w14:paraId="43AC3AA0" w14:textId="77777777" w:rsidR="007C4794" w:rsidRPr="007C4794" w:rsidRDefault="007C4794" w:rsidP="007C4794">
            <w:pPr>
              <w:spacing w:after="0" w:line="240" w:lineRule="auto"/>
              <w:jc w:val="right"/>
              <w:rPr>
                <w:rFonts w:ascii="Arial" w:eastAsia="Times New Roman" w:hAnsi="Arial" w:cs="Arial"/>
                <w:b/>
                <w:bCs/>
                <w:sz w:val="20"/>
                <w:szCs w:val="20"/>
                <w:lang w:eastAsia="en-GB"/>
              </w:rPr>
            </w:pPr>
            <w:r w:rsidRPr="007C4794">
              <w:rPr>
                <w:rFonts w:ascii="Arial" w:eastAsia="Times New Roman" w:hAnsi="Arial" w:cs="Arial"/>
                <w:b/>
                <w:bCs/>
                <w:sz w:val="20"/>
                <w:szCs w:val="20"/>
                <w:lang w:eastAsia="en-GB"/>
              </w:rPr>
              <w:t>£'000</w:t>
            </w:r>
          </w:p>
        </w:tc>
        <w:tc>
          <w:tcPr>
            <w:tcW w:w="1312" w:type="dxa"/>
            <w:tcBorders>
              <w:top w:val="nil"/>
              <w:left w:val="nil"/>
              <w:bottom w:val="single" w:sz="4" w:space="0" w:color="auto"/>
              <w:right w:val="nil"/>
            </w:tcBorders>
            <w:shd w:val="clear" w:color="auto" w:fill="auto"/>
            <w:noWrap/>
            <w:vAlign w:val="center"/>
            <w:hideMark/>
          </w:tcPr>
          <w:p w14:paraId="4151F34D" w14:textId="77777777" w:rsidR="007C4794" w:rsidRPr="007C4794" w:rsidRDefault="007C4794" w:rsidP="007C4794">
            <w:pPr>
              <w:spacing w:after="0" w:line="240" w:lineRule="auto"/>
              <w:jc w:val="right"/>
              <w:rPr>
                <w:rFonts w:ascii="Arial" w:eastAsia="Times New Roman" w:hAnsi="Arial" w:cs="Arial"/>
                <w:sz w:val="20"/>
                <w:szCs w:val="20"/>
                <w:lang w:eastAsia="en-GB"/>
              </w:rPr>
            </w:pPr>
            <w:r w:rsidRPr="007C4794">
              <w:rPr>
                <w:rFonts w:ascii="Arial" w:eastAsia="Times New Roman" w:hAnsi="Arial" w:cs="Arial"/>
                <w:sz w:val="20"/>
                <w:szCs w:val="20"/>
                <w:lang w:eastAsia="en-GB"/>
              </w:rPr>
              <w:t>£'000</w:t>
            </w:r>
          </w:p>
        </w:tc>
        <w:tc>
          <w:tcPr>
            <w:tcW w:w="1272" w:type="dxa"/>
            <w:tcBorders>
              <w:top w:val="nil"/>
              <w:left w:val="nil"/>
              <w:bottom w:val="single" w:sz="4" w:space="0" w:color="auto"/>
              <w:right w:val="nil"/>
            </w:tcBorders>
            <w:shd w:val="clear" w:color="auto" w:fill="auto"/>
            <w:noWrap/>
            <w:vAlign w:val="center"/>
            <w:hideMark/>
          </w:tcPr>
          <w:p w14:paraId="7FEFAF61" w14:textId="77777777" w:rsidR="007C4794" w:rsidRPr="007C4794" w:rsidRDefault="007C4794" w:rsidP="007C4794">
            <w:pPr>
              <w:spacing w:after="0" w:line="240" w:lineRule="auto"/>
              <w:jc w:val="right"/>
              <w:rPr>
                <w:rFonts w:ascii="Arial" w:eastAsia="Times New Roman" w:hAnsi="Arial" w:cs="Arial"/>
                <w:b/>
                <w:bCs/>
                <w:sz w:val="20"/>
                <w:szCs w:val="20"/>
                <w:lang w:eastAsia="en-GB"/>
              </w:rPr>
            </w:pPr>
            <w:r w:rsidRPr="007C4794">
              <w:rPr>
                <w:rFonts w:ascii="Arial" w:eastAsia="Times New Roman" w:hAnsi="Arial" w:cs="Arial"/>
                <w:b/>
                <w:bCs/>
                <w:sz w:val="20"/>
                <w:szCs w:val="20"/>
                <w:lang w:eastAsia="en-GB"/>
              </w:rPr>
              <w:t>£'000</w:t>
            </w:r>
          </w:p>
        </w:tc>
        <w:tc>
          <w:tcPr>
            <w:tcW w:w="1089" w:type="dxa"/>
            <w:tcBorders>
              <w:top w:val="nil"/>
              <w:left w:val="nil"/>
              <w:bottom w:val="single" w:sz="4" w:space="0" w:color="auto"/>
              <w:right w:val="nil"/>
            </w:tcBorders>
            <w:shd w:val="clear" w:color="auto" w:fill="auto"/>
            <w:noWrap/>
            <w:vAlign w:val="center"/>
            <w:hideMark/>
          </w:tcPr>
          <w:p w14:paraId="29281759" w14:textId="77777777" w:rsidR="007C4794" w:rsidRPr="007C4794" w:rsidRDefault="007C4794" w:rsidP="007C4794">
            <w:pPr>
              <w:spacing w:after="0" w:line="240" w:lineRule="auto"/>
              <w:jc w:val="right"/>
              <w:rPr>
                <w:rFonts w:ascii="Arial" w:eastAsia="Times New Roman" w:hAnsi="Arial" w:cs="Arial"/>
                <w:sz w:val="20"/>
                <w:szCs w:val="20"/>
                <w:lang w:eastAsia="en-GB"/>
              </w:rPr>
            </w:pPr>
            <w:r w:rsidRPr="007C4794">
              <w:rPr>
                <w:rFonts w:ascii="Arial" w:eastAsia="Times New Roman" w:hAnsi="Arial" w:cs="Arial"/>
                <w:sz w:val="20"/>
                <w:szCs w:val="20"/>
                <w:lang w:eastAsia="en-GB"/>
              </w:rPr>
              <w:t>£'000</w:t>
            </w:r>
          </w:p>
        </w:tc>
        <w:tc>
          <w:tcPr>
            <w:tcW w:w="239" w:type="dxa"/>
            <w:tcBorders>
              <w:top w:val="nil"/>
              <w:left w:val="nil"/>
              <w:bottom w:val="nil"/>
              <w:right w:val="nil"/>
            </w:tcBorders>
            <w:shd w:val="clear" w:color="auto" w:fill="auto"/>
            <w:noWrap/>
            <w:vAlign w:val="center"/>
            <w:hideMark/>
          </w:tcPr>
          <w:p w14:paraId="02147599" w14:textId="77777777" w:rsidR="007C4794" w:rsidRPr="007C4794" w:rsidRDefault="007C4794" w:rsidP="007C4794">
            <w:pPr>
              <w:spacing w:after="0" w:line="240" w:lineRule="auto"/>
              <w:jc w:val="right"/>
              <w:rPr>
                <w:rFonts w:ascii="Arial" w:eastAsia="Times New Roman" w:hAnsi="Arial" w:cs="Arial"/>
                <w:sz w:val="20"/>
                <w:szCs w:val="20"/>
                <w:lang w:eastAsia="en-GB"/>
              </w:rPr>
            </w:pPr>
          </w:p>
        </w:tc>
      </w:tr>
      <w:tr w:rsidR="007C4794" w:rsidRPr="007C4794" w14:paraId="391A320D" w14:textId="77777777" w:rsidTr="00697C96">
        <w:trPr>
          <w:trHeight w:val="260"/>
        </w:trPr>
        <w:tc>
          <w:tcPr>
            <w:tcW w:w="3520" w:type="dxa"/>
            <w:tcBorders>
              <w:top w:val="nil"/>
              <w:left w:val="nil"/>
              <w:bottom w:val="nil"/>
              <w:right w:val="nil"/>
            </w:tcBorders>
            <w:shd w:val="clear" w:color="auto" w:fill="auto"/>
            <w:noWrap/>
            <w:vAlign w:val="bottom"/>
            <w:hideMark/>
          </w:tcPr>
          <w:p w14:paraId="45522DE9" w14:textId="77777777" w:rsidR="007C4794" w:rsidRPr="007C4794" w:rsidRDefault="007C4794" w:rsidP="007C4794">
            <w:pPr>
              <w:spacing w:after="0" w:line="240" w:lineRule="auto"/>
              <w:rPr>
                <w:rFonts w:ascii="Times New Roman" w:eastAsia="Times New Roman" w:hAnsi="Times New Roman" w:cs="Times New Roman"/>
                <w:sz w:val="20"/>
                <w:szCs w:val="20"/>
                <w:lang w:eastAsia="en-GB"/>
              </w:rPr>
            </w:pPr>
          </w:p>
        </w:tc>
        <w:tc>
          <w:tcPr>
            <w:tcW w:w="786" w:type="dxa"/>
            <w:tcBorders>
              <w:top w:val="nil"/>
              <w:left w:val="nil"/>
              <w:bottom w:val="nil"/>
              <w:right w:val="nil"/>
            </w:tcBorders>
            <w:shd w:val="clear" w:color="auto" w:fill="auto"/>
            <w:noWrap/>
            <w:vAlign w:val="bottom"/>
            <w:hideMark/>
          </w:tcPr>
          <w:p w14:paraId="7CB83010" w14:textId="77777777" w:rsidR="007C4794" w:rsidRPr="007C4794" w:rsidRDefault="007C4794" w:rsidP="007C4794">
            <w:pPr>
              <w:spacing w:after="0" w:line="240" w:lineRule="auto"/>
              <w:rPr>
                <w:rFonts w:ascii="Times New Roman" w:eastAsia="Times New Roman" w:hAnsi="Times New Roman" w:cs="Times New Roman"/>
                <w:sz w:val="20"/>
                <w:szCs w:val="20"/>
                <w:lang w:eastAsia="en-GB"/>
              </w:rPr>
            </w:pPr>
          </w:p>
        </w:tc>
        <w:tc>
          <w:tcPr>
            <w:tcW w:w="1272" w:type="dxa"/>
            <w:tcBorders>
              <w:top w:val="nil"/>
              <w:left w:val="nil"/>
              <w:bottom w:val="nil"/>
              <w:right w:val="nil"/>
            </w:tcBorders>
            <w:shd w:val="clear" w:color="auto" w:fill="auto"/>
            <w:noWrap/>
            <w:vAlign w:val="bottom"/>
            <w:hideMark/>
          </w:tcPr>
          <w:p w14:paraId="4118CFA5" w14:textId="77777777" w:rsidR="007C4794" w:rsidRPr="007C4794" w:rsidRDefault="007C4794" w:rsidP="007C4794">
            <w:pPr>
              <w:spacing w:after="0" w:line="240" w:lineRule="auto"/>
              <w:rPr>
                <w:rFonts w:ascii="Times New Roman" w:eastAsia="Times New Roman" w:hAnsi="Times New Roman" w:cs="Times New Roman"/>
                <w:sz w:val="20"/>
                <w:szCs w:val="20"/>
                <w:lang w:eastAsia="en-GB"/>
              </w:rPr>
            </w:pPr>
          </w:p>
        </w:tc>
        <w:tc>
          <w:tcPr>
            <w:tcW w:w="1312" w:type="dxa"/>
            <w:tcBorders>
              <w:top w:val="nil"/>
              <w:left w:val="nil"/>
              <w:bottom w:val="nil"/>
              <w:right w:val="nil"/>
            </w:tcBorders>
            <w:shd w:val="clear" w:color="auto" w:fill="auto"/>
            <w:noWrap/>
            <w:vAlign w:val="bottom"/>
            <w:hideMark/>
          </w:tcPr>
          <w:p w14:paraId="6FE2D444" w14:textId="77777777" w:rsidR="007C4794" w:rsidRPr="007C4794" w:rsidRDefault="007C4794" w:rsidP="007C4794">
            <w:pPr>
              <w:spacing w:after="0" w:line="240" w:lineRule="auto"/>
              <w:rPr>
                <w:rFonts w:ascii="Times New Roman" w:eastAsia="Times New Roman" w:hAnsi="Times New Roman" w:cs="Times New Roman"/>
                <w:sz w:val="20"/>
                <w:szCs w:val="20"/>
                <w:lang w:eastAsia="en-GB"/>
              </w:rPr>
            </w:pPr>
          </w:p>
        </w:tc>
        <w:tc>
          <w:tcPr>
            <w:tcW w:w="1272" w:type="dxa"/>
            <w:tcBorders>
              <w:top w:val="nil"/>
              <w:left w:val="nil"/>
              <w:bottom w:val="nil"/>
              <w:right w:val="nil"/>
            </w:tcBorders>
            <w:shd w:val="clear" w:color="auto" w:fill="auto"/>
            <w:noWrap/>
            <w:vAlign w:val="bottom"/>
            <w:hideMark/>
          </w:tcPr>
          <w:p w14:paraId="6BF6210C" w14:textId="77777777" w:rsidR="007C4794" w:rsidRPr="007C4794" w:rsidRDefault="007C4794" w:rsidP="007C4794">
            <w:pPr>
              <w:spacing w:after="0" w:line="240" w:lineRule="auto"/>
              <w:rPr>
                <w:rFonts w:ascii="Times New Roman" w:eastAsia="Times New Roman" w:hAnsi="Times New Roman" w:cs="Times New Roman"/>
                <w:sz w:val="20"/>
                <w:szCs w:val="20"/>
                <w:lang w:eastAsia="en-GB"/>
              </w:rPr>
            </w:pPr>
          </w:p>
        </w:tc>
        <w:tc>
          <w:tcPr>
            <w:tcW w:w="1089" w:type="dxa"/>
            <w:tcBorders>
              <w:top w:val="nil"/>
              <w:left w:val="nil"/>
              <w:bottom w:val="nil"/>
              <w:right w:val="nil"/>
            </w:tcBorders>
            <w:shd w:val="clear" w:color="auto" w:fill="auto"/>
            <w:noWrap/>
            <w:vAlign w:val="bottom"/>
            <w:hideMark/>
          </w:tcPr>
          <w:p w14:paraId="5C5EBC5F" w14:textId="77777777" w:rsidR="007C4794" w:rsidRPr="007C4794" w:rsidRDefault="007C4794" w:rsidP="007C4794">
            <w:pPr>
              <w:spacing w:after="0" w:line="240" w:lineRule="auto"/>
              <w:rPr>
                <w:rFonts w:ascii="Times New Roman" w:eastAsia="Times New Roman" w:hAnsi="Times New Roman" w:cs="Times New Roman"/>
                <w:sz w:val="20"/>
                <w:szCs w:val="20"/>
                <w:lang w:eastAsia="en-GB"/>
              </w:rPr>
            </w:pPr>
          </w:p>
        </w:tc>
        <w:tc>
          <w:tcPr>
            <w:tcW w:w="239" w:type="dxa"/>
            <w:tcBorders>
              <w:top w:val="nil"/>
              <w:left w:val="nil"/>
              <w:bottom w:val="nil"/>
              <w:right w:val="nil"/>
            </w:tcBorders>
            <w:shd w:val="clear" w:color="auto" w:fill="auto"/>
            <w:noWrap/>
            <w:vAlign w:val="center"/>
            <w:hideMark/>
          </w:tcPr>
          <w:p w14:paraId="396D81D2" w14:textId="77777777" w:rsidR="007C4794" w:rsidRPr="007C4794" w:rsidRDefault="007C4794" w:rsidP="007C4794">
            <w:pPr>
              <w:spacing w:after="0" w:line="240" w:lineRule="auto"/>
              <w:rPr>
                <w:rFonts w:ascii="Times New Roman" w:eastAsia="Times New Roman" w:hAnsi="Times New Roman" w:cs="Times New Roman"/>
                <w:sz w:val="20"/>
                <w:szCs w:val="20"/>
                <w:lang w:eastAsia="en-GB"/>
              </w:rPr>
            </w:pPr>
          </w:p>
        </w:tc>
      </w:tr>
      <w:tr w:rsidR="007C4794" w:rsidRPr="007C4794" w14:paraId="06E6424C" w14:textId="77777777" w:rsidTr="00697C96">
        <w:trPr>
          <w:trHeight w:val="260"/>
        </w:trPr>
        <w:tc>
          <w:tcPr>
            <w:tcW w:w="3520" w:type="dxa"/>
            <w:tcBorders>
              <w:top w:val="nil"/>
              <w:left w:val="nil"/>
              <w:bottom w:val="nil"/>
              <w:right w:val="nil"/>
            </w:tcBorders>
            <w:shd w:val="clear" w:color="auto" w:fill="auto"/>
            <w:noWrap/>
            <w:vAlign w:val="center"/>
            <w:hideMark/>
          </w:tcPr>
          <w:p w14:paraId="3CFEF19E" w14:textId="77777777" w:rsidR="007C4794" w:rsidRPr="007C4794" w:rsidRDefault="007C4794" w:rsidP="007C4794">
            <w:pPr>
              <w:spacing w:after="0" w:line="240" w:lineRule="auto"/>
              <w:rPr>
                <w:rFonts w:ascii="Arial" w:eastAsia="Times New Roman" w:hAnsi="Arial" w:cs="Arial"/>
                <w:sz w:val="20"/>
                <w:szCs w:val="20"/>
                <w:lang w:eastAsia="en-GB"/>
              </w:rPr>
            </w:pPr>
            <w:r w:rsidRPr="007C4794">
              <w:rPr>
                <w:rFonts w:ascii="Arial" w:eastAsia="Times New Roman" w:hAnsi="Arial" w:cs="Arial"/>
                <w:sz w:val="20"/>
                <w:szCs w:val="20"/>
                <w:lang w:eastAsia="en-GB"/>
              </w:rPr>
              <w:t>Deferred tax asset</w:t>
            </w:r>
          </w:p>
        </w:tc>
        <w:tc>
          <w:tcPr>
            <w:tcW w:w="786" w:type="dxa"/>
            <w:tcBorders>
              <w:top w:val="nil"/>
              <w:left w:val="nil"/>
              <w:bottom w:val="nil"/>
              <w:right w:val="nil"/>
            </w:tcBorders>
            <w:shd w:val="clear" w:color="auto" w:fill="auto"/>
            <w:noWrap/>
            <w:vAlign w:val="bottom"/>
            <w:hideMark/>
          </w:tcPr>
          <w:p w14:paraId="1B880C86" w14:textId="77777777" w:rsidR="007C4794" w:rsidRPr="007C4794" w:rsidRDefault="007C4794" w:rsidP="007C4794">
            <w:pPr>
              <w:spacing w:after="0" w:line="240" w:lineRule="auto"/>
              <w:rPr>
                <w:rFonts w:ascii="Arial" w:eastAsia="Times New Roman" w:hAnsi="Arial" w:cs="Arial"/>
                <w:sz w:val="20"/>
                <w:szCs w:val="20"/>
                <w:lang w:eastAsia="en-GB"/>
              </w:rPr>
            </w:pPr>
          </w:p>
        </w:tc>
        <w:tc>
          <w:tcPr>
            <w:tcW w:w="1272" w:type="dxa"/>
            <w:tcBorders>
              <w:top w:val="nil"/>
              <w:left w:val="nil"/>
              <w:bottom w:val="single" w:sz="4" w:space="0" w:color="auto"/>
              <w:right w:val="nil"/>
            </w:tcBorders>
            <w:shd w:val="clear" w:color="auto" w:fill="auto"/>
            <w:noWrap/>
            <w:vAlign w:val="center"/>
            <w:hideMark/>
          </w:tcPr>
          <w:p w14:paraId="4D552727" w14:textId="77777777" w:rsidR="007C4794" w:rsidRPr="007C4794" w:rsidRDefault="000974F6" w:rsidP="007C4794">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12,386</w:t>
            </w:r>
          </w:p>
        </w:tc>
        <w:tc>
          <w:tcPr>
            <w:tcW w:w="1312" w:type="dxa"/>
            <w:tcBorders>
              <w:top w:val="nil"/>
              <w:left w:val="nil"/>
              <w:bottom w:val="single" w:sz="4" w:space="0" w:color="auto"/>
              <w:right w:val="nil"/>
            </w:tcBorders>
            <w:shd w:val="clear" w:color="auto" w:fill="auto"/>
            <w:noWrap/>
            <w:vAlign w:val="center"/>
            <w:hideMark/>
          </w:tcPr>
          <w:p w14:paraId="56CBDF07" w14:textId="77777777" w:rsidR="007C4794" w:rsidRPr="00265730" w:rsidRDefault="00265730" w:rsidP="007C4794">
            <w:pPr>
              <w:spacing w:after="0" w:line="240" w:lineRule="auto"/>
              <w:jc w:val="right"/>
              <w:rPr>
                <w:rFonts w:ascii="Arial" w:eastAsia="Times New Roman" w:hAnsi="Arial" w:cs="Arial"/>
                <w:sz w:val="20"/>
                <w:szCs w:val="20"/>
                <w:lang w:eastAsia="en-GB"/>
              </w:rPr>
            </w:pPr>
            <w:r w:rsidRPr="00265730">
              <w:rPr>
                <w:rFonts w:ascii="Arial" w:eastAsia="Times New Roman" w:hAnsi="Arial" w:cs="Arial"/>
                <w:bCs/>
                <w:sz w:val="20"/>
                <w:szCs w:val="20"/>
                <w:lang w:eastAsia="en-GB"/>
              </w:rPr>
              <w:t>10,613</w:t>
            </w:r>
          </w:p>
        </w:tc>
        <w:tc>
          <w:tcPr>
            <w:tcW w:w="1272" w:type="dxa"/>
            <w:tcBorders>
              <w:top w:val="nil"/>
              <w:left w:val="nil"/>
              <w:bottom w:val="single" w:sz="4" w:space="0" w:color="auto"/>
              <w:right w:val="nil"/>
            </w:tcBorders>
            <w:shd w:val="clear" w:color="auto" w:fill="auto"/>
            <w:noWrap/>
            <w:vAlign w:val="bottom"/>
            <w:hideMark/>
          </w:tcPr>
          <w:p w14:paraId="663803E8" w14:textId="77777777" w:rsidR="007C4794" w:rsidRPr="007C4794" w:rsidRDefault="002E528C" w:rsidP="007C4794">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w:t>
            </w:r>
          </w:p>
        </w:tc>
        <w:tc>
          <w:tcPr>
            <w:tcW w:w="1089" w:type="dxa"/>
            <w:tcBorders>
              <w:top w:val="nil"/>
              <w:left w:val="nil"/>
              <w:bottom w:val="single" w:sz="4" w:space="0" w:color="auto"/>
              <w:right w:val="nil"/>
            </w:tcBorders>
            <w:shd w:val="clear" w:color="auto" w:fill="auto"/>
            <w:noWrap/>
            <w:vAlign w:val="bottom"/>
            <w:hideMark/>
          </w:tcPr>
          <w:p w14:paraId="0DFAB87F" w14:textId="77777777" w:rsidR="007C4794" w:rsidRPr="007C4794" w:rsidRDefault="002E528C" w:rsidP="007C4794">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w:t>
            </w:r>
          </w:p>
        </w:tc>
        <w:tc>
          <w:tcPr>
            <w:tcW w:w="239" w:type="dxa"/>
            <w:tcBorders>
              <w:top w:val="nil"/>
              <w:left w:val="nil"/>
              <w:bottom w:val="nil"/>
              <w:right w:val="nil"/>
            </w:tcBorders>
            <w:shd w:val="clear" w:color="auto" w:fill="auto"/>
            <w:noWrap/>
            <w:vAlign w:val="center"/>
            <w:hideMark/>
          </w:tcPr>
          <w:p w14:paraId="6684921D" w14:textId="77777777" w:rsidR="007C4794" w:rsidRPr="007C4794" w:rsidRDefault="007C4794" w:rsidP="007C4794">
            <w:pPr>
              <w:spacing w:after="0" w:line="240" w:lineRule="auto"/>
              <w:jc w:val="right"/>
              <w:rPr>
                <w:rFonts w:ascii="Arial" w:eastAsia="Times New Roman" w:hAnsi="Arial" w:cs="Arial"/>
                <w:sz w:val="20"/>
                <w:szCs w:val="20"/>
                <w:lang w:eastAsia="en-GB"/>
              </w:rPr>
            </w:pPr>
          </w:p>
        </w:tc>
      </w:tr>
    </w:tbl>
    <w:p w14:paraId="4A8A1654" w14:textId="77777777" w:rsidR="007C4794" w:rsidRDefault="007C4794" w:rsidP="00E70CD3">
      <w:pPr>
        <w:autoSpaceDE w:val="0"/>
        <w:autoSpaceDN w:val="0"/>
        <w:adjustRightInd w:val="0"/>
        <w:spacing w:after="0" w:line="240" w:lineRule="auto"/>
        <w:rPr>
          <w:rFonts w:ascii="Arial" w:hAnsi="Arial" w:cs="Arial"/>
          <w:b/>
          <w:sz w:val="24"/>
          <w:szCs w:val="24"/>
        </w:rPr>
      </w:pPr>
    </w:p>
    <w:p w14:paraId="2E87819D" w14:textId="77777777" w:rsidR="007C4794" w:rsidRDefault="007C4794" w:rsidP="00E70CD3">
      <w:pPr>
        <w:autoSpaceDE w:val="0"/>
        <w:autoSpaceDN w:val="0"/>
        <w:adjustRightInd w:val="0"/>
        <w:spacing w:after="0" w:line="240" w:lineRule="auto"/>
        <w:rPr>
          <w:rFonts w:ascii="Arial" w:hAnsi="Arial" w:cs="Arial"/>
          <w:b/>
          <w:sz w:val="24"/>
          <w:szCs w:val="24"/>
        </w:rPr>
      </w:pPr>
    </w:p>
    <w:p w14:paraId="1F84297F" w14:textId="77777777" w:rsidR="00E70CD3" w:rsidRPr="00340A7F" w:rsidRDefault="00BE0959" w:rsidP="00E70CD3">
      <w:pPr>
        <w:autoSpaceDE w:val="0"/>
        <w:autoSpaceDN w:val="0"/>
        <w:adjustRightInd w:val="0"/>
        <w:spacing w:after="0" w:line="240" w:lineRule="auto"/>
        <w:rPr>
          <w:rFonts w:ascii="Arial" w:hAnsi="Arial" w:cs="Arial"/>
          <w:b/>
          <w:sz w:val="24"/>
          <w:szCs w:val="24"/>
        </w:rPr>
      </w:pPr>
      <w:r>
        <w:rPr>
          <w:rFonts w:ascii="Arial" w:hAnsi="Arial" w:cs="Arial"/>
          <w:b/>
          <w:sz w:val="24"/>
          <w:szCs w:val="24"/>
        </w:rPr>
        <w:t>14.</w:t>
      </w:r>
      <w:r w:rsidR="00E70CD3" w:rsidRPr="00340A7F">
        <w:rPr>
          <w:rFonts w:ascii="Arial" w:hAnsi="Arial" w:cs="Arial"/>
          <w:b/>
          <w:sz w:val="24"/>
          <w:szCs w:val="24"/>
        </w:rPr>
        <w:t xml:space="preserve"> Deferred Taxation</w:t>
      </w:r>
    </w:p>
    <w:tbl>
      <w:tblPr>
        <w:tblW w:w="9249" w:type="dxa"/>
        <w:tblLayout w:type="fixed"/>
        <w:tblLook w:val="04A0" w:firstRow="1" w:lastRow="0" w:firstColumn="1" w:lastColumn="0" w:noHBand="0" w:noVBand="1"/>
      </w:tblPr>
      <w:tblGrid>
        <w:gridCol w:w="3505"/>
        <w:gridCol w:w="636"/>
        <w:gridCol w:w="23"/>
        <w:gridCol w:w="232"/>
        <w:gridCol w:w="1024"/>
        <w:gridCol w:w="1533"/>
        <w:gridCol w:w="1148"/>
        <w:gridCol w:w="1148"/>
      </w:tblGrid>
      <w:tr w:rsidR="00F17712" w:rsidRPr="00CC5D1F" w14:paraId="1156E91D" w14:textId="77777777" w:rsidTr="00697C96">
        <w:trPr>
          <w:trHeight w:val="263"/>
        </w:trPr>
        <w:tc>
          <w:tcPr>
            <w:tcW w:w="4141" w:type="dxa"/>
            <w:gridSpan w:val="2"/>
            <w:tcBorders>
              <w:top w:val="nil"/>
              <w:left w:val="nil"/>
              <w:bottom w:val="nil"/>
              <w:right w:val="nil"/>
            </w:tcBorders>
            <w:shd w:val="clear" w:color="auto" w:fill="auto"/>
            <w:noWrap/>
            <w:vAlign w:val="bottom"/>
            <w:hideMark/>
          </w:tcPr>
          <w:p w14:paraId="2C38AF3A" w14:textId="77777777" w:rsidR="00F17712" w:rsidRPr="00CC5D1F" w:rsidRDefault="00F17712" w:rsidP="00CC5D1F">
            <w:pPr>
              <w:spacing w:after="0" w:line="240" w:lineRule="auto"/>
              <w:rPr>
                <w:rFonts w:ascii="Arial" w:eastAsia="Times New Roman" w:hAnsi="Arial" w:cs="Arial"/>
                <w:sz w:val="20"/>
                <w:szCs w:val="20"/>
                <w:lang w:eastAsia="en-GB"/>
              </w:rPr>
            </w:pPr>
          </w:p>
        </w:tc>
        <w:tc>
          <w:tcPr>
            <w:tcW w:w="255" w:type="dxa"/>
            <w:gridSpan w:val="2"/>
            <w:tcBorders>
              <w:top w:val="nil"/>
              <w:left w:val="nil"/>
              <w:bottom w:val="nil"/>
              <w:right w:val="nil"/>
            </w:tcBorders>
            <w:shd w:val="clear" w:color="auto" w:fill="auto"/>
            <w:noWrap/>
            <w:vAlign w:val="bottom"/>
            <w:hideMark/>
          </w:tcPr>
          <w:p w14:paraId="15A6FF7E" w14:textId="77777777" w:rsidR="00F17712" w:rsidRPr="00CC5D1F" w:rsidRDefault="00F17712" w:rsidP="00CC5D1F">
            <w:pPr>
              <w:spacing w:after="0" w:line="240" w:lineRule="auto"/>
              <w:rPr>
                <w:rFonts w:ascii="Times New Roman" w:eastAsia="Times New Roman" w:hAnsi="Times New Roman" w:cs="Times New Roman"/>
                <w:sz w:val="20"/>
                <w:szCs w:val="20"/>
                <w:lang w:eastAsia="en-GB"/>
              </w:rPr>
            </w:pPr>
          </w:p>
        </w:tc>
        <w:tc>
          <w:tcPr>
            <w:tcW w:w="2557" w:type="dxa"/>
            <w:gridSpan w:val="2"/>
            <w:tcBorders>
              <w:top w:val="nil"/>
              <w:left w:val="nil"/>
              <w:bottom w:val="nil"/>
              <w:right w:val="nil"/>
            </w:tcBorders>
            <w:shd w:val="clear" w:color="auto" w:fill="auto"/>
            <w:noWrap/>
            <w:vAlign w:val="bottom"/>
            <w:hideMark/>
          </w:tcPr>
          <w:p w14:paraId="42A439D3" w14:textId="77777777" w:rsidR="00F17712" w:rsidRPr="00CC5D1F" w:rsidRDefault="00F17712" w:rsidP="00CC5D1F">
            <w:pPr>
              <w:spacing w:after="0" w:line="240" w:lineRule="auto"/>
              <w:rPr>
                <w:rFonts w:ascii="Times New Roman" w:eastAsia="Times New Roman" w:hAnsi="Times New Roman" w:cs="Times New Roman"/>
                <w:sz w:val="20"/>
                <w:szCs w:val="20"/>
                <w:lang w:eastAsia="en-GB"/>
              </w:rPr>
            </w:pPr>
          </w:p>
        </w:tc>
        <w:tc>
          <w:tcPr>
            <w:tcW w:w="1148" w:type="dxa"/>
            <w:tcBorders>
              <w:top w:val="nil"/>
              <w:left w:val="nil"/>
              <w:bottom w:val="nil"/>
              <w:right w:val="nil"/>
            </w:tcBorders>
            <w:shd w:val="clear" w:color="auto" w:fill="auto"/>
            <w:noWrap/>
            <w:vAlign w:val="bottom"/>
            <w:hideMark/>
          </w:tcPr>
          <w:p w14:paraId="314B1E35" w14:textId="77777777" w:rsidR="00F17712" w:rsidRPr="00CC5D1F" w:rsidRDefault="00F17712" w:rsidP="00CC5D1F">
            <w:pPr>
              <w:spacing w:after="0" w:line="240" w:lineRule="auto"/>
              <w:rPr>
                <w:rFonts w:ascii="Times New Roman" w:eastAsia="Times New Roman" w:hAnsi="Times New Roman" w:cs="Times New Roman"/>
                <w:sz w:val="20"/>
                <w:szCs w:val="20"/>
                <w:lang w:eastAsia="en-GB"/>
              </w:rPr>
            </w:pPr>
          </w:p>
        </w:tc>
        <w:tc>
          <w:tcPr>
            <w:tcW w:w="1148" w:type="dxa"/>
            <w:tcBorders>
              <w:top w:val="nil"/>
              <w:left w:val="nil"/>
              <w:bottom w:val="nil"/>
              <w:right w:val="nil"/>
            </w:tcBorders>
            <w:shd w:val="clear" w:color="auto" w:fill="auto"/>
            <w:noWrap/>
            <w:vAlign w:val="bottom"/>
            <w:hideMark/>
          </w:tcPr>
          <w:p w14:paraId="29D2A6D4" w14:textId="77777777" w:rsidR="00F17712" w:rsidRPr="00CC5D1F" w:rsidRDefault="00F17712" w:rsidP="00CC5D1F">
            <w:pPr>
              <w:spacing w:after="0" w:line="240" w:lineRule="auto"/>
              <w:rPr>
                <w:rFonts w:ascii="Times New Roman" w:eastAsia="Times New Roman" w:hAnsi="Times New Roman" w:cs="Times New Roman"/>
                <w:sz w:val="20"/>
                <w:szCs w:val="20"/>
                <w:lang w:eastAsia="en-GB"/>
              </w:rPr>
            </w:pPr>
          </w:p>
        </w:tc>
      </w:tr>
      <w:tr w:rsidR="00F17712" w:rsidRPr="00CC5D1F" w14:paraId="057E71C9" w14:textId="77777777" w:rsidTr="00697C96">
        <w:trPr>
          <w:trHeight w:val="263"/>
        </w:trPr>
        <w:tc>
          <w:tcPr>
            <w:tcW w:w="4141" w:type="dxa"/>
            <w:gridSpan w:val="2"/>
            <w:tcBorders>
              <w:top w:val="nil"/>
              <w:left w:val="nil"/>
              <w:bottom w:val="nil"/>
              <w:right w:val="nil"/>
            </w:tcBorders>
            <w:shd w:val="clear" w:color="auto" w:fill="auto"/>
            <w:vAlign w:val="center"/>
            <w:hideMark/>
          </w:tcPr>
          <w:p w14:paraId="4E39A5B2" w14:textId="77777777" w:rsidR="00F17712" w:rsidRPr="00CC5D1F" w:rsidRDefault="00F17712" w:rsidP="00CC5D1F">
            <w:pPr>
              <w:spacing w:after="0" w:line="240" w:lineRule="auto"/>
              <w:rPr>
                <w:rFonts w:ascii="Times New Roman" w:eastAsia="Times New Roman" w:hAnsi="Times New Roman" w:cs="Times New Roman"/>
                <w:sz w:val="20"/>
                <w:szCs w:val="20"/>
                <w:lang w:eastAsia="en-GB"/>
              </w:rPr>
            </w:pPr>
          </w:p>
        </w:tc>
        <w:tc>
          <w:tcPr>
            <w:tcW w:w="255" w:type="dxa"/>
            <w:gridSpan w:val="2"/>
            <w:tcBorders>
              <w:top w:val="nil"/>
              <w:left w:val="nil"/>
              <w:bottom w:val="nil"/>
              <w:right w:val="nil"/>
            </w:tcBorders>
            <w:shd w:val="clear" w:color="auto" w:fill="auto"/>
            <w:noWrap/>
            <w:vAlign w:val="bottom"/>
            <w:hideMark/>
          </w:tcPr>
          <w:p w14:paraId="1496854B" w14:textId="77777777" w:rsidR="00F17712" w:rsidRPr="00CC5D1F" w:rsidRDefault="00F17712" w:rsidP="00CC5D1F">
            <w:pPr>
              <w:spacing w:after="0" w:line="240" w:lineRule="auto"/>
              <w:rPr>
                <w:rFonts w:ascii="Times New Roman" w:eastAsia="Times New Roman" w:hAnsi="Times New Roman" w:cs="Times New Roman"/>
                <w:sz w:val="20"/>
                <w:szCs w:val="20"/>
                <w:lang w:eastAsia="en-GB"/>
              </w:rPr>
            </w:pPr>
          </w:p>
        </w:tc>
        <w:tc>
          <w:tcPr>
            <w:tcW w:w="2557" w:type="dxa"/>
            <w:gridSpan w:val="2"/>
            <w:tcBorders>
              <w:top w:val="nil"/>
              <w:left w:val="nil"/>
              <w:bottom w:val="nil"/>
              <w:right w:val="nil"/>
            </w:tcBorders>
            <w:shd w:val="clear" w:color="auto" w:fill="auto"/>
            <w:noWrap/>
            <w:vAlign w:val="bottom"/>
            <w:hideMark/>
          </w:tcPr>
          <w:p w14:paraId="6D8449BD" w14:textId="77777777" w:rsidR="00F17712" w:rsidRPr="00CC5D1F" w:rsidRDefault="00F17712" w:rsidP="00CC5D1F">
            <w:pPr>
              <w:spacing w:after="0" w:line="240" w:lineRule="auto"/>
              <w:rPr>
                <w:rFonts w:ascii="Times New Roman" w:eastAsia="Times New Roman" w:hAnsi="Times New Roman" w:cs="Times New Roman"/>
                <w:sz w:val="20"/>
                <w:szCs w:val="20"/>
                <w:lang w:eastAsia="en-GB"/>
              </w:rPr>
            </w:pPr>
          </w:p>
        </w:tc>
        <w:tc>
          <w:tcPr>
            <w:tcW w:w="1148" w:type="dxa"/>
            <w:tcBorders>
              <w:top w:val="nil"/>
              <w:left w:val="nil"/>
              <w:bottom w:val="nil"/>
              <w:right w:val="nil"/>
            </w:tcBorders>
            <w:shd w:val="clear" w:color="auto" w:fill="auto"/>
            <w:vAlign w:val="center"/>
            <w:hideMark/>
          </w:tcPr>
          <w:p w14:paraId="070DBA0B" w14:textId="77777777" w:rsidR="00F17712" w:rsidRPr="00CC5D1F" w:rsidRDefault="0037645F" w:rsidP="00CC5D1F">
            <w:pPr>
              <w:spacing w:after="0" w:line="240" w:lineRule="auto"/>
              <w:jc w:val="right"/>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2020</w:t>
            </w:r>
          </w:p>
        </w:tc>
        <w:tc>
          <w:tcPr>
            <w:tcW w:w="1148" w:type="dxa"/>
            <w:tcBorders>
              <w:top w:val="nil"/>
              <w:left w:val="nil"/>
              <w:bottom w:val="nil"/>
              <w:right w:val="nil"/>
            </w:tcBorders>
            <w:shd w:val="clear" w:color="auto" w:fill="auto"/>
            <w:vAlign w:val="center"/>
            <w:hideMark/>
          </w:tcPr>
          <w:p w14:paraId="34A6FE81" w14:textId="77777777" w:rsidR="00F17712" w:rsidRPr="00BC4223" w:rsidRDefault="0037645F" w:rsidP="00CC5D1F">
            <w:pPr>
              <w:spacing w:after="0" w:line="240" w:lineRule="auto"/>
              <w:jc w:val="right"/>
              <w:rPr>
                <w:rFonts w:ascii="Arial" w:eastAsia="Times New Roman" w:hAnsi="Arial" w:cs="Arial"/>
                <w:bCs/>
                <w:color w:val="000000"/>
                <w:sz w:val="20"/>
                <w:szCs w:val="20"/>
                <w:lang w:eastAsia="en-GB"/>
              </w:rPr>
            </w:pPr>
            <w:r>
              <w:rPr>
                <w:rFonts w:ascii="Arial" w:eastAsia="Times New Roman" w:hAnsi="Arial" w:cs="Arial"/>
                <w:bCs/>
                <w:color w:val="000000"/>
                <w:sz w:val="20"/>
                <w:szCs w:val="20"/>
                <w:lang w:eastAsia="en-GB"/>
              </w:rPr>
              <w:t>2019</w:t>
            </w:r>
          </w:p>
        </w:tc>
      </w:tr>
      <w:tr w:rsidR="00F17712" w:rsidRPr="00CC5D1F" w14:paraId="455967CD" w14:textId="77777777" w:rsidTr="00697C96">
        <w:trPr>
          <w:trHeight w:val="263"/>
        </w:trPr>
        <w:tc>
          <w:tcPr>
            <w:tcW w:w="4141" w:type="dxa"/>
            <w:gridSpan w:val="2"/>
            <w:tcBorders>
              <w:top w:val="nil"/>
              <w:left w:val="nil"/>
              <w:bottom w:val="nil"/>
              <w:right w:val="nil"/>
            </w:tcBorders>
            <w:shd w:val="clear" w:color="auto" w:fill="auto"/>
            <w:vAlign w:val="center"/>
            <w:hideMark/>
          </w:tcPr>
          <w:p w14:paraId="5EDFD41B" w14:textId="77777777" w:rsidR="00F17712" w:rsidRPr="00CC5D1F" w:rsidRDefault="00F17712" w:rsidP="00CC5D1F">
            <w:pPr>
              <w:spacing w:after="0" w:line="240" w:lineRule="auto"/>
              <w:rPr>
                <w:rFonts w:ascii="Times New Roman" w:eastAsia="Times New Roman" w:hAnsi="Times New Roman" w:cs="Times New Roman"/>
                <w:sz w:val="20"/>
                <w:szCs w:val="20"/>
                <w:lang w:eastAsia="en-GB"/>
              </w:rPr>
            </w:pPr>
          </w:p>
        </w:tc>
        <w:tc>
          <w:tcPr>
            <w:tcW w:w="255" w:type="dxa"/>
            <w:gridSpan w:val="2"/>
            <w:tcBorders>
              <w:top w:val="nil"/>
              <w:left w:val="nil"/>
              <w:bottom w:val="nil"/>
              <w:right w:val="nil"/>
            </w:tcBorders>
            <w:shd w:val="clear" w:color="auto" w:fill="auto"/>
            <w:noWrap/>
            <w:vAlign w:val="bottom"/>
            <w:hideMark/>
          </w:tcPr>
          <w:p w14:paraId="4BD8F077" w14:textId="77777777" w:rsidR="00F17712" w:rsidRPr="00CC5D1F" w:rsidRDefault="00F17712" w:rsidP="00CC5D1F">
            <w:pPr>
              <w:spacing w:after="0" w:line="240" w:lineRule="auto"/>
              <w:jc w:val="right"/>
              <w:rPr>
                <w:rFonts w:ascii="Times New Roman" w:eastAsia="Times New Roman" w:hAnsi="Times New Roman" w:cs="Times New Roman"/>
                <w:sz w:val="20"/>
                <w:szCs w:val="20"/>
                <w:lang w:eastAsia="en-GB"/>
              </w:rPr>
            </w:pPr>
          </w:p>
        </w:tc>
        <w:tc>
          <w:tcPr>
            <w:tcW w:w="2557" w:type="dxa"/>
            <w:gridSpan w:val="2"/>
            <w:tcBorders>
              <w:top w:val="nil"/>
              <w:left w:val="nil"/>
              <w:bottom w:val="nil"/>
              <w:right w:val="nil"/>
            </w:tcBorders>
            <w:shd w:val="clear" w:color="auto" w:fill="auto"/>
            <w:noWrap/>
            <w:vAlign w:val="bottom"/>
            <w:hideMark/>
          </w:tcPr>
          <w:p w14:paraId="5C8DEB35" w14:textId="77777777" w:rsidR="00F17712" w:rsidRPr="00CC5D1F" w:rsidRDefault="00F17712" w:rsidP="00CC5D1F">
            <w:pPr>
              <w:spacing w:after="0" w:line="240" w:lineRule="auto"/>
              <w:rPr>
                <w:rFonts w:ascii="Times New Roman" w:eastAsia="Times New Roman" w:hAnsi="Times New Roman" w:cs="Times New Roman"/>
                <w:sz w:val="20"/>
                <w:szCs w:val="20"/>
                <w:lang w:eastAsia="en-GB"/>
              </w:rPr>
            </w:pPr>
          </w:p>
        </w:tc>
        <w:tc>
          <w:tcPr>
            <w:tcW w:w="1148" w:type="dxa"/>
            <w:tcBorders>
              <w:top w:val="nil"/>
              <w:left w:val="nil"/>
              <w:bottom w:val="nil"/>
              <w:right w:val="nil"/>
            </w:tcBorders>
            <w:shd w:val="clear" w:color="auto" w:fill="auto"/>
            <w:vAlign w:val="center"/>
            <w:hideMark/>
          </w:tcPr>
          <w:p w14:paraId="4B853242" w14:textId="77777777" w:rsidR="00F17712" w:rsidRPr="00CC5D1F" w:rsidRDefault="00F17712" w:rsidP="00CC5D1F">
            <w:pPr>
              <w:spacing w:after="0" w:line="240" w:lineRule="auto"/>
              <w:jc w:val="right"/>
              <w:rPr>
                <w:rFonts w:ascii="Arial" w:eastAsia="Times New Roman" w:hAnsi="Arial" w:cs="Arial"/>
                <w:b/>
                <w:bCs/>
                <w:color w:val="000000"/>
                <w:sz w:val="20"/>
                <w:szCs w:val="20"/>
                <w:lang w:eastAsia="en-GB"/>
              </w:rPr>
            </w:pPr>
            <w:r w:rsidRPr="00CC5D1F">
              <w:rPr>
                <w:rFonts w:ascii="Arial" w:eastAsia="Times New Roman" w:hAnsi="Arial" w:cs="Arial"/>
                <w:b/>
                <w:bCs/>
                <w:color w:val="000000"/>
                <w:sz w:val="20"/>
                <w:szCs w:val="20"/>
                <w:lang w:eastAsia="en-GB"/>
              </w:rPr>
              <w:t xml:space="preserve">£’000 </w:t>
            </w:r>
          </w:p>
        </w:tc>
        <w:tc>
          <w:tcPr>
            <w:tcW w:w="1148" w:type="dxa"/>
            <w:tcBorders>
              <w:top w:val="nil"/>
              <w:left w:val="nil"/>
              <w:bottom w:val="nil"/>
              <w:right w:val="nil"/>
            </w:tcBorders>
            <w:shd w:val="clear" w:color="auto" w:fill="auto"/>
            <w:vAlign w:val="center"/>
            <w:hideMark/>
          </w:tcPr>
          <w:p w14:paraId="4FE5FE4B" w14:textId="77777777" w:rsidR="00F17712" w:rsidRPr="00BC4223" w:rsidRDefault="00F17712" w:rsidP="00CC5D1F">
            <w:pPr>
              <w:spacing w:after="0" w:line="240" w:lineRule="auto"/>
              <w:jc w:val="right"/>
              <w:rPr>
                <w:rFonts w:ascii="Arial" w:eastAsia="Times New Roman" w:hAnsi="Arial" w:cs="Arial"/>
                <w:bCs/>
                <w:color w:val="000000"/>
                <w:sz w:val="20"/>
                <w:szCs w:val="20"/>
                <w:lang w:eastAsia="en-GB"/>
              </w:rPr>
            </w:pPr>
            <w:r w:rsidRPr="00BC4223">
              <w:rPr>
                <w:rFonts w:ascii="Arial" w:eastAsia="Times New Roman" w:hAnsi="Arial" w:cs="Arial"/>
                <w:bCs/>
                <w:color w:val="000000"/>
                <w:sz w:val="20"/>
                <w:szCs w:val="20"/>
                <w:lang w:eastAsia="en-GB"/>
              </w:rPr>
              <w:t xml:space="preserve">£’000 </w:t>
            </w:r>
          </w:p>
        </w:tc>
      </w:tr>
      <w:tr w:rsidR="00F17712" w:rsidRPr="00CC5D1F" w14:paraId="3234557C" w14:textId="77777777" w:rsidTr="00697C96">
        <w:trPr>
          <w:trHeight w:val="263"/>
        </w:trPr>
        <w:tc>
          <w:tcPr>
            <w:tcW w:w="4141" w:type="dxa"/>
            <w:gridSpan w:val="2"/>
            <w:tcBorders>
              <w:top w:val="nil"/>
              <w:left w:val="nil"/>
              <w:bottom w:val="nil"/>
              <w:right w:val="nil"/>
            </w:tcBorders>
            <w:shd w:val="clear" w:color="auto" w:fill="auto"/>
            <w:vAlign w:val="center"/>
            <w:hideMark/>
          </w:tcPr>
          <w:p w14:paraId="11EFF42C" w14:textId="77777777" w:rsidR="00F17712" w:rsidRPr="00CC5D1F" w:rsidRDefault="00F17712" w:rsidP="00CC5D1F">
            <w:pPr>
              <w:spacing w:after="0" w:line="240" w:lineRule="auto"/>
              <w:rPr>
                <w:rFonts w:ascii="Times New Roman" w:eastAsia="Times New Roman" w:hAnsi="Times New Roman" w:cs="Times New Roman"/>
                <w:sz w:val="20"/>
                <w:szCs w:val="20"/>
                <w:lang w:eastAsia="en-GB"/>
              </w:rPr>
            </w:pPr>
          </w:p>
        </w:tc>
        <w:tc>
          <w:tcPr>
            <w:tcW w:w="255" w:type="dxa"/>
            <w:gridSpan w:val="2"/>
            <w:tcBorders>
              <w:top w:val="nil"/>
              <w:left w:val="nil"/>
              <w:bottom w:val="nil"/>
              <w:right w:val="nil"/>
            </w:tcBorders>
            <w:shd w:val="clear" w:color="auto" w:fill="auto"/>
            <w:noWrap/>
            <w:vAlign w:val="bottom"/>
            <w:hideMark/>
          </w:tcPr>
          <w:p w14:paraId="3D770783" w14:textId="77777777" w:rsidR="00F17712" w:rsidRPr="00CC5D1F" w:rsidRDefault="00F17712" w:rsidP="00CC5D1F">
            <w:pPr>
              <w:spacing w:after="0" w:line="240" w:lineRule="auto"/>
              <w:rPr>
                <w:rFonts w:ascii="Times New Roman" w:eastAsia="Times New Roman" w:hAnsi="Times New Roman" w:cs="Times New Roman"/>
                <w:sz w:val="20"/>
                <w:szCs w:val="20"/>
                <w:lang w:eastAsia="en-GB"/>
              </w:rPr>
            </w:pPr>
          </w:p>
        </w:tc>
        <w:tc>
          <w:tcPr>
            <w:tcW w:w="2557" w:type="dxa"/>
            <w:gridSpan w:val="2"/>
            <w:tcBorders>
              <w:top w:val="nil"/>
              <w:left w:val="nil"/>
              <w:bottom w:val="nil"/>
              <w:right w:val="nil"/>
            </w:tcBorders>
            <w:shd w:val="clear" w:color="auto" w:fill="auto"/>
            <w:noWrap/>
            <w:vAlign w:val="bottom"/>
            <w:hideMark/>
          </w:tcPr>
          <w:p w14:paraId="1A680A07" w14:textId="77777777" w:rsidR="00F17712" w:rsidRPr="00CC5D1F" w:rsidRDefault="00F17712" w:rsidP="00CC5D1F">
            <w:pPr>
              <w:spacing w:after="0" w:line="240" w:lineRule="auto"/>
              <w:rPr>
                <w:rFonts w:ascii="Times New Roman" w:eastAsia="Times New Roman" w:hAnsi="Times New Roman" w:cs="Times New Roman"/>
                <w:sz w:val="20"/>
                <w:szCs w:val="20"/>
                <w:lang w:eastAsia="en-GB"/>
              </w:rPr>
            </w:pPr>
          </w:p>
        </w:tc>
        <w:tc>
          <w:tcPr>
            <w:tcW w:w="1148" w:type="dxa"/>
            <w:tcBorders>
              <w:top w:val="nil"/>
              <w:left w:val="nil"/>
              <w:bottom w:val="nil"/>
              <w:right w:val="nil"/>
            </w:tcBorders>
            <w:shd w:val="clear" w:color="auto" w:fill="auto"/>
            <w:vAlign w:val="center"/>
            <w:hideMark/>
          </w:tcPr>
          <w:p w14:paraId="2455756D" w14:textId="77777777" w:rsidR="00F17712" w:rsidRPr="00CC5D1F" w:rsidRDefault="00F17712" w:rsidP="00CC5D1F">
            <w:pPr>
              <w:spacing w:after="0" w:line="240" w:lineRule="auto"/>
              <w:rPr>
                <w:rFonts w:ascii="Times New Roman" w:eastAsia="Times New Roman" w:hAnsi="Times New Roman" w:cs="Times New Roman"/>
                <w:sz w:val="20"/>
                <w:szCs w:val="20"/>
                <w:lang w:eastAsia="en-GB"/>
              </w:rPr>
            </w:pPr>
          </w:p>
        </w:tc>
        <w:tc>
          <w:tcPr>
            <w:tcW w:w="1148" w:type="dxa"/>
            <w:tcBorders>
              <w:top w:val="nil"/>
              <w:left w:val="nil"/>
              <w:bottom w:val="nil"/>
              <w:right w:val="nil"/>
            </w:tcBorders>
            <w:shd w:val="clear" w:color="auto" w:fill="auto"/>
            <w:vAlign w:val="center"/>
            <w:hideMark/>
          </w:tcPr>
          <w:p w14:paraId="7D86A9FD" w14:textId="77777777" w:rsidR="00F17712" w:rsidRPr="00BC4223" w:rsidRDefault="00F17712" w:rsidP="00CC5D1F">
            <w:pPr>
              <w:spacing w:after="0" w:line="240" w:lineRule="auto"/>
              <w:rPr>
                <w:rFonts w:ascii="Times New Roman" w:eastAsia="Times New Roman" w:hAnsi="Times New Roman" w:cs="Times New Roman"/>
                <w:sz w:val="20"/>
                <w:szCs w:val="20"/>
                <w:lang w:eastAsia="en-GB"/>
              </w:rPr>
            </w:pPr>
          </w:p>
        </w:tc>
      </w:tr>
      <w:tr w:rsidR="00265730" w:rsidRPr="00CC5D1F" w14:paraId="272B1F35" w14:textId="77777777" w:rsidTr="00697C96">
        <w:trPr>
          <w:trHeight w:val="263"/>
        </w:trPr>
        <w:tc>
          <w:tcPr>
            <w:tcW w:w="4141" w:type="dxa"/>
            <w:gridSpan w:val="2"/>
            <w:tcBorders>
              <w:top w:val="nil"/>
              <w:left w:val="nil"/>
              <w:bottom w:val="nil"/>
              <w:right w:val="nil"/>
            </w:tcBorders>
            <w:shd w:val="clear" w:color="auto" w:fill="auto"/>
            <w:vAlign w:val="center"/>
            <w:hideMark/>
          </w:tcPr>
          <w:p w14:paraId="1CC03237" w14:textId="77777777" w:rsidR="00265730" w:rsidRPr="00CC5D1F" w:rsidRDefault="00265730" w:rsidP="00265730">
            <w:pPr>
              <w:spacing w:after="0" w:line="240" w:lineRule="auto"/>
              <w:rPr>
                <w:rFonts w:ascii="Arial" w:eastAsia="Times New Roman" w:hAnsi="Arial" w:cs="Arial"/>
                <w:color w:val="000000"/>
                <w:sz w:val="20"/>
                <w:szCs w:val="20"/>
                <w:lang w:eastAsia="en-GB"/>
              </w:rPr>
            </w:pPr>
            <w:r w:rsidRPr="00CC5D1F">
              <w:rPr>
                <w:rFonts w:ascii="Arial" w:eastAsia="Times New Roman" w:hAnsi="Arial" w:cs="Arial"/>
                <w:color w:val="000000"/>
                <w:sz w:val="20"/>
                <w:szCs w:val="20"/>
                <w:lang w:eastAsia="en-GB"/>
              </w:rPr>
              <w:t>Accelerated capital allowances</w:t>
            </w:r>
          </w:p>
        </w:tc>
        <w:tc>
          <w:tcPr>
            <w:tcW w:w="255" w:type="dxa"/>
            <w:gridSpan w:val="2"/>
            <w:tcBorders>
              <w:top w:val="nil"/>
              <w:left w:val="nil"/>
              <w:bottom w:val="nil"/>
              <w:right w:val="nil"/>
            </w:tcBorders>
            <w:shd w:val="clear" w:color="auto" w:fill="auto"/>
            <w:noWrap/>
            <w:vAlign w:val="bottom"/>
            <w:hideMark/>
          </w:tcPr>
          <w:p w14:paraId="14533C5A" w14:textId="77777777" w:rsidR="00265730" w:rsidRPr="00CC5D1F" w:rsidRDefault="00265730" w:rsidP="00265730">
            <w:pPr>
              <w:spacing w:after="0" w:line="240" w:lineRule="auto"/>
              <w:rPr>
                <w:rFonts w:ascii="Times New Roman" w:eastAsia="Times New Roman" w:hAnsi="Times New Roman" w:cs="Times New Roman"/>
                <w:sz w:val="20"/>
                <w:szCs w:val="20"/>
                <w:lang w:eastAsia="en-GB"/>
              </w:rPr>
            </w:pPr>
          </w:p>
        </w:tc>
        <w:tc>
          <w:tcPr>
            <w:tcW w:w="2557" w:type="dxa"/>
            <w:gridSpan w:val="2"/>
            <w:tcBorders>
              <w:top w:val="nil"/>
              <w:left w:val="nil"/>
              <w:bottom w:val="nil"/>
              <w:right w:val="nil"/>
            </w:tcBorders>
            <w:shd w:val="clear" w:color="auto" w:fill="auto"/>
            <w:noWrap/>
            <w:vAlign w:val="bottom"/>
            <w:hideMark/>
          </w:tcPr>
          <w:p w14:paraId="583F1067" w14:textId="77777777" w:rsidR="00265730" w:rsidRPr="00CC5D1F" w:rsidRDefault="00265730" w:rsidP="00265730">
            <w:pPr>
              <w:spacing w:after="0" w:line="240" w:lineRule="auto"/>
              <w:rPr>
                <w:rFonts w:ascii="Times New Roman" w:eastAsia="Times New Roman" w:hAnsi="Times New Roman" w:cs="Times New Roman"/>
                <w:sz w:val="20"/>
                <w:szCs w:val="20"/>
                <w:lang w:eastAsia="en-GB"/>
              </w:rPr>
            </w:pPr>
          </w:p>
        </w:tc>
        <w:tc>
          <w:tcPr>
            <w:tcW w:w="1148" w:type="dxa"/>
            <w:tcBorders>
              <w:top w:val="nil"/>
              <w:left w:val="nil"/>
              <w:bottom w:val="nil"/>
              <w:right w:val="nil"/>
            </w:tcBorders>
            <w:shd w:val="clear" w:color="auto" w:fill="auto"/>
            <w:vAlign w:val="center"/>
          </w:tcPr>
          <w:p w14:paraId="066512BE" w14:textId="77777777" w:rsidR="00265730" w:rsidRPr="00CC5D1F" w:rsidRDefault="000974F6" w:rsidP="00265730">
            <w:pPr>
              <w:spacing w:after="0" w:line="240" w:lineRule="auto"/>
              <w:jc w:val="right"/>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75</w:t>
            </w:r>
          </w:p>
        </w:tc>
        <w:tc>
          <w:tcPr>
            <w:tcW w:w="1148" w:type="dxa"/>
            <w:tcBorders>
              <w:top w:val="nil"/>
              <w:left w:val="nil"/>
              <w:bottom w:val="nil"/>
              <w:right w:val="nil"/>
            </w:tcBorders>
            <w:shd w:val="clear" w:color="auto" w:fill="auto"/>
            <w:vAlign w:val="center"/>
            <w:hideMark/>
          </w:tcPr>
          <w:p w14:paraId="6E8CB5E6" w14:textId="77777777" w:rsidR="00265730" w:rsidRPr="005E37DD" w:rsidRDefault="00265730" w:rsidP="00265730">
            <w:pPr>
              <w:spacing w:after="0" w:line="240" w:lineRule="auto"/>
              <w:jc w:val="right"/>
              <w:rPr>
                <w:rFonts w:ascii="Arial" w:eastAsia="Times New Roman" w:hAnsi="Arial" w:cs="Arial"/>
                <w:bCs/>
                <w:color w:val="000000"/>
                <w:sz w:val="20"/>
                <w:szCs w:val="20"/>
                <w:lang w:eastAsia="en-GB"/>
              </w:rPr>
            </w:pPr>
            <w:r w:rsidRPr="006647C2">
              <w:rPr>
                <w:rFonts w:ascii="Arial" w:eastAsia="Times New Roman" w:hAnsi="Arial" w:cs="Arial"/>
                <w:bCs/>
                <w:color w:val="000000"/>
                <w:sz w:val="20"/>
                <w:szCs w:val="20"/>
                <w:lang w:eastAsia="en-GB"/>
              </w:rPr>
              <w:t>253</w:t>
            </w:r>
          </w:p>
        </w:tc>
      </w:tr>
      <w:tr w:rsidR="00265730" w:rsidRPr="00CC5D1F" w14:paraId="501BC455" w14:textId="77777777" w:rsidTr="00697C96">
        <w:trPr>
          <w:trHeight w:val="263"/>
        </w:trPr>
        <w:tc>
          <w:tcPr>
            <w:tcW w:w="4141" w:type="dxa"/>
            <w:gridSpan w:val="2"/>
            <w:tcBorders>
              <w:top w:val="nil"/>
              <w:left w:val="nil"/>
              <w:bottom w:val="nil"/>
              <w:right w:val="nil"/>
            </w:tcBorders>
            <w:shd w:val="clear" w:color="auto" w:fill="auto"/>
            <w:vAlign w:val="center"/>
            <w:hideMark/>
          </w:tcPr>
          <w:p w14:paraId="3C590866" w14:textId="77777777" w:rsidR="00265730" w:rsidRPr="00CC5D1F" w:rsidRDefault="009B5DE1" w:rsidP="00265730">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Short term timing differences - trading</w:t>
            </w:r>
          </w:p>
        </w:tc>
        <w:tc>
          <w:tcPr>
            <w:tcW w:w="255" w:type="dxa"/>
            <w:gridSpan w:val="2"/>
            <w:tcBorders>
              <w:top w:val="nil"/>
              <w:left w:val="nil"/>
              <w:bottom w:val="nil"/>
              <w:right w:val="nil"/>
            </w:tcBorders>
            <w:shd w:val="clear" w:color="auto" w:fill="auto"/>
            <w:noWrap/>
            <w:vAlign w:val="bottom"/>
            <w:hideMark/>
          </w:tcPr>
          <w:p w14:paraId="3EA40A38" w14:textId="77777777" w:rsidR="00265730" w:rsidRPr="00CC5D1F" w:rsidRDefault="00265730" w:rsidP="00265730">
            <w:pPr>
              <w:spacing w:after="0" w:line="240" w:lineRule="auto"/>
              <w:rPr>
                <w:rFonts w:ascii="Times New Roman" w:eastAsia="Times New Roman" w:hAnsi="Times New Roman" w:cs="Times New Roman"/>
                <w:sz w:val="20"/>
                <w:szCs w:val="20"/>
                <w:lang w:eastAsia="en-GB"/>
              </w:rPr>
            </w:pPr>
          </w:p>
        </w:tc>
        <w:tc>
          <w:tcPr>
            <w:tcW w:w="2557" w:type="dxa"/>
            <w:gridSpan w:val="2"/>
            <w:tcBorders>
              <w:top w:val="nil"/>
              <w:left w:val="nil"/>
              <w:bottom w:val="nil"/>
              <w:right w:val="nil"/>
            </w:tcBorders>
            <w:shd w:val="clear" w:color="auto" w:fill="auto"/>
            <w:noWrap/>
            <w:vAlign w:val="bottom"/>
            <w:hideMark/>
          </w:tcPr>
          <w:p w14:paraId="3628E607" w14:textId="77777777" w:rsidR="00265730" w:rsidRPr="00CC5D1F" w:rsidRDefault="00265730" w:rsidP="00265730">
            <w:pPr>
              <w:spacing w:after="0" w:line="240" w:lineRule="auto"/>
              <w:rPr>
                <w:rFonts w:ascii="Times New Roman" w:eastAsia="Times New Roman" w:hAnsi="Times New Roman" w:cs="Times New Roman"/>
                <w:sz w:val="20"/>
                <w:szCs w:val="20"/>
                <w:lang w:eastAsia="en-GB"/>
              </w:rPr>
            </w:pPr>
          </w:p>
        </w:tc>
        <w:tc>
          <w:tcPr>
            <w:tcW w:w="1148" w:type="dxa"/>
            <w:tcBorders>
              <w:top w:val="nil"/>
              <w:left w:val="nil"/>
              <w:bottom w:val="nil"/>
              <w:right w:val="nil"/>
            </w:tcBorders>
            <w:shd w:val="clear" w:color="auto" w:fill="auto"/>
            <w:vAlign w:val="center"/>
          </w:tcPr>
          <w:p w14:paraId="5A0D72A8" w14:textId="77777777" w:rsidR="00265730" w:rsidRPr="00CC5D1F" w:rsidRDefault="000974F6" w:rsidP="00265730">
            <w:pPr>
              <w:spacing w:after="0" w:line="240" w:lineRule="auto"/>
              <w:jc w:val="right"/>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12,417</w:t>
            </w:r>
          </w:p>
        </w:tc>
        <w:tc>
          <w:tcPr>
            <w:tcW w:w="1148" w:type="dxa"/>
            <w:tcBorders>
              <w:top w:val="nil"/>
              <w:left w:val="nil"/>
              <w:bottom w:val="nil"/>
              <w:right w:val="nil"/>
            </w:tcBorders>
            <w:shd w:val="clear" w:color="auto" w:fill="auto"/>
            <w:vAlign w:val="center"/>
            <w:hideMark/>
          </w:tcPr>
          <w:p w14:paraId="50F4883F" w14:textId="77777777" w:rsidR="00265730" w:rsidRPr="005E37DD" w:rsidRDefault="00265730" w:rsidP="00265730">
            <w:pPr>
              <w:spacing w:after="0" w:line="240" w:lineRule="auto"/>
              <w:jc w:val="right"/>
              <w:rPr>
                <w:rFonts w:ascii="Arial" w:eastAsia="Times New Roman" w:hAnsi="Arial" w:cs="Arial"/>
                <w:bCs/>
                <w:color w:val="000000"/>
                <w:sz w:val="20"/>
                <w:szCs w:val="20"/>
                <w:lang w:eastAsia="en-GB"/>
              </w:rPr>
            </w:pPr>
            <w:r w:rsidRPr="006647C2">
              <w:rPr>
                <w:rFonts w:ascii="Arial" w:eastAsia="Times New Roman" w:hAnsi="Arial" w:cs="Arial"/>
                <w:bCs/>
                <w:color w:val="000000"/>
                <w:sz w:val="20"/>
                <w:szCs w:val="20"/>
                <w:lang w:eastAsia="en-GB"/>
              </w:rPr>
              <w:t>10,685</w:t>
            </w:r>
          </w:p>
        </w:tc>
      </w:tr>
      <w:tr w:rsidR="00265730" w:rsidRPr="00CC5D1F" w14:paraId="0E6D00B6" w14:textId="77777777" w:rsidTr="00697C96">
        <w:trPr>
          <w:trHeight w:val="263"/>
        </w:trPr>
        <w:tc>
          <w:tcPr>
            <w:tcW w:w="4141" w:type="dxa"/>
            <w:gridSpan w:val="2"/>
            <w:tcBorders>
              <w:top w:val="nil"/>
              <w:left w:val="nil"/>
              <w:bottom w:val="nil"/>
              <w:right w:val="nil"/>
            </w:tcBorders>
            <w:shd w:val="clear" w:color="auto" w:fill="auto"/>
            <w:vAlign w:val="center"/>
            <w:hideMark/>
          </w:tcPr>
          <w:p w14:paraId="5447DCDA" w14:textId="77777777" w:rsidR="00265730" w:rsidRPr="00CC5D1F" w:rsidRDefault="00265730" w:rsidP="00265730">
            <w:pPr>
              <w:spacing w:after="0" w:line="240" w:lineRule="auto"/>
              <w:rPr>
                <w:rFonts w:ascii="Times New Roman" w:eastAsia="Times New Roman" w:hAnsi="Times New Roman" w:cs="Times New Roman"/>
                <w:sz w:val="20"/>
                <w:szCs w:val="20"/>
                <w:lang w:eastAsia="en-GB"/>
              </w:rPr>
            </w:pPr>
          </w:p>
        </w:tc>
        <w:tc>
          <w:tcPr>
            <w:tcW w:w="255" w:type="dxa"/>
            <w:gridSpan w:val="2"/>
            <w:tcBorders>
              <w:top w:val="nil"/>
              <w:left w:val="nil"/>
              <w:bottom w:val="nil"/>
              <w:right w:val="nil"/>
            </w:tcBorders>
            <w:shd w:val="clear" w:color="auto" w:fill="auto"/>
            <w:noWrap/>
            <w:vAlign w:val="bottom"/>
            <w:hideMark/>
          </w:tcPr>
          <w:p w14:paraId="63F06738" w14:textId="77777777" w:rsidR="00265730" w:rsidRPr="00CC5D1F" w:rsidRDefault="00265730" w:rsidP="00265730">
            <w:pPr>
              <w:spacing w:after="0" w:line="240" w:lineRule="auto"/>
              <w:rPr>
                <w:rFonts w:ascii="Times New Roman" w:eastAsia="Times New Roman" w:hAnsi="Times New Roman" w:cs="Times New Roman"/>
                <w:sz w:val="20"/>
                <w:szCs w:val="20"/>
                <w:lang w:eastAsia="en-GB"/>
              </w:rPr>
            </w:pPr>
          </w:p>
        </w:tc>
        <w:tc>
          <w:tcPr>
            <w:tcW w:w="2557" w:type="dxa"/>
            <w:gridSpan w:val="2"/>
            <w:tcBorders>
              <w:top w:val="nil"/>
              <w:left w:val="nil"/>
              <w:bottom w:val="nil"/>
              <w:right w:val="nil"/>
            </w:tcBorders>
            <w:shd w:val="clear" w:color="auto" w:fill="auto"/>
            <w:noWrap/>
            <w:vAlign w:val="bottom"/>
            <w:hideMark/>
          </w:tcPr>
          <w:p w14:paraId="18B4A8E3" w14:textId="77777777" w:rsidR="00265730" w:rsidRPr="00CC5D1F" w:rsidRDefault="00265730" w:rsidP="00265730">
            <w:pPr>
              <w:spacing w:after="0" w:line="240" w:lineRule="auto"/>
              <w:rPr>
                <w:rFonts w:ascii="Times New Roman" w:eastAsia="Times New Roman" w:hAnsi="Times New Roman" w:cs="Times New Roman"/>
                <w:sz w:val="20"/>
                <w:szCs w:val="20"/>
                <w:lang w:eastAsia="en-GB"/>
              </w:rPr>
            </w:pPr>
          </w:p>
        </w:tc>
        <w:tc>
          <w:tcPr>
            <w:tcW w:w="1148" w:type="dxa"/>
            <w:tcBorders>
              <w:top w:val="single" w:sz="4" w:space="0" w:color="auto"/>
              <w:left w:val="nil"/>
              <w:bottom w:val="single" w:sz="4" w:space="0" w:color="auto"/>
              <w:right w:val="nil"/>
            </w:tcBorders>
            <w:shd w:val="clear" w:color="auto" w:fill="auto"/>
            <w:vAlign w:val="center"/>
          </w:tcPr>
          <w:p w14:paraId="65BFC243" w14:textId="77777777" w:rsidR="00265730" w:rsidRPr="00CC5D1F" w:rsidRDefault="000974F6" w:rsidP="00265730">
            <w:pPr>
              <w:spacing w:after="0" w:line="240" w:lineRule="auto"/>
              <w:jc w:val="right"/>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12,492</w:t>
            </w:r>
          </w:p>
        </w:tc>
        <w:tc>
          <w:tcPr>
            <w:tcW w:w="1148" w:type="dxa"/>
            <w:tcBorders>
              <w:top w:val="single" w:sz="4" w:space="0" w:color="auto"/>
              <w:left w:val="nil"/>
              <w:bottom w:val="single" w:sz="4" w:space="0" w:color="auto"/>
              <w:right w:val="nil"/>
            </w:tcBorders>
            <w:shd w:val="clear" w:color="auto" w:fill="auto"/>
            <w:vAlign w:val="center"/>
            <w:hideMark/>
          </w:tcPr>
          <w:p w14:paraId="088C6E38" w14:textId="77777777" w:rsidR="00265730" w:rsidRPr="005E37DD" w:rsidRDefault="00265730" w:rsidP="00265730">
            <w:pPr>
              <w:spacing w:after="0" w:line="240" w:lineRule="auto"/>
              <w:jc w:val="right"/>
              <w:rPr>
                <w:rFonts w:ascii="Arial" w:eastAsia="Times New Roman" w:hAnsi="Arial" w:cs="Arial"/>
                <w:bCs/>
                <w:color w:val="000000"/>
                <w:sz w:val="20"/>
                <w:szCs w:val="20"/>
                <w:lang w:eastAsia="en-GB"/>
              </w:rPr>
            </w:pPr>
            <w:r w:rsidRPr="006647C2">
              <w:rPr>
                <w:rFonts w:ascii="Arial" w:eastAsia="Times New Roman" w:hAnsi="Arial" w:cs="Arial"/>
                <w:bCs/>
                <w:color w:val="000000"/>
                <w:sz w:val="20"/>
                <w:szCs w:val="20"/>
                <w:lang w:eastAsia="en-GB"/>
              </w:rPr>
              <w:t>10,938</w:t>
            </w:r>
          </w:p>
        </w:tc>
      </w:tr>
      <w:tr w:rsidR="00265730" w:rsidRPr="00CC5D1F" w14:paraId="129EA6BA" w14:textId="77777777" w:rsidTr="00697C96">
        <w:trPr>
          <w:trHeight w:val="263"/>
        </w:trPr>
        <w:tc>
          <w:tcPr>
            <w:tcW w:w="4141" w:type="dxa"/>
            <w:gridSpan w:val="2"/>
            <w:tcBorders>
              <w:top w:val="nil"/>
              <w:left w:val="nil"/>
              <w:bottom w:val="nil"/>
              <w:right w:val="nil"/>
            </w:tcBorders>
            <w:shd w:val="clear" w:color="auto" w:fill="auto"/>
            <w:vAlign w:val="center"/>
            <w:hideMark/>
          </w:tcPr>
          <w:p w14:paraId="06C0F999" w14:textId="77777777" w:rsidR="00265730" w:rsidRPr="00CC5D1F" w:rsidRDefault="00265730" w:rsidP="00265730">
            <w:pPr>
              <w:spacing w:after="0" w:line="240" w:lineRule="auto"/>
              <w:rPr>
                <w:rFonts w:ascii="Times New Roman" w:eastAsia="Times New Roman" w:hAnsi="Times New Roman" w:cs="Times New Roman"/>
                <w:sz w:val="20"/>
                <w:szCs w:val="20"/>
                <w:lang w:eastAsia="en-GB"/>
              </w:rPr>
            </w:pPr>
          </w:p>
        </w:tc>
        <w:tc>
          <w:tcPr>
            <w:tcW w:w="255" w:type="dxa"/>
            <w:gridSpan w:val="2"/>
            <w:tcBorders>
              <w:top w:val="nil"/>
              <w:left w:val="nil"/>
              <w:bottom w:val="nil"/>
              <w:right w:val="nil"/>
            </w:tcBorders>
            <w:shd w:val="clear" w:color="auto" w:fill="auto"/>
            <w:noWrap/>
            <w:vAlign w:val="bottom"/>
            <w:hideMark/>
          </w:tcPr>
          <w:p w14:paraId="34340DE4" w14:textId="77777777" w:rsidR="00265730" w:rsidRPr="00CC5D1F" w:rsidRDefault="00265730" w:rsidP="00265730">
            <w:pPr>
              <w:spacing w:after="0" w:line="240" w:lineRule="auto"/>
              <w:rPr>
                <w:rFonts w:ascii="Times New Roman" w:eastAsia="Times New Roman" w:hAnsi="Times New Roman" w:cs="Times New Roman"/>
                <w:sz w:val="20"/>
                <w:szCs w:val="20"/>
                <w:lang w:eastAsia="en-GB"/>
              </w:rPr>
            </w:pPr>
          </w:p>
        </w:tc>
        <w:tc>
          <w:tcPr>
            <w:tcW w:w="2557" w:type="dxa"/>
            <w:gridSpan w:val="2"/>
            <w:tcBorders>
              <w:top w:val="nil"/>
              <w:left w:val="nil"/>
              <w:bottom w:val="nil"/>
              <w:right w:val="nil"/>
            </w:tcBorders>
            <w:shd w:val="clear" w:color="auto" w:fill="auto"/>
            <w:noWrap/>
            <w:vAlign w:val="bottom"/>
            <w:hideMark/>
          </w:tcPr>
          <w:p w14:paraId="4C05BD38" w14:textId="77777777" w:rsidR="00265730" w:rsidRPr="00CC5D1F" w:rsidRDefault="00265730" w:rsidP="00265730">
            <w:pPr>
              <w:spacing w:after="0" w:line="240" w:lineRule="auto"/>
              <w:rPr>
                <w:rFonts w:ascii="Times New Roman" w:eastAsia="Times New Roman" w:hAnsi="Times New Roman" w:cs="Times New Roman"/>
                <w:sz w:val="20"/>
                <w:szCs w:val="20"/>
                <w:lang w:eastAsia="en-GB"/>
              </w:rPr>
            </w:pPr>
          </w:p>
        </w:tc>
        <w:tc>
          <w:tcPr>
            <w:tcW w:w="1148" w:type="dxa"/>
            <w:tcBorders>
              <w:top w:val="nil"/>
              <w:left w:val="nil"/>
              <w:bottom w:val="nil"/>
              <w:right w:val="nil"/>
            </w:tcBorders>
            <w:shd w:val="clear" w:color="auto" w:fill="auto"/>
            <w:vAlign w:val="center"/>
            <w:hideMark/>
          </w:tcPr>
          <w:p w14:paraId="1338DB92" w14:textId="77777777" w:rsidR="00265730" w:rsidRPr="00CC5D1F" w:rsidRDefault="00265730" w:rsidP="00265730">
            <w:pPr>
              <w:spacing w:after="0" w:line="240" w:lineRule="auto"/>
              <w:rPr>
                <w:rFonts w:ascii="Times New Roman" w:eastAsia="Times New Roman" w:hAnsi="Times New Roman" w:cs="Times New Roman"/>
                <w:sz w:val="20"/>
                <w:szCs w:val="20"/>
                <w:lang w:eastAsia="en-GB"/>
              </w:rPr>
            </w:pPr>
          </w:p>
        </w:tc>
        <w:tc>
          <w:tcPr>
            <w:tcW w:w="1148" w:type="dxa"/>
            <w:tcBorders>
              <w:top w:val="nil"/>
              <w:left w:val="nil"/>
              <w:bottom w:val="nil"/>
              <w:right w:val="nil"/>
            </w:tcBorders>
            <w:shd w:val="clear" w:color="auto" w:fill="auto"/>
            <w:vAlign w:val="center"/>
            <w:hideMark/>
          </w:tcPr>
          <w:p w14:paraId="074C3BCC" w14:textId="77777777" w:rsidR="00265730" w:rsidRPr="005E37DD" w:rsidRDefault="00265730" w:rsidP="00265730">
            <w:pPr>
              <w:spacing w:after="0" w:line="240" w:lineRule="auto"/>
              <w:rPr>
                <w:rFonts w:ascii="Times New Roman" w:eastAsia="Times New Roman" w:hAnsi="Times New Roman" w:cs="Times New Roman"/>
                <w:sz w:val="20"/>
                <w:szCs w:val="20"/>
                <w:lang w:eastAsia="en-GB"/>
              </w:rPr>
            </w:pPr>
          </w:p>
        </w:tc>
      </w:tr>
      <w:tr w:rsidR="00265730" w:rsidRPr="00CC5D1F" w14:paraId="57FBAE51" w14:textId="77777777" w:rsidTr="00697C96">
        <w:trPr>
          <w:trHeight w:val="263"/>
        </w:trPr>
        <w:tc>
          <w:tcPr>
            <w:tcW w:w="4141" w:type="dxa"/>
            <w:gridSpan w:val="2"/>
            <w:tcBorders>
              <w:top w:val="nil"/>
              <w:left w:val="nil"/>
              <w:bottom w:val="nil"/>
              <w:right w:val="nil"/>
            </w:tcBorders>
            <w:shd w:val="clear" w:color="auto" w:fill="auto"/>
            <w:vAlign w:val="center"/>
            <w:hideMark/>
          </w:tcPr>
          <w:p w14:paraId="6B6EE816" w14:textId="77777777" w:rsidR="00265730" w:rsidRPr="00CC5D1F" w:rsidRDefault="00265730" w:rsidP="00265730">
            <w:pPr>
              <w:spacing w:after="0" w:line="240" w:lineRule="auto"/>
              <w:rPr>
                <w:rFonts w:ascii="Arial" w:eastAsia="Times New Roman" w:hAnsi="Arial" w:cs="Arial"/>
                <w:color w:val="000000"/>
                <w:sz w:val="20"/>
                <w:szCs w:val="20"/>
                <w:lang w:eastAsia="en-GB"/>
              </w:rPr>
            </w:pPr>
            <w:r w:rsidRPr="00CC5D1F">
              <w:rPr>
                <w:rFonts w:ascii="Arial" w:eastAsia="Times New Roman" w:hAnsi="Arial" w:cs="Arial"/>
                <w:color w:val="000000"/>
                <w:sz w:val="20"/>
                <w:szCs w:val="20"/>
                <w:lang w:eastAsia="en-GB"/>
              </w:rPr>
              <w:t>Analysed as:</w:t>
            </w:r>
          </w:p>
        </w:tc>
        <w:tc>
          <w:tcPr>
            <w:tcW w:w="255" w:type="dxa"/>
            <w:gridSpan w:val="2"/>
            <w:tcBorders>
              <w:top w:val="nil"/>
              <w:left w:val="nil"/>
              <w:bottom w:val="nil"/>
              <w:right w:val="nil"/>
            </w:tcBorders>
            <w:shd w:val="clear" w:color="auto" w:fill="auto"/>
            <w:noWrap/>
            <w:vAlign w:val="bottom"/>
            <w:hideMark/>
          </w:tcPr>
          <w:p w14:paraId="18CA8EE1" w14:textId="77777777" w:rsidR="00265730" w:rsidRPr="00CC5D1F" w:rsidRDefault="00265730" w:rsidP="00265730">
            <w:pPr>
              <w:spacing w:after="0" w:line="240" w:lineRule="auto"/>
              <w:rPr>
                <w:rFonts w:ascii="Times New Roman" w:eastAsia="Times New Roman" w:hAnsi="Times New Roman" w:cs="Times New Roman"/>
                <w:sz w:val="20"/>
                <w:szCs w:val="20"/>
                <w:lang w:eastAsia="en-GB"/>
              </w:rPr>
            </w:pPr>
          </w:p>
        </w:tc>
        <w:tc>
          <w:tcPr>
            <w:tcW w:w="2557" w:type="dxa"/>
            <w:gridSpan w:val="2"/>
            <w:tcBorders>
              <w:top w:val="nil"/>
              <w:left w:val="nil"/>
              <w:bottom w:val="nil"/>
              <w:right w:val="nil"/>
            </w:tcBorders>
            <w:shd w:val="clear" w:color="auto" w:fill="auto"/>
            <w:noWrap/>
            <w:vAlign w:val="bottom"/>
            <w:hideMark/>
          </w:tcPr>
          <w:p w14:paraId="2DD7FD05" w14:textId="77777777" w:rsidR="00265730" w:rsidRPr="00CC5D1F" w:rsidRDefault="00265730" w:rsidP="00265730">
            <w:pPr>
              <w:spacing w:after="0" w:line="240" w:lineRule="auto"/>
              <w:rPr>
                <w:rFonts w:ascii="Times New Roman" w:eastAsia="Times New Roman" w:hAnsi="Times New Roman" w:cs="Times New Roman"/>
                <w:sz w:val="20"/>
                <w:szCs w:val="20"/>
                <w:lang w:eastAsia="en-GB"/>
              </w:rPr>
            </w:pPr>
          </w:p>
        </w:tc>
        <w:tc>
          <w:tcPr>
            <w:tcW w:w="1148" w:type="dxa"/>
            <w:tcBorders>
              <w:top w:val="nil"/>
              <w:left w:val="nil"/>
              <w:bottom w:val="nil"/>
              <w:right w:val="nil"/>
            </w:tcBorders>
            <w:shd w:val="clear" w:color="auto" w:fill="auto"/>
            <w:vAlign w:val="center"/>
            <w:hideMark/>
          </w:tcPr>
          <w:p w14:paraId="521273E5" w14:textId="77777777" w:rsidR="00265730" w:rsidRPr="00CC5D1F" w:rsidRDefault="00265730" w:rsidP="00265730">
            <w:pPr>
              <w:spacing w:after="0" w:line="240" w:lineRule="auto"/>
              <w:rPr>
                <w:rFonts w:ascii="Times New Roman" w:eastAsia="Times New Roman" w:hAnsi="Times New Roman" w:cs="Times New Roman"/>
                <w:sz w:val="20"/>
                <w:szCs w:val="20"/>
                <w:lang w:eastAsia="en-GB"/>
              </w:rPr>
            </w:pPr>
          </w:p>
        </w:tc>
        <w:tc>
          <w:tcPr>
            <w:tcW w:w="1148" w:type="dxa"/>
            <w:tcBorders>
              <w:top w:val="nil"/>
              <w:left w:val="nil"/>
              <w:bottom w:val="nil"/>
              <w:right w:val="nil"/>
            </w:tcBorders>
            <w:shd w:val="clear" w:color="auto" w:fill="auto"/>
            <w:vAlign w:val="center"/>
            <w:hideMark/>
          </w:tcPr>
          <w:p w14:paraId="28F4F22F" w14:textId="77777777" w:rsidR="00265730" w:rsidRPr="005E37DD" w:rsidRDefault="00265730" w:rsidP="00265730">
            <w:pPr>
              <w:spacing w:after="0" w:line="240" w:lineRule="auto"/>
              <w:rPr>
                <w:rFonts w:ascii="Times New Roman" w:eastAsia="Times New Roman" w:hAnsi="Times New Roman" w:cs="Times New Roman"/>
                <w:sz w:val="20"/>
                <w:szCs w:val="20"/>
                <w:lang w:eastAsia="en-GB"/>
              </w:rPr>
            </w:pPr>
          </w:p>
        </w:tc>
      </w:tr>
      <w:tr w:rsidR="00265730" w:rsidRPr="00CC5D1F" w14:paraId="35707A51" w14:textId="77777777" w:rsidTr="00697C96">
        <w:trPr>
          <w:trHeight w:val="263"/>
        </w:trPr>
        <w:tc>
          <w:tcPr>
            <w:tcW w:w="4141" w:type="dxa"/>
            <w:gridSpan w:val="2"/>
            <w:tcBorders>
              <w:top w:val="nil"/>
              <w:left w:val="nil"/>
              <w:bottom w:val="nil"/>
              <w:right w:val="nil"/>
            </w:tcBorders>
            <w:shd w:val="clear" w:color="auto" w:fill="auto"/>
            <w:vAlign w:val="center"/>
            <w:hideMark/>
          </w:tcPr>
          <w:p w14:paraId="6D5B50EF" w14:textId="77777777" w:rsidR="00265730" w:rsidRPr="00CC5D1F" w:rsidRDefault="00265730" w:rsidP="00265730">
            <w:pPr>
              <w:spacing w:after="0" w:line="240" w:lineRule="auto"/>
              <w:rPr>
                <w:rFonts w:ascii="Arial" w:eastAsia="Times New Roman" w:hAnsi="Arial" w:cs="Arial"/>
                <w:color w:val="000000"/>
                <w:sz w:val="20"/>
                <w:szCs w:val="20"/>
                <w:lang w:eastAsia="en-GB"/>
              </w:rPr>
            </w:pPr>
            <w:r w:rsidRPr="00CC5D1F">
              <w:rPr>
                <w:rFonts w:ascii="Arial" w:eastAsia="Times New Roman" w:hAnsi="Arial" w:cs="Arial"/>
                <w:color w:val="000000"/>
                <w:sz w:val="20"/>
                <w:szCs w:val="20"/>
                <w:lang w:eastAsia="en-GB"/>
              </w:rPr>
              <w:t xml:space="preserve">Amount due within one year </w:t>
            </w:r>
          </w:p>
        </w:tc>
        <w:tc>
          <w:tcPr>
            <w:tcW w:w="255" w:type="dxa"/>
            <w:gridSpan w:val="2"/>
            <w:tcBorders>
              <w:top w:val="nil"/>
              <w:left w:val="nil"/>
              <w:bottom w:val="nil"/>
              <w:right w:val="nil"/>
            </w:tcBorders>
            <w:shd w:val="clear" w:color="auto" w:fill="auto"/>
            <w:noWrap/>
            <w:vAlign w:val="bottom"/>
            <w:hideMark/>
          </w:tcPr>
          <w:p w14:paraId="633CD629" w14:textId="77777777" w:rsidR="00265730" w:rsidRPr="00CC5D1F" w:rsidRDefault="00265730" w:rsidP="00265730">
            <w:pPr>
              <w:spacing w:after="0" w:line="240" w:lineRule="auto"/>
              <w:rPr>
                <w:rFonts w:ascii="Times New Roman" w:eastAsia="Times New Roman" w:hAnsi="Times New Roman" w:cs="Times New Roman"/>
                <w:sz w:val="20"/>
                <w:szCs w:val="20"/>
                <w:lang w:eastAsia="en-GB"/>
              </w:rPr>
            </w:pPr>
          </w:p>
        </w:tc>
        <w:tc>
          <w:tcPr>
            <w:tcW w:w="2557" w:type="dxa"/>
            <w:gridSpan w:val="2"/>
            <w:tcBorders>
              <w:top w:val="nil"/>
              <w:left w:val="nil"/>
              <w:bottom w:val="nil"/>
              <w:right w:val="nil"/>
            </w:tcBorders>
            <w:shd w:val="clear" w:color="auto" w:fill="auto"/>
            <w:noWrap/>
            <w:vAlign w:val="bottom"/>
            <w:hideMark/>
          </w:tcPr>
          <w:p w14:paraId="2FF0CE1E" w14:textId="77777777" w:rsidR="00265730" w:rsidRPr="00CC5D1F" w:rsidRDefault="00265730" w:rsidP="00265730">
            <w:pPr>
              <w:spacing w:after="0" w:line="240" w:lineRule="auto"/>
              <w:rPr>
                <w:rFonts w:ascii="Times New Roman" w:eastAsia="Times New Roman" w:hAnsi="Times New Roman" w:cs="Times New Roman"/>
                <w:sz w:val="20"/>
                <w:szCs w:val="20"/>
                <w:lang w:eastAsia="en-GB"/>
              </w:rPr>
            </w:pPr>
          </w:p>
        </w:tc>
        <w:tc>
          <w:tcPr>
            <w:tcW w:w="1148" w:type="dxa"/>
            <w:tcBorders>
              <w:top w:val="nil"/>
              <w:left w:val="nil"/>
              <w:bottom w:val="nil"/>
              <w:right w:val="nil"/>
            </w:tcBorders>
            <w:shd w:val="clear" w:color="auto" w:fill="auto"/>
            <w:vAlign w:val="center"/>
          </w:tcPr>
          <w:p w14:paraId="44202BF7" w14:textId="77777777" w:rsidR="00265730" w:rsidRPr="00CC5D1F" w:rsidRDefault="000974F6" w:rsidP="00265730">
            <w:pPr>
              <w:spacing w:after="0" w:line="240" w:lineRule="auto"/>
              <w:jc w:val="right"/>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106</w:t>
            </w:r>
          </w:p>
        </w:tc>
        <w:tc>
          <w:tcPr>
            <w:tcW w:w="1148" w:type="dxa"/>
            <w:tcBorders>
              <w:top w:val="nil"/>
              <w:left w:val="nil"/>
              <w:bottom w:val="nil"/>
              <w:right w:val="nil"/>
            </w:tcBorders>
            <w:shd w:val="clear" w:color="auto" w:fill="auto"/>
            <w:vAlign w:val="center"/>
            <w:hideMark/>
          </w:tcPr>
          <w:p w14:paraId="21437F1F" w14:textId="77777777" w:rsidR="00265730" w:rsidRPr="005E37DD" w:rsidRDefault="00265730" w:rsidP="00265730">
            <w:pPr>
              <w:spacing w:after="0" w:line="240" w:lineRule="auto"/>
              <w:jc w:val="right"/>
              <w:rPr>
                <w:rFonts w:ascii="Arial" w:eastAsia="Times New Roman" w:hAnsi="Arial" w:cs="Arial"/>
                <w:bCs/>
                <w:color w:val="000000"/>
                <w:sz w:val="20"/>
                <w:szCs w:val="20"/>
                <w:lang w:eastAsia="en-GB"/>
              </w:rPr>
            </w:pPr>
            <w:r w:rsidRPr="006647C2">
              <w:rPr>
                <w:rFonts w:ascii="Arial" w:eastAsia="Times New Roman" w:hAnsi="Arial" w:cs="Arial"/>
                <w:bCs/>
                <w:color w:val="000000"/>
                <w:sz w:val="20"/>
                <w:szCs w:val="20"/>
                <w:lang w:eastAsia="en-GB"/>
              </w:rPr>
              <w:t>325</w:t>
            </w:r>
          </w:p>
        </w:tc>
      </w:tr>
      <w:tr w:rsidR="00265730" w:rsidRPr="00CC5D1F" w14:paraId="0AFF6AC5" w14:textId="77777777" w:rsidTr="00697C96">
        <w:trPr>
          <w:trHeight w:val="263"/>
        </w:trPr>
        <w:tc>
          <w:tcPr>
            <w:tcW w:w="4141" w:type="dxa"/>
            <w:gridSpan w:val="2"/>
            <w:tcBorders>
              <w:top w:val="nil"/>
              <w:left w:val="nil"/>
              <w:bottom w:val="nil"/>
              <w:right w:val="nil"/>
            </w:tcBorders>
            <w:shd w:val="clear" w:color="auto" w:fill="auto"/>
            <w:vAlign w:val="center"/>
            <w:hideMark/>
          </w:tcPr>
          <w:p w14:paraId="371135CA" w14:textId="77777777" w:rsidR="00265730" w:rsidRPr="00CC5D1F" w:rsidRDefault="00265730" w:rsidP="00265730">
            <w:pPr>
              <w:spacing w:after="0" w:line="240" w:lineRule="auto"/>
              <w:rPr>
                <w:rFonts w:ascii="Arial" w:eastAsia="Times New Roman" w:hAnsi="Arial" w:cs="Arial"/>
                <w:color w:val="000000"/>
                <w:sz w:val="20"/>
                <w:szCs w:val="20"/>
                <w:lang w:eastAsia="en-GB"/>
              </w:rPr>
            </w:pPr>
            <w:r w:rsidRPr="00CC5D1F">
              <w:rPr>
                <w:rFonts w:ascii="Arial" w:eastAsia="Times New Roman" w:hAnsi="Arial" w:cs="Arial"/>
                <w:color w:val="000000"/>
                <w:sz w:val="20"/>
                <w:szCs w:val="20"/>
                <w:lang w:eastAsia="en-GB"/>
              </w:rPr>
              <w:t xml:space="preserve">Amount due after more than one year </w:t>
            </w:r>
          </w:p>
        </w:tc>
        <w:tc>
          <w:tcPr>
            <w:tcW w:w="255" w:type="dxa"/>
            <w:gridSpan w:val="2"/>
            <w:tcBorders>
              <w:top w:val="nil"/>
              <w:left w:val="nil"/>
              <w:bottom w:val="nil"/>
              <w:right w:val="nil"/>
            </w:tcBorders>
            <w:shd w:val="clear" w:color="auto" w:fill="auto"/>
            <w:noWrap/>
            <w:vAlign w:val="bottom"/>
            <w:hideMark/>
          </w:tcPr>
          <w:p w14:paraId="2A496159" w14:textId="77777777" w:rsidR="00265730" w:rsidRPr="00CC5D1F" w:rsidRDefault="00265730" w:rsidP="00265730">
            <w:pPr>
              <w:spacing w:after="0" w:line="240" w:lineRule="auto"/>
              <w:rPr>
                <w:rFonts w:ascii="Times New Roman" w:eastAsia="Times New Roman" w:hAnsi="Times New Roman" w:cs="Times New Roman"/>
                <w:sz w:val="20"/>
                <w:szCs w:val="20"/>
                <w:lang w:eastAsia="en-GB"/>
              </w:rPr>
            </w:pPr>
          </w:p>
        </w:tc>
        <w:tc>
          <w:tcPr>
            <w:tcW w:w="2557" w:type="dxa"/>
            <w:gridSpan w:val="2"/>
            <w:tcBorders>
              <w:top w:val="nil"/>
              <w:left w:val="nil"/>
              <w:bottom w:val="nil"/>
              <w:right w:val="nil"/>
            </w:tcBorders>
            <w:shd w:val="clear" w:color="auto" w:fill="auto"/>
            <w:noWrap/>
            <w:vAlign w:val="bottom"/>
            <w:hideMark/>
          </w:tcPr>
          <w:p w14:paraId="5C285A70" w14:textId="77777777" w:rsidR="00265730" w:rsidRPr="00CC5D1F" w:rsidRDefault="00265730" w:rsidP="00265730">
            <w:pPr>
              <w:spacing w:after="0" w:line="240" w:lineRule="auto"/>
              <w:rPr>
                <w:rFonts w:ascii="Times New Roman" w:eastAsia="Times New Roman" w:hAnsi="Times New Roman" w:cs="Times New Roman"/>
                <w:sz w:val="20"/>
                <w:szCs w:val="20"/>
                <w:lang w:eastAsia="en-GB"/>
              </w:rPr>
            </w:pPr>
          </w:p>
        </w:tc>
        <w:tc>
          <w:tcPr>
            <w:tcW w:w="1148" w:type="dxa"/>
            <w:tcBorders>
              <w:top w:val="nil"/>
              <w:left w:val="nil"/>
              <w:bottom w:val="nil"/>
              <w:right w:val="nil"/>
            </w:tcBorders>
            <w:shd w:val="clear" w:color="auto" w:fill="auto"/>
            <w:vAlign w:val="center"/>
          </w:tcPr>
          <w:p w14:paraId="132262FE" w14:textId="77777777" w:rsidR="00265730" w:rsidRPr="00CC5D1F" w:rsidRDefault="000974F6" w:rsidP="00265730">
            <w:pPr>
              <w:spacing w:after="0" w:line="240" w:lineRule="auto"/>
              <w:jc w:val="right"/>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12,386</w:t>
            </w:r>
          </w:p>
        </w:tc>
        <w:tc>
          <w:tcPr>
            <w:tcW w:w="1148" w:type="dxa"/>
            <w:tcBorders>
              <w:top w:val="nil"/>
              <w:left w:val="nil"/>
              <w:bottom w:val="nil"/>
              <w:right w:val="nil"/>
            </w:tcBorders>
            <w:shd w:val="clear" w:color="auto" w:fill="auto"/>
            <w:vAlign w:val="center"/>
            <w:hideMark/>
          </w:tcPr>
          <w:p w14:paraId="293C57C2" w14:textId="77777777" w:rsidR="00265730" w:rsidRPr="005E37DD" w:rsidRDefault="00265730" w:rsidP="00265730">
            <w:pPr>
              <w:spacing w:after="0" w:line="240" w:lineRule="auto"/>
              <w:jc w:val="right"/>
              <w:rPr>
                <w:rFonts w:ascii="Arial" w:eastAsia="Times New Roman" w:hAnsi="Arial" w:cs="Arial"/>
                <w:bCs/>
                <w:color w:val="000000"/>
                <w:sz w:val="20"/>
                <w:szCs w:val="20"/>
                <w:lang w:eastAsia="en-GB"/>
              </w:rPr>
            </w:pPr>
            <w:r w:rsidRPr="006647C2">
              <w:rPr>
                <w:rFonts w:ascii="Arial" w:eastAsia="Times New Roman" w:hAnsi="Arial" w:cs="Arial"/>
                <w:bCs/>
                <w:color w:val="000000"/>
                <w:sz w:val="20"/>
                <w:szCs w:val="20"/>
                <w:lang w:eastAsia="en-GB"/>
              </w:rPr>
              <w:t>10,613</w:t>
            </w:r>
          </w:p>
        </w:tc>
      </w:tr>
      <w:tr w:rsidR="00265730" w:rsidRPr="00CC5D1F" w14:paraId="07EC1450" w14:textId="77777777" w:rsidTr="00697C96">
        <w:trPr>
          <w:trHeight w:val="263"/>
        </w:trPr>
        <w:tc>
          <w:tcPr>
            <w:tcW w:w="4141" w:type="dxa"/>
            <w:gridSpan w:val="2"/>
            <w:tcBorders>
              <w:top w:val="nil"/>
              <w:left w:val="nil"/>
              <w:bottom w:val="nil"/>
              <w:right w:val="nil"/>
            </w:tcBorders>
            <w:shd w:val="clear" w:color="auto" w:fill="auto"/>
            <w:vAlign w:val="center"/>
            <w:hideMark/>
          </w:tcPr>
          <w:p w14:paraId="03AFD160" w14:textId="77777777" w:rsidR="00265730" w:rsidRPr="00CC5D1F" w:rsidRDefault="00265730" w:rsidP="00265730">
            <w:pPr>
              <w:spacing w:after="0" w:line="240" w:lineRule="auto"/>
              <w:rPr>
                <w:rFonts w:ascii="Times New Roman" w:eastAsia="Times New Roman" w:hAnsi="Times New Roman" w:cs="Times New Roman"/>
                <w:sz w:val="20"/>
                <w:szCs w:val="20"/>
                <w:lang w:eastAsia="en-GB"/>
              </w:rPr>
            </w:pPr>
          </w:p>
        </w:tc>
        <w:tc>
          <w:tcPr>
            <w:tcW w:w="255" w:type="dxa"/>
            <w:gridSpan w:val="2"/>
            <w:tcBorders>
              <w:top w:val="nil"/>
              <w:left w:val="nil"/>
              <w:bottom w:val="nil"/>
              <w:right w:val="nil"/>
            </w:tcBorders>
            <w:shd w:val="clear" w:color="auto" w:fill="auto"/>
            <w:noWrap/>
            <w:vAlign w:val="bottom"/>
            <w:hideMark/>
          </w:tcPr>
          <w:p w14:paraId="0B000022" w14:textId="77777777" w:rsidR="00265730" w:rsidRPr="00CC5D1F" w:rsidRDefault="00265730" w:rsidP="00265730">
            <w:pPr>
              <w:spacing w:after="0" w:line="240" w:lineRule="auto"/>
              <w:rPr>
                <w:rFonts w:ascii="Times New Roman" w:eastAsia="Times New Roman" w:hAnsi="Times New Roman" w:cs="Times New Roman"/>
                <w:sz w:val="20"/>
                <w:szCs w:val="20"/>
                <w:lang w:eastAsia="en-GB"/>
              </w:rPr>
            </w:pPr>
          </w:p>
        </w:tc>
        <w:tc>
          <w:tcPr>
            <w:tcW w:w="2557" w:type="dxa"/>
            <w:gridSpan w:val="2"/>
            <w:tcBorders>
              <w:top w:val="nil"/>
              <w:left w:val="nil"/>
              <w:bottom w:val="nil"/>
              <w:right w:val="nil"/>
            </w:tcBorders>
            <w:shd w:val="clear" w:color="auto" w:fill="auto"/>
            <w:noWrap/>
            <w:vAlign w:val="bottom"/>
            <w:hideMark/>
          </w:tcPr>
          <w:p w14:paraId="1A11CAEE" w14:textId="77777777" w:rsidR="00265730" w:rsidRPr="00CC5D1F" w:rsidRDefault="00265730" w:rsidP="00265730">
            <w:pPr>
              <w:spacing w:after="0" w:line="240" w:lineRule="auto"/>
              <w:rPr>
                <w:rFonts w:ascii="Times New Roman" w:eastAsia="Times New Roman" w:hAnsi="Times New Roman" w:cs="Times New Roman"/>
                <w:sz w:val="20"/>
                <w:szCs w:val="20"/>
                <w:lang w:eastAsia="en-GB"/>
              </w:rPr>
            </w:pPr>
          </w:p>
        </w:tc>
        <w:tc>
          <w:tcPr>
            <w:tcW w:w="1148" w:type="dxa"/>
            <w:tcBorders>
              <w:top w:val="single" w:sz="4" w:space="0" w:color="auto"/>
              <w:left w:val="nil"/>
              <w:bottom w:val="single" w:sz="4" w:space="0" w:color="auto"/>
              <w:right w:val="nil"/>
            </w:tcBorders>
            <w:shd w:val="clear" w:color="auto" w:fill="auto"/>
            <w:vAlign w:val="center"/>
          </w:tcPr>
          <w:p w14:paraId="37A2D73D" w14:textId="77777777" w:rsidR="00265730" w:rsidRPr="00CC5D1F" w:rsidRDefault="000974F6" w:rsidP="00265730">
            <w:pPr>
              <w:spacing w:after="0" w:line="240" w:lineRule="auto"/>
              <w:jc w:val="right"/>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12,492</w:t>
            </w:r>
          </w:p>
        </w:tc>
        <w:tc>
          <w:tcPr>
            <w:tcW w:w="1148" w:type="dxa"/>
            <w:tcBorders>
              <w:top w:val="single" w:sz="4" w:space="0" w:color="auto"/>
              <w:left w:val="nil"/>
              <w:bottom w:val="single" w:sz="4" w:space="0" w:color="auto"/>
              <w:right w:val="nil"/>
            </w:tcBorders>
            <w:shd w:val="clear" w:color="auto" w:fill="auto"/>
            <w:vAlign w:val="center"/>
            <w:hideMark/>
          </w:tcPr>
          <w:p w14:paraId="7D2823A3" w14:textId="77777777" w:rsidR="00265730" w:rsidRPr="005E37DD" w:rsidRDefault="00265730" w:rsidP="00265730">
            <w:pPr>
              <w:spacing w:after="0" w:line="240" w:lineRule="auto"/>
              <w:jc w:val="right"/>
              <w:rPr>
                <w:rFonts w:ascii="Arial" w:eastAsia="Times New Roman" w:hAnsi="Arial" w:cs="Arial"/>
                <w:bCs/>
                <w:color w:val="000000"/>
                <w:sz w:val="20"/>
                <w:szCs w:val="20"/>
                <w:lang w:eastAsia="en-GB"/>
              </w:rPr>
            </w:pPr>
            <w:r w:rsidRPr="006647C2">
              <w:rPr>
                <w:rFonts w:ascii="Arial" w:eastAsia="Times New Roman" w:hAnsi="Arial" w:cs="Arial"/>
                <w:bCs/>
                <w:color w:val="000000"/>
                <w:sz w:val="20"/>
                <w:szCs w:val="20"/>
                <w:lang w:eastAsia="en-GB"/>
              </w:rPr>
              <w:t>10,938</w:t>
            </w:r>
          </w:p>
        </w:tc>
      </w:tr>
      <w:tr w:rsidR="00265730" w:rsidRPr="00BC4223" w14:paraId="3DA9520D" w14:textId="77777777" w:rsidTr="00697C96">
        <w:trPr>
          <w:trHeight w:val="253"/>
        </w:trPr>
        <w:tc>
          <w:tcPr>
            <w:tcW w:w="3505" w:type="dxa"/>
            <w:tcBorders>
              <w:top w:val="nil"/>
              <w:left w:val="nil"/>
              <w:bottom w:val="nil"/>
              <w:right w:val="nil"/>
            </w:tcBorders>
            <w:shd w:val="clear" w:color="auto" w:fill="auto"/>
            <w:hideMark/>
          </w:tcPr>
          <w:p w14:paraId="06D3EA5A" w14:textId="77777777" w:rsidR="00265730" w:rsidRDefault="00265730" w:rsidP="00265730">
            <w:pPr>
              <w:spacing w:after="0" w:line="240" w:lineRule="auto"/>
              <w:rPr>
                <w:rFonts w:ascii="Arial" w:eastAsia="Times New Roman" w:hAnsi="Arial" w:cs="Arial"/>
                <w:sz w:val="20"/>
                <w:szCs w:val="20"/>
                <w:lang w:eastAsia="en-GB"/>
              </w:rPr>
            </w:pPr>
          </w:p>
          <w:p w14:paraId="0AD23566" w14:textId="77777777" w:rsidR="00265730" w:rsidRPr="00BC4223" w:rsidRDefault="00265730" w:rsidP="00265730">
            <w:pPr>
              <w:spacing w:after="0" w:line="240" w:lineRule="auto"/>
              <w:rPr>
                <w:rFonts w:ascii="Arial" w:eastAsia="Times New Roman" w:hAnsi="Arial" w:cs="Arial"/>
                <w:b/>
                <w:sz w:val="20"/>
                <w:szCs w:val="20"/>
                <w:lang w:eastAsia="en-GB"/>
              </w:rPr>
            </w:pPr>
            <w:r w:rsidRPr="00BC4223">
              <w:rPr>
                <w:rFonts w:ascii="Arial" w:eastAsia="Times New Roman" w:hAnsi="Arial" w:cs="Arial"/>
                <w:b/>
                <w:sz w:val="20"/>
                <w:szCs w:val="20"/>
                <w:lang w:eastAsia="en-GB"/>
              </w:rPr>
              <w:t>Movement in year</w:t>
            </w:r>
          </w:p>
          <w:p w14:paraId="3D572E18" w14:textId="77777777" w:rsidR="00265730" w:rsidRDefault="00265730" w:rsidP="00265730">
            <w:pPr>
              <w:spacing w:after="0" w:line="240" w:lineRule="auto"/>
              <w:rPr>
                <w:rFonts w:ascii="Arial" w:eastAsia="Times New Roman" w:hAnsi="Arial" w:cs="Arial"/>
                <w:sz w:val="20"/>
                <w:szCs w:val="20"/>
                <w:lang w:eastAsia="en-GB"/>
              </w:rPr>
            </w:pPr>
          </w:p>
          <w:p w14:paraId="549036B8" w14:textId="77777777" w:rsidR="00265730" w:rsidRPr="00BC4223" w:rsidRDefault="00265730" w:rsidP="00265730">
            <w:pPr>
              <w:spacing w:after="0" w:line="240" w:lineRule="auto"/>
              <w:rPr>
                <w:rFonts w:ascii="Arial" w:eastAsia="Times New Roman" w:hAnsi="Arial" w:cs="Arial"/>
                <w:sz w:val="20"/>
                <w:szCs w:val="20"/>
                <w:lang w:eastAsia="en-GB"/>
              </w:rPr>
            </w:pPr>
            <w:r w:rsidRPr="00BC4223">
              <w:rPr>
                <w:rFonts w:ascii="Arial" w:eastAsia="Times New Roman" w:hAnsi="Arial" w:cs="Arial"/>
                <w:sz w:val="20"/>
                <w:szCs w:val="20"/>
                <w:lang w:eastAsia="en-GB"/>
              </w:rPr>
              <w:t>Opening balance</w:t>
            </w:r>
          </w:p>
        </w:tc>
        <w:tc>
          <w:tcPr>
            <w:tcW w:w="659" w:type="dxa"/>
            <w:gridSpan w:val="2"/>
            <w:tcBorders>
              <w:top w:val="nil"/>
              <w:left w:val="nil"/>
              <w:bottom w:val="nil"/>
              <w:right w:val="nil"/>
            </w:tcBorders>
            <w:shd w:val="clear" w:color="auto" w:fill="auto"/>
            <w:hideMark/>
          </w:tcPr>
          <w:p w14:paraId="3B900F2E" w14:textId="77777777" w:rsidR="00265730" w:rsidRPr="00BC4223" w:rsidRDefault="00265730" w:rsidP="00265730">
            <w:pPr>
              <w:spacing w:after="0" w:line="240" w:lineRule="auto"/>
              <w:rPr>
                <w:rFonts w:ascii="Arial" w:eastAsia="Times New Roman" w:hAnsi="Arial" w:cs="Arial"/>
                <w:sz w:val="20"/>
                <w:szCs w:val="20"/>
                <w:lang w:eastAsia="en-GB"/>
              </w:rPr>
            </w:pPr>
          </w:p>
        </w:tc>
        <w:tc>
          <w:tcPr>
            <w:tcW w:w="1256" w:type="dxa"/>
            <w:gridSpan w:val="2"/>
            <w:tcBorders>
              <w:top w:val="nil"/>
              <w:left w:val="nil"/>
              <w:bottom w:val="nil"/>
              <w:right w:val="nil"/>
            </w:tcBorders>
            <w:shd w:val="clear" w:color="auto" w:fill="auto"/>
            <w:hideMark/>
          </w:tcPr>
          <w:p w14:paraId="20A3257D" w14:textId="77777777" w:rsidR="00265730" w:rsidRPr="00BC4223" w:rsidRDefault="00265730" w:rsidP="00265730">
            <w:pPr>
              <w:spacing w:after="0" w:line="240" w:lineRule="auto"/>
              <w:rPr>
                <w:rFonts w:ascii="Times New Roman" w:eastAsia="Times New Roman" w:hAnsi="Times New Roman" w:cs="Times New Roman"/>
                <w:sz w:val="20"/>
                <w:szCs w:val="20"/>
                <w:lang w:eastAsia="en-GB"/>
              </w:rPr>
            </w:pPr>
          </w:p>
        </w:tc>
        <w:tc>
          <w:tcPr>
            <w:tcW w:w="1532" w:type="dxa"/>
            <w:tcBorders>
              <w:top w:val="nil"/>
              <w:left w:val="nil"/>
              <w:bottom w:val="nil"/>
              <w:right w:val="nil"/>
            </w:tcBorders>
            <w:shd w:val="clear" w:color="auto" w:fill="auto"/>
            <w:hideMark/>
          </w:tcPr>
          <w:p w14:paraId="2DE1F4B8" w14:textId="77777777" w:rsidR="00265730" w:rsidRPr="00BC4223" w:rsidRDefault="00265730" w:rsidP="00265730">
            <w:pPr>
              <w:spacing w:after="0" w:line="240" w:lineRule="auto"/>
              <w:rPr>
                <w:rFonts w:ascii="Times New Roman" w:eastAsia="Times New Roman" w:hAnsi="Times New Roman" w:cs="Times New Roman"/>
                <w:sz w:val="20"/>
                <w:szCs w:val="20"/>
                <w:lang w:eastAsia="en-GB"/>
              </w:rPr>
            </w:pPr>
          </w:p>
        </w:tc>
        <w:tc>
          <w:tcPr>
            <w:tcW w:w="1148" w:type="dxa"/>
            <w:tcBorders>
              <w:top w:val="nil"/>
              <w:left w:val="nil"/>
              <w:bottom w:val="nil"/>
              <w:right w:val="nil"/>
            </w:tcBorders>
            <w:shd w:val="clear" w:color="auto" w:fill="auto"/>
            <w:hideMark/>
          </w:tcPr>
          <w:p w14:paraId="5075F52F" w14:textId="77777777" w:rsidR="00265730" w:rsidRDefault="00265730" w:rsidP="00265730">
            <w:pPr>
              <w:spacing w:after="0" w:line="240" w:lineRule="auto"/>
              <w:jc w:val="right"/>
              <w:rPr>
                <w:rFonts w:ascii="Arial" w:eastAsia="Times New Roman" w:hAnsi="Arial" w:cs="Arial"/>
                <w:b/>
                <w:bCs/>
                <w:sz w:val="20"/>
                <w:szCs w:val="20"/>
                <w:lang w:eastAsia="en-GB"/>
              </w:rPr>
            </w:pPr>
          </w:p>
          <w:p w14:paraId="584BEAB5" w14:textId="77777777" w:rsidR="00265730" w:rsidRDefault="00265730" w:rsidP="00265730">
            <w:pPr>
              <w:spacing w:after="0" w:line="240" w:lineRule="auto"/>
              <w:jc w:val="right"/>
              <w:rPr>
                <w:rFonts w:ascii="Arial" w:eastAsia="Times New Roman" w:hAnsi="Arial" w:cs="Arial"/>
                <w:b/>
                <w:bCs/>
                <w:sz w:val="20"/>
                <w:szCs w:val="20"/>
                <w:lang w:eastAsia="en-GB"/>
              </w:rPr>
            </w:pPr>
          </w:p>
          <w:p w14:paraId="73780B66" w14:textId="77777777" w:rsidR="00265730" w:rsidRDefault="00265730" w:rsidP="00265730">
            <w:pPr>
              <w:spacing w:after="0" w:line="240" w:lineRule="auto"/>
              <w:jc w:val="right"/>
              <w:rPr>
                <w:rFonts w:ascii="Arial" w:eastAsia="Times New Roman" w:hAnsi="Arial" w:cs="Arial"/>
                <w:b/>
                <w:bCs/>
                <w:sz w:val="20"/>
                <w:szCs w:val="20"/>
                <w:lang w:eastAsia="en-GB"/>
              </w:rPr>
            </w:pPr>
          </w:p>
          <w:p w14:paraId="5F5A4C9A" w14:textId="77777777" w:rsidR="00265730" w:rsidRPr="00BC4223" w:rsidRDefault="00265730" w:rsidP="00265730">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10,938</w:t>
            </w:r>
          </w:p>
        </w:tc>
        <w:tc>
          <w:tcPr>
            <w:tcW w:w="1148" w:type="dxa"/>
            <w:tcBorders>
              <w:top w:val="nil"/>
              <w:left w:val="nil"/>
              <w:bottom w:val="nil"/>
              <w:right w:val="nil"/>
            </w:tcBorders>
            <w:shd w:val="clear" w:color="auto" w:fill="auto"/>
            <w:hideMark/>
          </w:tcPr>
          <w:p w14:paraId="26399639" w14:textId="77777777" w:rsidR="00265730" w:rsidRPr="006647C2" w:rsidRDefault="00265730" w:rsidP="00265730">
            <w:pPr>
              <w:spacing w:after="0" w:line="240" w:lineRule="auto"/>
              <w:jc w:val="right"/>
              <w:rPr>
                <w:rFonts w:ascii="Arial" w:eastAsia="Times New Roman" w:hAnsi="Arial" w:cs="Arial"/>
                <w:bCs/>
                <w:sz w:val="20"/>
                <w:szCs w:val="20"/>
                <w:lang w:eastAsia="en-GB"/>
              </w:rPr>
            </w:pPr>
          </w:p>
          <w:p w14:paraId="0A44E03A" w14:textId="77777777" w:rsidR="00265730" w:rsidRPr="006647C2" w:rsidRDefault="00265730" w:rsidP="00265730">
            <w:pPr>
              <w:spacing w:after="0" w:line="240" w:lineRule="auto"/>
              <w:jc w:val="right"/>
              <w:rPr>
                <w:rFonts w:ascii="Arial" w:eastAsia="Times New Roman" w:hAnsi="Arial" w:cs="Arial"/>
                <w:bCs/>
                <w:sz w:val="20"/>
                <w:szCs w:val="20"/>
                <w:lang w:eastAsia="en-GB"/>
              </w:rPr>
            </w:pPr>
          </w:p>
          <w:p w14:paraId="0F5ACA8B" w14:textId="77777777" w:rsidR="00265730" w:rsidRPr="006647C2" w:rsidRDefault="00265730" w:rsidP="00265730">
            <w:pPr>
              <w:spacing w:after="0" w:line="240" w:lineRule="auto"/>
              <w:jc w:val="right"/>
              <w:rPr>
                <w:rFonts w:ascii="Arial" w:eastAsia="Times New Roman" w:hAnsi="Arial" w:cs="Arial"/>
                <w:bCs/>
                <w:sz w:val="20"/>
                <w:szCs w:val="20"/>
                <w:lang w:eastAsia="en-GB"/>
              </w:rPr>
            </w:pPr>
          </w:p>
          <w:p w14:paraId="2918F630" w14:textId="77777777" w:rsidR="00265730" w:rsidRPr="005E37DD" w:rsidRDefault="00265730" w:rsidP="00265730">
            <w:pPr>
              <w:spacing w:after="0" w:line="240" w:lineRule="auto"/>
              <w:jc w:val="right"/>
              <w:rPr>
                <w:rFonts w:ascii="Arial" w:eastAsia="Times New Roman" w:hAnsi="Arial" w:cs="Arial"/>
                <w:sz w:val="20"/>
                <w:szCs w:val="20"/>
                <w:lang w:eastAsia="en-GB"/>
              </w:rPr>
            </w:pPr>
            <w:r w:rsidRPr="006647C2">
              <w:rPr>
                <w:rFonts w:ascii="Arial" w:eastAsia="Times New Roman" w:hAnsi="Arial" w:cs="Arial"/>
                <w:bCs/>
                <w:sz w:val="20"/>
                <w:szCs w:val="20"/>
                <w:lang w:eastAsia="en-GB"/>
              </w:rPr>
              <w:t>7,541</w:t>
            </w:r>
          </w:p>
        </w:tc>
      </w:tr>
      <w:tr w:rsidR="00265730" w:rsidRPr="00BC4223" w14:paraId="3C1DBCF6" w14:textId="77777777" w:rsidTr="00697C96">
        <w:trPr>
          <w:trHeight w:val="253"/>
        </w:trPr>
        <w:tc>
          <w:tcPr>
            <w:tcW w:w="3505" w:type="dxa"/>
            <w:tcBorders>
              <w:top w:val="nil"/>
              <w:left w:val="nil"/>
              <w:bottom w:val="nil"/>
              <w:right w:val="nil"/>
            </w:tcBorders>
            <w:shd w:val="clear" w:color="auto" w:fill="auto"/>
            <w:hideMark/>
          </w:tcPr>
          <w:p w14:paraId="23BD828F" w14:textId="77777777" w:rsidR="00265730" w:rsidRPr="00BC4223" w:rsidRDefault="00265730" w:rsidP="00265730">
            <w:pPr>
              <w:spacing w:after="0" w:line="240" w:lineRule="auto"/>
              <w:rPr>
                <w:rFonts w:ascii="Arial" w:eastAsia="Times New Roman" w:hAnsi="Arial" w:cs="Arial"/>
                <w:sz w:val="20"/>
                <w:szCs w:val="20"/>
                <w:lang w:eastAsia="en-GB"/>
              </w:rPr>
            </w:pPr>
            <w:r w:rsidRPr="00BC4223">
              <w:rPr>
                <w:rFonts w:ascii="Arial" w:eastAsia="Times New Roman" w:hAnsi="Arial" w:cs="Arial"/>
                <w:sz w:val="20"/>
                <w:szCs w:val="20"/>
                <w:lang w:eastAsia="en-GB"/>
              </w:rPr>
              <w:t>Changes in deferred tax</w:t>
            </w:r>
          </w:p>
        </w:tc>
        <w:tc>
          <w:tcPr>
            <w:tcW w:w="659" w:type="dxa"/>
            <w:gridSpan w:val="2"/>
            <w:tcBorders>
              <w:top w:val="nil"/>
              <w:left w:val="nil"/>
              <w:bottom w:val="nil"/>
              <w:right w:val="nil"/>
            </w:tcBorders>
            <w:shd w:val="clear" w:color="auto" w:fill="auto"/>
            <w:hideMark/>
          </w:tcPr>
          <w:p w14:paraId="38466684" w14:textId="77777777" w:rsidR="00265730" w:rsidRPr="00BC4223" w:rsidRDefault="00265730" w:rsidP="00265730">
            <w:pPr>
              <w:spacing w:after="0" w:line="240" w:lineRule="auto"/>
              <w:rPr>
                <w:rFonts w:ascii="Arial" w:eastAsia="Times New Roman" w:hAnsi="Arial" w:cs="Arial"/>
                <w:sz w:val="20"/>
                <w:szCs w:val="20"/>
                <w:lang w:eastAsia="en-GB"/>
              </w:rPr>
            </w:pPr>
          </w:p>
        </w:tc>
        <w:tc>
          <w:tcPr>
            <w:tcW w:w="1256" w:type="dxa"/>
            <w:gridSpan w:val="2"/>
            <w:tcBorders>
              <w:top w:val="nil"/>
              <w:left w:val="nil"/>
              <w:bottom w:val="nil"/>
              <w:right w:val="nil"/>
            </w:tcBorders>
            <w:shd w:val="clear" w:color="auto" w:fill="auto"/>
            <w:hideMark/>
          </w:tcPr>
          <w:p w14:paraId="7FD7A320" w14:textId="77777777" w:rsidR="00265730" w:rsidRPr="00BC4223" w:rsidRDefault="00265730" w:rsidP="00265730">
            <w:pPr>
              <w:spacing w:after="0" w:line="240" w:lineRule="auto"/>
              <w:rPr>
                <w:rFonts w:ascii="Times New Roman" w:eastAsia="Times New Roman" w:hAnsi="Times New Roman" w:cs="Times New Roman"/>
                <w:sz w:val="20"/>
                <w:szCs w:val="20"/>
                <w:lang w:eastAsia="en-GB"/>
              </w:rPr>
            </w:pPr>
          </w:p>
        </w:tc>
        <w:tc>
          <w:tcPr>
            <w:tcW w:w="1532" w:type="dxa"/>
            <w:tcBorders>
              <w:top w:val="nil"/>
              <w:left w:val="nil"/>
              <w:bottom w:val="nil"/>
              <w:right w:val="nil"/>
            </w:tcBorders>
            <w:shd w:val="clear" w:color="auto" w:fill="auto"/>
            <w:hideMark/>
          </w:tcPr>
          <w:p w14:paraId="0E9A0647" w14:textId="77777777" w:rsidR="00265730" w:rsidRPr="00BC4223" w:rsidRDefault="00265730" w:rsidP="00265730">
            <w:pPr>
              <w:spacing w:after="0" w:line="240" w:lineRule="auto"/>
              <w:rPr>
                <w:rFonts w:ascii="Times New Roman" w:eastAsia="Times New Roman" w:hAnsi="Times New Roman" w:cs="Times New Roman"/>
                <w:sz w:val="20"/>
                <w:szCs w:val="20"/>
                <w:lang w:eastAsia="en-GB"/>
              </w:rPr>
            </w:pPr>
          </w:p>
        </w:tc>
        <w:tc>
          <w:tcPr>
            <w:tcW w:w="1148" w:type="dxa"/>
            <w:tcBorders>
              <w:top w:val="nil"/>
              <w:left w:val="nil"/>
              <w:bottom w:val="nil"/>
              <w:right w:val="nil"/>
            </w:tcBorders>
            <w:shd w:val="clear" w:color="auto" w:fill="auto"/>
          </w:tcPr>
          <w:p w14:paraId="45EF8AD0" w14:textId="77777777" w:rsidR="00265730" w:rsidRPr="00BC4223" w:rsidRDefault="000974F6" w:rsidP="00265730">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1,554</w:t>
            </w:r>
          </w:p>
        </w:tc>
        <w:tc>
          <w:tcPr>
            <w:tcW w:w="1148" w:type="dxa"/>
            <w:tcBorders>
              <w:top w:val="nil"/>
              <w:left w:val="nil"/>
              <w:bottom w:val="nil"/>
              <w:right w:val="nil"/>
            </w:tcBorders>
            <w:shd w:val="clear" w:color="auto" w:fill="auto"/>
            <w:hideMark/>
          </w:tcPr>
          <w:p w14:paraId="11AD302C" w14:textId="77777777" w:rsidR="00265730" w:rsidRPr="005E37DD" w:rsidRDefault="00265730" w:rsidP="00265730">
            <w:pPr>
              <w:spacing w:after="0" w:line="240" w:lineRule="auto"/>
              <w:jc w:val="right"/>
              <w:rPr>
                <w:rFonts w:ascii="Arial" w:eastAsia="Times New Roman" w:hAnsi="Arial" w:cs="Arial"/>
                <w:sz w:val="20"/>
                <w:szCs w:val="20"/>
                <w:lang w:eastAsia="en-GB"/>
              </w:rPr>
            </w:pPr>
            <w:r w:rsidRPr="006647C2">
              <w:rPr>
                <w:rFonts w:ascii="Arial" w:eastAsia="Times New Roman" w:hAnsi="Arial" w:cs="Arial"/>
                <w:bCs/>
                <w:sz w:val="20"/>
                <w:szCs w:val="20"/>
                <w:lang w:eastAsia="en-GB"/>
              </w:rPr>
              <w:t>3,304</w:t>
            </w:r>
          </w:p>
        </w:tc>
      </w:tr>
      <w:tr w:rsidR="00265730" w:rsidRPr="00BC4223" w14:paraId="73737A8B" w14:textId="77777777" w:rsidTr="00697C96">
        <w:trPr>
          <w:trHeight w:val="253"/>
        </w:trPr>
        <w:tc>
          <w:tcPr>
            <w:tcW w:w="3505" w:type="dxa"/>
            <w:tcBorders>
              <w:top w:val="nil"/>
              <w:left w:val="nil"/>
              <w:bottom w:val="nil"/>
              <w:right w:val="nil"/>
            </w:tcBorders>
            <w:shd w:val="clear" w:color="auto" w:fill="auto"/>
            <w:hideMark/>
          </w:tcPr>
          <w:p w14:paraId="5BE6ECF3" w14:textId="77777777" w:rsidR="00265730" w:rsidRPr="00BC4223" w:rsidRDefault="00265730" w:rsidP="00265730">
            <w:pPr>
              <w:spacing w:after="0" w:line="240" w:lineRule="auto"/>
              <w:rPr>
                <w:rFonts w:ascii="Arial" w:eastAsia="Times New Roman" w:hAnsi="Arial" w:cs="Arial"/>
                <w:sz w:val="20"/>
                <w:szCs w:val="20"/>
                <w:lang w:eastAsia="en-GB"/>
              </w:rPr>
            </w:pPr>
            <w:r w:rsidRPr="00BC4223">
              <w:rPr>
                <w:rFonts w:ascii="Arial" w:eastAsia="Times New Roman" w:hAnsi="Arial" w:cs="Arial"/>
                <w:sz w:val="20"/>
                <w:szCs w:val="20"/>
                <w:lang w:eastAsia="en-GB"/>
              </w:rPr>
              <w:t>Prior year adjustment</w:t>
            </w:r>
          </w:p>
        </w:tc>
        <w:tc>
          <w:tcPr>
            <w:tcW w:w="659" w:type="dxa"/>
            <w:gridSpan w:val="2"/>
            <w:tcBorders>
              <w:top w:val="nil"/>
              <w:left w:val="nil"/>
              <w:bottom w:val="nil"/>
              <w:right w:val="nil"/>
            </w:tcBorders>
            <w:shd w:val="clear" w:color="auto" w:fill="auto"/>
            <w:hideMark/>
          </w:tcPr>
          <w:p w14:paraId="451D2056" w14:textId="77777777" w:rsidR="00265730" w:rsidRPr="00BC4223" w:rsidRDefault="00265730" w:rsidP="00265730">
            <w:pPr>
              <w:spacing w:after="0" w:line="240" w:lineRule="auto"/>
              <w:rPr>
                <w:rFonts w:ascii="Arial" w:eastAsia="Times New Roman" w:hAnsi="Arial" w:cs="Arial"/>
                <w:sz w:val="20"/>
                <w:szCs w:val="20"/>
                <w:lang w:eastAsia="en-GB"/>
              </w:rPr>
            </w:pPr>
          </w:p>
        </w:tc>
        <w:tc>
          <w:tcPr>
            <w:tcW w:w="1256" w:type="dxa"/>
            <w:gridSpan w:val="2"/>
            <w:tcBorders>
              <w:top w:val="nil"/>
              <w:left w:val="nil"/>
              <w:bottom w:val="nil"/>
              <w:right w:val="nil"/>
            </w:tcBorders>
            <w:shd w:val="clear" w:color="auto" w:fill="auto"/>
            <w:hideMark/>
          </w:tcPr>
          <w:p w14:paraId="096E58F7" w14:textId="77777777" w:rsidR="00265730" w:rsidRPr="00BC4223" w:rsidRDefault="00265730" w:rsidP="00265730">
            <w:pPr>
              <w:spacing w:after="0" w:line="240" w:lineRule="auto"/>
              <w:rPr>
                <w:rFonts w:ascii="Times New Roman" w:eastAsia="Times New Roman" w:hAnsi="Times New Roman" w:cs="Times New Roman"/>
                <w:sz w:val="20"/>
                <w:szCs w:val="20"/>
                <w:lang w:eastAsia="en-GB"/>
              </w:rPr>
            </w:pPr>
          </w:p>
        </w:tc>
        <w:tc>
          <w:tcPr>
            <w:tcW w:w="1532" w:type="dxa"/>
            <w:tcBorders>
              <w:top w:val="nil"/>
              <w:left w:val="nil"/>
              <w:bottom w:val="nil"/>
              <w:right w:val="nil"/>
            </w:tcBorders>
            <w:shd w:val="clear" w:color="auto" w:fill="auto"/>
            <w:hideMark/>
          </w:tcPr>
          <w:p w14:paraId="6957A769" w14:textId="77777777" w:rsidR="00265730" w:rsidRPr="00BC4223" w:rsidRDefault="00265730" w:rsidP="00265730">
            <w:pPr>
              <w:spacing w:after="0" w:line="240" w:lineRule="auto"/>
              <w:rPr>
                <w:rFonts w:ascii="Times New Roman" w:eastAsia="Times New Roman" w:hAnsi="Times New Roman" w:cs="Times New Roman"/>
                <w:sz w:val="20"/>
                <w:szCs w:val="20"/>
                <w:lang w:eastAsia="en-GB"/>
              </w:rPr>
            </w:pPr>
          </w:p>
        </w:tc>
        <w:tc>
          <w:tcPr>
            <w:tcW w:w="1148" w:type="dxa"/>
            <w:tcBorders>
              <w:top w:val="nil"/>
              <w:left w:val="nil"/>
              <w:bottom w:val="nil"/>
              <w:right w:val="nil"/>
            </w:tcBorders>
            <w:shd w:val="clear" w:color="auto" w:fill="auto"/>
          </w:tcPr>
          <w:p w14:paraId="62BE6360" w14:textId="77777777" w:rsidR="00265730" w:rsidRPr="00BC4223" w:rsidRDefault="000974F6" w:rsidP="00265730">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w:t>
            </w:r>
          </w:p>
        </w:tc>
        <w:tc>
          <w:tcPr>
            <w:tcW w:w="1148" w:type="dxa"/>
            <w:tcBorders>
              <w:top w:val="nil"/>
              <w:left w:val="nil"/>
              <w:bottom w:val="nil"/>
              <w:right w:val="nil"/>
            </w:tcBorders>
            <w:shd w:val="clear" w:color="auto" w:fill="auto"/>
            <w:hideMark/>
          </w:tcPr>
          <w:p w14:paraId="3CF739DC" w14:textId="77777777" w:rsidR="00265730" w:rsidRPr="005E37DD" w:rsidRDefault="00265730" w:rsidP="00265730">
            <w:pPr>
              <w:spacing w:after="0" w:line="240" w:lineRule="auto"/>
              <w:jc w:val="right"/>
              <w:rPr>
                <w:rFonts w:ascii="Arial" w:eastAsia="Times New Roman" w:hAnsi="Arial" w:cs="Arial"/>
                <w:sz w:val="20"/>
                <w:szCs w:val="20"/>
                <w:lang w:eastAsia="en-GB"/>
              </w:rPr>
            </w:pPr>
            <w:r w:rsidRPr="006647C2">
              <w:rPr>
                <w:rFonts w:ascii="Arial" w:eastAsia="Times New Roman" w:hAnsi="Arial" w:cs="Arial"/>
                <w:bCs/>
                <w:sz w:val="20"/>
                <w:szCs w:val="20"/>
                <w:lang w:eastAsia="en-GB"/>
              </w:rPr>
              <w:t>93</w:t>
            </w:r>
          </w:p>
        </w:tc>
      </w:tr>
      <w:tr w:rsidR="00265730" w:rsidRPr="00BC4223" w14:paraId="0131FABD" w14:textId="77777777" w:rsidTr="00697C96">
        <w:trPr>
          <w:trHeight w:val="253"/>
        </w:trPr>
        <w:tc>
          <w:tcPr>
            <w:tcW w:w="3505" w:type="dxa"/>
            <w:tcBorders>
              <w:top w:val="nil"/>
              <w:left w:val="nil"/>
              <w:bottom w:val="nil"/>
              <w:right w:val="nil"/>
            </w:tcBorders>
            <w:shd w:val="clear" w:color="auto" w:fill="auto"/>
            <w:hideMark/>
          </w:tcPr>
          <w:p w14:paraId="30312D98" w14:textId="77777777" w:rsidR="00265730" w:rsidRPr="00BC4223" w:rsidRDefault="00265730" w:rsidP="00265730">
            <w:pPr>
              <w:spacing w:after="0" w:line="240" w:lineRule="auto"/>
              <w:rPr>
                <w:rFonts w:ascii="Arial" w:eastAsia="Times New Roman" w:hAnsi="Arial" w:cs="Arial"/>
                <w:sz w:val="20"/>
                <w:szCs w:val="20"/>
                <w:lang w:eastAsia="en-GB"/>
              </w:rPr>
            </w:pPr>
            <w:r w:rsidRPr="00BC4223">
              <w:rPr>
                <w:rFonts w:ascii="Arial" w:eastAsia="Times New Roman" w:hAnsi="Arial" w:cs="Arial"/>
                <w:sz w:val="20"/>
                <w:szCs w:val="20"/>
                <w:lang w:eastAsia="en-GB"/>
              </w:rPr>
              <w:t>Closing balance</w:t>
            </w:r>
          </w:p>
        </w:tc>
        <w:tc>
          <w:tcPr>
            <w:tcW w:w="659" w:type="dxa"/>
            <w:gridSpan w:val="2"/>
            <w:tcBorders>
              <w:top w:val="nil"/>
              <w:left w:val="nil"/>
              <w:bottom w:val="nil"/>
              <w:right w:val="nil"/>
            </w:tcBorders>
            <w:shd w:val="clear" w:color="auto" w:fill="auto"/>
            <w:hideMark/>
          </w:tcPr>
          <w:p w14:paraId="69AEE6E0" w14:textId="77777777" w:rsidR="00265730" w:rsidRPr="00BC4223" w:rsidRDefault="00265730" w:rsidP="00265730">
            <w:pPr>
              <w:spacing w:after="0" w:line="240" w:lineRule="auto"/>
              <w:rPr>
                <w:rFonts w:ascii="Arial" w:eastAsia="Times New Roman" w:hAnsi="Arial" w:cs="Arial"/>
                <w:sz w:val="20"/>
                <w:szCs w:val="20"/>
                <w:lang w:eastAsia="en-GB"/>
              </w:rPr>
            </w:pPr>
          </w:p>
        </w:tc>
        <w:tc>
          <w:tcPr>
            <w:tcW w:w="1256" w:type="dxa"/>
            <w:gridSpan w:val="2"/>
            <w:tcBorders>
              <w:top w:val="nil"/>
              <w:left w:val="nil"/>
              <w:bottom w:val="nil"/>
              <w:right w:val="nil"/>
            </w:tcBorders>
            <w:shd w:val="clear" w:color="auto" w:fill="auto"/>
            <w:hideMark/>
          </w:tcPr>
          <w:p w14:paraId="75DC043A" w14:textId="77777777" w:rsidR="00265730" w:rsidRPr="00BC4223" w:rsidRDefault="00265730" w:rsidP="00265730">
            <w:pPr>
              <w:spacing w:after="0" w:line="240" w:lineRule="auto"/>
              <w:rPr>
                <w:rFonts w:ascii="Times New Roman" w:eastAsia="Times New Roman" w:hAnsi="Times New Roman" w:cs="Times New Roman"/>
                <w:sz w:val="20"/>
                <w:szCs w:val="20"/>
                <w:lang w:eastAsia="en-GB"/>
              </w:rPr>
            </w:pPr>
          </w:p>
        </w:tc>
        <w:tc>
          <w:tcPr>
            <w:tcW w:w="1532" w:type="dxa"/>
            <w:tcBorders>
              <w:top w:val="nil"/>
              <w:left w:val="nil"/>
              <w:bottom w:val="nil"/>
              <w:right w:val="nil"/>
            </w:tcBorders>
            <w:shd w:val="clear" w:color="auto" w:fill="auto"/>
            <w:hideMark/>
          </w:tcPr>
          <w:p w14:paraId="149B11A5" w14:textId="77777777" w:rsidR="00265730" w:rsidRPr="00BC4223" w:rsidRDefault="00265730" w:rsidP="00265730">
            <w:pPr>
              <w:spacing w:after="0" w:line="240" w:lineRule="auto"/>
              <w:rPr>
                <w:rFonts w:ascii="Times New Roman" w:eastAsia="Times New Roman" w:hAnsi="Times New Roman" w:cs="Times New Roman"/>
                <w:sz w:val="20"/>
                <w:szCs w:val="20"/>
                <w:lang w:eastAsia="en-GB"/>
              </w:rPr>
            </w:pPr>
          </w:p>
        </w:tc>
        <w:tc>
          <w:tcPr>
            <w:tcW w:w="1148" w:type="dxa"/>
            <w:tcBorders>
              <w:top w:val="single" w:sz="4" w:space="0" w:color="auto"/>
              <w:left w:val="nil"/>
              <w:bottom w:val="single" w:sz="4" w:space="0" w:color="auto"/>
              <w:right w:val="nil"/>
            </w:tcBorders>
            <w:shd w:val="clear" w:color="auto" w:fill="auto"/>
            <w:vAlign w:val="center"/>
          </w:tcPr>
          <w:p w14:paraId="1C00A210" w14:textId="77777777" w:rsidR="00265730" w:rsidRPr="00BC4223" w:rsidRDefault="000974F6" w:rsidP="00265730">
            <w:pPr>
              <w:spacing w:after="0" w:line="240" w:lineRule="auto"/>
              <w:jc w:val="right"/>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12,492</w:t>
            </w:r>
          </w:p>
        </w:tc>
        <w:tc>
          <w:tcPr>
            <w:tcW w:w="1148" w:type="dxa"/>
            <w:tcBorders>
              <w:top w:val="single" w:sz="4" w:space="0" w:color="auto"/>
              <w:left w:val="nil"/>
              <w:bottom w:val="single" w:sz="4" w:space="0" w:color="auto"/>
              <w:right w:val="nil"/>
            </w:tcBorders>
            <w:shd w:val="clear" w:color="auto" w:fill="auto"/>
            <w:vAlign w:val="center"/>
            <w:hideMark/>
          </w:tcPr>
          <w:p w14:paraId="5F55FF5A" w14:textId="77777777" w:rsidR="00265730" w:rsidRPr="005E37DD" w:rsidRDefault="00265730" w:rsidP="00265730">
            <w:pPr>
              <w:spacing w:after="0" w:line="240" w:lineRule="auto"/>
              <w:jc w:val="right"/>
              <w:rPr>
                <w:rFonts w:ascii="Arial" w:eastAsia="Times New Roman" w:hAnsi="Arial" w:cs="Arial"/>
                <w:bCs/>
                <w:color w:val="000000"/>
                <w:sz w:val="20"/>
                <w:szCs w:val="20"/>
                <w:lang w:eastAsia="en-GB"/>
              </w:rPr>
            </w:pPr>
            <w:r w:rsidRPr="006647C2">
              <w:rPr>
                <w:rFonts w:ascii="Arial" w:eastAsia="Times New Roman" w:hAnsi="Arial" w:cs="Arial"/>
                <w:bCs/>
                <w:color w:val="000000"/>
                <w:sz w:val="20"/>
                <w:szCs w:val="20"/>
                <w:lang w:eastAsia="en-GB"/>
              </w:rPr>
              <w:t>10,938</w:t>
            </w:r>
          </w:p>
        </w:tc>
      </w:tr>
    </w:tbl>
    <w:p w14:paraId="756CCC5F" w14:textId="77777777" w:rsidR="007729E5" w:rsidRDefault="007729E5"/>
    <w:tbl>
      <w:tblPr>
        <w:tblW w:w="9270" w:type="dxa"/>
        <w:tblLook w:val="04A0" w:firstRow="1" w:lastRow="0" w:firstColumn="1" w:lastColumn="0" w:noHBand="0" w:noVBand="1"/>
      </w:tblPr>
      <w:tblGrid>
        <w:gridCol w:w="4678"/>
        <w:gridCol w:w="294"/>
        <w:gridCol w:w="1054"/>
        <w:gridCol w:w="1102"/>
        <w:gridCol w:w="1134"/>
        <w:gridCol w:w="987"/>
        <w:gridCol w:w="21"/>
      </w:tblGrid>
      <w:tr w:rsidR="00E70CD3" w:rsidRPr="001D0639" w14:paraId="6EF22867" w14:textId="77777777" w:rsidTr="006647C2">
        <w:trPr>
          <w:gridAfter w:val="1"/>
          <w:wAfter w:w="21" w:type="dxa"/>
          <w:trHeight w:val="870"/>
        </w:trPr>
        <w:tc>
          <w:tcPr>
            <w:tcW w:w="9249" w:type="dxa"/>
            <w:gridSpan w:val="6"/>
            <w:tcBorders>
              <w:top w:val="nil"/>
              <w:left w:val="nil"/>
              <w:bottom w:val="nil"/>
              <w:right w:val="nil"/>
            </w:tcBorders>
            <w:shd w:val="clear" w:color="auto" w:fill="auto"/>
            <w:hideMark/>
          </w:tcPr>
          <w:p w14:paraId="69E93CB1" w14:textId="77777777" w:rsidR="00E70CD3" w:rsidRPr="00C322AE" w:rsidRDefault="00E70CD3" w:rsidP="006647C2">
            <w:pPr>
              <w:spacing w:after="240" w:line="240" w:lineRule="auto"/>
              <w:jc w:val="both"/>
              <w:rPr>
                <w:rFonts w:ascii="Arial" w:eastAsia="Times New Roman" w:hAnsi="Arial" w:cs="Arial"/>
                <w:sz w:val="24"/>
                <w:szCs w:val="24"/>
                <w:lang w:eastAsia="en-GB"/>
              </w:rPr>
            </w:pPr>
            <w:r w:rsidRPr="00C322AE">
              <w:rPr>
                <w:rFonts w:ascii="Arial" w:eastAsia="Times New Roman" w:hAnsi="Arial" w:cs="Arial"/>
                <w:sz w:val="24"/>
                <w:szCs w:val="24"/>
                <w:lang w:eastAsia="en-GB"/>
              </w:rPr>
              <w:t>The amount of the net reversal of deferred tax expected to occur next year is £nil, relating to the reversal of existing timing differences on tangible fixed assets and the origination of new timing differences on intangible fixed assets.</w:t>
            </w:r>
          </w:p>
          <w:p w14:paraId="33CA3223" w14:textId="77777777" w:rsidR="00E70CD3" w:rsidRPr="001D0639" w:rsidRDefault="00E70CD3" w:rsidP="007729E5">
            <w:pPr>
              <w:spacing w:after="0" w:line="240" w:lineRule="auto"/>
              <w:rPr>
                <w:rFonts w:ascii="Arial" w:eastAsia="Times New Roman" w:hAnsi="Arial" w:cs="Arial"/>
                <w:sz w:val="20"/>
                <w:szCs w:val="20"/>
                <w:lang w:eastAsia="en-GB"/>
              </w:rPr>
            </w:pPr>
            <w:r w:rsidRPr="00C322AE">
              <w:rPr>
                <w:rFonts w:ascii="Arial" w:eastAsia="Times New Roman" w:hAnsi="Arial" w:cs="Arial"/>
                <w:sz w:val="24"/>
                <w:szCs w:val="24"/>
                <w:lang w:eastAsia="en-GB"/>
              </w:rPr>
              <w:t xml:space="preserve">The group have no </w:t>
            </w:r>
            <w:r w:rsidR="00EA32CC">
              <w:rPr>
                <w:rFonts w:ascii="Arial" w:eastAsia="Times New Roman" w:hAnsi="Arial" w:cs="Arial"/>
                <w:sz w:val="24"/>
                <w:szCs w:val="24"/>
                <w:lang w:eastAsia="en-GB"/>
              </w:rPr>
              <w:t>un</w:t>
            </w:r>
            <w:r w:rsidRPr="00C322AE">
              <w:rPr>
                <w:rFonts w:ascii="Arial" w:eastAsia="Times New Roman" w:hAnsi="Arial" w:cs="Arial"/>
                <w:sz w:val="24"/>
                <w:szCs w:val="24"/>
                <w:lang w:eastAsia="en-GB"/>
              </w:rPr>
              <w:t>recognised deferred tax assets (</w:t>
            </w:r>
            <w:r w:rsidR="0037645F">
              <w:rPr>
                <w:rFonts w:ascii="Arial" w:eastAsia="Times New Roman" w:hAnsi="Arial" w:cs="Arial"/>
                <w:sz w:val="24"/>
                <w:szCs w:val="24"/>
                <w:lang w:eastAsia="en-GB"/>
              </w:rPr>
              <w:t>2019</w:t>
            </w:r>
            <w:r w:rsidRPr="00C322AE">
              <w:rPr>
                <w:rFonts w:ascii="Arial" w:eastAsia="Times New Roman" w:hAnsi="Arial" w:cs="Arial"/>
                <w:sz w:val="24"/>
                <w:szCs w:val="24"/>
                <w:lang w:eastAsia="en-GB"/>
              </w:rPr>
              <w:t>: £nil).</w:t>
            </w:r>
          </w:p>
        </w:tc>
      </w:tr>
      <w:tr w:rsidR="00E70CD3" w:rsidRPr="005B606A" w14:paraId="0589AF6D" w14:textId="77777777" w:rsidTr="006647C2">
        <w:trPr>
          <w:trHeight w:val="402"/>
        </w:trPr>
        <w:tc>
          <w:tcPr>
            <w:tcW w:w="4678" w:type="dxa"/>
            <w:tcBorders>
              <w:top w:val="nil"/>
              <w:left w:val="nil"/>
              <w:bottom w:val="nil"/>
              <w:right w:val="nil"/>
            </w:tcBorders>
            <w:shd w:val="clear" w:color="auto" w:fill="auto"/>
            <w:noWrap/>
            <w:vAlign w:val="center"/>
            <w:hideMark/>
          </w:tcPr>
          <w:p w14:paraId="5B04E064" w14:textId="77777777" w:rsidR="00E70CD3" w:rsidRDefault="00E70CD3" w:rsidP="007729E5">
            <w:pPr>
              <w:spacing w:after="0" w:line="240" w:lineRule="auto"/>
              <w:rPr>
                <w:rFonts w:ascii="Arial" w:eastAsia="Times New Roman" w:hAnsi="Arial" w:cs="Arial"/>
                <w:b/>
                <w:bCs/>
                <w:sz w:val="24"/>
                <w:szCs w:val="24"/>
                <w:lang w:eastAsia="en-GB"/>
              </w:rPr>
            </w:pPr>
          </w:p>
          <w:p w14:paraId="65214899" w14:textId="77777777" w:rsidR="00CD49F7" w:rsidRDefault="00CD49F7" w:rsidP="007729E5">
            <w:pPr>
              <w:spacing w:after="0" w:line="240" w:lineRule="auto"/>
              <w:rPr>
                <w:rFonts w:ascii="Arial" w:eastAsia="Times New Roman" w:hAnsi="Arial" w:cs="Arial"/>
                <w:b/>
                <w:bCs/>
                <w:sz w:val="24"/>
                <w:szCs w:val="24"/>
                <w:lang w:eastAsia="en-GB"/>
              </w:rPr>
            </w:pPr>
          </w:p>
          <w:p w14:paraId="48EB017B" w14:textId="77777777" w:rsidR="00E70CD3" w:rsidRPr="005B606A" w:rsidRDefault="00E70CD3" w:rsidP="007729E5">
            <w:pPr>
              <w:spacing w:after="0" w:line="240" w:lineRule="auto"/>
              <w:rPr>
                <w:rFonts w:ascii="Arial" w:eastAsia="Times New Roman" w:hAnsi="Arial" w:cs="Arial"/>
                <w:b/>
                <w:bCs/>
                <w:sz w:val="24"/>
                <w:szCs w:val="24"/>
                <w:lang w:eastAsia="en-GB"/>
              </w:rPr>
            </w:pPr>
            <w:r w:rsidRPr="005B606A">
              <w:rPr>
                <w:rFonts w:ascii="Arial" w:eastAsia="Times New Roman" w:hAnsi="Arial" w:cs="Arial"/>
                <w:b/>
                <w:bCs/>
                <w:sz w:val="24"/>
                <w:szCs w:val="24"/>
                <w:lang w:eastAsia="en-GB"/>
              </w:rPr>
              <w:t>15. Cash at bank and in hand</w:t>
            </w:r>
          </w:p>
        </w:tc>
        <w:tc>
          <w:tcPr>
            <w:tcW w:w="294" w:type="dxa"/>
            <w:tcBorders>
              <w:top w:val="nil"/>
              <w:left w:val="nil"/>
              <w:bottom w:val="nil"/>
              <w:right w:val="nil"/>
            </w:tcBorders>
            <w:shd w:val="clear" w:color="auto" w:fill="auto"/>
            <w:noWrap/>
            <w:vAlign w:val="center"/>
            <w:hideMark/>
          </w:tcPr>
          <w:p w14:paraId="7AA494BC" w14:textId="77777777" w:rsidR="00E70CD3" w:rsidRPr="005B606A" w:rsidRDefault="00E70CD3" w:rsidP="007729E5">
            <w:pPr>
              <w:spacing w:after="0" w:line="240" w:lineRule="auto"/>
              <w:rPr>
                <w:rFonts w:ascii="Arial" w:eastAsia="Times New Roman" w:hAnsi="Arial" w:cs="Arial"/>
                <w:b/>
                <w:bCs/>
                <w:sz w:val="24"/>
                <w:szCs w:val="24"/>
                <w:lang w:eastAsia="en-GB"/>
              </w:rPr>
            </w:pPr>
          </w:p>
        </w:tc>
        <w:tc>
          <w:tcPr>
            <w:tcW w:w="1054" w:type="dxa"/>
            <w:tcBorders>
              <w:top w:val="nil"/>
              <w:left w:val="nil"/>
              <w:bottom w:val="nil"/>
              <w:right w:val="nil"/>
            </w:tcBorders>
            <w:shd w:val="clear" w:color="auto" w:fill="auto"/>
            <w:noWrap/>
            <w:vAlign w:val="center"/>
            <w:hideMark/>
          </w:tcPr>
          <w:p w14:paraId="16EAF453" w14:textId="77777777" w:rsidR="00E70CD3" w:rsidRPr="005B606A" w:rsidRDefault="00E70CD3" w:rsidP="007729E5">
            <w:pPr>
              <w:spacing w:after="0" w:line="240" w:lineRule="auto"/>
              <w:rPr>
                <w:rFonts w:ascii="Times New Roman" w:eastAsia="Times New Roman" w:hAnsi="Times New Roman" w:cs="Times New Roman"/>
                <w:sz w:val="20"/>
                <w:szCs w:val="20"/>
                <w:lang w:eastAsia="en-GB"/>
              </w:rPr>
            </w:pPr>
          </w:p>
        </w:tc>
        <w:tc>
          <w:tcPr>
            <w:tcW w:w="1102" w:type="dxa"/>
            <w:tcBorders>
              <w:top w:val="nil"/>
              <w:left w:val="nil"/>
              <w:bottom w:val="nil"/>
              <w:right w:val="nil"/>
            </w:tcBorders>
            <w:shd w:val="clear" w:color="auto" w:fill="auto"/>
            <w:noWrap/>
            <w:vAlign w:val="center"/>
            <w:hideMark/>
          </w:tcPr>
          <w:p w14:paraId="4EABC9BA" w14:textId="77777777" w:rsidR="00E70CD3" w:rsidRPr="005B606A" w:rsidRDefault="00E70CD3" w:rsidP="007729E5">
            <w:pPr>
              <w:spacing w:after="0" w:line="240" w:lineRule="auto"/>
              <w:rPr>
                <w:rFonts w:ascii="Times New Roman" w:eastAsia="Times New Roman" w:hAnsi="Times New Roman" w:cs="Times New Roman"/>
                <w:sz w:val="20"/>
                <w:szCs w:val="20"/>
                <w:lang w:eastAsia="en-GB"/>
              </w:rPr>
            </w:pPr>
          </w:p>
        </w:tc>
        <w:tc>
          <w:tcPr>
            <w:tcW w:w="1134" w:type="dxa"/>
            <w:tcBorders>
              <w:top w:val="nil"/>
              <w:left w:val="nil"/>
              <w:bottom w:val="nil"/>
              <w:right w:val="nil"/>
            </w:tcBorders>
            <w:shd w:val="clear" w:color="auto" w:fill="auto"/>
            <w:noWrap/>
            <w:vAlign w:val="center"/>
            <w:hideMark/>
          </w:tcPr>
          <w:p w14:paraId="2F66B98A" w14:textId="77777777" w:rsidR="00E70CD3" w:rsidRPr="005B606A" w:rsidRDefault="00E70CD3" w:rsidP="007729E5">
            <w:pPr>
              <w:spacing w:after="0" w:line="240" w:lineRule="auto"/>
              <w:rPr>
                <w:rFonts w:ascii="Times New Roman" w:eastAsia="Times New Roman" w:hAnsi="Times New Roman" w:cs="Times New Roman"/>
                <w:sz w:val="20"/>
                <w:szCs w:val="20"/>
                <w:lang w:eastAsia="en-GB"/>
              </w:rPr>
            </w:pPr>
          </w:p>
        </w:tc>
        <w:tc>
          <w:tcPr>
            <w:tcW w:w="1008" w:type="dxa"/>
            <w:gridSpan w:val="2"/>
            <w:tcBorders>
              <w:top w:val="nil"/>
              <w:left w:val="nil"/>
              <w:bottom w:val="nil"/>
              <w:right w:val="nil"/>
            </w:tcBorders>
            <w:shd w:val="clear" w:color="auto" w:fill="auto"/>
            <w:noWrap/>
            <w:vAlign w:val="center"/>
            <w:hideMark/>
          </w:tcPr>
          <w:p w14:paraId="12E8BC3A" w14:textId="77777777" w:rsidR="00E70CD3" w:rsidRPr="005B606A" w:rsidRDefault="00E70CD3" w:rsidP="007729E5">
            <w:pPr>
              <w:spacing w:after="0" w:line="240" w:lineRule="auto"/>
              <w:rPr>
                <w:rFonts w:ascii="Times New Roman" w:eastAsia="Times New Roman" w:hAnsi="Times New Roman" w:cs="Times New Roman"/>
                <w:sz w:val="20"/>
                <w:szCs w:val="20"/>
                <w:lang w:eastAsia="en-GB"/>
              </w:rPr>
            </w:pPr>
          </w:p>
        </w:tc>
      </w:tr>
      <w:tr w:rsidR="00E70CD3" w:rsidRPr="005B606A" w14:paraId="68A54B04" w14:textId="77777777" w:rsidTr="006647C2">
        <w:trPr>
          <w:trHeight w:val="323"/>
        </w:trPr>
        <w:tc>
          <w:tcPr>
            <w:tcW w:w="4678" w:type="dxa"/>
            <w:tcBorders>
              <w:top w:val="nil"/>
              <w:left w:val="nil"/>
              <w:bottom w:val="nil"/>
              <w:right w:val="nil"/>
            </w:tcBorders>
            <w:shd w:val="clear" w:color="auto" w:fill="auto"/>
            <w:noWrap/>
            <w:vAlign w:val="center"/>
            <w:hideMark/>
          </w:tcPr>
          <w:p w14:paraId="0E1B9E79" w14:textId="77777777" w:rsidR="00E70CD3" w:rsidRPr="005B606A" w:rsidRDefault="00E70CD3" w:rsidP="007729E5">
            <w:pPr>
              <w:spacing w:after="0" w:line="240" w:lineRule="auto"/>
              <w:rPr>
                <w:rFonts w:ascii="Times New Roman" w:eastAsia="Times New Roman" w:hAnsi="Times New Roman" w:cs="Times New Roman"/>
                <w:sz w:val="20"/>
                <w:szCs w:val="20"/>
                <w:lang w:eastAsia="en-GB"/>
              </w:rPr>
            </w:pPr>
          </w:p>
        </w:tc>
        <w:tc>
          <w:tcPr>
            <w:tcW w:w="294" w:type="dxa"/>
            <w:tcBorders>
              <w:top w:val="nil"/>
              <w:left w:val="nil"/>
              <w:bottom w:val="nil"/>
              <w:right w:val="nil"/>
            </w:tcBorders>
            <w:shd w:val="clear" w:color="auto" w:fill="auto"/>
            <w:noWrap/>
            <w:vAlign w:val="center"/>
            <w:hideMark/>
          </w:tcPr>
          <w:p w14:paraId="549B526F" w14:textId="77777777" w:rsidR="00E70CD3" w:rsidRPr="005B606A" w:rsidRDefault="00E70CD3" w:rsidP="007729E5">
            <w:pPr>
              <w:spacing w:after="0" w:line="240" w:lineRule="auto"/>
              <w:rPr>
                <w:rFonts w:ascii="Times New Roman" w:eastAsia="Times New Roman" w:hAnsi="Times New Roman" w:cs="Times New Roman"/>
                <w:sz w:val="20"/>
                <w:szCs w:val="20"/>
                <w:lang w:eastAsia="en-GB"/>
              </w:rPr>
            </w:pPr>
          </w:p>
        </w:tc>
        <w:tc>
          <w:tcPr>
            <w:tcW w:w="2156" w:type="dxa"/>
            <w:gridSpan w:val="2"/>
            <w:tcBorders>
              <w:top w:val="nil"/>
              <w:left w:val="nil"/>
              <w:bottom w:val="nil"/>
              <w:right w:val="nil"/>
            </w:tcBorders>
            <w:shd w:val="clear" w:color="auto" w:fill="auto"/>
            <w:noWrap/>
            <w:vAlign w:val="center"/>
            <w:hideMark/>
          </w:tcPr>
          <w:p w14:paraId="65B65B4B" w14:textId="77777777" w:rsidR="00E70CD3" w:rsidRPr="005B606A" w:rsidRDefault="00E70CD3" w:rsidP="00581924">
            <w:pPr>
              <w:spacing w:after="0" w:line="240" w:lineRule="auto"/>
              <w:jc w:val="center"/>
              <w:rPr>
                <w:rFonts w:ascii="Arial" w:eastAsia="Times New Roman" w:hAnsi="Arial" w:cs="Arial"/>
                <w:sz w:val="20"/>
                <w:szCs w:val="20"/>
                <w:lang w:eastAsia="en-GB"/>
              </w:rPr>
            </w:pPr>
            <w:r w:rsidRPr="005B606A">
              <w:rPr>
                <w:rFonts w:ascii="Arial" w:eastAsia="Times New Roman" w:hAnsi="Arial" w:cs="Arial"/>
                <w:sz w:val="20"/>
                <w:szCs w:val="20"/>
                <w:lang w:eastAsia="en-GB"/>
              </w:rPr>
              <w:t>Group</w:t>
            </w:r>
          </w:p>
        </w:tc>
        <w:tc>
          <w:tcPr>
            <w:tcW w:w="2142" w:type="dxa"/>
            <w:gridSpan w:val="3"/>
            <w:tcBorders>
              <w:top w:val="nil"/>
              <w:left w:val="nil"/>
              <w:bottom w:val="nil"/>
              <w:right w:val="nil"/>
            </w:tcBorders>
            <w:shd w:val="clear" w:color="auto" w:fill="auto"/>
            <w:noWrap/>
            <w:vAlign w:val="center"/>
            <w:hideMark/>
          </w:tcPr>
          <w:p w14:paraId="1FD92676" w14:textId="77777777" w:rsidR="00E70CD3" w:rsidRPr="005B606A" w:rsidRDefault="00E70CD3" w:rsidP="00581924">
            <w:pPr>
              <w:spacing w:after="0" w:line="240" w:lineRule="auto"/>
              <w:jc w:val="center"/>
              <w:rPr>
                <w:rFonts w:ascii="Arial" w:eastAsia="Times New Roman" w:hAnsi="Arial" w:cs="Arial"/>
                <w:sz w:val="20"/>
                <w:szCs w:val="20"/>
                <w:lang w:eastAsia="en-GB"/>
              </w:rPr>
            </w:pPr>
            <w:r w:rsidRPr="005B606A">
              <w:rPr>
                <w:rFonts w:ascii="Arial" w:eastAsia="Times New Roman" w:hAnsi="Arial" w:cs="Arial"/>
                <w:sz w:val="20"/>
                <w:szCs w:val="20"/>
                <w:lang w:eastAsia="en-GB"/>
              </w:rPr>
              <w:t>Company</w:t>
            </w:r>
          </w:p>
        </w:tc>
      </w:tr>
      <w:tr w:rsidR="00E70CD3" w:rsidRPr="005B606A" w14:paraId="7D7B2F49" w14:textId="77777777" w:rsidTr="006647C2">
        <w:trPr>
          <w:trHeight w:val="323"/>
        </w:trPr>
        <w:tc>
          <w:tcPr>
            <w:tcW w:w="4678" w:type="dxa"/>
            <w:tcBorders>
              <w:top w:val="nil"/>
              <w:left w:val="nil"/>
              <w:bottom w:val="nil"/>
              <w:right w:val="nil"/>
            </w:tcBorders>
            <w:shd w:val="clear" w:color="auto" w:fill="auto"/>
            <w:noWrap/>
            <w:vAlign w:val="center"/>
            <w:hideMark/>
          </w:tcPr>
          <w:p w14:paraId="283BC39A" w14:textId="77777777" w:rsidR="00E70CD3" w:rsidRPr="005B606A" w:rsidRDefault="00E70CD3" w:rsidP="007729E5">
            <w:pPr>
              <w:spacing w:after="0" w:line="240" w:lineRule="auto"/>
              <w:rPr>
                <w:rFonts w:ascii="Arial" w:eastAsia="Times New Roman" w:hAnsi="Arial" w:cs="Arial"/>
                <w:sz w:val="20"/>
                <w:szCs w:val="20"/>
                <w:lang w:eastAsia="en-GB"/>
              </w:rPr>
            </w:pPr>
          </w:p>
        </w:tc>
        <w:tc>
          <w:tcPr>
            <w:tcW w:w="294" w:type="dxa"/>
            <w:tcBorders>
              <w:top w:val="nil"/>
              <w:left w:val="nil"/>
              <w:bottom w:val="nil"/>
              <w:right w:val="nil"/>
            </w:tcBorders>
            <w:shd w:val="clear" w:color="auto" w:fill="auto"/>
            <w:noWrap/>
            <w:vAlign w:val="center"/>
            <w:hideMark/>
          </w:tcPr>
          <w:p w14:paraId="17CBBB0C" w14:textId="77777777" w:rsidR="00E70CD3" w:rsidRPr="005B606A" w:rsidRDefault="00E70CD3" w:rsidP="007729E5">
            <w:pPr>
              <w:spacing w:after="0" w:line="240" w:lineRule="auto"/>
              <w:rPr>
                <w:rFonts w:ascii="Times New Roman" w:eastAsia="Times New Roman" w:hAnsi="Times New Roman" w:cs="Times New Roman"/>
                <w:sz w:val="20"/>
                <w:szCs w:val="20"/>
                <w:lang w:eastAsia="en-GB"/>
              </w:rPr>
            </w:pPr>
          </w:p>
        </w:tc>
        <w:tc>
          <w:tcPr>
            <w:tcW w:w="1054" w:type="dxa"/>
            <w:tcBorders>
              <w:top w:val="nil"/>
              <w:left w:val="nil"/>
              <w:bottom w:val="nil"/>
              <w:right w:val="nil"/>
            </w:tcBorders>
            <w:shd w:val="clear" w:color="auto" w:fill="auto"/>
            <w:noWrap/>
            <w:vAlign w:val="center"/>
            <w:hideMark/>
          </w:tcPr>
          <w:p w14:paraId="7DD37580" w14:textId="77777777" w:rsidR="00E70CD3" w:rsidRPr="005B606A" w:rsidRDefault="0037645F" w:rsidP="005229F1">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2020</w:t>
            </w:r>
          </w:p>
        </w:tc>
        <w:tc>
          <w:tcPr>
            <w:tcW w:w="1102" w:type="dxa"/>
            <w:tcBorders>
              <w:top w:val="nil"/>
              <w:left w:val="nil"/>
              <w:bottom w:val="nil"/>
              <w:right w:val="nil"/>
            </w:tcBorders>
            <w:shd w:val="clear" w:color="auto" w:fill="auto"/>
            <w:noWrap/>
            <w:vAlign w:val="center"/>
            <w:hideMark/>
          </w:tcPr>
          <w:p w14:paraId="344FADE8" w14:textId="77777777" w:rsidR="00E70CD3" w:rsidRPr="005B606A" w:rsidRDefault="0037645F" w:rsidP="005229F1">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2019</w:t>
            </w:r>
          </w:p>
        </w:tc>
        <w:tc>
          <w:tcPr>
            <w:tcW w:w="1134" w:type="dxa"/>
            <w:tcBorders>
              <w:top w:val="nil"/>
              <w:left w:val="nil"/>
              <w:bottom w:val="nil"/>
              <w:right w:val="nil"/>
            </w:tcBorders>
            <w:shd w:val="clear" w:color="auto" w:fill="auto"/>
            <w:noWrap/>
            <w:vAlign w:val="center"/>
            <w:hideMark/>
          </w:tcPr>
          <w:p w14:paraId="6FCF613D" w14:textId="77777777" w:rsidR="00E70CD3" w:rsidRPr="005B606A" w:rsidRDefault="0037645F" w:rsidP="005229F1">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2020</w:t>
            </w:r>
          </w:p>
        </w:tc>
        <w:tc>
          <w:tcPr>
            <w:tcW w:w="1008" w:type="dxa"/>
            <w:gridSpan w:val="2"/>
            <w:tcBorders>
              <w:top w:val="nil"/>
              <w:left w:val="nil"/>
              <w:bottom w:val="nil"/>
              <w:right w:val="nil"/>
            </w:tcBorders>
            <w:shd w:val="clear" w:color="auto" w:fill="auto"/>
            <w:noWrap/>
            <w:vAlign w:val="center"/>
            <w:hideMark/>
          </w:tcPr>
          <w:p w14:paraId="01D257B3" w14:textId="77777777" w:rsidR="00E70CD3" w:rsidRPr="005B606A" w:rsidRDefault="0037645F" w:rsidP="005229F1">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2019</w:t>
            </w:r>
          </w:p>
        </w:tc>
      </w:tr>
      <w:tr w:rsidR="00E70CD3" w:rsidRPr="005B606A" w14:paraId="22CE5C8B" w14:textId="77777777" w:rsidTr="006647C2">
        <w:trPr>
          <w:trHeight w:val="323"/>
        </w:trPr>
        <w:tc>
          <w:tcPr>
            <w:tcW w:w="4678" w:type="dxa"/>
            <w:tcBorders>
              <w:top w:val="nil"/>
              <w:left w:val="nil"/>
              <w:bottom w:val="single" w:sz="4" w:space="0" w:color="auto"/>
              <w:right w:val="nil"/>
            </w:tcBorders>
            <w:shd w:val="clear" w:color="auto" w:fill="auto"/>
            <w:noWrap/>
            <w:vAlign w:val="center"/>
            <w:hideMark/>
          </w:tcPr>
          <w:p w14:paraId="79D20BBD" w14:textId="77777777" w:rsidR="00E70CD3" w:rsidRPr="005B606A" w:rsidRDefault="00E70CD3" w:rsidP="007729E5">
            <w:pPr>
              <w:spacing w:after="0" w:line="240" w:lineRule="auto"/>
              <w:rPr>
                <w:rFonts w:ascii="Arial" w:eastAsia="Times New Roman" w:hAnsi="Arial" w:cs="Arial"/>
                <w:sz w:val="20"/>
                <w:szCs w:val="20"/>
                <w:lang w:eastAsia="en-GB"/>
              </w:rPr>
            </w:pPr>
            <w:r w:rsidRPr="005B606A">
              <w:rPr>
                <w:rFonts w:ascii="Arial" w:eastAsia="Times New Roman" w:hAnsi="Arial" w:cs="Arial"/>
                <w:sz w:val="20"/>
                <w:szCs w:val="20"/>
                <w:lang w:eastAsia="en-GB"/>
              </w:rPr>
              <w:t> </w:t>
            </w:r>
          </w:p>
        </w:tc>
        <w:tc>
          <w:tcPr>
            <w:tcW w:w="294" w:type="dxa"/>
            <w:tcBorders>
              <w:top w:val="nil"/>
              <w:left w:val="nil"/>
              <w:bottom w:val="single" w:sz="4" w:space="0" w:color="auto"/>
              <w:right w:val="nil"/>
            </w:tcBorders>
            <w:shd w:val="clear" w:color="auto" w:fill="auto"/>
            <w:noWrap/>
            <w:vAlign w:val="center"/>
            <w:hideMark/>
          </w:tcPr>
          <w:p w14:paraId="0A194B1F" w14:textId="77777777" w:rsidR="00E70CD3" w:rsidRPr="005B606A" w:rsidRDefault="00E70CD3" w:rsidP="007729E5">
            <w:pPr>
              <w:spacing w:after="0" w:line="240" w:lineRule="auto"/>
              <w:rPr>
                <w:rFonts w:ascii="Arial" w:eastAsia="Times New Roman" w:hAnsi="Arial" w:cs="Arial"/>
                <w:sz w:val="20"/>
                <w:szCs w:val="20"/>
                <w:lang w:eastAsia="en-GB"/>
              </w:rPr>
            </w:pPr>
            <w:r w:rsidRPr="005B606A">
              <w:rPr>
                <w:rFonts w:ascii="Arial" w:eastAsia="Times New Roman" w:hAnsi="Arial" w:cs="Arial"/>
                <w:sz w:val="20"/>
                <w:szCs w:val="20"/>
                <w:lang w:eastAsia="en-GB"/>
              </w:rPr>
              <w:t> </w:t>
            </w:r>
          </w:p>
        </w:tc>
        <w:tc>
          <w:tcPr>
            <w:tcW w:w="1054" w:type="dxa"/>
            <w:tcBorders>
              <w:top w:val="nil"/>
              <w:left w:val="nil"/>
              <w:bottom w:val="single" w:sz="4" w:space="0" w:color="auto"/>
              <w:right w:val="nil"/>
            </w:tcBorders>
            <w:shd w:val="clear" w:color="auto" w:fill="auto"/>
            <w:noWrap/>
            <w:vAlign w:val="center"/>
            <w:hideMark/>
          </w:tcPr>
          <w:p w14:paraId="0763A8AD" w14:textId="77777777" w:rsidR="00E70CD3" w:rsidRPr="005B606A" w:rsidRDefault="00E70CD3" w:rsidP="005229F1">
            <w:pPr>
              <w:spacing w:after="0" w:line="240" w:lineRule="auto"/>
              <w:jc w:val="right"/>
              <w:rPr>
                <w:rFonts w:ascii="Arial" w:eastAsia="Times New Roman" w:hAnsi="Arial" w:cs="Arial"/>
                <w:b/>
                <w:bCs/>
                <w:sz w:val="20"/>
                <w:szCs w:val="20"/>
                <w:lang w:eastAsia="en-GB"/>
              </w:rPr>
            </w:pPr>
            <w:r w:rsidRPr="005B606A">
              <w:rPr>
                <w:rFonts w:ascii="Arial" w:eastAsia="Times New Roman" w:hAnsi="Arial" w:cs="Arial"/>
                <w:b/>
                <w:bCs/>
                <w:sz w:val="20"/>
                <w:szCs w:val="20"/>
                <w:lang w:eastAsia="en-GB"/>
              </w:rPr>
              <w:t>£'000</w:t>
            </w:r>
          </w:p>
        </w:tc>
        <w:tc>
          <w:tcPr>
            <w:tcW w:w="1102" w:type="dxa"/>
            <w:tcBorders>
              <w:top w:val="nil"/>
              <w:left w:val="nil"/>
              <w:bottom w:val="single" w:sz="4" w:space="0" w:color="auto"/>
              <w:right w:val="nil"/>
            </w:tcBorders>
            <w:shd w:val="clear" w:color="auto" w:fill="auto"/>
            <w:noWrap/>
            <w:vAlign w:val="center"/>
            <w:hideMark/>
          </w:tcPr>
          <w:p w14:paraId="154AA21B" w14:textId="77777777" w:rsidR="00E70CD3" w:rsidRPr="005B606A" w:rsidRDefault="00E70CD3" w:rsidP="005229F1">
            <w:pPr>
              <w:spacing w:after="0" w:line="240" w:lineRule="auto"/>
              <w:jc w:val="right"/>
              <w:rPr>
                <w:rFonts w:ascii="Arial" w:eastAsia="Times New Roman" w:hAnsi="Arial" w:cs="Arial"/>
                <w:sz w:val="20"/>
                <w:szCs w:val="20"/>
                <w:lang w:eastAsia="en-GB"/>
              </w:rPr>
            </w:pPr>
            <w:r w:rsidRPr="005B606A">
              <w:rPr>
                <w:rFonts w:ascii="Arial" w:eastAsia="Times New Roman" w:hAnsi="Arial" w:cs="Arial"/>
                <w:sz w:val="20"/>
                <w:szCs w:val="20"/>
                <w:lang w:eastAsia="en-GB"/>
              </w:rPr>
              <w:t>£'000</w:t>
            </w:r>
          </w:p>
        </w:tc>
        <w:tc>
          <w:tcPr>
            <w:tcW w:w="1134" w:type="dxa"/>
            <w:tcBorders>
              <w:top w:val="nil"/>
              <w:left w:val="nil"/>
              <w:bottom w:val="single" w:sz="4" w:space="0" w:color="auto"/>
              <w:right w:val="nil"/>
            </w:tcBorders>
            <w:shd w:val="clear" w:color="auto" w:fill="auto"/>
            <w:noWrap/>
            <w:vAlign w:val="center"/>
            <w:hideMark/>
          </w:tcPr>
          <w:p w14:paraId="6B39B48E" w14:textId="77777777" w:rsidR="00E70CD3" w:rsidRPr="005B606A" w:rsidRDefault="00E70CD3" w:rsidP="005229F1">
            <w:pPr>
              <w:spacing w:after="0" w:line="240" w:lineRule="auto"/>
              <w:jc w:val="right"/>
              <w:rPr>
                <w:rFonts w:ascii="Arial" w:eastAsia="Times New Roman" w:hAnsi="Arial" w:cs="Arial"/>
                <w:b/>
                <w:bCs/>
                <w:sz w:val="20"/>
                <w:szCs w:val="20"/>
                <w:lang w:eastAsia="en-GB"/>
              </w:rPr>
            </w:pPr>
            <w:r w:rsidRPr="005B606A">
              <w:rPr>
                <w:rFonts w:ascii="Arial" w:eastAsia="Times New Roman" w:hAnsi="Arial" w:cs="Arial"/>
                <w:b/>
                <w:bCs/>
                <w:sz w:val="20"/>
                <w:szCs w:val="20"/>
                <w:lang w:eastAsia="en-GB"/>
              </w:rPr>
              <w:t>£'000</w:t>
            </w:r>
          </w:p>
        </w:tc>
        <w:tc>
          <w:tcPr>
            <w:tcW w:w="1008" w:type="dxa"/>
            <w:gridSpan w:val="2"/>
            <w:tcBorders>
              <w:top w:val="nil"/>
              <w:left w:val="nil"/>
              <w:bottom w:val="single" w:sz="4" w:space="0" w:color="auto"/>
              <w:right w:val="nil"/>
            </w:tcBorders>
            <w:shd w:val="clear" w:color="auto" w:fill="auto"/>
            <w:noWrap/>
            <w:vAlign w:val="center"/>
            <w:hideMark/>
          </w:tcPr>
          <w:p w14:paraId="1FD0A81E" w14:textId="77777777" w:rsidR="00E70CD3" w:rsidRPr="005B606A" w:rsidRDefault="00E70CD3" w:rsidP="005229F1">
            <w:pPr>
              <w:spacing w:after="0" w:line="240" w:lineRule="auto"/>
              <w:jc w:val="right"/>
              <w:rPr>
                <w:rFonts w:ascii="Arial" w:eastAsia="Times New Roman" w:hAnsi="Arial" w:cs="Arial"/>
                <w:sz w:val="20"/>
                <w:szCs w:val="20"/>
                <w:lang w:eastAsia="en-GB"/>
              </w:rPr>
            </w:pPr>
            <w:r w:rsidRPr="005B606A">
              <w:rPr>
                <w:rFonts w:ascii="Arial" w:eastAsia="Times New Roman" w:hAnsi="Arial" w:cs="Arial"/>
                <w:sz w:val="20"/>
                <w:szCs w:val="20"/>
                <w:lang w:eastAsia="en-GB"/>
              </w:rPr>
              <w:t>£'000</w:t>
            </w:r>
          </w:p>
        </w:tc>
      </w:tr>
      <w:tr w:rsidR="00AF1D07" w:rsidRPr="005B606A" w14:paraId="1CCA9C38" w14:textId="77777777" w:rsidTr="005E37DD">
        <w:trPr>
          <w:trHeight w:val="323"/>
        </w:trPr>
        <w:tc>
          <w:tcPr>
            <w:tcW w:w="4678" w:type="dxa"/>
            <w:tcBorders>
              <w:top w:val="single" w:sz="4" w:space="0" w:color="auto"/>
              <w:left w:val="nil"/>
              <w:bottom w:val="single" w:sz="4" w:space="0" w:color="auto"/>
              <w:right w:val="nil"/>
            </w:tcBorders>
            <w:shd w:val="clear" w:color="auto" w:fill="auto"/>
            <w:noWrap/>
            <w:vAlign w:val="center"/>
          </w:tcPr>
          <w:p w14:paraId="61C10B93" w14:textId="77777777" w:rsidR="00AF1D07" w:rsidRPr="005B606A" w:rsidRDefault="00AF1D07" w:rsidP="00265730">
            <w:pPr>
              <w:spacing w:after="0" w:line="240" w:lineRule="auto"/>
              <w:rPr>
                <w:rFonts w:ascii="Arial" w:eastAsia="Times New Roman" w:hAnsi="Arial" w:cs="Arial"/>
                <w:sz w:val="20"/>
                <w:szCs w:val="20"/>
                <w:lang w:eastAsia="en-GB"/>
              </w:rPr>
            </w:pPr>
          </w:p>
        </w:tc>
        <w:tc>
          <w:tcPr>
            <w:tcW w:w="294" w:type="dxa"/>
            <w:tcBorders>
              <w:top w:val="single" w:sz="4" w:space="0" w:color="auto"/>
              <w:left w:val="nil"/>
              <w:bottom w:val="single" w:sz="4" w:space="0" w:color="auto"/>
              <w:right w:val="nil"/>
            </w:tcBorders>
            <w:shd w:val="clear" w:color="auto" w:fill="auto"/>
            <w:noWrap/>
            <w:vAlign w:val="center"/>
          </w:tcPr>
          <w:p w14:paraId="45E5E064" w14:textId="77777777" w:rsidR="00AF1D07" w:rsidRPr="005B606A" w:rsidRDefault="00AF1D07" w:rsidP="00265730">
            <w:pPr>
              <w:spacing w:after="0" w:line="240" w:lineRule="auto"/>
              <w:rPr>
                <w:rFonts w:ascii="Arial" w:eastAsia="Times New Roman" w:hAnsi="Arial" w:cs="Arial"/>
                <w:b/>
                <w:bCs/>
                <w:sz w:val="20"/>
                <w:szCs w:val="20"/>
                <w:lang w:eastAsia="en-GB"/>
              </w:rPr>
            </w:pPr>
          </w:p>
        </w:tc>
        <w:tc>
          <w:tcPr>
            <w:tcW w:w="1054" w:type="dxa"/>
            <w:tcBorders>
              <w:top w:val="single" w:sz="4" w:space="0" w:color="auto"/>
              <w:left w:val="nil"/>
              <w:bottom w:val="single" w:sz="4" w:space="0" w:color="auto"/>
              <w:right w:val="nil"/>
            </w:tcBorders>
            <w:shd w:val="clear" w:color="auto" w:fill="auto"/>
            <w:noWrap/>
            <w:vAlign w:val="center"/>
          </w:tcPr>
          <w:p w14:paraId="1EDE3BF0" w14:textId="77777777" w:rsidR="00AF1D07" w:rsidRDefault="00AF1D07" w:rsidP="00265730">
            <w:pPr>
              <w:spacing w:after="0" w:line="240" w:lineRule="auto"/>
              <w:jc w:val="right"/>
              <w:rPr>
                <w:rFonts w:ascii="Arial" w:eastAsia="Times New Roman" w:hAnsi="Arial" w:cs="Arial"/>
                <w:b/>
                <w:bCs/>
                <w:sz w:val="20"/>
                <w:szCs w:val="20"/>
                <w:lang w:eastAsia="en-GB"/>
              </w:rPr>
            </w:pPr>
          </w:p>
        </w:tc>
        <w:tc>
          <w:tcPr>
            <w:tcW w:w="1102" w:type="dxa"/>
            <w:tcBorders>
              <w:top w:val="single" w:sz="4" w:space="0" w:color="auto"/>
              <w:left w:val="nil"/>
              <w:bottom w:val="single" w:sz="4" w:space="0" w:color="auto"/>
              <w:right w:val="nil"/>
            </w:tcBorders>
            <w:shd w:val="clear" w:color="auto" w:fill="auto"/>
            <w:noWrap/>
            <w:vAlign w:val="center"/>
          </w:tcPr>
          <w:p w14:paraId="4EAE3756" w14:textId="77777777" w:rsidR="00AF1D07" w:rsidRPr="00265730" w:rsidRDefault="00AF1D07" w:rsidP="00265730">
            <w:pPr>
              <w:spacing w:after="0" w:line="240" w:lineRule="auto"/>
              <w:jc w:val="right"/>
              <w:rPr>
                <w:rFonts w:ascii="Arial" w:eastAsia="Times New Roman" w:hAnsi="Arial" w:cs="Arial"/>
                <w:bCs/>
                <w:sz w:val="20"/>
                <w:szCs w:val="20"/>
                <w:lang w:eastAsia="en-GB"/>
              </w:rPr>
            </w:pPr>
          </w:p>
        </w:tc>
        <w:tc>
          <w:tcPr>
            <w:tcW w:w="1134" w:type="dxa"/>
            <w:tcBorders>
              <w:top w:val="single" w:sz="4" w:space="0" w:color="auto"/>
              <w:left w:val="nil"/>
              <w:bottom w:val="single" w:sz="4" w:space="0" w:color="auto"/>
              <w:right w:val="nil"/>
            </w:tcBorders>
            <w:shd w:val="clear" w:color="auto" w:fill="auto"/>
            <w:noWrap/>
            <w:vAlign w:val="center"/>
          </w:tcPr>
          <w:p w14:paraId="0C8DAD38" w14:textId="77777777" w:rsidR="00AF1D07" w:rsidRDefault="00AF1D07" w:rsidP="00265730">
            <w:pPr>
              <w:spacing w:after="0" w:line="240" w:lineRule="auto"/>
              <w:jc w:val="right"/>
              <w:rPr>
                <w:rFonts w:ascii="Arial" w:eastAsia="Times New Roman" w:hAnsi="Arial" w:cs="Arial"/>
                <w:b/>
                <w:bCs/>
                <w:sz w:val="20"/>
                <w:szCs w:val="20"/>
                <w:lang w:eastAsia="en-GB"/>
              </w:rPr>
            </w:pPr>
          </w:p>
        </w:tc>
        <w:tc>
          <w:tcPr>
            <w:tcW w:w="1008" w:type="dxa"/>
            <w:gridSpan w:val="2"/>
            <w:tcBorders>
              <w:top w:val="single" w:sz="4" w:space="0" w:color="auto"/>
              <w:left w:val="nil"/>
              <w:bottom w:val="single" w:sz="4" w:space="0" w:color="auto"/>
              <w:right w:val="nil"/>
            </w:tcBorders>
            <w:shd w:val="clear" w:color="auto" w:fill="auto"/>
            <w:noWrap/>
            <w:vAlign w:val="center"/>
          </w:tcPr>
          <w:p w14:paraId="323B020E" w14:textId="77777777" w:rsidR="00AF1D07" w:rsidRPr="0078452D" w:rsidRDefault="00AF1D07" w:rsidP="00265730">
            <w:pPr>
              <w:spacing w:after="0" w:line="240" w:lineRule="auto"/>
              <w:jc w:val="right"/>
              <w:rPr>
                <w:rFonts w:ascii="Arial" w:eastAsia="Times New Roman" w:hAnsi="Arial" w:cs="Arial"/>
                <w:bCs/>
                <w:sz w:val="20"/>
                <w:szCs w:val="20"/>
                <w:lang w:eastAsia="en-GB"/>
              </w:rPr>
            </w:pPr>
          </w:p>
        </w:tc>
      </w:tr>
      <w:tr w:rsidR="00265730" w:rsidRPr="005B606A" w14:paraId="4C7F1A25" w14:textId="77777777" w:rsidTr="006647C2">
        <w:trPr>
          <w:trHeight w:val="323"/>
        </w:trPr>
        <w:tc>
          <w:tcPr>
            <w:tcW w:w="4678" w:type="dxa"/>
            <w:tcBorders>
              <w:top w:val="single" w:sz="4" w:space="0" w:color="auto"/>
              <w:left w:val="nil"/>
              <w:bottom w:val="single" w:sz="4" w:space="0" w:color="auto"/>
              <w:right w:val="nil"/>
            </w:tcBorders>
            <w:shd w:val="clear" w:color="auto" w:fill="auto"/>
            <w:noWrap/>
            <w:vAlign w:val="center"/>
            <w:hideMark/>
          </w:tcPr>
          <w:p w14:paraId="23D7CE9C" w14:textId="77777777" w:rsidR="00265730" w:rsidRPr="005B606A" w:rsidRDefault="00AF1D07" w:rsidP="00265730">
            <w:pPr>
              <w:spacing w:after="0" w:line="240" w:lineRule="auto"/>
              <w:rPr>
                <w:rFonts w:ascii="Arial" w:eastAsia="Times New Roman" w:hAnsi="Arial" w:cs="Arial"/>
                <w:sz w:val="20"/>
                <w:szCs w:val="20"/>
                <w:lang w:eastAsia="en-GB"/>
              </w:rPr>
            </w:pPr>
            <w:r w:rsidRPr="005B606A">
              <w:rPr>
                <w:rFonts w:ascii="Arial" w:eastAsia="Times New Roman" w:hAnsi="Arial" w:cs="Arial"/>
                <w:sz w:val="20"/>
                <w:szCs w:val="20"/>
                <w:lang w:eastAsia="en-GB"/>
              </w:rPr>
              <w:t>Cash at bank and in hand</w:t>
            </w:r>
          </w:p>
        </w:tc>
        <w:tc>
          <w:tcPr>
            <w:tcW w:w="294" w:type="dxa"/>
            <w:tcBorders>
              <w:top w:val="single" w:sz="4" w:space="0" w:color="auto"/>
              <w:left w:val="nil"/>
              <w:bottom w:val="single" w:sz="4" w:space="0" w:color="auto"/>
              <w:right w:val="nil"/>
            </w:tcBorders>
            <w:shd w:val="clear" w:color="auto" w:fill="auto"/>
            <w:noWrap/>
            <w:vAlign w:val="center"/>
            <w:hideMark/>
          </w:tcPr>
          <w:p w14:paraId="291E0E57" w14:textId="77777777" w:rsidR="00265730" w:rsidRPr="005B606A" w:rsidRDefault="00265730" w:rsidP="00265730">
            <w:pPr>
              <w:spacing w:after="0" w:line="240" w:lineRule="auto"/>
              <w:rPr>
                <w:rFonts w:ascii="Arial" w:eastAsia="Times New Roman" w:hAnsi="Arial" w:cs="Arial"/>
                <w:b/>
                <w:bCs/>
                <w:sz w:val="20"/>
                <w:szCs w:val="20"/>
                <w:lang w:eastAsia="en-GB"/>
              </w:rPr>
            </w:pPr>
            <w:r w:rsidRPr="005B606A">
              <w:rPr>
                <w:rFonts w:ascii="Arial" w:eastAsia="Times New Roman" w:hAnsi="Arial" w:cs="Arial"/>
                <w:b/>
                <w:bCs/>
                <w:sz w:val="20"/>
                <w:szCs w:val="20"/>
                <w:lang w:eastAsia="en-GB"/>
              </w:rPr>
              <w:t> </w:t>
            </w:r>
          </w:p>
        </w:tc>
        <w:tc>
          <w:tcPr>
            <w:tcW w:w="1054" w:type="dxa"/>
            <w:tcBorders>
              <w:top w:val="single" w:sz="4" w:space="0" w:color="auto"/>
              <w:left w:val="nil"/>
              <w:bottom w:val="single" w:sz="4" w:space="0" w:color="auto"/>
              <w:right w:val="nil"/>
            </w:tcBorders>
            <w:shd w:val="clear" w:color="auto" w:fill="auto"/>
            <w:noWrap/>
            <w:vAlign w:val="center"/>
          </w:tcPr>
          <w:p w14:paraId="0118E704" w14:textId="77777777" w:rsidR="00265730" w:rsidRPr="005B606A" w:rsidRDefault="00702021" w:rsidP="00265730">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33,497</w:t>
            </w:r>
          </w:p>
        </w:tc>
        <w:tc>
          <w:tcPr>
            <w:tcW w:w="1102" w:type="dxa"/>
            <w:tcBorders>
              <w:top w:val="single" w:sz="4" w:space="0" w:color="auto"/>
              <w:left w:val="nil"/>
              <w:bottom w:val="single" w:sz="4" w:space="0" w:color="auto"/>
              <w:right w:val="nil"/>
            </w:tcBorders>
            <w:shd w:val="clear" w:color="auto" w:fill="auto"/>
            <w:noWrap/>
            <w:vAlign w:val="center"/>
            <w:hideMark/>
          </w:tcPr>
          <w:p w14:paraId="33633BE7" w14:textId="77777777" w:rsidR="00265730" w:rsidRPr="00265730" w:rsidRDefault="00702021" w:rsidP="00265730">
            <w:pPr>
              <w:spacing w:after="0" w:line="240" w:lineRule="auto"/>
              <w:jc w:val="right"/>
              <w:rPr>
                <w:rFonts w:ascii="Arial" w:eastAsia="Times New Roman" w:hAnsi="Arial" w:cs="Arial"/>
                <w:sz w:val="20"/>
                <w:szCs w:val="20"/>
                <w:lang w:eastAsia="en-GB"/>
              </w:rPr>
            </w:pPr>
            <w:r>
              <w:rPr>
                <w:rFonts w:ascii="Arial" w:eastAsia="Times New Roman" w:hAnsi="Arial" w:cs="Arial"/>
                <w:bCs/>
                <w:sz w:val="20"/>
                <w:szCs w:val="20"/>
                <w:lang w:eastAsia="en-GB"/>
              </w:rPr>
              <w:t>16,942</w:t>
            </w:r>
          </w:p>
        </w:tc>
        <w:tc>
          <w:tcPr>
            <w:tcW w:w="1134" w:type="dxa"/>
            <w:tcBorders>
              <w:top w:val="single" w:sz="4" w:space="0" w:color="auto"/>
              <w:left w:val="nil"/>
              <w:bottom w:val="single" w:sz="4" w:space="0" w:color="auto"/>
              <w:right w:val="nil"/>
            </w:tcBorders>
            <w:shd w:val="clear" w:color="auto" w:fill="auto"/>
            <w:noWrap/>
            <w:vAlign w:val="center"/>
          </w:tcPr>
          <w:p w14:paraId="00FDD049" w14:textId="77777777" w:rsidR="00265730" w:rsidRPr="005B606A" w:rsidRDefault="00702021" w:rsidP="00265730">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2,462</w:t>
            </w:r>
          </w:p>
        </w:tc>
        <w:tc>
          <w:tcPr>
            <w:tcW w:w="1008" w:type="dxa"/>
            <w:gridSpan w:val="2"/>
            <w:tcBorders>
              <w:top w:val="single" w:sz="4" w:space="0" w:color="auto"/>
              <w:left w:val="nil"/>
              <w:bottom w:val="single" w:sz="4" w:space="0" w:color="auto"/>
              <w:right w:val="nil"/>
            </w:tcBorders>
            <w:shd w:val="clear" w:color="auto" w:fill="auto"/>
            <w:noWrap/>
            <w:vAlign w:val="center"/>
            <w:hideMark/>
          </w:tcPr>
          <w:p w14:paraId="242C2473" w14:textId="77777777" w:rsidR="00265730" w:rsidRPr="005E37DD" w:rsidRDefault="00702021" w:rsidP="00265730">
            <w:pPr>
              <w:spacing w:after="0" w:line="240" w:lineRule="auto"/>
              <w:jc w:val="right"/>
              <w:rPr>
                <w:rFonts w:ascii="Arial" w:eastAsia="Times New Roman" w:hAnsi="Arial" w:cs="Arial"/>
                <w:sz w:val="20"/>
                <w:szCs w:val="20"/>
                <w:lang w:eastAsia="en-GB"/>
              </w:rPr>
            </w:pPr>
            <w:r>
              <w:rPr>
                <w:rFonts w:ascii="Arial" w:eastAsia="Times New Roman" w:hAnsi="Arial" w:cs="Arial"/>
                <w:bCs/>
                <w:sz w:val="20"/>
                <w:szCs w:val="20"/>
                <w:lang w:eastAsia="en-GB"/>
              </w:rPr>
              <w:t>5,058</w:t>
            </w:r>
          </w:p>
        </w:tc>
      </w:tr>
    </w:tbl>
    <w:p w14:paraId="431ADA47" w14:textId="77777777" w:rsidR="00AF1D07" w:rsidRDefault="00AF1D07">
      <w:r>
        <w:br w:type="page"/>
      </w:r>
    </w:p>
    <w:tbl>
      <w:tblPr>
        <w:tblW w:w="9270" w:type="dxa"/>
        <w:tblLook w:val="04A0" w:firstRow="1" w:lastRow="0" w:firstColumn="1" w:lastColumn="0" w:noHBand="0" w:noVBand="1"/>
      </w:tblPr>
      <w:tblGrid>
        <w:gridCol w:w="9270"/>
      </w:tblGrid>
      <w:tr w:rsidR="00E70CD3" w:rsidRPr="005B606A" w14:paraId="0C7F00D0" w14:textId="77777777" w:rsidTr="006647C2">
        <w:trPr>
          <w:trHeight w:val="323"/>
        </w:trPr>
        <w:tc>
          <w:tcPr>
            <w:tcW w:w="9270" w:type="dxa"/>
            <w:tcBorders>
              <w:top w:val="nil"/>
              <w:left w:val="nil"/>
              <w:bottom w:val="nil"/>
              <w:right w:val="nil"/>
            </w:tcBorders>
            <w:shd w:val="clear" w:color="auto" w:fill="auto"/>
            <w:hideMark/>
          </w:tcPr>
          <w:p w14:paraId="18904809" w14:textId="2D7EC37D" w:rsidR="005D62D2" w:rsidRDefault="006C07DD" w:rsidP="00EB4120">
            <w:pPr>
              <w:spacing w:after="0" w:line="240" w:lineRule="auto"/>
              <w:rPr>
                <w:rFonts w:ascii="Arial" w:hAnsi="Arial" w:cs="Arial"/>
                <w:b/>
                <w:i/>
                <w:sz w:val="24"/>
                <w:szCs w:val="24"/>
              </w:rPr>
            </w:pPr>
            <w:r w:rsidRPr="0088736E">
              <w:rPr>
                <w:rFonts w:ascii="Arial" w:hAnsi="Arial" w:cs="Arial"/>
                <w:b/>
                <w:i/>
                <w:sz w:val="24"/>
                <w:szCs w:val="24"/>
              </w:rPr>
              <w:lastRenderedPageBreak/>
              <w:t xml:space="preserve">Notes to the financial </w:t>
            </w:r>
            <w:r>
              <w:rPr>
                <w:rFonts w:ascii="Arial" w:hAnsi="Arial" w:cs="Arial"/>
                <w:b/>
                <w:i/>
                <w:sz w:val="24"/>
                <w:szCs w:val="24"/>
              </w:rPr>
              <w:t>statements</w:t>
            </w:r>
            <w:r w:rsidRPr="0088736E">
              <w:rPr>
                <w:rFonts w:ascii="Arial" w:hAnsi="Arial" w:cs="Arial"/>
                <w:b/>
                <w:i/>
                <w:sz w:val="24"/>
                <w:szCs w:val="24"/>
              </w:rPr>
              <w:t xml:space="preserve"> (continued)</w:t>
            </w:r>
          </w:p>
          <w:p w14:paraId="731E6B1F" w14:textId="77777777" w:rsidR="00EB4120" w:rsidRPr="00EB4120" w:rsidRDefault="00EB4120" w:rsidP="00EB4120">
            <w:pPr>
              <w:spacing w:after="0" w:line="240" w:lineRule="auto"/>
              <w:rPr>
                <w:rFonts w:ascii="Arial" w:hAnsi="Arial" w:cs="Arial"/>
                <w:b/>
                <w:i/>
                <w:sz w:val="24"/>
                <w:szCs w:val="24"/>
              </w:rPr>
            </w:pPr>
          </w:p>
          <w:p w14:paraId="72283830" w14:textId="77777777" w:rsidR="009A1B07" w:rsidRDefault="009A1B07" w:rsidP="00EB4120">
            <w:pPr>
              <w:spacing w:after="0" w:line="240" w:lineRule="auto"/>
              <w:rPr>
                <w:rFonts w:ascii="Arial" w:eastAsia="Times New Roman" w:hAnsi="Arial" w:cs="Arial"/>
                <w:sz w:val="24"/>
                <w:szCs w:val="24"/>
                <w:lang w:eastAsia="en-GB"/>
              </w:rPr>
            </w:pPr>
            <w:r w:rsidRPr="005B606A">
              <w:rPr>
                <w:rFonts w:ascii="Arial" w:eastAsia="Times New Roman" w:hAnsi="Arial" w:cs="Arial"/>
                <w:b/>
                <w:bCs/>
                <w:sz w:val="24"/>
                <w:szCs w:val="24"/>
                <w:lang w:eastAsia="en-GB"/>
              </w:rPr>
              <w:t>15. Cash at bank and in hand</w:t>
            </w:r>
            <w:r>
              <w:rPr>
                <w:rFonts w:ascii="Arial" w:eastAsia="Times New Roman" w:hAnsi="Arial" w:cs="Arial"/>
                <w:b/>
                <w:bCs/>
                <w:sz w:val="24"/>
                <w:szCs w:val="24"/>
                <w:lang w:eastAsia="en-GB"/>
              </w:rPr>
              <w:t xml:space="preserve"> (continued)</w:t>
            </w:r>
          </w:p>
          <w:p w14:paraId="0C008F1D" w14:textId="77777777" w:rsidR="00E70CD3" w:rsidRPr="00C322AE" w:rsidRDefault="00E70CD3" w:rsidP="006647C2">
            <w:pPr>
              <w:spacing w:before="100" w:after="240" w:line="240" w:lineRule="auto"/>
              <w:jc w:val="both"/>
              <w:rPr>
                <w:rFonts w:ascii="Arial" w:eastAsia="Times New Roman" w:hAnsi="Arial" w:cs="Arial"/>
                <w:sz w:val="24"/>
                <w:szCs w:val="24"/>
                <w:lang w:eastAsia="en-GB"/>
              </w:rPr>
            </w:pPr>
            <w:r w:rsidRPr="00C322AE">
              <w:rPr>
                <w:rFonts w:ascii="Arial" w:eastAsia="Times New Roman" w:hAnsi="Arial" w:cs="Arial"/>
                <w:sz w:val="24"/>
                <w:szCs w:val="24"/>
                <w:lang w:eastAsia="en-GB"/>
              </w:rPr>
              <w:t>Cash at bank and in hand includes £250,000 that has been pledged as security against a guarantee provided by the Trust's bankers to Doncaster Borough Council in respect of the Trust's obligations to the South Yorkshire Pension Scheme.</w:t>
            </w:r>
          </w:p>
        </w:tc>
      </w:tr>
    </w:tbl>
    <w:p w14:paraId="7F4EE4A8" w14:textId="77777777" w:rsidR="00E70CD3" w:rsidRDefault="00E70CD3" w:rsidP="00E70CD3">
      <w:pPr>
        <w:autoSpaceDE w:val="0"/>
        <w:autoSpaceDN w:val="0"/>
        <w:adjustRightInd w:val="0"/>
        <w:spacing w:after="0" w:line="240" w:lineRule="auto"/>
        <w:rPr>
          <w:rFonts w:ascii="Arial" w:hAnsi="Arial" w:cs="Arial"/>
          <w:sz w:val="20"/>
          <w:szCs w:val="20"/>
        </w:rPr>
      </w:pPr>
    </w:p>
    <w:tbl>
      <w:tblPr>
        <w:tblW w:w="9125" w:type="dxa"/>
        <w:tblLook w:val="04A0" w:firstRow="1" w:lastRow="0" w:firstColumn="1" w:lastColumn="0" w:noHBand="0" w:noVBand="1"/>
      </w:tblPr>
      <w:tblGrid>
        <w:gridCol w:w="4746"/>
        <w:gridCol w:w="852"/>
        <w:gridCol w:w="1140"/>
        <w:gridCol w:w="1052"/>
        <w:gridCol w:w="290"/>
        <w:gridCol w:w="1045"/>
      </w:tblGrid>
      <w:tr w:rsidR="00E70CD3" w:rsidRPr="00397F4D" w14:paraId="0139B374" w14:textId="77777777" w:rsidTr="00A962E4">
        <w:trPr>
          <w:trHeight w:val="394"/>
        </w:trPr>
        <w:tc>
          <w:tcPr>
            <w:tcW w:w="6738" w:type="dxa"/>
            <w:gridSpan w:val="3"/>
            <w:tcBorders>
              <w:top w:val="nil"/>
              <w:left w:val="nil"/>
              <w:bottom w:val="nil"/>
              <w:right w:val="nil"/>
            </w:tcBorders>
            <w:shd w:val="clear" w:color="auto" w:fill="auto"/>
            <w:noWrap/>
            <w:vAlign w:val="center"/>
            <w:hideMark/>
          </w:tcPr>
          <w:p w14:paraId="10A6EA9C" w14:textId="77777777" w:rsidR="00E70CD3" w:rsidRDefault="00E70CD3" w:rsidP="007729E5">
            <w:pPr>
              <w:spacing w:after="0" w:line="240" w:lineRule="auto"/>
              <w:rPr>
                <w:rFonts w:ascii="Arial" w:eastAsia="Times New Roman" w:hAnsi="Arial" w:cs="Arial"/>
                <w:b/>
                <w:bCs/>
                <w:sz w:val="24"/>
                <w:szCs w:val="24"/>
                <w:lang w:eastAsia="en-GB"/>
              </w:rPr>
            </w:pPr>
            <w:r w:rsidRPr="00397F4D">
              <w:rPr>
                <w:rFonts w:ascii="Arial" w:eastAsia="Times New Roman" w:hAnsi="Arial" w:cs="Arial"/>
                <w:b/>
                <w:bCs/>
                <w:sz w:val="24"/>
                <w:szCs w:val="24"/>
                <w:lang w:eastAsia="en-GB"/>
              </w:rPr>
              <w:t>16. Creditors</w:t>
            </w:r>
            <w:r w:rsidR="00C51D9C">
              <w:rPr>
                <w:rFonts w:ascii="Arial" w:eastAsia="Times New Roman" w:hAnsi="Arial" w:cs="Arial"/>
                <w:b/>
                <w:bCs/>
                <w:sz w:val="24"/>
                <w:szCs w:val="24"/>
                <w:lang w:eastAsia="en-GB"/>
              </w:rPr>
              <w:t xml:space="preserve"> -</w:t>
            </w:r>
            <w:r w:rsidRPr="00397F4D">
              <w:rPr>
                <w:rFonts w:ascii="Arial" w:eastAsia="Times New Roman" w:hAnsi="Arial" w:cs="Arial"/>
                <w:b/>
                <w:bCs/>
                <w:sz w:val="24"/>
                <w:szCs w:val="24"/>
                <w:lang w:eastAsia="en-GB"/>
              </w:rPr>
              <w:t xml:space="preserve"> amounts falling due within one year</w:t>
            </w:r>
          </w:p>
          <w:p w14:paraId="6E831399" w14:textId="77777777" w:rsidR="003955BF" w:rsidRPr="00397F4D" w:rsidRDefault="003955BF" w:rsidP="007729E5">
            <w:pPr>
              <w:spacing w:after="0" w:line="240" w:lineRule="auto"/>
              <w:rPr>
                <w:rFonts w:ascii="Arial" w:eastAsia="Times New Roman" w:hAnsi="Arial" w:cs="Arial"/>
                <w:b/>
                <w:bCs/>
                <w:sz w:val="24"/>
                <w:szCs w:val="24"/>
                <w:lang w:eastAsia="en-GB"/>
              </w:rPr>
            </w:pPr>
          </w:p>
        </w:tc>
        <w:tc>
          <w:tcPr>
            <w:tcW w:w="1052" w:type="dxa"/>
            <w:tcBorders>
              <w:top w:val="nil"/>
              <w:left w:val="nil"/>
              <w:bottom w:val="nil"/>
              <w:right w:val="nil"/>
            </w:tcBorders>
            <w:shd w:val="clear" w:color="auto" w:fill="auto"/>
            <w:noWrap/>
            <w:vAlign w:val="center"/>
            <w:hideMark/>
          </w:tcPr>
          <w:p w14:paraId="3593C5E0" w14:textId="77777777" w:rsidR="00E70CD3" w:rsidRPr="00397F4D" w:rsidRDefault="00E70CD3" w:rsidP="007729E5">
            <w:pPr>
              <w:spacing w:after="0" w:line="240" w:lineRule="auto"/>
              <w:rPr>
                <w:rFonts w:ascii="Arial" w:eastAsia="Times New Roman" w:hAnsi="Arial" w:cs="Arial"/>
                <w:b/>
                <w:bCs/>
                <w:sz w:val="24"/>
                <w:szCs w:val="24"/>
                <w:lang w:eastAsia="en-GB"/>
              </w:rPr>
            </w:pPr>
          </w:p>
        </w:tc>
        <w:tc>
          <w:tcPr>
            <w:tcW w:w="1335" w:type="dxa"/>
            <w:gridSpan w:val="2"/>
            <w:tcBorders>
              <w:top w:val="nil"/>
              <w:left w:val="nil"/>
              <w:bottom w:val="nil"/>
              <w:right w:val="nil"/>
            </w:tcBorders>
            <w:shd w:val="clear" w:color="auto" w:fill="auto"/>
            <w:noWrap/>
            <w:vAlign w:val="center"/>
            <w:hideMark/>
          </w:tcPr>
          <w:p w14:paraId="011AEE6E" w14:textId="77777777" w:rsidR="00E70CD3" w:rsidRPr="00397F4D" w:rsidRDefault="00E70CD3" w:rsidP="007729E5">
            <w:pPr>
              <w:spacing w:after="0" w:line="240" w:lineRule="auto"/>
              <w:rPr>
                <w:rFonts w:ascii="Times New Roman" w:eastAsia="Times New Roman" w:hAnsi="Times New Roman" w:cs="Times New Roman"/>
                <w:sz w:val="20"/>
                <w:szCs w:val="20"/>
                <w:lang w:eastAsia="en-GB"/>
              </w:rPr>
            </w:pPr>
          </w:p>
        </w:tc>
      </w:tr>
      <w:tr w:rsidR="00E70CD3" w:rsidRPr="00397F4D" w14:paraId="2B37C70F" w14:textId="77777777" w:rsidTr="00A962E4">
        <w:trPr>
          <w:trHeight w:val="317"/>
        </w:trPr>
        <w:tc>
          <w:tcPr>
            <w:tcW w:w="4746" w:type="dxa"/>
            <w:tcBorders>
              <w:top w:val="nil"/>
              <w:left w:val="nil"/>
              <w:bottom w:val="nil"/>
              <w:right w:val="nil"/>
            </w:tcBorders>
            <w:shd w:val="clear" w:color="auto" w:fill="auto"/>
            <w:noWrap/>
            <w:vAlign w:val="center"/>
            <w:hideMark/>
          </w:tcPr>
          <w:p w14:paraId="1DA6132E" w14:textId="77777777" w:rsidR="00E70CD3" w:rsidRPr="00397F4D" w:rsidRDefault="00E70CD3" w:rsidP="007729E5">
            <w:pPr>
              <w:spacing w:after="0" w:line="240" w:lineRule="auto"/>
              <w:rPr>
                <w:rFonts w:ascii="Times New Roman" w:eastAsia="Times New Roman" w:hAnsi="Times New Roman" w:cs="Times New Roman"/>
                <w:sz w:val="20"/>
                <w:szCs w:val="20"/>
                <w:lang w:eastAsia="en-GB"/>
              </w:rPr>
            </w:pPr>
          </w:p>
        </w:tc>
        <w:tc>
          <w:tcPr>
            <w:tcW w:w="1992" w:type="dxa"/>
            <w:gridSpan w:val="2"/>
            <w:tcBorders>
              <w:top w:val="nil"/>
              <w:left w:val="nil"/>
              <w:bottom w:val="nil"/>
              <w:right w:val="nil"/>
            </w:tcBorders>
            <w:shd w:val="clear" w:color="auto" w:fill="auto"/>
            <w:noWrap/>
            <w:vAlign w:val="center"/>
            <w:hideMark/>
          </w:tcPr>
          <w:p w14:paraId="073A86DE" w14:textId="77777777" w:rsidR="00E70CD3" w:rsidRPr="00A51322" w:rsidRDefault="00E70CD3" w:rsidP="00581924">
            <w:pPr>
              <w:spacing w:after="0" w:line="240" w:lineRule="auto"/>
              <w:jc w:val="center"/>
              <w:rPr>
                <w:rFonts w:ascii="Arial" w:eastAsia="Times New Roman" w:hAnsi="Arial" w:cs="Arial"/>
                <w:b/>
                <w:sz w:val="20"/>
                <w:szCs w:val="20"/>
                <w:lang w:eastAsia="en-GB"/>
              </w:rPr>
            </w:pPr>
            <w:r w:rsidRPr="00A51322">
              <w:rPr>
                <w:rFonts w:ascii="Arial" w:eastAsia="Times New Roman" w:hAnsi="Arial" w:cs="Arial"/>
                <w:b/>
                <w:sz w:val="20"/>
                <w:szCs w:val="20"/>
                <w:lang w:eastAsia="en-GB"/>
              </w:rPr>
              <w:t>Group</w:t>
            </w:r>
          </w:p>
        </w:tc>
        <w:tc>
          <w:tcPr>
            <w:tcW w:w="2387" w:type="dxa"/>
            <w:gridSpan w:val="3"/>
            <w:tcBorders>
              <w:top w:val="nil"/>
              <w:left w:val="nil"/>
              <w:bottom w:val="nil"/>
              <w:right w:val="nil"/>
            </w:tcBorders>
            <w:shd w:val="clear" w:color="auto" w:fill="auto"/>
            <w:noWrap/>
            <w:vAlign w:val="center"/>
            <w:hideMark/>
          </w:tcPr>
          <w:p w14:paraId="6B54B1D9" w14:textId="77777777" w:rsidR="00E70CD3" w:rsidRPr="00A51322" w:rsidRDefault="00E70CD3" w:rsidP="00581924">
            <w:pPr>
              <w:spacing w:after="0" w:line="240" w:lineRule="auto"/>
              <w:jc w:val="center"/>
              <w:rPr>
                <w:rFonts w:ascii="Arial" w:eastAsia="Times New Roman" w:hAnsi="Arial" w:cs="Arial"/>
                <w:b/>
                <w:sz w:val="20"/>
                <w:szCs w:val="20"/>
                <w:lang w:eastAsia="en-GB"/>
              </w:rPr>
            </w:pPr>
            <w:r w:rsidRPr="00A51322">
              <w:rPr>
                <w:rFonts w:ascii="Arial" w:eastAsia="Times New Roman" w:hAnsi="Arial" w:cs="Arial"/>
                <w:b/>
                <w:sz w:val="20"/>
                <w:szCs w:val="20"/>
                <w:lang w:eastAsia="en-GB"/>
              </w:rPr>
              <w:t>Company</w:t>
            </w:r>
          </w:p>
        </w:tc>
      </w:tr>
      <w:tr w:rsidR="00E70CD3" w:rsidRPr="00397F4D" w14:paraId="06D448EF" w14:textId="77777777" w:rsidTr="00A962E4">
        <w:trPr>
          <w:trHeight w:val="317"/>
        </w:trPr>
        <w:tc>
          <w:tcPr>
            <w:tcW w:w="4746" w:type="dxa"/>
            <w:tcBorders>
              <w:top w:val="nil"/>
              <w:left w:val="nil"/>
              <w:bottom w:val="nil"/>
              <w:right w:val="nil"/>
            </w:tcBorders>
            <w:shd w:val="clear" w:color="auto" w:fill="auto"/>
            <w:noWrap/>
            <w:vAlign w:val="center"/>
            <w:hideMark/>
          </w:tcPr>
          <w:p w14:paraId="15DC5801" w14:textId="77777777" w:rsidR="00E70CD3" w:rsidRPr="00397F4D" w:rsidRDefault="00E70CD3" w:rsidP="007729E5">
            <w:pPr>
              <w:spacing w:after="0" w:line="240" w:lineRule="auto"/>
              <w:rPr>
                <w:rFonts w:ascii="Arial" w:eastAsia="Times New Roman" w:hAnsi="Arial" w:cs="Arial"/>
                <w:sz w:val="20"/>
                <w:szCs w:val="20"/>
                <w:lang w:eastAsia="en-GB"/>
              </w:rPr>
            </w:pPr>
          </w:p>
        </w:tc>
        <w:tc>
          <w:tcPr>
            <w:tcW w:w="852" w:type="dxa"/>
            <w:tcBorders>
              <w:top w:val="nil"/>
              <w:left w:val="nil"/>
              <w:bottom w:val="nil"/>
              <w:right w:val="nil"/>
            </w:tcBorders>
            <w:shd w:val="clear" w:color="auto" w:fill="auto"/>
            <w:noWrap/>
            <w:vAlign w:val="center"/>
            <w:hideMark/>
          </w:tcPr>
          <w:p w14:paraId="4128D1C4" w14:textId="77777777" w:rsidR="00E70CD3" w:rsidRPr="00397F4D" w:rsidRDefault="0037645F" w:rsidP="005229F1">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2020</w:t>
            </w:r>
          </w:p>
        </w:tc>
        <w:tc>
          <w:tcPr>
            <w:tcW w:w="1140" w:type="dxa"/>
            <w:tcBorders>
              <w:top w:val="nil"/>
              <w:left w:val="nil"/>
              <w:bottom w:val="nil"/>
              <w:right w:val="nil"/>
            </w:tcBorders>
            <w:shd w:val="clear" w:color="auto" w:fill="auto"/>
            <w:noWrap/>
            <w:vAlign w:val="center"/>
            <w:hideMark/>
          </w:tcPr>
          <w:p w14:paraId="560416E8" w14:textId="77777777" w:rsidR="00E70CD3" w:rsidRPr="00397F4D" w:rsidRDefault="000C5A33" w:rsidP="005229F1">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 xml:space="preserve">Restated </w:t>
            </w:r>
            <w:r w:rsidR="0037645F">
              <w:rPr>
                <w:rFonts w:ascii="Arial" w:eastAsia="Times New Roman" w:hAnsi="Arial" w:cs="Arial"/>
                <w:sz w:val="20"/>
                <w:szCs w:val="20"/>
                <w:lang w:eastAsia="en-GB"/>
              </w:rPr>
              <w:t>2019</w:t>
            </w:r>
          </w:p>
        </w:tc>
        <w:tc>
          <w:tcPr>
            <w:tcW w:w="1342" w:type="dxa"/>
            <w:gridSpan w:val="2"/>
            <w:tcBorders>
              <w:top w:val="nil"/>
              <w:left w:val="nil"/>
              <w:bottom w:val="nil"/>
              <w:right w:val="nil"/>
            </w:tcBorders>
            <w:shd w:val="clear" w:color="auto" w:fill="auto"/>
            <w:noWrap/>
            <w:vAlign w:val="center"/>
            <w:hideMark/>
          </w:tcPr>
          <w:p w14:paraId="75EF9FCA" w14:textId="77777777" w:rsidR="00E70CD3" w:rsidRPr="00397F4D" w:rsidRDefault="0037645F" w:rsidP="005229F1">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2020</w:t>
            </w:r>
          </w:p>
        </w:tc>
        <w:tc>
          <w:tcPr>
            <w:tcW w:w="1045" w:type="dxa"/>
            <w:tcBorders>
              <w:top w:val="nil"/>
              <w:left w:val="nil"/>
              <w:bottom w:val="nil"/>
              <w:right w:val="nil"/>
            </w:tcBorders>
            <w:shd w:val="clear" w:color="auto" w:fill="auto"/>
            <w:noWrap/>
            <w:vAlign w:val="center"/>
            <w:hideMark/>
          </w:tcPr>
          <w:p w14:paraId="04D1FC9A" w14:textId="77777777" w:rsidR="00E70CD3" w:rsidRPr="00397F4D" w:rsidRDefault="0037645F" w:rsidP="005229F1">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2019</w:t>
            </w:r>
          </w:p>
        </w:tc>
      </w:tr>
      <w:tr w:rsidR="00E70CD3" w:rsidRPr="00397F4D" w14:paraId="7219D82A" w14:textId="77777777" w:rsidTr="00A962E4">
        <w:trPr>
          <w:trHeight w:val="317"/>
        </w:trPr>
        <w:tc>
          <w:tcPr>
            <w:tcW w:w="4746" w:type="dxa"/>
            <w:tcBorders>
              <w:top w:val="nil"/>
              <w:left w:val="nil"/>
              <w:bottom w:val="single" w:sz="4" w:space="0" w:color="auto"/>
              <w:right w:val="nil"/>
            </w:tcBorders>
            <w:shd w:val="clear" w:color="auto" w:fill="auto"/>
            <w:noWrap/>
            <w:vAlign w:val="center"/>
            <w:hideMark/>
          </w:tcPr>
          <w:p w14:paraId="18FEBA04" w14:textId="77777777" w:rsidR="00E70CD3" w:rsidRPr="00397F4D" w:rsidRDefault="00E70CD3" w:rsidP="007729E5">
            <w:pPr>
              <w:spacing w:after="0" w:line="240" w:lineRule="auto"/>
              <w:rPr>
                <w:rFonts w:ascii="Arial" w:eastAsia="Times New Roman" w:hAnsi="Arial" w:cs="Arial"/>
                <w:sz w:val="20"/>
                <w:szCs w:val="20"/>
                <w:lang w:eastAsia="en-GB"/>
              </w:rPr>
            </w:pPr>
            <w:r w:rsidRPr="00397F4D">
              <w:rPr>
                <w:rFonts w:ascii="Arial" w:eastAsia="Times New Roman" w:hAnsi="Arial" w:cs="Arial"/>
                <w:sz w:val="20"/>
                <w:szCs w:val="20"/>
                <w:lang w:eastAsia="en-GB"/>
              </w:rPr>
              <w:t> </w:t>
            </w:r>
          </w:p>
        </w:tc>
        <w:tc>
          <w:tcPr>
            <w:tcW w:w="852" w:type="dxa"/>
            <w:tcBorders>
              <w:top w:val="nil"/>
              <w:left w:val="nil"/>
              <w:bottom w:val="single" w:sz="4" w:space="0" w:color="auto"/>
              <w:right w:val="nil"/>
            </w:tcBorders>
            <w:shd w:val="clear" w:color="auto" w:fill="auto"/>
            <w:noWrap/>
            <w:vAlign w:val="center"/>
            <w:hideMark/>
          </w:tcPr>
          <w:p w14:paraId="7F32DFF9" w14:textId="77777777" w:rsidR="00E70CD3" w:rsidRPr="00397F4D" w:rsidRDefault="00E70CD3" w:rsidP="005229F1">
            <w:pPr>
              <w:spacing w:after="0" w:line="240" w:lineRule="auto"/>
              <w:jc w:val="right"/>
              <w:rPr>
                <w:rFonts w:ascii="Arial" w:eastAsia="Times New Roman" w:hAnsi="Arial" w:cs="Arial"/>
                <w:b/>
                <w:bCs/>
                <w:sz w:val="20"/>
                <w:szCs w:val="20"/>
                <w:lang w:eastAsia="en-GB"/>
              </w:rPr>
            </w:pPr>
            <w:r w:rsidRPr="00397F4D">
              <w:rPr>
                <w:rFonts w:ascii="Arial" w:eastAsia="Times New Roman" w:hAnsi="Arial" w:cs="Arial"/>
                <w:b/>
                <w:bCs/>
                <w:sz w:val="20"/>
                <w:szCs w:val="20"/>
                <w:lang w:eastAsia="en-GB"/>
              </w:rPr>
              <w:t>£'000</w:t>
            </w:r>
          </w:p>
        </w:tc>
        <w:tc>
          <w:tcPr>
            <w:tcW w:w="1140" w:type="dxa"/>
            <w:tcBorders>
              <w:top w:val="nil"/>
              <w:left w:val="nil"/>
              <w:bottom w:val="single" w:sz="4" w:space="0" w:color="auto"/>
              <w:right w:val="nil"/>
            </w:tcBorders>
            <w:shd w:val="clear" w:color="auto" w:fill="auto"/>
            <w:noWrap/>
            <w:vAlign w:val="center"/>
            <w:hideMark/>
          </w:tcPr>
          <w:p w14:paraId="5DC76052" w14:textId="77777777" w:rsidR="00E70CD3" w:rsidRPr="00397F4D" w:rsidRDefault="00E70CD3" w:rsidP="005229F1">
            <w:pPr>
              <w:spacing w:after="0" w:line="240" w:lineRule="auto"/>
              <w:jc w:val="right"/>
              <w:rPr>
                <w:rFonts w:ascii="Arial" w:eastAsia="Times New Roman" w:hAnsi="Arial" w:cs="Arial"/>
                <w:sz w:val="20"/>
                <w:szCs w:val="20"/>
                <w:lang w:eastAsia="en-GB"/>
              </w:rPr>
            </w:pPr>
            <w:r w:rsidRPr="00397F4D">
              <w:rPr>
                <w:rFonts w:ascii="Arial" w:eastAsia="Times New Roman" w:hAnsi="Arial" w:cs="Arial"/>
                <w:sz w:val="20"/>
                <w:szCs w:val="20"/>
                <w:lang w:eastAsia="en-GB"/>
              </w:rPr>
              <w:t>£'000</w:t>
            </w:r>
          </w:p>
        </w:tc>
        <w:tc>
          <w:tcPr>
            <w:tcW w:w="1342" w:type="dxa"/>
            <w:gridSpan w:val="2"/>
            <w:tcBorders>
              <w:top w:val="nil"/>
              <w:left w:val="nil"/>
              <w:bottom w:val="single" w:sz="4" w:space="0" w:color="auto"/>
              <w:right w:val="nil"/>
            </w:tcBorders>
            <w:shd w:val="clear" w:color="auto" w:fill="auto"/>
            <w:noWrap/>
            <w:vAlign w:val="center"/>
            <w:hideMark/>
          </w:tcPr>
          <w:p w14:paraId="44C71636" w14:textId="77777777" w:rsidR="00E70CD3" w:rsidRPr="00397F4D" w:rsidRDefault="00E70CD3" w:rsidP="005229F1">
            <w:pPr>
              <w:spacing w:after="0" w:line="240" w:lineRule="auto"/>
              <w:jc w:val="right"/>
              <w:rPr>
                <w:rFonts w:ascii="Arial" w:eastAsia="Times New Roman" w:hAnsi="Arial" w:cs="Arial"/>
                <w:b/>
                <w:bCs/>
                <w:sz w:val="20"/>
                <w:szCs w:val="20"/>
                <w:lang w:eastAsia="en-GB"/>
              </w:rPr>
            </w:pPr>
            <w:r w:rsidRPr="00397F4D">
              <w:rPr>
                <w:rFonts w:ascii="Arial" w:eastAsia="Times New Roman" w:hAnsi="Arial" w:cs="Arial"/>
                <w:b/>
                <w:bCs/>
                <w:sz w:val="20"/>
                <w:szCs w:val="20"/>
                <w:lang w:eastAsia="en-GB"/>
              </w:rPr>
              <w:t>£'000</w:t>
            </w:r>
          </w:p>
        </w:tc>
        <w:tc>
          <w:tcPr>
            <w:tcW w:w="1045" w:type="dxa"/>
            <w:tcBorders>
              <w:top w:val="nil"/>
              <w:left w:val="nil"/>
              <w:bottom w:val="single" w:sz="4" w:space="0" w:color="auto"/>
              <w:right w:val="nil"/>
            </w:tcBorders>
            <w:shd w:val="clear" w:color="auto" w:fill="auto"/>
            <w:noWrap/>
            <w:vAlign w:val="center"/>
            <w:hideMark/>
          </w:tcPr>
          <w:p w14:paraId="24ABE917" w14:textId="77777777" w:rsidR="00E70CD3" w:rsidRPr="00397F4D" w:rsidRDefault="00E70CD3" w:rsidP="005229F1">
            <w:pPr>
              <w:spacing w:after="0" w:line="240" w:lineRule="auto"/>
              <w:jc w:val="right"/>
              <w:rPr>
                <w:rFonts w:ascii="Arial" w:eastAsia="Times New Roman" w:hAnsi="Arial" w:cs="Arial"/>
                <w:sz w:val="20"/>
                <w:szCs w:val="20"/>
                <w:lang w:eastAsia="en-GB"/>
              </w:rPr>
            </w:pPr>
            <w:r w:rsidRPr="00397F4D">
              <w:rPr>
                <w:rFonts w:ascii="Arial" w:eastAsia="Times New Roman" w:hAnsi="Arial" w:cs="Arial"/>
                <w:sz w:val="20"/>
                <w:szCs w:val="20"/>
                <w:lang w:eastAsia="en-GB"/>
              </w:rPr>
              <w:t>£'000</w:t>
            </w:r>
          </w:p>
        </w:tc>
      </w:tr>
      <w:tr w:rsidR="0039438F" w:rsidRPr="00397F4D" w14:paraId="763B828A" w14:textId="77777777" w:rsidTr="00A962E4">
        <w:trPr>
          <w:trHeight w:val="317"/>
        </w:trPr>
        <w:tc>
          <w:tcPr>
            <w:tcW w:w="4746" w:type="dxa"/>
            <w:tcBorders>
              <w:top w:val="nil"/>
              <w:left w:val="nil"/>
              <w:bottom w:val="nil"/>
              <w:right w:val="nil"/>
            </w:tcBorders>
            <w:shd w:val="clear" w:color="auto" w:fill="auto"/>
            <w:noWrap/>
            <w:vAlign w:val="center"/>
            <w:hideMark/>
          </w:tcPr>
          <w:p w14:paraId="6486C807" w14:textId="77777777" w:rsidR="0039438F" w:rsidRPr="00397F4D" w:rsidRDefault="0039438F" w:rsidP="0039438F">
            <w:pPr>
              <w:spacing w:after="0" w:line="240" w:lineRule="auto"/>
              <w:rPr>
                <w:rFonts w:ascii="Arial" w:eastAsia="Times New Roman" w:hAnsi="Arial" w:cs="Arial"/>
                <w:sz w:val="20"/>
                <w:szCs w:val="20"/>
                <w:lang w:eastAsia="en-GB"/>
              </w:rPr>
            </w:pPr>
            <w:r w:rsidRPr="00397F4D">
              <w:rPr>
                <w:rFonts w:ascii="Arial" w:eastAsia="Times New Roman" w:hAnsi="Arial" w:cs="Arial"/>
                <w:sz w:val="20"/>
                <w:szCs w:val="20"/>
                <w:lang w:eastAsia="en-GB"/>
              </w:rPr>
              <w:t>Trade creditors</w:t>
            </w:r>
          </w:p>
        </w:tc>
        <w:tc>
          <w:tcPr>
            <w:tcW w:w="852" w:type="dxa"/>
            <w:tcBorders>
              <w:top w:val="nil"/>
              <w:left w:val="nil"/>
              <w:bottom w:val="nil"/>
              <w:right w:val="nil"/>
            </w:tcBorders>
            <w:shd w:val="clear" w:color="auto" w:fill="auto"/>
            <w:noWrap/>
            <w:vAlign w:val="center"/>
          </w:tcPr>
          <w:p w14:paraId="21B4AFA7" w14:textId="77777777" w:rsidR="0039438F" w:rsidRPr="00397F4D" w:rsidRDefault="002367A2" w:rsidP="0039438F">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2,683</w:t>
            </w:r>
          </w:p>
        </w:tc>
        <w:tc>
          <w:tcPr>
            <w:tcW w:w="1140" w:type="dxa"/>
            <w:tcBorders>
              <w:top w:val="nil"/>
              <w:left w:val="nil"/>
              <w:bottom w:val="nil"/>
              <w:right w:val="nil"/>
            </w:tcBorders>
            <w:shd w:val="clear" w:color="auto" w:fill="auto"/>
            <w:noWrap/>
            <w:vAlign w:val="center"/>
            <w:hideMark/>
          </w:tcPr>
          <w:p w14:paraId="2BC35DDB" w14:textId="77777777" w:rsidR="0039438F" w:rsidRPr="0039438F" w:rsidRDefault="0039438F" w:rsidP="0039438F">
            <w:pPr>
              <w:spacing w:after="0" w:line="240" w:lineRule="auto"/>
              <w:jc w:val="right"/>
              <w:rPr>
                <w:rFonts w:ascii="Arial" w:eastAsia="Times New Roman" w:hAnsi="Arial" w:cs="Arial"/>
                <w:sz w:val="20"/>
                <w:szCs w:val="20"/>
                <w:lang w:eastAsia="en-GB"/>
              </w:rPr>
            </w:pPr>
            <w:r w:rsidRPr="0039438F">
              <w:rPr>
                <w:rFonts w:ascii="Arial" w:eastAsia="Times New Roman" w:hAnsi="Arial" w:cs="Arial"/>
                <w:bCs/>
                <w:sz w:val="20"/>
                <w:szCs w:val="20"/>
                <w:lang w:eastAsia="en-GB"/>
              </w:rPr>
              <w:t>3,308</w:t>
            </w:r>
          </w:p>
        </w:tc>
        <w:tc>
          <w:tcPr>
            <w:tcW w:w="1342" w:type="dxa"/>
            <w:gridSpan w:val="2"/>
            <w:tcBorders>
              <w:top w:val="nil"/>
              <w:left w:val="nil"/>
              <w:bottom w:val="nil"/>
              <w:right w:val="nil"/>
            </w:tcBorders>
            <w:shd w:val="clear" w:color="auto" w:fill="auto"/>
            <w:noWrap/>
            <w:vAlign w:val="center"/>
          </w:tcPr>
          <w:p w14:paraId="00F45947" w14:textId="77777777" w:rsidR="0039438F" w:rsidRPr="00B921F3" w:rsidRDefault="000974F6" w:rsidP="0039438F">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894</w:t>
            </w:r>
          </w:p>
        </w:tc>
        <w:tc>
          <w:tcPr>
            <w:tcW w:w="1045" w:type="dxa"/>
            <w:tcBorders>
              <w:top w:val="nil"/>
              <w:left w:val="nil"/>
              <w:bottom w:val="nil"/>
              <w:right w:val="nil"/>
            </w:tcBorders>
            <w:shd w:val="clear" w:color="auto" w:fill="auto"/>
            <w:noWrap/>
            <w:vAlign w:val="center"/>
            <w:hideMark/>
          </w:tcPr>
          <w:p w14:paraId="3911AD8B" w14:textId="77777777" w:rsidR="0039438F" w:rsidRPr="0039438F" w:rsidRDefault="0039438F" w:rsidP="0039438F">
            <w:pPr>
              <w:spacing w:after="0" w:line="240" w:lineRule="auto"/>
              <w:jc w:val="right"/>
              <w:rPr>
                <w:rFonts w:ascii="Arial" w:eastAsia="Times New Roman" w:hAnsi="Arial" w:cs="Arial"/>
                <w:sz w:val="20"/>
                <w:szCs w:val="20"/>
                <w:lang w:eastAsia="en-GB"/>
              </w:rPr>
            </w:pPr>
            <w:r w:rsidRPr="0039438F">
              <w:rPr>
                <w:rFonts w:ascii="Arial" w:eastAsia="Times New Roman" w:hAnsi="Arial" w:cs="Arial"/>
                <w:bCs/>
                <w:sz w:val="20"/>
                <w:szCs w:val="20"/>
                <w:lang w:eastAsia="en-GB"/>
              </w:rPr>
              <w:t>749</w:t>
            </w:r>
          </w:p>
        </w:tc>
      </w:tr>
      <w:tr w:rsidR="0039438F" w:rsidRPr="00397F4D" w14:paraId="73D5E9CF" w14:textId="77777777" w:rsidTr="00A962E4">
        <w:trPr>
          <w:trHeight w:val="317"/>
        </w:trPr>
        <w:tc>
          <w:tcPr>
            <w:tcW w:w="4746" w:type="dxa"/>
            <w:tcBorders>
              <w:top w:val="nil"/>
              <w:left w:val="nil"/>
              <w:bottom w:val="nil"/>
              <w:right w:val="nil"/>
            </w:tcBorders>
            <w:shd w:val="clear" w:color="auto" w:fill="auto"/>
            <w:noWrap/>
            <w:vAlign w:val="center"/>
            <w:hideMark/>
          </w:tcPr>
          <w:p w14:paraId="640BD3A7" w14:textId="77777777" w:rsidR="0039438F" w:rsidRPr="00397F4D" w:rsidRDefault="0039438F" w:rsidP="0039438F">
            <w:pPr>
              <w:spacing w:after="0" w:line="240" w:lineRule="auto"/>
              <w:rPr>
                <w:rFonts w:ascii="Arial" w:eastAsia="Times New Roman" w:hAnsi="Arial" w:cs="Arial"/>
                <w:sz w:val="20"/>
                <w:szCs w:val="20"/>
                <w:lang w:eastAsia="en-GB"/>
              </w:rPr>
            </w:pPr>
            <w:r w:rsidRPr="00397F4D">
              <w:rPr>
                <w:rFonts w:ascii="Arial" w:eastAsia="Times New Roman" w:hAnsi="Arial" w:cs="Arial"/>
                <w:sz w:val="20"/>
                <w:szCs w:val="20"/>
                <w:lang w:eastAsia="en-GB"/>
              </w:rPr>
              <w:t>Taxation and social security</w:t>
            </w:r>
          </w:p>
        </w:tc>
        <w:tc>
          <w:tcPr>
            <w:tcW w:w="852" w:type="dxa"/>
            <w:tcBorders>
              <w:top w:val="nil"/>
              <w:left w:val="nil"/>
              <w:bottom w:val="nil"/>
              <w:right w:val="nil"/>
            </w:tcBorders>
            <w:shd w:val="clear" w:color="auto" w:fill="auto"/>
            <w:noWrap/>
            <w:vAlign w:val="center"/>
          </w:tcPr>
          <w:p w14:paraId="34C3A0AF" w14:textId="77777777" w:rsidR="0039438F" w:rsidRPr="00397F4D" w:rsidRDefault="002367A2">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1</w:t>
            </w:r>
            <w:r w:rsidR="00497EC4">
              <w:rPr>
                <w:rFonts w:ascii="Arial" w:eastAsia="Times New Roman" w:hAnsi="Arial" w:cs="Arial"/>
                <w:b/>
                <w:bCs/>
                <w:sz w:val="20"/>
                <w:szCs w:val="20"/>
                <w:lang w:eastAsia="en-GB"/>
              </w:rPr>
              <w:t>1</w:t>
            </w:r>
            <w:r>
              <w:rPr>
                <w:rFonts w:ascii="Arial" w:eastAsia="Times New Roman" w:hAnsi="Arial" w:cs="Arial"/>
                <w:b/>
                <w:bCs/>
                <w:sz w:val="20"/>
                <w:szCs w:val="20"/>
                <w:lang w:eastAsia="en-GB"/>
              </w:rPr>
              <w:t>,</w:t>
            </w:r>
            <w:r w:rsidR="000974F6">
              <w:rPr>
                <w:rFonts w:ascii="Arial" w:eastAsia="Times New Roman" w:hAnsi="Arial" w:cs="Arial"/>
                <w:b/>
                <w:bCs/>
                <w:sz w:val="20"/>
                <w:szCs w:val="20"/>
                <w:lang w:eastAsia="en-GB"/>
              </w:rPr>
              <w:t>504</w:t>
            </w:r>
          </w:p>
        </w:tc>
        <w:tc>
          <w:tcPr>
            <w:tcW w:w="1140" w:type="dxa"/>
            <w:tcBorders>
              <w:top w:val="nil"/>
              <w:left w:val="nil"/>
              <w:bottom w:val="nil"/>
              <w:right w:val="nil"/>
            </w:tcBorders>
            <w:shd w:val="clear" w:color="auto" w:fill="auto"/>
            <w:noWrap/>
            <w:vAlign w:val="center"/>
            <w:hideMark/>
          </w:tcPr>
          <w:p w14:paraId="4FF82C72" w14:textId="77777777" w:rsidR="0039438F" w:rsidRPr="0039438F" w:rsidRDefault="000C5A33" w:rsidP="0039438F">
            <w:pPr>
              <w:spacing w:after="0" w:line="240" w:lineRule="auto"/>
              <w:jc w:val="right"/>
              <w:rPr>
                <w:rFonts w:ascii="Arial" w:eastAsia="Times New Roman" w:hAnsi="Arial" w:cs="Arial"/>
                <w:sz w:val="20"/>
                <w:szCs w:val="20"/>
                <w:lang w:eastAsia="en-GB"/>
              </w:rPr>
            </w:pPr>
            <w:r>
              <w:rPr>
                <w:rFonts w:ascii="Arial" w:eastAsia="Times New Roman" w:hAnsi="Arial" w:cs="Arial"/>
                <w:bCs/>
                <w:sz w:val="20"/>
                <w:szCs w:val="20"/>
                <w:lang w:eastAsia="en-GB"/>
              </w:rPr>
              <w:t>2,961</w:t>
            </w:r>
          </w:p>
        </w:tc>
        <w:tc>
          <w:tcPr>
            <w:tcW w:w="1342" w:type="dxa"/>
            <w:gridSpan w:val="2"/>
            <w:tcBorders>
              <w:top w:val="nil"/>
              <w:left w:val="nil"/>
              <w:bottom w:val="nil"/>
              <w:right w:val="nil"/>
            </w:tcBorders>
            <w:shd w:val="clear" w:color="auto" w:fill="auto"/>
            <w:noWrap/>
            <w:vAlign w:val="center"/>
          </w:tcPr>
          <w:p w14:paraId="7ECDE734" w14:textId="77777777" w:rsidR="0039438F" w:rsidRPr="00B921F3" w:rsidRDefault="00497EC4" w:rsidP="0039438F">
            <w:pPr>
              <w:spacing w:after="0" w:line="240" w:lineRule="auto"/>
              <w:jc w:val="right"/>
              <w:rPr>
                <w:rFonts w:ascii="Arial" w:eastAsia="Times New Roman" w:hAnsi="Arial" w:cs="Arial"/>
                <w:b/>
                <w:bCs/>
                <w:sz w:val="20"/>
                <w:szCs w:val="20"/>
                <w:lang w:eastAsia="en-GB"/>
              </w:rPr>
            </w:pPr>
            <w:r w:rsidRPr="00B921F3">
              <w:rPr>
                <w:rFonts w:ascii="Arial" w:eastAsia="Times New Roman" w:hAnsi="Arial" w:cs="Arial"/>
                <w:b/>
                <w:bCs/>
                <w:sz w:val="20"/>
                <w:szCs w:val="20"/>
                <w:lang w:eastAsia="en-GB"/>
              </w:rPr>
              <w:t>3,427</w:t>
            </w:r>
          </w:p>
        </w:tc>
        <w:tc>
          <w:tcPr>
            <w:tcW w:w="1045" w:type="dxa"/>
            <w:tcBorders>
              <w:top w:val="nil"/>
              <w:left w:val="nil"/>
              <w:bottom w:val="nil"/>
              <w:right w:val="nil"/>
            </w:tcBorders>
            <w:shd w:val="clear" w:color="auto" w:fill="auto"/>
            <w:noWrap/>
            <w:vAlign w:val="center"/>
            <w:hideMark/>
          </w:tcPr>
          <w:p w14:paraId="3C2BB545" w14:textId="77777777" w:rsidR="0039438F" w:rsidRPr="0039438F" w:rsidRDefault="0039438F" w:rsidP="0039438F">
            <w:pPr>
              <w:spacing w:after="0" w:line="240" w:lineRule="auto"/>
              <w:jc w:val="right"/>
              <w:rPr>
                <w:rFonts w:ascii="Arial" w:eastAsia="Times New Roman" w:hAnsi="Arial" w:cs="Arial"/>
                <w:sz w:val="20"/>
                <w:szCs w:val="20"/>
                <w:lang w:eastAsia="en-GB"/>
              </w:rPr>
            </w:pPr>
            <w:r w:rsidRPr="0039438F">
              <w:rPr>
                <w:rFonts w:ascii="Arial" w:eastAsia="Times New Roman" w:hAnsi="Arial" w:cs="Arial"/>
                <w:bCs/>
                <w:sz w:val="20"/>
                <w:szCs w:val="20"/>
                <w:lang w:eastAsia="en-GB"/>
              </w:rPr>
              <w:t>1,226</w:t>
            </w:r>
          </w:p>
        </w:tc>
      </w:tr>
      <w:tr w:rsidR="0039438F" w:rsidRPr="00397F4D" w14:paraId="0199162A" w14:textId="77777777" w:rsidTr="00A962E4">
        <w:trPr>
          <w:trHeight w:val="317"/>
        </w:trPr>
        <w:tc>
          <w:tcPr>
            <w:tcW w:w="4746" w:type="dxa"/>
            <w:tcBorders>
              <w:top w:val="nil"/>
              <w:left w:val="nil"/>
              <w:bottom w:val="nil"/>
              <w:right w:val="nil"/>
            </w:tcBorders>
            <w:shd w:val="clear" w:color="auto" w:fill="auto"/>
            <w:noWrap/>
            <w:vAlign w:val="center"/>
            <w:hideMark/>
          </w:tcPr>
          <w:p w14:paraId="7077B0EB" w14:textId="77777777" w:rsidR="0039438F" w:rsidRPr="00397F4D" w:rsidRDefault="0039438F" w:rsidP="0039438F">
            <w:pPr>
              <w:spacing w:after="0" w:line="240" w:lineRule="auto"/>
              <w:rPr>
                <w:rFonts w:ascii="Arial" w:eastAsia="Times New Roman" w:hAnsi="Arial" w:cs="Arial"/>
                <w:sz w:val="20"/>
                <w:szCs w:val="20"/>
                <w:lang w:eastAsia="en-GB"/>
              </w:rPr>
            </w:pPr>
            <w:r w:rsidRPr="00397F4D">
              <w:rPr>
                <w:rFonts w:ascii="Arial" w:eastAsia="Times New Roman" w:hAnsi="Arial" w:cs="Arial"/>
                <w:sz w:val="20"/>
                <w:szCs w:val="20"/>
                <w:lang w:eastAsia="en-GB"/>
              </w:rPr>
              <w:t>Other creditors</w:t>
            </w:r>
          </w:p>
        </w:tc>
        <w:tc>
          <w:tcPr>
            <w:tcW w:w="852" w:type="dxa"/>
            <w:tcBorders>
              <w:top w:val="nil"/>
              <w:left w:val="nil"/>
              <w:bottom w:val="nil"/>
              <w:right w:val="nil"/>
            </w:tcBorders>
            <w:shd w:val="clear" w:color="auto" w:fill="auto"/>
            <w:noWrap/>
            <w:vAlign w:val="center"/>
          </w:tcPr>
          <w:p w14:paraId="3ACB17FD" w14:textId="77777777" w:rsidR="0039438F" w:rsidRPr="00397F4D" w:rsidRDefault="002367A2" w:rsidP="0039438F">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3,155</w:t>
            </w:r>
          </w:p>
        </w:tc>
        <w:tc>
          <w:tcPr>
            <w:tcW w:w="1140" w:type="dxa"/>
            <w:tcBorders>
              <w:top w:val="nil"/>
              <w:left w:val="nil"/>
              <w:bottom w:val="nil"/>
              <w:right w:val="nil"/>
            </w:tcBorders>
            <w:shd w:val="clear" w:color="auto" w:fill="auto"/>
            <w:noWrap/>
            <w:vAlign w:val="center"/>
            <w:hideMark/>
          </w:tcPr>
          <w:p w14:paraId="1C641F0D" w14:textId="77777777" w:rsidR="0039438F" w:rsidRPr="0039438F" w:rsidRDefault="000C5A33" w:rsidP="0039438F">
            <w:pPr>
              <w:spacing w:after="0" w:line="240" w:lineRule="auto"/>
              <w:jc w:val="right"/>
              <w:rPr>
                <w:rFonts w:ascii="Arial" w:eastAsia="Times New Roman" w:hAnsi="Arial" w:cs="Arial"/>
                <w:sz w:val="20"/>
                <w:szCs w:val="20"/>
                <w:lang w:eastAsia="en-GB"/>
              </w:rPr>
            </w:pPr>
            <w:r>
              <w:rPr>
                <w:rFonts w:ascii="Arial" w:eastAsia="Times New Roman" w:hAnsi="Arial" w:cs="Arial"/>
                <w:bCs/>
                <w:sz w:val="20"/>
                <w:szCs w:val="20"/>
                <w:lang w:eastAsia="en-GB"/>
              </w:rPr>
              <w:t>1,140</w:t>
            </w:r>
          </w:p>
        </w:tc>
        <w:tc>
          <w:tcPr>
            <w:tcW w:w="1342" w:type="dxa"/>
            <w:gridSpan w:val="2"/>
            <w:tcBorders>
              <w:top w:val="nil"/>
              <w:left w:val="nil"/>
              <w:bottom w:val="nil"/>
              <w:right w:val="nil"/>
            </w:tcBorders>
            <w:shd w:val="clear" w:color="auto" w:fill="auto"/>
            <w:noWrap/>
            <w:vAlign w:val="center"/>
          </w:tcPr>
          <w:p w14:paraId="4807FCE8" w14:textId="77777777" w:rsidR="0039438F" w:rsidRPr="00B921F3" w:rsidRDefault="002367A2" w:rsidP="0039438F">
            <w:pPr>
              <w:spacing w:after="0" w:line="240" w:lineRule="auto"/>
              <w:jc w:val="right"/>
              <w:rPr>
                <w:rFonts w:ascii="Arial" w:eastAsia="Times New Roman" w:hAnsi="Arial" w:cs="Arial"/>
                <w:b/>
                <w:bCs/>
                <w:sz w:val="20"/>
                <w:szCs w:val="20"/>
                <w:lang w:eastAsia="en-GB"/>
              </w:rPr>
            </w:pPr>
            <w:r w:rsidRPr="00B921F3">
              <w:rPr>
                <w:rFonts w:ascii="Arial" w:eastAsia="Times New Roman" w:hAnsi="Arial" w:cs="Arial"/>
                <w:b/>
                <w:bCs/>
                <w:sz w:val="20"/>
                <w:szCs w:val="20"/>
                <w:lang w:eastAsia="en-GB"/>
              </w:rPr>
              <w:t>-</w:t>
            </w:r>
          </w:p>
        </w:tc>
        <w:tc>
          <w:tcPr>
            <w:tcW w:w="1045" w:type="dxa"/>
            <w:tcBorders>
              <w:top w:val="nil"/>
              <w:left w:val="nil"/>
              <w:bottom w:val="nil"/>
              <w:right w:val="nil"/>
            </w:tcBorders>
            <w:shd w:val="clear" w:color="auto" w:fill="auto"/>
            <w:noWrap/>
            <w:vAlign w:val="center"/>
            <w:hideMark/>
          </w:tcPr>
          <w:p w14:paraId="757E192F" w14:textId="77777777" w:rsidR="0039438F" w:rsidRPr="0039438F" w:rsidRDefault="0039438F" w:rsidP="0039438F">
            <w:pPr>
              <w:spacing w:after="0" w:line="240" w:lineRule="auto"/>
              <w:jc w:val="right"/>
              <w:rPr>
                <w:rFonts w:ascii="Arial" w:eastAsia="Times New Roman" w:hAnsi="Arial" w:cs="Arial"/>
                <w:sz w:val="20"/>
                <w:szCs w:val="20"/>
                <w:lang w:eastAsia="en-GB"/>
              </w:rPr>
            </w:pPr>
            <w:r w:rsidRPr="0039438F">
              <w:rPr>
                <w:rFonts w:ascii="Arial" w:eastAsia="Times New Roman" w:hAnsi="Arial" w:cs="Arial"/>
                <w:bCs/>
                <w:sz w:val="20"/>
                <w:szCs w:val="20"/>
                <w:lang w:eastAsia="en-GB"/>
              </w:rPr>
              <w:t>-</w:t>
            </w:r>
          </w:p>
        </w:tc>
      </w:tr>
      <w:tr w:rsidR="0039438F" w:rsidRPr="00397F4D" w14:paraId="041B4D23" w14:textId="77777777" w:rsidTr="00A962E4">
        <w:trPr>
          <w:trHeight w:val="317"/>
        </w:trPr>
        <w:tc>
          <w:tcPr>
            <w:tcW w:w="4746" w:type="dxa"/>
            <w:tcBorders>
              <w:top w:val="nil"/>
              <w:left w:val="nil"/>
              <w:bottom w:val="nil"/>
              <w:right w:val="nil"/>
            </w:tcBorders>
            <w:shd w:val="clear" w:color="auto" w:fill="auto"/>
            <w:noWrap/>
            <w:vAlign w:val="center"/>
            <w:hideMark/>
          </w:tcPr>
          <w:p w14:paraId="68F406EC" w14:textId="77777777" w:rsidR="0039438F" w:rsidRPr="00397F4D" w:rsidRDefault="0039438F" w:rsidP="0039438F">
            <w:pPr>
              <w:spacing w:after="0" w:line="240" w:lineRule="auto"/>
              <w:outlineLvl w:val="0"/>
              <w:rPr>
                <w:rFonts w:ascii="Arial" w:eastAsia="Times New Roman" w:hAnsi="Arial" w:cs="Arial"/>
                <w:sz w:val="20"/>
                <w:szCs w:val="20"/>
                <w:lang w:eastAsia="en-GB"/>
              </w:rPr>
            </w:pPr>
            <w:r w:rsidRPr="00397F4D">
              <w:rPr>
                <w:rFonts w:ascii="Arial" w:eastAsia="Times New Roman" w:hAnsi="Arial" w:cs="Arial"/>
                <w:sz w:val="20"/>
                <w:szCs w:val="20"/>
                <w:lang w:eastAsia="en-GB"/>
              </w:rPr>
              <w:t>Loans</w:t>
            </w:r>
          </w:p>
        </w:tc>
        <w:tc>
          <w:tcPr>
            <w:tcW w:w="852" w:type="dxa"/>
            <w:tcBorders>
              <w:top w:val="nil"/>
              <w:left w:val="nil"/>
              <w:bottom w:val="nil"/>
              <w:right w:val="nil"/>
            </w:tcBorders>
            <w:shd w:val="clear" w:color="auto" w:fill="auto"/>
            <w:noWrap/>
            <w:vAlign w:val="center"/>
          </w:tcPr>
          <w:p w14:paraId="74BA7861" w14:textId="77777777" w:rsidR="0039438F" w:rsidRPr="00397F4D" w:rsidRDefault="00497EC4" w:rsidP="0039438F">
            <w:pPr>
              <w:spacing w:after="0" w:line="240" w:lineRule="auto"/>
              <w:jc w:val="right"/>
              <w:outlineLvl w:val="0"/>
              <w:rPr>
                <w:rFonts w:ascii="Arial" w:eastAsia="Times New Roman" w:hAnsi="Arial" w:cs="Arial"/>
                <w:b/>
                <w:bCs/>
                <w:sz w:val="20"/>
                <w:szCs w:val="20"/>
                <w:lang w:eastAsia="en-GB"/>
              </w:rPr>
            </w:pPr>
            <w:r>
              <w:rPr>
                <w:rFonts w:ascii="Arial" w:eastAsia="Times New Roman" w:hAnsi="Arial" w:cs="Arial"/>
                <w:b/>
                <w:bCs/>
                <w:sz w:val="20"/>
                <w:szCs w:val="20"/>
                <w:lang w:eastAsia="en-GB"/>
              </w:rPr>
              <w:t>1,</w:t>
            </w:r>
            <w:r w:rsidR="002367A2">
              <w:rPr>
                <w:rFonts w:ascii="Arial" w:eastAsia="Times New Roman" w:hAnsi="Arial" w:cs="Arial"/>
                <w:b/>
                <w:bCs/>
                <w:sz w:val="20"/>
                <w:szCs w:val="20"/>
                <w:lang w:eastAsia="en-GB"/>
              </w:rPr>
              <w:t>233</w:t>
            </w:r>
          </w:p>
        </w:tc>
        <w:tc>
          <w:tcPr>
            <w:tcW w:w="1140" w:type="dxa"/>
            <w:tcBorders>
              <w:top w:val="nil"/>
              <w:left w:val="nil"/>
              <w:bottom w:val="nil"/>
              <w:right w:val="nil"/>
            </w:tcBorders>
            <w:shd w:val="clear" w:color="auto" w:fill="auto"/>
            <w:noWrap/>
            <w:vAlign w:val="center"/>
            <w:hideMark/>
          </w:tcPr>
          <w:p w14:paraId="30A91514" w14:textId="77777777" w:rsidR="0039438F" w:rsidRPr="0039438F" w:rsidRDefault="0039438F" w:rsidP="0039438F">
            <w:pPr>
              <w:spacing w:after="0" w:line="240" w:lineRule="auto"/>
              <w:jc w:val="right"/>
              <w:outlineLvl w:val="0"/>
              <w:rPr>
                <w:rFonts w:ascii="Arial" w:eastAsia="Times New Roman" w:hAnsi="Arial" w:cs="Arial"/>
                <w:sz w:val="20"/>
                <w:szCs w:val="20"/>
                <w:lang w:eastAsia="en-GB"/>
              </w:rPr>
            </w:pPr>
            <w:r w:rsidRPr="0039438F">
              <w:rPr>
                <w:rFonts w:ascii="Arial" w:eastAsia="Times New Roman" w:hAnsi="Arial" w:cs="Arial"/>
                <w:bCs/>
                <w:sz w:val="20"/>
                <w:szCs w:val="20"/>
                <w:lang w:eastAsia="en-GB"/>
              </w:rPr>
              <w:t>174</w:t>
            </w:r>
          </w:p>
        </w:tc>
        <w:tc>
          <w:tcPr>
            <w:tcW w:w="1342" w:type="dxa"/>
            <w:gridSpan w:val="2"/>
            <w:tcBorders>
              <w:top w:val="nil"/>
              <w:left w:val="nil"/>
              <w:bottom w:val="nil"/>
              <w:right w:val="nil"/>
            </w:tcBorders>
            <w:shd w:val="clear" w:color="auto" w:fill="auto"/>
            <w:noWrap/>
            <w:vAlign w:val="center"/>
          </w:tcPr>
          <w:p w14:paraId="619A7336" w14:textId="77777777" w:rsidR="0039438F" w:rsidRPr="00B921F3" w:rsidRDefault="00497EC4" w:rsidP="0039438F">
            <w:pPr>
              <w:spacing w:after="0" w:line="240" w:lineRule="auto"/>
              <w:jc w:val="right"/>
              <w:outlineLvl w:val="0"/>
              <w:rPr>
                <w:rFonts w:ascii="Arial" w:eastAsia="Times New Roman" w:hAnsi="Arial" w:cs="Arial"/>
                <w:b/>
                <w:bCs/>
                <w:sz w:val="20"/>
                <w:szCs w:val="20"/>
                <w:lang w:eastAsia="en-GB"/>
              </w:rPr>
            </w:pPr>
            <w:r w:rsidRPr="00B921F3">
              <w:rPr>
                <w:rFonts w:ascii="Arial" w:eastAsia="Times New Roman" w:hAnsi="Arial" w:cs="Arial"/>
                <w:b/>
                <w:bCs/>
                <w:sz w:val="20"/>
                <w:szCs w:val="20"/>
                <w:lang w:eastAsia="en-GB"/>
              </w:rPr>
              <w:t>1,000</w:t>
            </w:r>
          </w:p>
        </w:tc>
        <w:tc>
          <w:tcPr>
            <w:tcW w:w="1045" w:type="dxa"/>
            <w:tcBorders>
              <w:top w:val="nil"/>
              <w:left w:val="nil"/>
              <w:bottom w:val="nil"/>
              <w:right w:val="nil"/>
            </w:tcBorders>
            <w:shd w:val="clear" w:color="auto" w:fill="auto"/>
            <w:noWrap/>
            <w:vAlign w:val="center"/>
            <w:hideMark/>
          </w:tcPr>
          <w:p w14:paraId="7D42BB60" w14:textId="77777777" w:rsidR="0039438F" w:rsidRPr="0039438F" w:rsidRDefault="0039438F" w:rsidP="0039438F">
            <w:pPr>
              <w:spacing w:after="0" w:line="240" w:lineRule="auto"/>
              <w:jc w:val="right"/>
              <w:outlineLvl w:val="0"/>
              <w:rPr>
                <w:rFonts w:ascii="Arial" w:eastAsia="Times New Roman" w:hAnsi="Arial" w:cs="Arial"/>
                <w:sz w:val="20"/>
                <w:szCs w:val="20"/>
                <w:lang w:eastAsia="en-GB"/>
              </w:rPr>
            </w:pPr>
            <w:r w:rsidRPr="0039438F">
              <w:rPr>
                <w:rFonts w:ascii="Arial" w:eastAsia="Times New Roman" w:hAnsi="Arial" w:cs="Arial"/>
                <w:bCs/>
                <w:sz w:val="20"/>
                <w:szCs w:val="20"/>
                <w:lang w:eastAsia="en-GB"/>
              </w:rPr>
              <w:t>-</w:t>
            </w:r>
          </w:p>
        </w:tc>
      </w:tr>
      <w:tr w:rsidR="0039438F" w:rsidRPr="00397F4D" w14:paraId="54E84EBF" w14:textId="77777777" w:rsidTr="00A962E4">
        <w:trPr>
          <w:trHeight w:val="317"/>
        </w:trPr>
        <w:tc>
          <w:tcPr>
            <w:tcW w:w="4746" w:type="dxa"/>
            <w:tcBorders>
              <w:top w:val="nil"/>
              <w:left w:val="nil"/>
              <w:bottom w:val="nil"/>
              <w:right w:val="nil"/>
            </w:tcBorders>
            <w:shd w:val="clear" w:color="auto" w:fill="auto"/>
            <w:noWrap/>
            <w:vAlign w:val="center"/>
            <w:hideMark/>
          </w:tcPr>
          <w:p w14:paraId="266AE38D" w14:textId="77777777" w:rsidR="0039438F" w:rsidRPr="00397F4D" w:rsidRDefault="0039438F" w:rsidP="0039438F">
            <w:pPr>
              <w:spacing w:after="0" w:line="240" w:lineRule="auto"/>
              <w:rPr>
                <w:rFonts w:ascii="Arial" w:eastAsia="Times New Roman" w:hAnsi="Arial" w:cs="Arial"/>
                <w:sz w:val="20"/>
                <w:szCs w:val="20"/>
                <w:lang w:eastAsia="en-GB"/>
              </w:rPr>
            </w:pPr>
            <w:r w:rsidRPr="00397F4D">
              <w:rPr>
                <w:rFonts w:ascii="Arial" w:eastAsia="Times New Roman" w:hAnsi="Arial" w:cs="Arial"/>
                <w:sz w:val="20"/>
                <w:szCs w:val="20"/>
                <w:lang w:eastAsia="en-GB"/>
              </w:rPr>
              <w:t>Accruals</w:t>
            </w:r>
          </w:p>
        </w:tc>
        <w:tc>
          <w:tcPr>
            <w:tcW w:w="852" w:type="dxa"/>
            <w:tcBorders>
              <w:top w:val="nil"/>
              <w:left w:val="nil"/>
              <w:bottom w:val="nil"/>
              <w:right w:val="nil"/>
            </w:tcBorders>
            <w:shd w:val="clear" w:color="auto" w:fill="auto"/>
            <w:noWrap/>
            <w:vAlign w:val="center"/>
          </w:tcPr>
          <w:p w14:paraId="6DA855A9" w14:textId="77777777" w:rsidR="0039438F" w:rsidRPr="00397F4D" w:rsidRDefault="002367A2" w:rsidP="0039438F">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2</w:t>
            </w:r>
            <w:r w:rsidR="000C489C">
              <w:rPr>
                <w:rFonts w:ascii="Arial" w:eastAsia="Times New Roman" w:hAnsi="Arial" w:cs="Arial"/>
                <w:b/>
                <w:bCs/>
                <w:sz w:val="20"/>
                <w:szCs w:val="20"/>
                <w:lang w:eastAsia="en-GB"/>
              </w:rPr>
              <w:t>5,10</w:t>
            </w:r>
            <w:r w:rsidR="00497EC4">
              <w:rPr>
                <w:rFonts w:ascii="Arial" w:eastAsia="Times New Roman" w:hAnsi="Arial" w:cs="Arial"/>
                <w:b/>
                <w:bCs/>
                <w:sz w:val="20"/>
                <w:szCs w:val="20"/>
                <w:lang w:eastAsia="en-GB"/>
              </w:rPr>
              <w:t>5</w:t>
            </w:r>
          </w:p>
        </w:tc>
        <w:tc>
          <w:tcPr>
            <w:tcW w:w="1140" w:type="dxa"/>
            <w:tcBorders>
              <w:top w:val="nil"/>
              <w:left w:val="nil"/>
              <w:bottom w:val="nil"/>
              <w:right w:val="nil"/>
            </w:tcBorders>
            <w:shd w:val="clear" w:color="auto" w:fill="auto"/>
            <w:noWrap/>
            <w:vAlign w:val="center"/>
            <w:hideMark/>
          </w:tcPr>
          <w:p w14:paraId="6DEB327F" w14:textId="77777777" w:rsidR="0039438F" w:rsidRPr="0039438F" w:rsidRDefault="000C5A33" w:rsidP="0039438F">
            <w:pPr>
              <w:spacing w:after="0" w:line="240" w:lineRule="auto"/>
              <w:jc w:val="right"/>
              <w:rPr>
                <w:rFonts w:ascii="Arial" w:eastAsia="Times New Roman" w:hAnsi="Arial" w:cs="Arial"/>
                <w:sz w:val="20"/>
                <w:szCs w:val="20"/>
                <w:lang w:eastAsia="en-GB"/>
              </w:rPr>
            </w:pPr>
            <w:r>
              <w:rPr>
                <w:rFonts w:ascii="Arial" w:eastAsia="Times New Roman" w:hAnsi="Arial" w:cs="Arial"/>
                <w:bCs/>
                <w:sz w:val="20"/>
                <w:szCs w:val="20"/>
                <w:lang w:eastAsia="en-GB"/>
              </w:rPr>
              <w:t>19,825</w:t>
            </w:r>
          </w:p>
        </w:tc>
        <w:tc>
          <w:tcPr>
            <w:tcW w:w="1342" w:type="dxa"/>
            <w:gridSpan w:val="2"/>
            <w:tcBorders>
              <w:top w:val="nil"/>
              <w:left w:val="nil"/>
              <w:bottom w:val="nil"/>
              <w:right w:val="nil"/>
            </w:tcBorders>
            <w:shd w:val="clear" w:color="auto" w:fill="auto"/>
            <w:noWrap/>
            <w:vAlign w:val="center"/>
          </w:tcPr>
          <w:p w14:paraId="72FD26F2" w14:textId="77777777" w:rsidR="0039438F" w:rsidRPr="00B921F3" w:rsidRDefault="000C489C" w:rsidP="0039438F">
            <w:pPr>
              <w:spacing w:after="0" w:line="240" w:lineRule="auto"/>
              <w:jc w:val="right"/>
              <w:rPr>
                <w:rFonts w:ascii="Arial" w:eastAsia="Times New Roman" w:hAnsi="Arial" w:cs="Arial"/>
                <w:b/>
                <w:bCs/>
                <w:sz w:val="20"/>
                <w:szCs w:val="20"/>
                <w:lang w:eastAsia="en-GB"/>
              </w:rPr>
            </w:pPr>
            <w:r w:rsidRPr="00B921F3">
              <w:rPr>
                <w:rFonts w:ascii="Arial" w:eastAsia="Times New Roman" w:hAnsi="Arial" w:cs="Arial"/>
                <w:b/>
                <w:bCs/>
                <w:sz w:val="20"/>
                <w:szCs w:val="20"/>
                <w:lang w:eastAsia="en-GB"/>
              </w:rPr>
              <w:t>5,439</w:t>
            </w:r>
          </w:p>
        </w:tc>
        <w:tc>
          <w:tcPr>
            <w:tcW w:w="1045" w:type="dxa"/>
            <w:tcBorders>
              <w:top w:val="nil"/>
              <w:left w:val="nil"/>
              <w:bottom w:val="nil"/>
              <w:right w:val="nil"/>
            </w:tcBorders>
            <w:shd w:val="clear" w:color="auto" w:fill="auto"/>
            <w:noWrap/>
            <w:vAlign w:val="center"/>
            <w:hideMark/>
          </w:tcPr>
          <w:p w14:paraId="74CC1902" w14:textId="77777777" w:rsidR="0039438F" w:rsidRPr="0039438F" w:rsidRDefault="0039438F" w:rsidP="0039438F">
            <w:pPr>
              <w:spacing w:after="0" w:line="240" w:lineRule="auto"/>
              <w:jc w:val="right"/>
              <w:rPr>
                <w:rFonts w:ascii="Arial" w:eastAsia="Times New Roman" w:hAnsi="Arial" w:cs="Arial"/>
                <w:sz w:val="20"/>
                <w:szCs w:val="20"/>
                <w:lang w:eastAsia="en-GB"/>
              </w:rPr>
            </w:pPr>
            <w:r w:rsidRPr="0039438F">
              <w:rPr>
                <w:rFonts w:ascii="Arial" w:eastAsia="Times New Roman" w:hAnsi="Arial" w:cs="Arial"/>
                <w:bCs/>
                <w:sz w:val="20"/>
                <w:szCs w:val="20"/>
                <w:lang w:eastAsia="en-GB"/>
              </w:rPr>
              <w:t>5,098</w:t>
            </w:r>
          </w:p>
        </w:tc>
      </w:tr>
      <w:tr w:rsidR="0039438F" w:rsidRPr="00397F4D" w14:paraId="0AB3F073" w14:textId="77777777" w:rsidTr="00A962E4">
        <w:trPr>
          <w:trHeight w:val="317"/>
        </w:trPr>
        <w:tc>
          <w:tcPr>
            <w:tcW w:w="4746" w:type="dxa"/>
            <w:tcBorders>
              <w:top w:val="nil"/>
              <w:left w:val="nil"/>
              <w:bottom w:val="single" w:sz="4" w:space="0" w:color="auto"/>
              <w:right w:val="nil"/>
            </w:tcBorders>
            <w:shd w:val="clear" w:color="auto" w:fill="auto"/>
            <w:noWrap/>
            <w:vAlign w:val="center"/>
            <w:hideMark/>
          </w:tcPr>
          <w:p w14:paraId="6F21DA50" w14:textId="77777777" w:rsidR="0039438F" w:rsidRPr="00397F4D" w:rsidRDefault="00AA394E" w:rsidP="0039438F">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Deferred income</w:t>
            </w:r>
          </w:p>
        </w:tc>
        <w:tc>
          <w:tcPr>
            <w:tcW w:w="852" w:type="dxa"/>
            <w:tcBorders>
              <w:top w:val="nil"/>
              <w:left w:val="nil"/>
              <w:bottom w:val="nil"/>
              <w:right w:val="nil"/>
            </w:tcBorders>
            <w:shd w:val="clear" w:color="auto" w:fill="auto"/>
            <w:noWrap/>
            <w:vAlign w:val="center"/>
          </w:tcPr>
          <w:p w14:paraId="00C1229B" w14:textId="77777777" w:rsidR="0039438F" w:rsidRPr="000C489C" w:rsidRDefault="002367A2" w:rsidP="0039438F">
            <w:pPr>
              <w:spacing w:after="0" w:line="240" w:lineRule="auto"/>
              <w:jc w:val="right"/>
              <w:rPr>
                <w:rFonts w:ascii="Arial" w:eastAsia="Times New Roman" w:hAnsi="Arial" w:cs="Arial"/>
                <w:b/>
                <w:bCs/>
                <w:sz w:val="20"/>
                <w:szCs w:val="20"/>
                <w:lang w:eastAsia="en-GB"/>
              </w:rPr>
            </w:pPr>
            <w:r w:rsidRPr="000C489C">
              <w:rPr>
                <w:rFonts w:ascii="Arial" w:eastAsia="Times New Roman" w:hAnsi="Arial" w:cs="Arial"/>
                <w:b/>
                <w:bCs/>
                <w:sz w:val="20"/>
                <w:szCs w:val="20"/>
                <w:lang w:eastAsia="en-GB"/>
              </w:rPr>
              <w:t>13,977</w:t>
            </w:r>
          </w:p>
        </w:tc>
        <w:tc>
          <w:tcPr>
            <w:tcW w:w="1140" w:type="dxa"/>
            <w:tcBorders>
              <w:top w:val="nil"/>
              <w:left w:val="nil"/>
              <w:bottom w:val="nil"/>
              <w:right w:val="nil"/>
            </w:tcBorders>
            <w:shd w:val="clear" w:color="auto" w:fill="auto"/>
            <w:noWrap/>
            <w:vAlign w:val="center"/>
            <w:hideMark/>
          </w:tcPr>
          <w:p w14:paraId="0C594B62" w14:textId="77777777" w:rsidR="0039438F" w:rsidRPr="000C489C" w:rsidRDefault="0039438F" w:rsidP="0039438F">
            <w:pPr>
              <w:spacing w:after="0" w:line="240" w:lineRule="auto"/>
              <w:jc w:val="right"/>
              <w:rPr>
                <w:rFonts w:ascii="Arial" w:eastAsia="Times New Roman" w:hAnsi="Arial" w:cs="Arial"/>
                <w:sz w:val="20"/>
                <w:szCs w:val="20"/>
                <w:lang w:eastAsia="en-GB"/>
              </w:rPr>
            </w:pPr>
            <w:r w:rsidRPr="000C489C">
              <w:rPr>
                <w:rFonts w:ascii="Arial" w:eastAsia="Times New Roman" w:hAnsi="Arial" w:cs="Arial"/>
                <w:bCs/>
                <w:sz w:val="20"/>
                <w:szCs w:val="20"/>
                <w:lang w:eastAsia="en-GB"/>
              </w:rPr>
              <w:t>9,017</w:t>
            </w:r>
          </w:p>
        </w:tc>
        <w:tc>
          <w:tcPr>
            <w:tcW w:w="1342" w:type="dxa"/>
            <w:gridSpan w:val="2"/>
            <w:tcBorders>
              <w:top w:val="nil"/>
              <w:left w:val="nil"/>
              <w:bottom w:val="nil"/>
              <w:right w:val="nil"/>
            </w:tcBorders>
            <w:shd w:val="clear" w:color="auto" w:fill="auto"/>
            <w:noWrap/>
            <w:vAlign w:val="center"/>
          </w:tcPr>
          <w:p w14:paraId="58ADB57C" w14:textId="77777777" w:rsidR="0039438F" w:rsidRPr="00B921F3" w:rsidRDefault="002367A2" w:rsidP="0039438F">
            <w:pPr>
              <w:spacing w:after="0" w:line="240" w:lineRule="auto"/>
              <w:jc w:val="right"/>
              <w:rPr>
                <w:rFonts w:ascii="Arial" w:eastAsia="Times New Roman" w:hAnsi="Arial" w:cs="Arial"/>
                <w:b/>
                <w:bCs/>
                <w:sz w:val="20"/>
                <w:szCs w:val="20"/>
                <w:lang w:eastAsia="en-GB"/>
              </w:rPr>
            </w:pPr>
            <w:r w:rsidRPr="00B921F3">
              <w:rPr>
                <w:rFonts w:ascii="Arial" w:eastAsia="Times New Roman" w:hAnsi="Arial" w:cs="Arial"/>
                <w:b/>
                <w:bCs/>
                <w:sz w:val="20"/>
                <w:szCs w:val="20"/>
                <w:lang w:eastAsia="en-GB"/>
              </w:rPr>
              <w:t>8,627</w:t>
            </w:r>
          </w:p>
        </w:tc>
        <w:tc>
          <w:tcPr>
            <w:tcW w:w="1045" w:type="dxa"/>
            <w:tcBorders>
              <w:top w:val="nil"/>
              <w:left w:val="nil"/>
              <w:bottom w:val="nil"/>
              <w:right w:val="nil"/>
            </w:tcBorders>
            <w:shd w:val="clear" w:color="auto" w:fill="auto"/>
            <w:noWrap/>
            <w:vAlign w:val="center"/>
            <w:hideMark/>
          </w:tcPr>
          <w:p w14:paraId="1B1834F2" w14:textId="77777777" w:rsidR="0039438F" w:rsidRPr="0039438F" w:rsidRDefault="0039438F" w:rsidP="0039438F">
            <w:pPr>
              <w:spacing w:after="0" w:line="240" w:lineRule="auto"/>
              <w:jc w:val="right"/>
              <w:rPr>
                <w:rFonts w:ascii="Arial" w:eastAsia="Times New Roman" w:hAnsi="Arial" w:cs="Arial"/>
                <w:sz w:val="20"/>
                <w:szCs w:val="20"/>
                <w:lang w:eastAsia="en-GB"/>
              </w:rPr>
            </w:pPr>
            <w:r w:rsidRPr="0039438F">
              <w:rPr>
                <w:rFonts w:ascii="Arial" w:eastAsia="Times New Roman" w:hAnsi="Arial" w:cs="Arial"/>
                <w:bCs/>
                <w:sz w:val="20"/>
                <w:szCs w:val="20"/>
                <w:lang w:eastAsia="en-GB"/>
              </w:rPr>
              <w:t>4,627</w:t>
            </w:r>
          </w:p>
        </w:tc>
      </w:tr>
      <w:tr w:rsidR="0039438F" w:rsidRPr="00397F4D" w14:paraId="559CB7DF" w14:textId="77777777" w:rsidTr="00A962E4">
        <w:trPr>
          <w:trHeight w:val="317"/>
        </w:trPr>
        <w:tc>
          <w:tcPr>
            <w:tcW w:w="4746" w:type="dxa"/>
            <w:tcBorders>
              <w:top w:val="nil"/>
              <w:left w:val="nil"/>
              <w:bottom w:val="single" w:sz="4" w:space="0" w:color="auto"/>
              <w:right w:val="nil"/>
            </w:tcBorders>
            <w:shd w:val="clear" w:color="auto" w:fill="auto"/>
            <w:noWrap/>
            <w:vAlign w:val="center"/>
            <w:hideMark/>
          </w:tcPr>
          <w:p w14:paraId="341C18A9" w14:textId="77777777" w:rsidR="0039438F" w:rsidRPr="00397F4D" w:rsidRDefault="0039438F" w:rsidP="0039438F">
            <w:pPr>
              <w:spacing w:after="0" w:line="240" w:lineRule="auto"/>
              <w:rPr>
                <w:rFonts w:ascii="Arial" w:eastAsia="Times New Roman" w:hAnsi="Arial" w:cs="Arial"/>
                <w:sz w:val="20"/>
                <w:szCs w:val="20"/>
                <w:lang w:eastAsia="en-GB"/>
              </w:rPr>
            </w:pPr>
            <w:r w:rsidRPr="00397F4D">
              <w:rPr>
                <w:rFonts w:ascii="Arial" w:eastAsia="Times New Roman" w:hAnsi="Arial" w:cs="Arial"/>
                <w:sz w:val="20"/>
                <w:szCs w:val="20"/>
                <w:lang w:eastAsia="en-GB"/>
              </w:rPr>
              <w:t>Total</w:t>
            </w:r>
          </w:p>
        </w:tc>
        <w:tc>
          <w:tcPr>
            <w:tcW w:w="852" w:type="dxa"/>
            <w:tcBorders>
              <w:top w:val="single" w:sz="4" w:space="0" w:color="auto"/>
              <w:left w:val="nil"/>
              <w:bottom w:val="single" w:sz="4" w:space="0" w:color="auto"/>
              <w:right w:val="nil"/>
            </w:tcBorders>
            <w:shd w:val="clear" w:color="auto" w:fill="auto"/>
            <w:noWrap/>
            <w:vAlign w:val="center"/>
          </w:tcPr>
          <w:p w14:paraId="34EADDAB" w14:textId="77777777" w:rsidR="0039438F" w:rsidRPr="00397F4D" w:rsidRDefault="002367A2" w:rsidP="0039438F">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5</w:t>
            </w:r>
            <w:r w:rsidR="000C489C">
              <w:rPr>
                <w:rFonts w:ascii="Arial" w:eastAsia="Times New Roman" w:hAnsi="Arial" w:cs="Arial"/>
                <w:b/>
                <w:bCs/>
                <w:sz w:val="20"/>
                <w:szCs w:val="20"/>
                <w:lang w:eastAsia="en-GB"/>
              </w:rPr>
              <w:t>7,</w:t>
            </w:r>
            <w:r w:rsidR="000974F6">
              <w:rPr>
                <w:rFonts w:ascii="Arial" w:eastAsia="Times New Roman" w:hAnsi="Arial" w:cs="Arial"/>
                <w:b/>
                <w:bCs/>
                <w:sz w:val="20"/>
                <w:szCs w:val="20"/>
                <w:lang w:eastAsia="en-GB"/>
              </w:rPr>
              <w:t>657</w:t>
            </w:r>
          </w:p>
        </w:tc>
        <w:tc>
          <w:tcPr>
            <w:tcW w:w="1140" w:type="dxa"/>
            <w:tcBorders>
              <w:top w:val="single" w:sz="4" w:space="0" w:color="auto"/>
              <w:left w:val="nil"/>
              <w:bottom w:val="single" w:sz="4" w:space="0" w:color="auto"/>
              <w:right w:val="nil"/>
            </w:tcBorders>
            <w:shd w:val="clear" w:color="auto" w:fill="auto"/>
            <w:noWrap/>
            <w:vAlign w:val="center"/>
            <w:hideMark/>
          </w:tcPr>
          <w:p w14:paraId="3146AD88" w14:textId="77777777" w:rsidR="0039438F" w:rsidRPr="0039438F" w:rsidRDefault="0039438F" w:rsidP="0039438F">
            <w:pPr>
              <w:spacing w:after="0" w:line="240" w:lineRule="auto"/>
              <w:jc w:val="right"/>
              <w:rPr>
                <w:rFonts w:ascii="Arial" w:eastAsia="Times New Roman" w:hAnsi="Arial" w:cs="Arial"/>
                <w:bCs/>
                <w:sz w:val="20"/>
                <w:szCs w:val="20"/>
                <w:lang w:eastAsia="en-GB"/>
              </w:rPr>
            </w:pPr>
            <w:r w:rsidRPr="0039438F">
              <w:rPr>
                <w:rFonts w:ascii="Arial" w:eastAsia="Times New Roman" w:hAnsi="Arial" w:cs="Arial"/>
                <w:bCs/>
                <w:sz w:val="20"/>
                <w:szCs w:val="20"/>
                <w:lang w:eastAsia="en-GB"/>
              </w:rPr>
              <w:t>36,425</w:t>
            </w:r>
          </w:p>
          <w:p w14:paraId="7F7C0E06" w14:textId="77777777" w:rsidR="0039438F" w:rsidRPr="0039438F" w:rsidRDefault="0039438F" w:rsidP="0039438F">
            <w:pPr>
              <w:spacing w:after="0" w:line="240" w:lineRule="auto"/>
              <w:jc w:val="right"/>
              <w:rPr>
                <w:rFonts w:ascii="Arial" w:eastAsia="Times New Roman" w:hAnsi="Arial" w:cs="Arial"/>
                <w:sz w:val="20"/>
                <w:szCs w:val="20"/>
                <w:lang w:eastAsia="en-GB"/>
              </w:rPr>
            </w:pPr>
          </w:p>
        </w:tc>
        <w:tc>
          <w:tcPr>
            <w:tcW w:w="1342" w:type="dxa"/>
            <w:gridSpan w:val="2"/>
            <w:tcBorders>
              <w:top w:val="single" w:sz="4" w:space="0" w:color="auto"/>
              <w:left w:val="nil"/>
              <w:bottom w:val="single" w:sz="4" w:space="0" w:color="auto"/>
              <w:right w:val="nil"/>
            </w:tcBorders>
            <w:shd w:val="clear" w:color="auto" w:fill="auto"/>
            <w:noWrap/>
            <w:vAlign w:val="center"/>
          </w:tcPr>
          <w:p w14:paraId="5532F14B" w14:textId="77777777" w:rsidR="0039438F" w:rsidRPr="00B921F3" w:rsidRDefault="000C489C" w:rsidP="0039438F">
            <w:pPr>
              <w:spacing w:after="0" w:line="240" w:lineRule="auto"/>
              <w:jc w:val="right"/>
              <w:rPr>
                <w:rFonts w:ascii="Arial" w:eastAsia="Times New Roman" w:hAnsi="Arial" w:cs="Arial"/>
                <w:b/>
                <w:bCs/>
                <w:sz w:val="20"/>
                <w:szCs w:val="20"/>
                <w:lang w:eastAsia="en-GB"/>
              </w:rPr>
            </w:pPr>
            <w:r w:rsidRPr="00B921F3">
              <w:rPr>
                <w:rFonts w:ascii="Arial" w:eastAsia="Times New Roman" w:hAnsi="Arial" w:cs="Arial"/>
                <w:b/>
                <w:bCs/>
                <w:sz w:val="20"/>
                <w:szCs w:val="20"/>
                <w:lang w:eastAsia="en-GB"/>
              </w:rPr>
              <w:t>1</w:t>
            </w:r>
            <w:r w:rsidR="000974F6">
              <w:rPr>
                <w:rFonts w:ascii="Arial" w:eastAsia="Times New Roman" w:hAnsi="Arial" w:cs="Arial"/>
                <w:b/>
                <w:bCs/>
                <w:sz w:val="20"/>
                <w:szCs w:val="20"/>
                <w:lang w:eastAsia="en-GB"/>
              </w:rPr>
              <w:t>9,387</w:t>
            </w:r>
          </w:p>
        </w:tc>
        <w:tc>
          <w:tcPr>
            <w:tcW w:w="1045" w:type="dxa"/>
            <w:tcBorders>
              <w:top w:val="single" w:sz="4" w:space="0" w:color="auto"/>
              <w:left w:val="nil"/>
              <w:bottom w:val="single" w:sz="4" w:space="0" w:color="auto"/>
              <w:right w:val="nil"/>
            </w:tcBorders>
            <w:shd w:val="clear" w:color="auto" w:fill="auto"/>
            <w:noWrap/>
            <w:vAlign w:val="center"/>
            <w:hideMark/>
          </w:tcPr>
          <w:p w14:paraId="1E5FA07E" w14:textId="77777777" w:rsidR="0039438F" w:rsidRPr="0039438F" w:rsidRDefault="0039438F" w:rsidP="0039438F">
            <w:pPr>
              <w:spacing w:after="0" w:line="240" w:lineRule="auto"/>
              <w:jc w:val="right"/>
              <w:rPr>
                <w:rFonts w:ascii="Arial" w:eastAsia="Times New Roman" w:hAnsi="Arial" w:cs="Arial"/>
                <w:sz w:val="20"/>
                <w:szCs w:val="20"/>
                <w:lang w:eastAsia="en-GB"/>
              </w:rPr>
            </w:pPr>
            <w:r w:rsidRPr="0039438F">
              <w:rPr>
                <w:rFonts w:ascii="Arial" w:eastAsia="Times New Roman" w:hAnsi="Arial" w:cs="Arial"/>
                <w:bCs/>
                <w:sz w:val="20"/>
                <w:szCs w:val="20"/>
                <w:lang w:eastAsia="en-GB"/>
              </w:rPr>
              <w:t>11,700</w:t>
            </w:r>
          </w:p>
        </w:tc>
      </w:tr>
    </w:tbl>
    <w:p w14:paraId="7846C564" w14:textId="77777777" w:rsidR="00E70CD3" w:rsidRDefault="00E70CD3" w:rsidP="00E70CD3">
      <w:pPr>
        <w:autoSpaceDE w:val="0"/>
        <w:autoSpaceDN w:val="0"/>
        <w:adjustRightInd w:val="0"/>
        <w:spacing w:after="0" w:line="240" w:lineRule="auto"/>
        <w:rPr>
          <w:rFonts w:ascii="Arial" w:hAnsi="Arial" w:cs="Arial"/>
          <w:sz w:val="20"/>
          <w:szCs w:val="20"/>
        </w:rPr>
      </w:pPr>
    </w:p>
    <w:p w14:paraId="4E0F964C" w14:textId="77777777" w:rsidR="006C1142" w:rsidRPr="006C1142" w:rsidRDefault="006C1142" w:rsidP="00A962E4">
      <w:pPr>
        <w:spacing w:line="254" w:lineRule="auto"/>
        <w:ind w:right="-306"/>
        <w:jc w:val="both"/>
        <w:rPr>
          <w:rFonts w:ascii="Calibri" w:hAnsi="Calibri" w:cs="Calibri"/>
          <w:sz w:val="24"/>
          <w:szCs w:val="24"/>
        </w:rPr>
      </w:pPr>
      <w:r w:rsidRPr="006C1142">
        <w:rPr>
          <w:rFonts w:ascii="Arial" w:hAnsi="Arial" w:cs="Arial"/>
          <w:sz w:val="24"/>
          <w:szCs w:val="24"/>
        </w:rPr>
        <w:t>Balances previously disclosed within other creditors in the prior year financial statements, have been restated to accruals and tax and socia</w:t>
      </w:r>
      <w:r w:rsidRPr="006C1142">
        <w:rPr>
          <w:rFonts w:ascii="Arial" w:hAnsi="Arial" w:cs="Arial"/>
          <w:sz w:val="24"/>
          <w:szCs w:val="24"/>
          <w:shd w:val="clear" w:color="auto" w:fill="FFFFFF"/>
        </w:rPr>
        <w:t>l security to better reflect the nature of the balance.  T</w:t>
      </w:r>
      <w:r w:rsidRPr="006C1142">
        <w:rPr>
          <w:rFonts w:ascii="Arial" w:hAnsi="Arial" w:cs="Arial"/>
          <w:sz w:val="24"/>
          <w:szCs w:val="24"/>
        </w:rPr>
        <w:t>his resulted in Taxation and social security increasing by £2,052K, Accruals increasing by £11,722K and Other creditors reducing by £13,774K.</w:t>
      </w:r>
    </w:p>
    <w:tbl>
      <w:tblPr>
        <w:tblW w:w="12231" w:type="dxa"/>
        <w:tblLook w:val="04A0" w:firstRow="1" w:lastRow="0" w:firstColumn="1" w:lastColumn="0" w:noHBand="0" w:noVBand="1"/>
      </w:tblPr>
      <w:tblGrid>
        <w:gridCol w:w="4820"/>
        <w:gridCol w:w="272"/>
        <w:gridCol w:w="803"/>
        <w:gridCol w:w="172"/>
        <w:gridCol w:w="272"/>
        <w:gridCol w:w="652"/>
        <w:gridCol w:w="1089"/>
        <w:gridCol w:w="992"/>
        <w:gridCol w:w="1127"/>
        <w:gridCol w:w="236"/>
        <w:gridCol w:w="1096"/>
        <w:gridCol w:w="700"/>
      </w:tblGrid>
      <w:tr w:rsidR="00DD5595" w:rsidRPr="00B654E3" w14:paraId="167A2C9A" w14:textId="77777777" w:rsidTr="00A962E4">
        <w:trPr>
          <w:trHeight w:val="402"/>
        </w:trPr>
        <w:tc>
          <w:tcPr>
            <w:tcW w:w="10199" w:type="dxa"/>
            <w:gridSpan w:val="9"/>
            <w:tcBorders>
              <w:top w:val="nil"/>
              <w:left w:val="nil"/>
              <w:bottom w:val="nil"/>
              <w:right w:val="nil"/>
            </w:tcBorders>
            <w:shd w:val="clear" w:color="auto" w:fill="auto"/>
            <w:noWrap/>
            <w:vAlign w:val="center"/>
            <w:hideMark/>
          </w:tcPr>
          <w:p w14:paraId="4705BCF2" w14:textId="77777777" w:rsidR="00DD5595" w:rsidRDefault="00DD5595" w:rsidP="00EB42C4">
            <w:pPr>
              <w:spacing w:after="0" w:line="240" w:lineRule="auto"/>
              <w:rPr>
                <w:rFonts w:ascii="Arial" w:eastAsia="Times New Roman" w:hAnsi="Arial" w:cs="Arial"/>
                <w:b/>
                <w:bCs/>
                <w:sz w:val="24"/>
                <w:szCs w:val="24"/>
                <w:lang w:eastAsia="en-GB"/>
              </w:rPr>
            </w:pPr>
          </w:p>
          <w:p w14:paraId="422E79DD" w14:textId="77777777" w:rsidR="00DD5595" w:rsidRPr="00B654E3" w:rsidRDefault="00DD5595" w:rsidP="00EB42C4">
            <w:pPr>
              <w:spacing w:after="0" w:line="240" w:lineRule="auto"/>
              <w:rPr>
                <w:rFonts w:ascii="Arial" w:eastAsia="Times New Roman" w:hAnsi="Arial" w:cs="Arial"/>
                <w:b/>
                <w:bCs/>
                <w:sz w:val="24"/>
                <w:szCs w:val="24"/>
                <w:lang w:eastAsia="en-GB"/>
              </w:rPr>
            </w:pPr>
            <w:r w:rsidRPr="00B654E3">
              <w:rPr>
                <w:rFonts w:ascii="Arial" w:eastAsia="Times New Roman" w:hAnsi="Arial" w:cs="Arial"/>
                <w:b/>
                <w:bCs/>
                <w:sz w:val="24"/>
                <w:szCs w:val="24"/>
                <w:lang w:eastAsia="en-GB"/>
              </w:rPr>
              <w:t>16b. Creditors</w:t>
            </w:r>
            <w:r>
              <w:rPr>
                <w:rFonts w:ascii="Arial" w:eastAsia="Times New Roman" w:hAnsi="Arial" w:cs="Arial"/>
                <w:b/>
                <w:bCs/>
                <w:sz w:val="24"/>
                <w:szCs w:val="24"/>
                <w:lang w:eastAsia="en-GB"/>
              </w:rPr>
              <w:t xml:space="preserve"> -</w:t>
            </w:r>
            <w:r w:rsidRPr="00B654E3">
              <w:rPr>
                <w:rFonts w:ascii="Arial" w:eastAsia="Times New Roman" w:hAnsi="Arial" w:cs="Arial"/>
                <w:b/>
                <w:bCs/>
                <w:sz w:val="24"/>
                <w:szCs w:val="24"/>
                <w:lang w:eastAsia="en-GB"/>
              </w:rPr>
              <w:t xml:space="preserve"> amounts falling due after one year</w:t>
            </w:r>
          </w:p>
        </w:tc>
        <w:tc>
          <w:tcPr>
            <w:tcW w:w="236" w:type="dxa"/>
            <w:tcBorders>
              <w:top w:val="nil"/>
              <w:left w:val="nil"/>
              <w:bottom w:val="nil"/>
              <w:right w:val="nil"/>
            </w:tcBorders>
            <w:shd w:val="clear" w:color="auto" w:fill="auto"/>
            <w:noWrap/>
            <w:vAlign w:val="center"/>
            <w:hideMark/>
          </w:tcPr>
          <w:p w14:paraId="0C05E6FC" w14:textId="77777777" w:rsidR="00DD5595" w:rsidRPr="00B654E3" w:rsidRDefault="00DD5595" w:rsidP="00EB42C4">
            <w:pPr>
              <w:spacing w:after="0" w:line="240" w:lineRule="auto"/>
              <w:rPr>
                <w:rFonts w:ascii="Arial" w:eastAsia="Times New Roman" w:hAnsi="Arial" w:cs="Arial"/>
                <w:b/>
                <w:bCs/>
                <w:sz w:val="24"/>
                <w:szCs w:val="24"/>
                <w:lang w:eastAsia="en-GB"/>
              </w:rPr>
            </w:pPr>
          </w:p>
        </w:tc>
        <w:tc>
          <w:tcPr>
            <w:tcW w:w="1096" w:type="dxa"/>
            <w:tcBorders>
              <w:top w:val="nil"/>
              <w:left w:val="nil"/>
              <w:bottom w:val="nil"/>
              <w:right w:val="nil"/>
            </w:tcBorders>
            <w:shd w:val="clear" w:color="auto" w:fill="auto"/>
            <w:noWrap/>
            <w:vAlign w:val="center"/>
            <w:hideMark/>
          </w:tcPr>
          <w:p w14:paraId="597B00E6" w14:textId="77777777" w:rsidR="00DD5595" w:rsidRPr="00B654E3" w:rsidRDefault="00DD5595" w:rsidP="00EB42C4">
            <w:pPr>
              <w:spacing w:after="0" w:line="240" w:lineRule="auto"/>
              <w:rPr>
                <w:rFonts w:ascii="Times New Roman" w:eastAsia="Times New Roman" w:hAnsi="Times New Roman" w:cs="Times New Roman"/>
                <w:sz w:val="20"/>
                <w:szCs w:val="20"/>
                <w:lang w:eastAsia="en-GB"/>
              </w:rPr>
            </w:pPr>
          </w:p>
        </w:tc>
        <w:tc>
          <w:tcPr>
            <w:tcW w:w="700" w:type="dxa"/>
            <w:tcBorders>
              <w:top w:val="nil"/>
              <w:left w:val="nil"/>
              <w:bottom w:val="nil"/>
              <w:right w:val="nil"/>
            </w:tcBorders>
            <w:shd w:val="clear" w:color="auto" w:fill="auto"/>
            <w:noWrap/>
            <w:vAlign w:val="center"/>
            <w:hideMark/>
          </w:tcPr>
          <w:p w14:paraId="5EDE6FF7" w14:textId="77777777" w:rsidR="00DD5595" w:rsidRPr="00B654E3" w:rsidRDefault="00DD5595" w:rsidP="00EB42C4">
            <w:pPr>
              <w:spacing w:after="0" w:line="240" w:lineRule="auto"/>
              <w:rPr>
                <w:rFonts w:ascii="Times New Roman" w:eastAsia="Times New Roman" w:hAnsi="Times New Roman" w:cs="Times New Roman"/>
                <w:sz w:val="20"/>
                <w:szCs w:val="20"/>
                <w:lang w:eastAsia="en-GB"/>
              </w:rPr>
            </w:pPr>
          </w:p>
        </w:tc>
      </w:tr>
      <w:tr w:rsidR="00DD5595" w:rsidRPr="00B654E3" w14:paraId="7947248D" w14:textId="77777777" w:rsidTr="00A962E4">
        <w:trPr>
          <w:trHeight w:val="323"/>
        </w:trPr>
        <w:tc>
          <w:tcPr>
            <w:tcW w:w="6067" w:type="dxa"/>
            <w:gridSpan w:val="4"/>
            <w:tcBorders>
              <w:top w:val="nil"/>
              <w:left w:val="nil"/>
              <w:bottom w:val="nil"/>
              <w:right w:val="nil"/>
            </w:tcBorders>
            <w:shd w:val="clear" w:color="auto" w:fill="auto"/>
            <w:noWrap/>
            <w:vAlign w:val="center"/>
            <w:hideMark/>
          </w:tcPr>
          <w:p w14:paraId="680DC990" w14:textId="77777777" w:rsidR="00DD5595" w:rsidRPr="00B654E3" w:rsidRDefault="00DD5595" w:rsidP="00EB42C4">
            <w:pPr>
              <w:spacing w:after="0" w:line="240" w:lineRule="auto"/>
              <w:rPr>
                <w:rFonts w:ascii="Times New Roman" w:eastAsia="Times New Roman" w:hAnsi="Times New Roman" w:cs="Times New Roman"/>
                <w:sz w:val="20"/>
                <w:szCs w:val="20"/>
                <w:lang w:eastAsia="en-GB"/>
              </w:rPr>
            </w:pPr>
          </w:p>
        </w:tc>
        <w:tc>
          <w:tcPr>
            <w:tcW w:w="272" w:type="dxa"/>
            <w:tcBorders>
              <w:top w:val="nil"/>
              <w:left w:val="nil"/>
              <w:bottom w:val="nil"/>
              <w:right w:val="nil"/>
            </w:tcBorders>
            <w:shd w:val="clear" w:color="auto" w:fill="auto"/>
            <w:noWrap/>
            <w:vAlign w:val="center"/>
            <w:hideMark/>
          </w:tcPr>
          <w:p w14:paraId="73FA8D4C" w14:textId="77777777" w:rsidR="00DD5595" w:rsidRPr="00B654E3" w:rsidRDefault="00DD5595" w:rsidP="00EB42C4">
            <w:pPr>
              <w:spacing w:after="0" w:line="240" w:lineRule="auto"/>
              <w:rPr>
                <w:rFonts w:ascii="Times New Roman" w:eastAsia="Times New Roman" w:hAnsi="Times New Roman" w:cs="Times New Roman"/>
                <w:sz w:val="20"/>
                <w:szCs w:val="20"/>
                <w:lang w:eastAsia="en-GB"/>
              </w:rPr>
            </w:pPr>
          </w:p>
        </w:tc>
        <w:tc>
          <w:tcPr>
            <w:tcW w:w="3860" w:type="dxa"/>
            <w:gridSpan w:val="4"/>
            <w:tcBorders>
              <w:top w:val="nil"/>
              <w:left w:val="nil"/>
              <w:bottom w:val="nil"/>
              <w:right w:val="nil"/>
            </w:tcBorders>
            <w:shd w:val="clear" w:color="auto" w:fill="auto"/>
            <w:noWrap/>
            <w:vAlign w:val="center"/>
            <w:hideMark/>
          </w:tcPr>
          <w:p w14:paraId="6E0BA3B4" w14:textId="77777777" w:rsidR="00DD5595" w:rsidRPr="00B654E3" w:rsidRDefault="00DD5595" w:rsidP="00EB42C4">
            <w:pPr>
              <w:spacing w:after="0" w:line="240" w:lineRule="auto"/>
              <w:rPr>
                <w:rFonts w:ascii="Times New Roman" w:eastAsia="Times New Roman" w:hAnsi="Times New Roman" w:cs="Times New Roman"/>
                <w:sz w:val="20"/>
                <w:szCs w:val="20"/>
                <w:lang w:eastAsia="en-GB"/>
              </w:rPr>
            </w:pPr>
          </w:p>
        </w:tc>
        <w:tc>
          <w:tcPr>
            <w:tcW w:w="236" w:type="dxa"/>
            <w:tcBorders>
              <w:top w:val="nil"/>
              <w:left w:val="nil"/>
              <w:bottom w:val="nil"/>
              <w:right w:val="nil"/>
            </w:tcBorders>
            <w:shd w:val="clear" w:color="auto" w:fill="auto"/>
            <w:noWrap/>
            <w:vAlign w:val="center"/>
            <w:hideMark/>
          </w:tcPr>
          <w:p w14:paraId="4F941D69" w14:textId="77777777" w:rsidR="00DD5595" w:rsidRPr="00B654E3" w:rsidRDefault="00DD5595" w:rsidP="00EB42C4">
            <w:pPr>
              <w:spacing w:after="0" w:line="240" w:lineRule="auto"/>
              <w:rPr>
                <w:rFonts w:ascii="Times New Roman" w:eastAsia="Times New Roman" w:hAnsi="Times New Roman" w:cs="Times New Roman"/>
                <w:sz w:val="20"/>
                <w:szCs w:val="20"/>
                <w:lang w:eastAsia="en-GB"/>
              </w:rPr>
            </w:pPr>
          </w:p>
        </w:tc>
        <w:tc>
          <w:tcPr>
            <w:tcW w:w="1096" w:type="dxa"/>
            <w:tcBorders>
              <w:top w:val="nil"/>
              <w:left w:val="nil"/>
              <w:bottom w:val="nil"/>
              <w:right w:val="nil"/>
            </w:tcBorders>
            <w:shd w:val="clear" w:color="auto" w:fill="auto"/>
            <w:noWrap/>
            <w:vAlign w:val="center"/>
            <w:hideMark/>
          </w:tcPr>
          <w:p w14:paraId="00392A14" w14:textId="77777777" w:rsidR="00DD5595" w:rsidRPr="00B654E3" w:rsidRDefault="00DD5595" w:rsidP="00EB42C4">
            <w:pPr>
              <w:spacing w:after="0" w:line="240" w:lineRule="auto"/>
              <w:rPr>
                <w:rFonts w:ascii="Times New Roman" w:eastAsia="Times New Roman" w:hAnsi="Times New Roman" w:cs="Times New Roman"/>
                <w:sz w:val="20"/>
                <w:szCs w:val="20"/>
                <w:lang w:eastAsia="en-GB"/>
              </w:rPr>
            </w:pPr>
          </w:p>
        </w:tc>
        <w:tc>
          <w:tcPr>
            <w:tcW w:w="700" w:type="dxa"/>
            <w:tcBorders>
              <w:top w:val="nil"/>
              <w:left w:val="nil"/>
              <w:bottom w:val="nil"/>
              <w:right w:val="nil"/>
            </w:tcBorders>
            <w:shd w:val="clear" w:color="auto" w:fill="auto"/>
            <w:noWrap/>
            <w:vAlign w:val="center"/>
            <w:hideMark/>
          </w:tcPr>
          <w:p w14:paraId="2C0FE814" w14:textId="77777777" w:rsidR="00DD5595" w:rsidRPr="00B654E3" w:rsidRDefault="00DD5595" w:rsidP="00EB42C4">
            <w:pPr>
              <w:spacing w:after="0" w:line="240" w:lineRule="auto"/>
              <w:rPr>
                <w:rFonts w:ascii="Times New Roman" w:eastAsia="Times New Roman" w:hAnsi="Times New Roman" w:cs="Times New Roman"/>
                <w:sz w:val="20"/>
                <w:szCs w:val="20"/>
                <w:lang w:eastAsia="en-GB"/>
              </w:rPr>
            </w:pPr>
          </w:p>
        </w:tc>
      </w:tr>
      <w:tr w:rsidR="00DD5595" w:rsidRPr="00B654E3" w14:paraId="36E0FB8C" w14:textId="77777777" w:rsidTr="00A962E4">
        <w:trPr>
          <w:gridAfter w:val="4"/>
          <w:wAfter w:w="3159" w:type="dxa"/>
          <w:trHeight w:val="323"/>
        </w:trPr>
        <w:tc>
          <w:tcPr>
            <w:tcW w:w="4820" w:type="dxa"/>
            <w:tcBorders>
              <w:top w:val="nil"/>
              <w:left w:val="nil"/>
              <w:bottom w:val="nil"/>
              <w:right w:val="nil"/>
            </w:tcBorders>
            <w:shd w:val="clear" w:color="auto" w:fill="auto"/>
            <w:noWrap/>
            <w:vAlign w:val="center"/>
          </w:tcPr>
          <w:p w14:paraId="395222EB" w14:textId="77777777" w:rsidR="00DD5595" w:rsidRPr="00B654E3" w:rsidRDefault="00DD5595" w:rsidP="00EB42C4">
            <w:pPr>
              <w:spacing w:after="0" w:line="240" w:lineRule="auto"/>
              <w:rPr>
                <w:rFonts w:ascii="Arial" w:eastAsia="Times New Roman" w:hAnsi="Arial" w:cs="Arial"/>
                <w:b/>
                <w:bCs/>
                <w:sz w:val="20"/>
                <w:szCs w:val="20"/>
                <w:lang w:eastAsia="en-GB"/>
              </w:rPr>
            </w:pPr>
          </w:p>
        </w:tc>
        <w:tc>
          <w:tcPr>
            <w:tcW w:w="272" w:type="dxa"/>
            <w:tcBorders>
              <w:top w:val="nil"/>
              <w:left w:val="nil"/>
              <w:bottom w:val="nil"/>
              <w:right w:val="nil"/>
            </w:tcBorders>
            <w:shd w:val="clear" w:color="auto" w:fill="auto"/>
            <w:noWrap/>
            <w:vAlign w:val="center"/>
          </w:tcPr>
          <w:p w14:paraId="1F126837" w14:textId="77777777" w:rsidR="00DD5595" w:rsidRPr="00B654E3" w:rsidRDefault="00DD5595" w:rsidP="00EB42C4">
            <w:pPr>
              <w:spacing w:after="0" w:line="240" w:lineRule="auto"/>
              <w:rPr>
                <w:rFonts w:ascii="Times New Roman" w:eastAsia="Times New Roman" w:hAnsi="Times New Roman" w:cs="Times New Roman"/>
                <w:sz w:val="20"/>
                <w:szCs w:val="20"/>
                <w:lang w:eastAsia="en-GB"/>
              </w:rPr>
            </w:pPr>
          </w:p>
        </w:tc>
        <w:tc>
          <w:tcPr>
            <w:tcW w:w="1899" w:type="dxa"/>
            <w:gridSpan w:val="4"/>
            <w:tcBorders>
              <w:top w:val="nil"/>
              <w:left w:val="nil"/>
              <w:bottom w:val="nil"/>
              <w:right w:val="nil"/>
            </w:tcBorders>
            <w:shd w:val="clear" w:color="auto" w:fill="auto"/>
            <w:noWrap/>
            <w:vAlign w:val="center"/>
          </w:tcPr>
          <w:p w14:paraId="2034CD77" w14:textId="77777777" w:rsidR="00DD5595" w:rsidRPr="00581924" w:rsidRDefault="00DD5595" w:rsidP="00EB42C4">
            <w:pPr>
              <w:spacing w:after="0" w:line="240" w:lineRule="auto"/>
              <w:jc w:val="center"/>
              <w:rPr>
                <w:rFonts w:ascii="Arial" w:eastAsia="Times New Roman" w:hAnsi="Arial" w:cs="Arial"/>
                <w:b/>
                <w:sz w:val="20"/>
                <w:szCs w:val="20"/>
                <w:lang w:eastAsia="en-GB"/>
              </w:rPr>
            </w:pPr>
            <w:r w:rsidRPr="00581924">
              <w:rPr>
                <w:rFonts w:ascii="Arial" w:eastAsia="Times New Roman" w:hAnsi="Arial" w:cs="Arial"/>
                <w:b/>
                <w:sz w:val="20"/>
                <w:szCs w:val="20"/>
                <w:lang w:eastAsia="en-GB"/>
              </w:rPr>
              <w:t xml:space="preserve">Group </w:t>
            </w:r>
          </w:p>
        </w:tc>
        <w:tc>
          <w:tcPr>
            <w:tcW w:w="2081" w:type="dxa"/>
            <w:gridSpan w:val="2"/>
            <w:tcBorders>
              <w:top w:val="nil"/>
              <w:left w:val="nil"/>
              <w:bottom w:val="nil"/>
              <w:right w:val="nil"/>
            </w:tcBorders>
            <w:shd w:val="clear" w:color="auto" w:fill="auto"/>
            <w:noWrap/>
            <w:vAlign w:val="center"/>
          </w:tcPr>
          <w:p w14:paraId="24BB0CA6" w14:textId="77777777" w:rsidR="00DD5595" w:rsidRPr="00581924" w:rsidRDefault="00DD5595" w:rsidP="00EB42C4">
            <w:pPr>
              <w:spacing w:after="0" w:line="240" w:lineRule="auto"/>
              <w:jc w:val="center"/>
              <w:rPr>
                <w:rFonts w:ascii="Arial" w:eastAsia="Times New Roman" w:hAnsi="Arial" w:cs="Arial"/>
                <w:b/>
                <w:sz w:val="20"/>
                <w:szCs w:val="20"/>
                <w:lang w:eastAsia="en-GB"/>
              </w:rPr>
            </w:pPr>
            <w:r w:rsidRPr="00581924">
              <w:rPr>
                <w:rFonts w:ascii="Arial" w:eastAsia="Times New Roman" w:hAnsi="Arial" w:cs="Arial"/>
                <w:b/>
                <w:sz w:val="20"/>
                <w:szCs w:val="20"/>
                <w:lang w:eastAsia="en-GB"/>
              </w:rPr>
              <w:t xml:space="preserve">Company </w:t>
            </w:r>
          </w:p>
        </w:tc>
      </w:tr>
      <w:tr w:rsidR="00DD5595" w:rsidRPr="00B654E3" w14:paraId="498D9CAE" w14:textId="77777777" w:rsidTr="00A962E4">
        <w:trPr>
          <w:gridAfter w:val="4"/>
          <w:wAfter w:w="3159" w:type="dxa"/>
          <w:trHeight w:val="323"/>
        </w:trPr>
        <w:tc>
          <w:tcPr>
            <w:tcW w:w="4820" w:type="dxa"/>
            <w:tcBorders>
              <w:top w:val="nil"/>
              <w:left w:val="nil"/>
              <w:bottom w:val="nil"/>
              <w:right w:val="nil"/>
            </w:tcBorders>
            <w:shd w:val="clear" w:color="auto" w:fill="auto"/>
            <w:noWrap/>
            <w:vAlign w:val="center"/>
            <w:hideMark/>
          </w:tcPr>
          <w:p w14:paraId="701EE905" w14:textId="77777777" w:rsidR="00DD5595" w:rsidRPr="00B654E3" w:rsidRDefault="00DD5595" w:rsidP="00EB42C4">
            <w:pPr>
              <w:spacing w:after="0" w:line="240" w:lineRule="auto"/>
              <w:rPr>
                <w:rFonts w:ascii="Arial" w:eastAsia="Times New Roman" w:hAnsi="Arial" w:cs="Arial"/>
                <w:b/>
                <w:bCs/>
                <w:sz w:val="20"/>
                <w:szCs w:val="20"/>
                <w:lang w:eastAsia="en-GB"/>
              </w:rPr>
            </w:pPr>
          </w:p>
        </w:tc>
        <w:tc>
          <w:tcPr>
            <w:tcW w:w="272" w:type="dxa"/>
            <w:tcBorders>
              <w:top w:val="nil"/>
              <w:left w:val="nil"/>
              <w:bottom w:val="nil"/>
              <w:right w:val="nil"/>
            </w:tcBorders>
            <w:shd w:val="clear" w:color="auto" w:fill="auto"/>
            <w:noWrap/>
            <w:vAlign w:val="center"/>
            <w:hideMark/>
          </w:tcPr>
          <w:p w14:paraId="6CDE69BD" w14:textId="77777777" w:rsidR="00DD5595" w:rsidRPr="00B654E3" w:rsidRDefault="00DD5595" w:rsidP="00EB42C4">
            <w:pPr>
              <w:spacing w:after="0" w:line="240" w:lineRule="auto"/>
              <w:rPr>
                <w:rFonts w:ascii="Times New Roman" w:eastAsia="Times New Roman" w:hAnsi="Times New Roman" w:cs="Times New Roman"/>
                <w:sz w:val="20"/>
                <w:szCs w:val="20"/>
                <w:lang w:eastAsia="en-GB"/>
              </w:rPr>
            </w:pPr>
          </w:p>
        </w:tc>
        <w:tc>
          <w:tcPr>
            <w:tcW w:w="803" w:type="dxa"/>
            <w:tcBorders>
              <w:top w:val="nil"/>
              <w:left w:val="nil"/>
              <w:bottom w:val="nil"/>
              <w:right w:val="nil"/>
            </w:tcBorders>
            <w:shd w:val="clear" w:color="auto" w:fill="auto"/>
            <w:noWrap/>
            <w:vAlign w:val="center"/>
            <w:hideMark/>
          </w:tcPr>
          <w:p w14:paraId="2B8B5A7E" w14:textId="77777777" w:rsidR="00DD5595" w:rsidRPr="00B654E3" w:rsidRDefault="00DD5595" w:rsidP="00EB42C4">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2020</w:t>
            </w:r>
          </w:p>
        </w:tc>
        <w:tc>
          <w:tcPr>
            <w:tcW w:w="1096" w:type="dxa"/>
            <w:gridSpan w:val="3"/>
            <w:tcBorders>
              <w:top w:val="nil"/>
              <w:left w:val="nil"/>
              <w:bottom w:val="nil"/>
              <w:right w:val="nil"/>
            </w:tcBorders>
            <w:shd w:val="clear" w:color="auto" w:fill="auto"/>
            <w:noWrap/>
            <w:vAlign w:val="center"/>
            <w:hideMark/>
          </w:tcPr>
          <w:p w14:paraId="1C1B5DBB" w14:textId="77777777" w:rsidR="00DD5595" w:rsidRPr="00B654E3" w:rsidRDefault="00DD5595" w:rsidP="00EB42C4">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2019</w:t>
            </w:r>
          </w:p>
        </w:tc>
        <w:tc>
          <w:tcPr>
            <w:tcW w:w="1089" w:type="dxa"/>
            <w:tcBorders>
              <w:top w:val="nil"/>
              <w:left w:val="nil"/>
              <w:bottom w:val="nil"/>
              <w:right w:val="nil"/>
            </w:tcBorders>
            <w:shd w:val="clear" w:color="auto" w:fill="auto"/>
            <w:noWrap/>
            <w:vAlign w:val="center"/>
            <w:hideMark/>
          </w:tcPr>
          <w:p w14:paraId="60E78D1F" w14:textId="77777777" w:rsidR="00DD5595" w:rsidRPr="00B654E3" w:rsidRDefault="00DD5595" w:rsidP="00EB42C4">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2020</w:t>
            </w:r>
          </w:p>
        </w:tc>
        <w:tc>
          <w:tcPr>
            <w:tcW w:w="992" w:type="dxa"/>
            <w:tcBorders>
              <w:top w:val="nil"/>
              <w:left w:val="nil"/>
              <w:bottom w:val="nil"/>
              <w:right w:val="nil"/>
            </w:tcBorders>
            <w:shd w:val="clear" w:color="auto" w:fill="auto"/>
            <w:noWrap/>
            <w:vAlign w:val="center"/>
            <w:hideMark/>
          </w:tcPr>
          <w:p w14:paraId="2E1DD553" w14:textId="77777777" w:rsidR="00DD5595" w:rsidRPr="00B654E3" w:rsidRDefault="00DD5595" w:rsidP="00EB42C4">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2019</w:t>
            </w:r>
          </w:p>
        </w:tc>
      </w:tr>
      <w:tr w:rsidR="00DD5595" w:rsidRPr="00B654E3" w14:paraId="49EDE222" w14:textId="77777777" w:rsidTr="00A962E4">
        <w:trPr>
          <w:gridAfter w:val="4"/>
          <w:wAfter w:w="3159" w:type="dxa"/>
          <w:trHeight w:val="323"/>
        </w:trPr>
        <w:tc>
          <w:tcPr>
            <w:tcW w:w="4820" w:type="dxa"/>
            <w:tcBorders>
              <w:top w:val="nil"/>
              <w:left w:val="nil"/>
              <w:bottom w:val="single" w:sz="4" w:space="0" w:color="auto"/>
              <w:right w:val="nil"/>
            </w:tcBorders>
            <w:shd w:val="clear" w:color="auto" w:fill="auto"/>
            <w:noWrap/>
            <w:vAlign w:val="center"/>
            <w:hideMark/>
          </w:tcPr>
          <w:p w14:paraId="58C09CA5" w14:textId="77777777" w:rsidR="00DD5595" w:rsidRPr="00B654E3" w:rsidRDefault="00DD5595" w:rsidP="00EB42C4">
            <w:pPr>
              <w:spacing w:after="0" w:line="240" w:lineRule="auto"/>
              <w:rPr>
                <w:rFonts w:ascii="Arial" w:eastAsia="Times New Roman" w:hAnsi="Arial" w:cs="Arial"/>
                <w:sz w:val="20"/>
                <w:szCs w:val="20"/>
                <w:lang w:eastAsia="en-GB"/>
              </w:rPr>
            </w:pPr>
            <w:r w:rsidRPr="00B654E3">
              <w:rPr>
                <w:rFonts w:ascii="Arial" w:eastAsia="Times New Roman" w:hAnsi="Arial" w:cs="Arial"/>
                <w:sz w:val="20"/>
                <w:szCs w:val="20"/>
                <w:lang w:eastAsia="en-GB"/>
              </w:rPr>
              <w:t> </w:t>
            </w:r>
          </w:p>
        </w:tc>
        <w:tc>
          <w:tcPr>
            <w:tcW w:w="272" w:type="dxa"/>
            <w:tcBorders>
              <w:top w:val="nil"/>
              <w:left w:val="nil"/>
              <w:bottom w:val="single" w:sz="4" w:space="0" w:color="auto"/>
              <w:right w:val="nil"/>
            </w:tcBorders>
            <w:shd w:val="clear" w:color="auto" w:fill="auto"/>
            <w:noWrap/>
            <w:vAlign w:val="center"/>
            <w:hideMark/>
          </w:tcPr>
          <w:p w14:paraId="7046532F" w14:textId="77777777" w:rsidR="00DD5595" w:rsidRPr="00B654E3" w:rsidRDefault="00DD5595" w:rsidP="00EB42C4">
            <w:pPr>
              <w:spacing w:after="0" w:line="240" w:lineRule="auto"/>
              <w:rPr>
                <w:rFonts w:ascii="Arial" w:eastAsia="Times New Roman" w:hAnsi="Arial" w:cs="Arial"/>
                <w:sz w:val="20"/>
                <w:szCs w:val="20"/>
                <w:lang w:eastAsia="en-GB"/>
              </w:rPr>
            </w:pPr>
            <w:r w:rsidRPr="00B654E3">
              <w:rPr>
                <w:rFonts w:ascii="Arial" w:eastAsia="Times New Roman" w:hAnsi="Arial" w:cs="Arial"/>
                <w:sz w:val="20"/>
                <w:szCs w:val="20"/>
                <w:lang w:eastAsia="en-GB"/>
              </w:rPr>
              <w:t> </w:t>
            </w:r>
          </w:p>
        </w:tc>
        <w:tc>
          <w:tcPr>
            <w:tcW w:w="803" w:type="dxa"/>
            <w:tcBorders>
              <w:top w:val="nil"/>
              <w:left w:val="nil"/>
              <w:bottom w:val="single" w:sz="4" w:space="0" w:color="auto"/>
              <w:right w:val="nil"/>
            </w:tcBorders>
            <w:shd w:val="clear" w:color="auto" w:fill="auto"/>
            <w:noWrap/>
            <w:vAlign w:val="center"/>
            <w:hideMark/>
          </w:tcPr>
          <w:p w14:paraId="54F22BD5" w14:textId="77777777" w:rsidR="00DD5595" w:rsidRPr="00B654E3" w:rsidRDefault="00DD5595" w:rsidP="00EB42C4">
            <w:pPr>
              <w:spacing w:after="0" w:line="240" w:lineRule="auto"/>
              <w:jc w:val="right"/>
              <w:rPr>
                <w:rFonts w:ascii="Arial" w:eastAsia="Times New Roman" w:hAnsi="Arial" w:cs="Arial"/>
                <w:b/>
                <w:bCs/>
                <w:sz w:val="20"/>
                <w:szCs w:val="20"/>
                <w:lang w:eastAsia="en-GB"/>
              </w:rPr>
            </w:pPr>
            <w:r w:rsidRPr="00B654E3">
              <w:rPr>
                <w:rFonts w:ascii="Arial" w:eastAsia="Times New Roman" w:hAnsi="Arial" w:cs="Arial"/>
                <w:b/>
                <w:bCs/>
                <w:sz w:val="20"/>
                <w:szCs w:val="20"/>
                <w:lang w:eastAsia="en-GB"/>
              </w:rPr>
              <w:t>£'000</w:t>
            </w:r>
          </w:p>
        </w:tc>
        <w:tc>
          <w:tcPr>
            <w:tcW w:w="1096" w:type="dxa"/>
            <w:gridSpan w:val="3"/>
            <w:tcBorders>
              <w:top w:val="nil"/>
              <w:left w:val="nil"/>
              <w:bottom w:val="single" w:sz="4" w:space="0" w:color="auto"/>
              <w:right w:val="nil"/>
            </w:tcBorders>
            <w:shd w:val="clear" w:color="auto" w:fill="auto"/>
            <w:noWrap/>
            <w:vAlign w:val="center"/>
            <w:hideMark/>
          </w:tcPr>
          <w:p w14:paraId="69886AA9" w14:textId="77777777" w:rsidR="00DD5595" w:rsidRPr="00B654E3" w:rsidRDefault="00DD5595" w:rsidP="00EB42C4">
            <w:pPr>
              <w:spacing w:after="0" w:line="240" w:lineRule="auto"/>
              <w:jc w:val="right"/>
              <w:rPr>
                <w:rFonts w:ascii="Arial" w:eastAsia="Times New Roman" w:hAnsi="Arial" w:cs="Arial"/>
                <w:sz w:val="20"/>
                <w:szCs w:val="20"/>
                <w:lang w:eastAsia="en-GB"/>
              </w:rPr>
            </w:pPr>
            <w:r w:rsidRPr="00B654E3">
              <w:rPr>
                <w:rFonts w:ascii="Arial" w:eastAsia="Times New Roman" w:hAnsi="Arial" w:cs="Arial"/>
                <w:sz w:val="20"/>
                <w:szCs w:val="20"/>
                <w:lang w:eastAsia="en-GB"/>
              </w:rPr>
              <w:t>£'000</w:t>
            </w:r>
          </w:p>
        </w:tc>
        <w:tc>
          <w:tcPr>
            <w:tcW w:w="1089" w:type="dxa"/>
            <w:tcBorders>
              <w:top w:val="nil"/>
              <w:left w:val="nil"/>
              <w:bottom w:val="single" w:sz="4" w:space="0" w:color="auto"/>
              <w:right w:val="nil"/>
            </w:tcBorders>
            <w:shd w:val="clear" w:color="auto" w:fill="auto"/>
            <w:noWrap/>
            <w:vAlign w:val="center"/>
            <w:hideMark/>
          </w:tcPr>
          <w:p w14:paraId="3170BEE5" w14:textId="77777777" w:rsidR="00DD5595" w:rsidRPr="00B654E3" w:rsidRDefault="00DD5595" w:rsidP="00EB42C4">
            <w:pPr>
              <w:spacing w:after="0" w:line="240" w:lineRule="auto"/>
              <w:jc w:val="right"/>
              <w:rPr>
                <w:rFonts w:ascii="Arial" w:eastAsia="Times New Roman" w:hAnsi="Arial" w:cs="Arial"/>
                <w:b/>
                <w:bCs/>
                <w:sz w:val="20"/>
                <w:szCs w:val="20"/>
                <w:lang w:eastAsia="en-GB"/>
              </w:rPr>
            </w:pPr>
            <w:r w:rsidRPr="00B654E3">
              <w:rPr>
                <w:rFonts w:ascii="Arial" w:eastAsia="Times New Roman" w:hAnsi="Arial" w:cs="Arial"/>
                <w:b/>
                <w:bCs/>
                <w:sz w:val="20"/>
                <w:szCs w:val="20"/>
                <w:lang w:eastAsia="en-GB"/>
              </w:rPr>
              <w:t>£'000</w:t>
            </w:r>
          </w:p>
        </w:tc>
        <w:tc>
          <w:tcPr>
            <w:tcW w:w="992" w:type="dxa"/>
            <w:tcBorders>
              <w:top w:val="nil"/>
              <w:left w:val="nil"/>
              <w:bottom w:val="single" w:sz="4" w:space="0" w:color="auto"/>
              <w:right w:val="nil"/>
            </w:tcBorders>
            <w:shd w:val="clear" w:color="auto" w:fill="auto"/>
            <w:noWrap/>
            <w:vAlign w:val="center"/>
            <w:hideMark/>
          </w:tcPr>
          <w:p w14:paraId="4D582770" w14:textId="77777777" w:rsidR="00DD5595" w:rsidRPr="00B654E3" w:rsidRDefault="00DD5595" w:rsidP="00EB42C4">
            <w:pPr>
              <w:spacing w:after="0" w:line="240" w:lineRule="auto"/>
              <w:jc w:val="right"/>
              <w:rPr>
                <w:rFonts w:ascii="Arial" w:eastAsia="Times New Roman" w:hAnsi="Arial" w:cs="Arial"/>
                <w:sz w:val="20"/>
                <w:szCs w:val="20"/>
                <w:lang w:eastAsia="en-GB"/>
              </w:rPr>
            </w:pPr>
            <w:r w:rsidRPr="00B654E3">
              <w:rPr>
                <w:rFonts w:ascii="Arial" w:eastAsia="Times New Roman" w:hAnsi="Arial" w:cs="Arial"/>
                <w:sz w:val="20"/>
                <w:szCs w:val="20"/>
                <w:lang w:eastAsia="en-GB"/>
              </w:rPr>
              <w:t>£'000</w:t>
            </w:r>
          </w:p>
        </w:tc>
      </w:tr>
      <w:tr w:rsidR="00DD5595" w:rsidRPr="00B654E3" w14:paraId="51357455" w14:textId="77777777" w:rsidTr="00A962E4">
        <w:trPr>
          <w:gridAfter w:val="4"/>
          <w:wAfter w:w="3159" w:type="dxa"/>
          <w:trHeight w:val="323"/>
        </w:trPr>
        <w:tc>
          <w:tcPr>
            <w:tcW w:w="4820" w:type="dxa"/>
            <w:tcBorders>
              <w:top w:val="nil"/>
              <w:left w:val="nil"/>
              <w:bottom w:val="nil"/>
              <w:right w:val="nil"/>
            </w:tcBorders>
            <w:shd w:val="clear" w:color="auto" w:fill="auto"/>
            <w:noWrap/>
            <w:vAlign w:val="center"/>
            <w:hideMark/>
          </w:tcPr>
          <w:p w14:paraId="46090226" w14:textId="77777777" w:rsidR="00DD5595" w:rsidRPr="00B654E3" w:rsidRDefault="00DD5595" w:rsidP="00EB42C4">
            <w:pPr>
              <w:spacing w:after="0" w:line="240" w:lineRule="auto"/>
              <w:rPr>
                <w:rFonts w:ascii="Arial" w:eastAsia="Times New Roman" w:hAnsi="Arial" w:cs="Arial"/>
                <w:b/>
                <w:bCs/>
                <w:sz w:val="20"/>
                <w:szCs w:val="20"/>
                <w:lang w:eastAsia="en-GB"/>
              </w:rPr>
            </w:pPr>
            <w:r w:rsidRPr="00B654E3">
              <w:rPr>
                <w:rFonts w:ascii="Arial" w:eastAsia="Times New Roman" w:hAnsi="Arial" w:cs="Arial"/>
                <w:b/>
                <w:bCs/>
                <w:sz w:val="20"/>
                <w:szCs w:val="20"/>
                <w:lang w:eastAsia="en-GB"/>
              </w:rPr>
              <w:t>Amounts falling due after one year:</w:t>
            </w:r>
          </w:p>
        </w:tc>
        <w:tc>
          <w:tcPr>
            <w:tcW w:w="272" w:type="dxa"/>
            <w:tcBorders>
              <w:top w:val="nil"/>
              <w:left w:val="nil"/>
              <w:bottom w:val="nil"/>
              <w:right w:val="nil"/>
            </w:tcBorders>
            <w:shd w:val="clear" w:color="auto" w:fill="auto"/>
            <w:noWrap/>
            <w:vAlign w:val="center"/>
            <w:hideMark/>
          </w:tcPr>
          <w:p w14:paraId="62A456CD" w14:textId="77777777" w:rsidR="00DD5595" w:rsidRPr="00B654E3" w:rsidRDefault="00DD5595" w:rsidP="00EB42C4">
            <w:pPr>
              <w:spacing w:after="0" w:line="240" w:lineRule="auto"/>
              <w:rPr>
                <w:rFonts w:ascii="Arial" w:eastAsia="Times New Roman" w:hAnsi="Arial" w:cs="Arial"/>
                <w:b/>
                <w:bCs/>
                <w:sz w:val="20"/>
                <w:szCs w:val="20"/>
                <w:lang w:eastAsia="en-GB"/>
              </w:rPr>
            </w:pPr>
          </w:p>
        </w:tc>
        <w:tc>
          <w:tcPr>
            <w:tcW w:w="803" w:type="dxa"/>
            <w:tcBorders>
              <w:top w:val="nil"/>
              <w:left w:val="nil"/>
              <w:bottom w:val="nil"/>
              <w:right w:val="nil"/>
            </w:tcBorders>
            <w:shd w:val="clear" w:color="auto" w:fill="auto"/>
            <w:noWrap/>
            <w:vAlign w:val="center"/>
            <w:hideMark/>
          </w:tcPr>
          <w:p w14:paraId="55A2DEFF" w14:textId="77777777" w:rsidR="00DD5595" w:rsidRPr="00B654E3" w:rsidRDefault="00DD5595" w:rsidP="00EB42C4">
            <w:pPr>
              <w:spacing w:after="0" w:line="240" w:lineRule="auto"/>
              <w:jc w:val="right"/>
              <w:rPr>
                <w:rFonts w:ascii="Times New Roman" w:eastAsia="Times New Roman" w:hAnsi="Times New Roman" w:cs="Times New Roman"/>
                <w:sz w:val="20"/>
                <w:szCs w:val="20"/>
                <w:lang w:eastAsia="en-GB"/>
              </w:rPr>
            </w:pPr>
          </w:p>
        </w:tc>
        <w:tc>
          <w:tcPr>
            <w:tcW w:w="1096" w:type="dxa"/>
            <w:gridSpan w:val="3"/>
            <w:tcBorders>
              <w:top w:val="nil"/>
              <w:left w:val="nil"/>
              <w:bottom w:val="nil"/>
              <w:right w:val="nil"/>
            </w:tcBorders>
            <w:shd w:val="clear" w:color="auto" w:fill="auto"/>
            <w:noWrap/>
            <w:vAlign w:val="center"/>
            <w:hideMark/>
          </w:tcPr>
          <w:p w14:paraId="6451C562" w14:textId="77777777" w:rsidR="00DD5595" w:rsidRPr="00B654E3" w:rsidRDefault="00DD5595" w:rsidP="00EB42C4">
            <w:pPr>
              <w:spacing w:after="0" w:line="240" w:lineRule="auto"/>
              <w:jc w:val="right"/>
              <w:rPr>
                <w:rFonts w:ascii="Times New Roman" w:eastAsia="Times New Roman" w:hAnsi="Times New Roman" w:cs="Times New Roman"/>
                <w:sz w:val="20"/>
                <w:szCs w:val="20"/>
                <w:lang w:eastAsia="en-GB"/>
              </w:rPr>
            </w:pPr>
          </w:p>
        </w:tc>
        <w:tc>
          <w:tcPr>
            <w:tcW w:w="1089" w:type="dxa"/>
            <w:tcBorders>
              <w:top w:val="nil"/>
              <w:left w:val="nil"/>
              <w:bottom w:val="nil"/>
              <w:right w:val="nil"/>
            </w:tcBorders>
            <w:shd w:val="clear" w:color="auto" w:fill="auto"/>
            <w:noWrap/>
            <w:vAlign w:val="center"/>
            <w:hideMark/>
          </w:tcPr>
          <w:p w14:paraId="300E3E42" w14:textId="77777777" w:rsidR="00DD5595" w:rsidRPr="00B654E3" w:rsidRDefault="00DD5595" w:rsidP="00EB42C4">
            <w:pPr>
              <w:spacing w:after="0" w:line="240" w:lineRule="auto"/>
              <w:jc w:val="right"/>
              <w:rPr>
                <w:rFonts w:ascii="Times New Roman" w:eastAsia="Times New Roman" w:hAnsi="Times New Roman" w:cs="Times New Roman"/>
                <w:sz w:val="20"/>
                <w:szCs w:val="20"/>
                <w:lang w:eastAsia="en-GB"/>
              </w:rPr>
            </w:pPr>
          </w:p>
        </w:tc>
        <w:tc>
          <w:tcPr>
            <w:tcW w:w="992" w:type="dxa"/>
            <w:tcBorders>
              <w:top w:val="nil"/>
              <w:left w:val="nil"/>
              <w:bottom w:val="nil"/>
              <w:right w:val="nil"/>
            </w:tcBorders>
            <w:shd w:val="clear" w:color="auto" w:fill="auto"/>
            <w:noWrap/>
            <w:vAlign w:val="center"/>
            <w:hideMark/>
          </w:tcPr>
          <w:p w14:paraId="2D7734E8" w14:textId="77777777" w:rsidR="00DD5595" w:rsidRPr="00B654E3" w:rsidRDefault="00DD5595" w:rsidP="00EB42C4">
            <w:pPr>
              <w:spacing w:after="0" w:line="240" w:lineRule="auto"/>
              <w:jc w:val="right"/>
              <w:rPr>
                <w:rFonts w:ascii="Times New Roman" w:eastAsia="Times New Roman" w:hAnsi="Times New Roman" w:cs="Times New Roman"/>
                <w:sz w:val="20"/>
                <w:szCs w:val="20"/>
                <w:lang w:eastAsia="en-GB"/>
              </w:rPr>
            </w:pPr>
          </w:p>
        </w:tc>
      </w:tr>
      <w:tr w:rsidR="00DD5595" w:rsidRPr="00B654E3" w14:paraId="19BCE0D8" w14:textId="77777777" w:rsidTr="00A962E4">
        <w:trPr>
          <w:gridAfter w:val="4"/>
          <w:wAfter w:w="3159" w:type="dxa"/>
          <w:trHeight w:val="323"/>
        </w:trPr>
        <w:tc>
          <w:tcPr>
            <w:tcW w:w="4820" w:type="dxa"/>
            <w:tcBorders>
              <w:top w:val="nil"/>
              <w:left w:val="nil"/>
              <w:bottom w:val="nil"/>
              <w:right w:val="nil"/>
            </w:tcBorders>
            <w:shd w:val="clear" w:color="auto" w:fill="auto"/>
            <w:noWrap/>
            <w:vAlign w:val="center"/>
            <w:hideMark/>
          </w:tcPr>
          <w:p w14:paraId="0ABCC8BC" w14:textId="77777777" w:rsidR="00DD5595" w:rsidRPr="00B654E3" w:rsidRDefault="00DD5595" w:rsidP="00EB42C4">
            <w:pPr>
              <w:spacing w:after="0" w:line="240" w:lineRule="auto"/>
              <w:rPr>
                <w:rFonts w:ascii="Arial" w:eastAsia="Times New Roman" w:hAnsi="Arial" w:cs="Arial"/>
                <w:sz w:val="20"/>
                <w:szCs w:val="20"/>
                <w:lang w:eastAsia="en-GB"/>
              </w:rPr>
            </w:pPr>
            <w:r w:rsidRPr="00B654E3">
              <w:rPr>
                <w:rFonts w:ascii="Arial" w:eastAsia="Times New Roman" w:hAnsi="Arial" w:cs="Arial"/>
                <w:sz w:val="20"/>
                <w:szCs w:val="20"/>
                <w:lang w:eastAsia="en-GB"/>
              </w:rPr>
              <w:t>Loans and Borrowings</w:t>
            </w:r>
          </w:p>
        </w:tc>
        <w:tc>
          <w:tcPr>
            <w:tcW w:w="272" w:type="dxa"/>
            <w:tcBorders>
              <w:top w:val="nil"/>
              <w:left w:val="nil"/>
              <w:bottom w:val="nil"/>
              <w:right w:val="nil"/>
            </w:tcBorders>
            <w:shd w:val="clear" w:color="auto" w:fill="auto"/>
            <w:noWrap/>
            <w:vAlign w:val="center"/>
            <w:hideMark/>
          </w:tcPr>
          <w:p w14:paraId="076D7E56" w14:textId="77777777" w:rsidR="00DD5595" w:rsidRPr="00B654E3" w:rsidRDefault="00DD5595" w:rsidP="00EB42C4">
            <w:pPr>
              <w:spacing w:after="0" w:line="240" w:lineRule="auto"/>
              <w:rPr>
                <w:rFonts w:ascii="Arial" w:eastAsia="Times New Roman" w:hAnsi="Arial" w:cs="Arial"/>
                <w:sz w:val="20"/>
                <w:szCs w:val="20"/>
                <w:lang w:eastAsia="en-GB"/>
              </w:rPr>
            </w:pPr>
          </w:p>
        </w:tc>
        <w:tc>
          <w:tcPr>
            <w:tcW w:w="803" w:type="dxa"/>
            <w:tcBorders>
              <w:top w:val="nil"/>
              <w:left w:val="nil"/>
              <w:bottom w:val="nil"/>
              <w:right w:val="nil"/>
            </w:tcBorders>
            <w:shd w:val="clear" w:color="auto" w:fill="auto"/>
            <w:noWrap/>
            <w:vAlign w:val="center"/>
          </w:tcPr>
          <w:p w14:paraId="0E9458E6" w14:textId="77777777" w:rsidR="00DD5595" w:rsidRPr="00B654E3" w:rsidRDefault="00DD5595" w:rsidP="00EB42C4">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3,493</w:t>
            </w:r>
          </w:p>
        </w:tc>
        <w:tc>
          <w:tcPr>
            <w:tcW w:w="1096" w:type="dxa"/>
            <w:gridSpan w:val="3"/>
            <w:tcBorders>
              <w:top w:val="nil"/>
              <w:left w:val="nil"/>
              <w:bottom w:val="nil"/>
              <w:right w:val="nil"/>
            </w:tcBorders>
            <w:shd w:val="clear" w:color="auto" w:fill="auto"/>
            <w:noWrap/>
            <w:vAlign w:val="center"/>
            <w:hideMark/>
          </w:tcPr>
          <w:p w14:paraId="6C23371C" w14:textId="77777777" w:rsidR="00DD5595" w:rsidRPr="0039438F" w:rsidRDefault="00DD5595" w:rsidP="00EB42C4">
            <w:pPr>
              <w:spacing w:after="0" w:line="240" w:lineRule="auto"/>
              <w:jc w:val="right"/>
              <w:rPr>
                <w:rFonts w:ascii="Arial" w:eastAsia="Times New Roman" w:hAnsi="Arial" w:cs="Arial"/>
                <w:bCs/>
                <w:sz w:val="20"/>
                <w:szCs w:val="20"/>
                <w:lang w:eastAsia="en-GB"/>
              </w:rPr>
            </w:pPr>
            <w:r w:rsidRPr="0039438F">
              <w:rPr>
                <w:rFonts w:ascii="Arial" w:eastAsia="Times New Roman" w:hAnsi="Arial" w:cs="Arial"/>
                <w:bCs/>
                <w:sz w:val="20"/>
                <w:szCs w:val="20"/>
                <w:lang w:eastAsia="en-GB"/>
              </w:rPr>
              <w:t xml:space="preserve">6,888 </w:t>
            </w:r>
          </w:p>
        </w:tc>
        <w:tc>
          <w:tcPr>
            <w:tcW w:w="1089" w:type="dxa"/>
            <w:tcBorders>
              <w:top w:val="nil"/>
              <w:left w:val="nil"/>
              <w:bottom w:val="nil"/>
              <w:right w:val="nil"/>
            </w:tcBorders>
            <w:shd w:val="clear" w:color="auto" w:fill="auto"/>
            <w:noWrap/>
            <w:vAlign w:val="center"/>
          </w:tcPr>
          <w:p w14:paraId="1E0618EC" w14:textId="77777777" w:rsidR="00DD5595" w:rsidRPr="00B654E3" w:rsidRDefault="00DD5595" w:rsidP="00EB42C4">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1,961</w:t>
            </w:r>
          </w:p>
        </w:tc>
        <w:tc>
          <w:tcPr>
            <w:tcW w:w="992" w:type="dxa"/>
            <w:tcBorders>
              <w:top w:val="nil"/>
              <w:left w:val="nil"/>
              <w:bottom w:val="nil"/>
              <w:right w:val="nil"/>
            </w:tcBorders>
            <w:shd w:val="clear" w:color="auto" w:fill="auto"/>
            <w:noWrap/>
            <w:vAlign w:val="center"/>
            <w:hideMark/>
          </w:tcPr>
          <w:p w14:paraId="6AF6D100" w14:textId="77777777" w:rsidR="00DD5595" w:rsidRPr="0039438F" w:rsidRDefault="00DD5595" w:rsidP="00EB42C4">
            <w:pPr>
              <w:spacing w:after="0" w:line="240" w:lineRule="auto"/>
              <w:jc w:val="right"/>
              <w:rPr>
                <w:rFonts w:ascii="Arial" w:eastAsia="Times New Roman" w:hAnsi="Arial" w:cs="Arial"/>
                <w:sz w:val="20"/>
                <w:szCs w:val="20"/>
                <w:lang w:eastAsia="en-GB"/>
              </w:rPr>
            </w:pPr>
            <w:r w:rsidRPr="0039438F">
              <w:rPr>
                <w:rFonts w:ascii="Arial" w:eastAsia="Times New Roman" w:hAnsi="Arial" w:cs="Arial"/>
                <w:bCs/>
                <w:sz w:val="20"/>
                <w:szCs w:val="20"/>
                <w:lang w:eastAsia="en-GB"/>
              </w:rPr>
              <w:t>5,499</w:t>
            </w:r>
          </w:p>
        </w:tc>
      </w:tr>
      <w:tr w:rsidR="00DD5595" w:rsidRPr="00B654E3" w14:paraId="573FB99C" w14:textId="77777777" w:rsidTr="00A962E4">
        <w:trPr>
          <w:gridAfter w:val="4"/>
          <w:wAfter w:w="3159" w:type="dxa"/>
          <w:trHeight w:val="323"/>
        </w:trPr>
        <w:tc>
          <w:tcPr>
            <w:tcW w:w="4820" w:type="dxa"/>
            <w:tcBorders>
              <w:top w:val="single" w:sz="4" w:space="0" w:color="auto"/>
              <w:left w:val="nil"/>
              <w:bottom w:val="single" w:sz="4" w:space="0" w:color="auto"/>
              <w:right w:val="nil"/>
            </w:tcBorders>
            <w:shd w:val="clear" w:color="auto" w:fill="auto"/>
            <w:noWrap/>
            <w:vAlign w:val="center"/>
            <w:hideMark/>
          </w:tcPr>
          <w:p w14:paraId="7E0A6B0C" w14:textId="77777777" w:rsidR="00DD5595" w:rsidRPr="00B654E3" w:rsidRDefault="00DD5595" w:rsidP="00EB42C4">
            <w:pPr>
              <w:spacing w:after="0" w:line="240" w:lineRule="auto"/>
              <w:rPr>
                <w:rFonts w:ascii="Arial" w:eastAsia="Times New Roman" w:hAnsi="Arial" w:cs="Arial"/>
                <w:b/>
                <w:bCs/>
                <w:sz w:val="20"/>
                <w:szCs w:val="20"/>
                <w:lang w:eastAsia="en-GB"/>
              </w:rPr>
            </w:pPr>
            <w:r w:rsidRPr="00B654E3">
              <w:rPr>
                <w:rFonts w:ascii="Arial" w:eastAsia="Times New Roman" w:hAnsi="Arial" w:cs="Arial"/>
                <w:b/>
                <w:bCs/>
                <w:sz w:val="20"/>
                <w:szCs w:val="20"/>
                <w:lang w:eastAsia="en-GB"/>
              </w:rPr>
              <w:t>Total</w:t>
            </w:r>
          </w:p>
        </w:tc>
        <w:tc>
          <w:tcPr>
            <w:tcW w:w="272" w:type="dxa"/>
            <w:tcBorders>
              <w:top w:val="single" w:sz="4" w:space="0" w:color="auto"/>
              <w:left w:val="nil"/>
              <w:bottom w:val="single" w:sz="4" w:space="0" w:color="auto"/>
              <w:right w:val="nil"/>
            </w:tcBorders>
            <w:shd w:val="clear" w:color="auto" w:fill="auto"/>
            <w:noWrap/>
            <w:vAlign w:val="center"/>
            <w:hideMark/>
          </w:tcPr>
          <w:p w14:paraId="70B9AE7B" w14:textId="77777777" w:rsidR="00DD5595" w:rsidRPr="00B654E3" w:rsidRDefault="00DD5595" w:rsidP="00EB42C4">
            <w:pPr>
              <w:spacing w:after="0" w:line="240" w:lineRule="auto"/>
              <w:rPr>
                <w:rFonts w:ascii="Arial" w:eastAsia="Times New Roman" w:hAnsi="Arial" w:cs="Arial"/>
                <w:b/>
                <w:bCs/>
                <w:sz w:val="20"/>
                <w:szCs w:val="20"/>
                <w:lang w:eastAsia="en-GB"/>
              </w:rPr>
            </w:pPr>
            <w:r w:rsidRPr="00B654E3">
              <w:rPr>
                <w:rFonts w:ascii="Arial" w:eastAsia="Times New Roman" w:hAnsi="Arial" w:cs="Arial"/>
                <w:b/>
                <w:bCs/>
                <w:sz w:val="20"/>
                <w:szCs w:val="20"/>
                <w:lang w:eastAsia="en-GB"/>
              </w:rPr>
              <w:t> </w:t>
            </w:r>
          </w:p>
        </w:tc>
        <w:tc>
          <w:tcPr>
            <w:tcW w:w="803" w:type="dxa"/>
            <w:tcBorders>
              <w:top w:val="single" w:sz="4" w:space="0" w:color="auto"/>
              <w:left w:val="nil"/>
              <w:bottom w:val="single" w:sz="4" w:space="0" w:color="auto"/>
              <w:right w:val="nil"/>
            </w:tcBorders>
            <w:shd w:val="clear" w:color="auto" w:fill="auto"/>
            <w:noWrap/>
            <w:vAlign w:val="center"/>
          </w:tcPr>
          <w:p w14:paraId="1E67A018" w14:textId="77777777" w:rsidR="00DD5595" w:rsidRPr="00B654E3" w:rsidRDefault="00DD5595" w:rsidP="00EB42C4">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3,493</w:t>
            </w:r>
          </w:p>
        </w:tc>
        <w:tc>
          <w:tcPr>
            <w:tcW w:w="1096" w:type="dxa"/>
            <w:gridSpan w:val="3"/>
            <w:tcBorders>
              <w:top w:val="single" w:sz="4" w:space="0" w:color="auto"/>
              <w:left w:val="nil"/>
              <w:bottom w:val="single" w:sz="4" w:space="0" w:color="auto"/>
              <w:right w:val="nil"/>
            </w:tcBorders>
            <w:shd w:val="clear" w:color="auto" w:fill="auto"/>
            <w:noWrap/>
            <w:vAlign w:val="center"/>
            <w:hideMark/>
          </w:tcPr>
          <w:p w14:paraId="0875727E" w14:textId="77777777" w:rsidR="00DD5595" w:rsidRPr="0039438F" w:rsidRDefault="00DD5595" w:rsidP="00EB42C4">
            <w:pPr>
              <w:spacing w:after="0" w:line="240" w:lineRule="auto"/>
              <w:jc w:val="right"/>
              <w:rPr>
                <w:rFonts w:ascii="Arial" w:eastAsia="Times New Roman" w:hAnsi="Arial" w:cs="Arial"/>
                <w:bCs/>
                <w:sz w:val="20"/>
                <w:szCs w:val="20"/>
                <w:lang w:eastAsia="en-GB"/>
              </w:rPr>
            </w:pPr>
            <w:r w:rsidRPr="0039438F">
              <w:rPr>
                <w:rFonts w:ascii="Arial" w:eastAsia="Times New Roman" w:hAnsi="Arial" w:cs="Arial"/>
                <w:bCs/>
                <w:sz w:val="20"/>
                <w:szCs w:val="20"/>
                <w:lang w:eastAsia="en-GB"/>
              </w:rPr>
              <w:t>6,888</w:t>
            </w:r>
          </w:p>
        </w:tc>
        <w:tc>
          <w:tcPr>
            <w:tcW w:w="1089" w:type="dxa"/>
            <w:tcBorders>
              <w:top w:val="single" w:sz="4" w:space="0" w:color="auto"/>
              <w:left w:val="nil"/>
              <w:bottom w:val="single" w:sz="4" w:space="0" w:color="auto"/>
              <w:right w:val="nil"/>
            </w:tcBorders>
            <w:shd w:val="clear" w:color="auto" w:fill="auto"/>
            <w:noWrap/>
            <w:vAlign w:val="center"/>
          </w:tcPr>
          <w:p w14:paraId="1CB600FA" w14:textId="77777777" w:rsidR="00DD5595" w:rsidRPr="00B654E3" w:rsidRDefault="00DD5595" w:rsidP="00EB42C4">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1,961</w:t>
            </w:r>
          </w:p>
        </w:tc>
        <w:tc>
          <w:tcPr>
            <w:tcW w:w="992" w:type="dxa"/>
            <w:tcBorders>
              <w:top w:val="single" w:sz="4" w:space="0" w:color="auto"/>
              <w:left w:val="nil"/>
              <w:bottom w:val="single" w:sz="4" w:space="0" w:color="auto"/>
              <w:right w:val="nil"/>
            </w:tcBorders>
            <w:shd w:val="clear" w:color="auto" w:fill="auto"/>
            <w:noWrap/>
            <w:vAlign w:val="center"/>
            <w:hideMark/>
          </w:tcPr>
          <w:p w14:paraId="0D5028F3" w14:textId="77777777" w:rsidR="00DD5595" w:rsidRPr="0039438F" w:rsidRDefault="00DD5595" w:rsidP="00EB42C4">
            <w:pPr>
              <w:spacing w:after="0" w:line="240" w:lineRule="auto"/>
              <w:jc w:val="right"/>
              <w:rPr>
                <w:rFonts w:ascii="Arial" w:eastAsia="Times New Roman" w:hAnsi="Arial" w:cs="Arial"/>
                <w:sz w:val="20"/>
                <w:szCs w:val="20"/>
                <w:lang w:eastAsia="en-GB"/>
              </w:rPr>
            </w:pPr>
            <w:r w:rsidRPr="0039438F">
              <w:rPr>
                <w:rFonts w:ascii="Arial" w:eastAsia="Times New Roman" w:hAnsi="Arial" w:cs="Arial"/>
                <w:bCs/>
                <w:sz w:val="20"/>
                <w:szCs w:val="20"/>
                <w:lang w:eastAsia="en-GB"/>
              </w:rPr>
              <w:t>5,499</w:t>
            </w:r>
          </w:p>
        </w:tc>
      </w:tr>
    </w:tbl>
    <w:p w14:paraId="42C06C84" w14:textId="77777777" w:rsidR="00DD5595" w:rsidRDefault="00DD5595" w:rsidP="00DD5595">
      <w:pPr>
        <w:autoSpaceDE w:val="0"/>
        <w:autoSpaceDN w:val="0"/>
        <w:adjustRightInd w:val="0"/>
        <w:spacing w:after="0" w:line="240" w:lineRule="auto"/>
        <w:rPr>
          <w:rFonts w:ascii="Arial" w:hAnsi="Arial" w:cs="Arial"/>
          <w:sz w:val="20"/>
          <w:szCs w:val="20"/>
        </w:rPr>
      </w:pPr>
    </w:p>
    <w:p w14:paraId="6B0FCB6F" w14:textId="77777777" w:rsidR="0078452D" w:rsidRPr="00161381" w:rsidRDefault="0078452D">
      <w:pPr>
        <w:rPr>
          <w:rFonts w:ascii="Arial" w:hAnsi="Arial" w:cs="Arial"/>
          <w:sz w:val="24"/>
          <w:szCs w:val="24"/>
        </w:rPr>
      </w:pPr>
      <w:r w:rsidRPr="00161381">
        <w:rPr>
          <w:rFonts w:ascii="Arial" w:hAnsi="Arial" w:cs="Arial"/>
          <w:sz w:val="24"/>
          <w:szCs w:val="24"/>
        </w:rPr>
        <w:br w:type="page"/>
      </w:r>
    </w:p>
    <w:p w14:paraId="57FC461A" w14:textId="77777777" w:rsidR="00DD5595" w:rsidRDefault="00DD5595" w:rsidP="00DD5595">
      <w:pPr>
        <w:spacing w:after="0" w:line="240" w:lineRule="auto"/>
        <w:rPr>
          <w:rFonts w:ascii="Arial" w:hAnsi="Arial" w:cs="Arial"/>
          <w:b/>
          <w:i/>
          <w:sz w:val="24"/>
          <w:szCs w:val="24"/>
        </w:rPr>
      </w:pPr>
      <w:r w:rsidRPr="0088736E">
        <w:rPr>
          <w:rFonts w:ascii="Arial" w:hAnsi="Arial" w:cs="Arial"/>
          <w:b/>
          <w:i/>
          <w:sz w:val="24"/>
          <w:szCs w:val="24"/>
        </w:rPr>
        <w:lastRenderedPageBreak/>
        <w:t xml:space="preserve">Notes to the financial </w:t>
      </w:r>
      <w:r>
        <w:rPr>
          <w:rFonts w:ascii="Arial" w:hAnsi="Arial" w:cs="Arial"/>
          <w:b/>
          <w:i/>
          <w:sz w:val="24"/>
          <w:szCs w:val="24"/>
        </w:rPr>
        <w:t>statements</w:t>
      </w:r>
      <w:r w:rsidRPr="0088736E">
        <w:rPr>
          <w:rFonts w:ascii="Arial" w:hAnsi="Arial" w:cs="Arial"/>
          <w:b/>
          <w:i/>
          <w:sz w:val="24"/>
          <w:szCs w:val="24"/>
        </w:rPr>
        <w:t xml:space="preserve"> (continued)</w:t>
      </w:r>
    </w:p>
    <w:p w14:paraId="041A3921" w14:textId="77777777" w:rsidR="00DD5595" w:rsidRDefault="00DD5595" w:rsidP="00DD5595">
      <w:pPr>
        <w:spacing w:after="0" w:line="240" w:lineRule="auto"/>
        <w:rPr>
          <w:rFonts w:ascii="Arial" w:hAnsi="Arial" w:cs="Arial"/>
          <w:b/>
          <w:i/>
          <w:sz w:val="24"/>
          <w:szCs w:val="24"/>
        </w:rPr>
      </w:pPr>
    </w:p>
    <w:p w14:paraId="7D0E46C1" w14:textId="77777777" w:rsidR="00DD5595" w:rsidRDefault="00DD5595" w:rsidP="00DD5595">
      <w:pPr>
        <w:spacing w:after="0" w:line="240" w:lineRule="auto"/>
        <w:rPr>
          <w:rFonts w:ascii="Arial" w:hAnsi="Arial" w:cs="Arial"/>
          <w:b/>
          <w:i/>
          <w:sz w:val="24"/>
          <w:szCs w:val="24"/>
        </w:rPr>
      </w:pPr>
      <w:r w:rsidRPr="00B654E3">
        <w:rPr>
          <w:rFonts w:ascii="Arial" w:eastAsia="Times New Roman" w:hAnsi="Arial" w:cs="Arial"/>
          <w:b/>
          <w:bCs/>
          <w:sz w:val="24"/>
          <w:szCs w:val="24"/>
          <w:lang w:eastAsia="en-GB"/>
        </w:rPr>
        <w:t>16b. Creditors</w:t>
      </w:r>
      <w:r>
        <w:rPr>
          <w:rFonts w:ascii="Arial" w:eastAsia="Times New Roman" w:hAnsi="Arial" w:cs="Arial"/>
          <w:b/>
          <w:bCs/>
          <w:sz w:val="24"/>
          <w:szCs w:val="24"/>
          <w:lang w:eastAsia="en-GB"/>
        </w:rPr>
        <w:t xml:space="preserve"> -</w:t>
      </w:r>
      <w:r w:rsidRPr="00B654E3">
        <w:rPr>
          <w:rFonts w:ascii="Arial" w:eastAsia="Times New Roman" w:hAnsi="Arial" w:cs="Arial"/>
          <w:b/>
          <w:bCs/>
          <w:sz w:val="24"/>
          <w:szCs w:val="24"/>
          <w:lang w:eastAsia="en-GB"/>
        </w:rPr>
        <w:t xml:space="preserve"> amounts falling due after one year</w:t>
      </w:r>
      <w:r>
        <w:rPr>
          <w:rFonts w:ascii="Arial" w:eastAsia="Times New Roman" w:hAnsi="Arial" w:cs="Arial"/>
          <w:b/>
          <w:bCs/>
          <w:sz w:val="24"/>
          <w:szCs w:val="24"/>
          <w:lang w:eastAsia="en-GB"/>
        </w:rPr>
        <w:t xml:space="preserve"> (continued)</w:t>
      </w:r>
    </w:p>
    <w:p w14:paraId="27BD5AEB" w14:textId="77777777" w:rsidR="007C4794" w:rsidRDefault="007C4794" w:rsidP="00E70CD3">
      <w:pPr>
        <w:autoSpaceDE w:val="0"/>
        <w:autoSpaceDN w:val="0"/>
        <w:adjustRightInd w:val="0"/>
        <w:spacing w:after="0" w:line="240" w:lineRule="auto"/>
        <w:rPr>
          <w:rFonts w:ascii="Arial" w:hAnsi="Arial" w:cs="Arial"/>
          <w:sz w:val="20"/>
          <w:szCs w:val="20"/>
        </w:rPr>
      </w:pPr>
    </w:p>
    <w:tbl>
      <w:tblPr>
        <w:tblW w:w="9500" w:type="dxa"/>
        <w:tblLook w:val="04A0" w:firstRow="1" w:lastRow="0" w:firstColumn="1" w:lastColumn="0" w:noHBand="0" w:noVBand="1"/>
      </w:tblPr>
      <w:tblGrid>
        <w:gridCol w:w="9500"/>
      </w:tblGrid>
      <w:tr w:rsidR="00E70CD3" w:rsidRPr="00B654E3" w14:paraId="50DB32B2" w14:textId="77777777" w:rsidTr="007729E5">
        <w:trPr>
          <w:trHeight w:val="1275"/>
        </w:trPr>
        <w:tc>
          <w:tcPr>
            <w:tcW w:w="9500" w:type="dxa"/>
            <w:tcBorders>
              <w:top w:val="nil"/>
              <w:left w:val="nil"/>
              <w:bottom w:val="nil"/>
              <w:right w:val="nil"/>
            </w:tcBorders>
            <w:shd w:val="clear" w:color="auto" w:fill="auto"/>
            <w:hideMark/>
          </w:tcPr>
          <w:p w14:paraId="2655A624" w14:textId="77777777" w:rsidR="00E70CD3" w:rsidRPr="00C322AE" w:rsidRDefault="00E70CD3" w:rsidP="006647C2">
            <w:pPr>
              <w:spacing w:after="240" w:line="240" w:lineRule="auto"/>
              <w:ind w:right="176"/>
              <w:jc w:val="both"/>
              <w:rPr>
                <w:rFonts w:ascii="Arial" w:eastAsia="Times New Roman" w:hAnsi="Arial" w:cs="Arial"/>
                <w:color w:val="000000"/>
                <w:sz w:val="24"/>
                <w:szCs w:val="24"/>
                <w:lang w:eastAsia="en-GB"/>
              </w:rPr>
            </w:pPr>
            <w:r w:rsidRPr="00C322AE">
              <w:rPr>
                <w:rFonts w:ascii="Arial" w:eastAsia="Times New Roman" w:hAnsi="Arial" w:cs="Arial"/>
                <w:color w:val="000000"/>
                <w:sz w:val="24"/>
                <w:szCs w:val="24"/>
                <w:lang w:eastAsia="en-GB"/>
              </w:rPr>
              <w:t>Loans include a bank loan amounting to £</w:t>
            </w:r>
            <w:r w:rsidR="00BA2743">
              <w:rPr>
                <w:rFonts w:ascii="Arial" w:eastAsia="Times New Roman" w:hAnsi="Arial" w:cs="Arial"/>
                <w:color w:val="000000"/>
                <w:sz w:val="24"/>
                <w:szCs w:val="24"/>
                <w:lang w:eastAsia="en-GB"/>
              </w:rPr>
              <w:t>2.9m (2019:</w:t>
            </w:r>
            <w:r w:rsidR="0029377B">
              <w:rPr>
                <w:rFonts w:ascii="Arial" w:eastAsia="Times New Roman" w:hAnsi="Arial" w:cs="Arial"/>
                <w:color w:val="000000"/>
                <w:sz w:val="24"/>
                <w:szCs w:val="24"/>
                <w:lang w:eastAsia="en-GB"/>
              </w:rPr>
              <w:t xml:space="preserve"> </w:t>
            </w:r>
            <w:r w:rsidR="00BA2743">
              <w:rPr>
                <w:rFonts w:ascii="Arial" w:eastAsia="Times New Roman" w:hAnsi="Arial" w:cs="Arial"/>
                <w:color w:val="000000"/>
                <w:sz w:val="24"/>
                <w:szCs w:val="24"/>
                <w:lang w:eastAsia="en-GB"/>
              </w:rPr>
              <w:t xml:space="preserve">£5.4m) </w:t>
            </w:r>
            <w:r w:rsidRPr="00C322AE">
              <w:rPr>
                <w:rFonts w:ascii="Arial" w:eastAsia="Times New Roman" w:hAnsi="Arial" w:cs="Arial"/>
                <w:color w:val="000000"/>
                <w:sz w:val="24"/>
                <w:szCs w:val="24"/>
                <w:lang w:eastAsia="en-GB"/>
              </w:rPr>
              <w:t>which is secured by a fixed charge on all Sh</w:t>
            </w:r>
            <w:r w:rsidR="00F760F4">
              <w:rPr>
                <w:rFonts w:ascii="Arial" w:eastAsia="Times New Roman" w:hAnsi="Arial" w:cs="Arial"/>
                <w:color w:val="000000"/>
                <w:sz w:val="24"/>
                <w:szCs w:val="24"/>
                <w:lang w:eastAsia="en-GB"/>
              </w:rPr>
              <w:t xml:space="preserve">aw Trust </w:t>
            </w:r>
            <w:r w:rsidR="00613BAD">
              <w:rPr>
                <w:rFonts w:ascii="Arial" w:eastAsia="Times New Roman" w:hAnsi="Arial" w:cs="Arial"/>
                <w:color w:val="000000"/>
                <w:sz w:val="24"/>
                <w:szCs w:val="24"/>
                <w:lang w:eastAsia="en-GB"/>
              </w:rPr>
              <w:t xml:space="preserve">Limited </w:t>
            </w:r>
            <w:r w:rsidR="00F760F4">
              <w:rPr>
                <w:rFonts w:ascii="Arial" w:eastAsia="Times New Roman" w:hAnsi="Arial" w:cs="Arial"/>
                <w:color w:val="000000"/>
                <w:sz w:val="24"/>
                <w:szCs w:val="24"/>
                <w:lang w:eastAsia="en-GB"/>
              </w:rPr>
              <w:t>Group a</w:t>
            </w:r>
            <w:r w:rsidRPr="00C322AE">
              <w:rPr>
                <w:rFonts w:ascii="Arial" w:eastAsia="Times New Roman" w:hAnsi="Arial" w:cs="Arial"/>
                <w:color w:val="000000"/>
                <w:sz w:val="24"/>
                <w:szCs w:val="24"/>
                <w:lang w:eastAsia="en-GB"/>
              </w:rPr>
              <w:t>ssets</w:t>
            </w:r>
            <w:r w:rsidR="0041715E">
              <w:rPr>
                <w:rFonts w:ascii="Arial" w:eastAsia="Times New Roman" w:hAnsi="Arial" w:cs="Arial"/>
                <w:color w:val="000000"/>
                <w:sz w:val="24"/>
                <w:szCs w:val="24"/>
                <w:lang w:eastAsia="en-GB"/>
              </w:rPr>
              <w:t>, excluding Shaw Education Trust</w:t>
            </w:r>
            <w:r w:rsidRPr="00C322AE">
              <w:rPr>
                <w:rFonts w:ascii="Arial" w:eastAsia="Times New Roman" w:hAnsi="Arial" w:cs="Arial"/>
                <w:color w:val="000000"/>
                <w:sz w:val="24"/>
                <w:szCs w:val="24"/>
                <w:lang w:eastAsia="en-GB"/>
              </w:rPr>
              <w:t>.</w:t>
            </w:r>
          </w:p>
          <w:p w14:paraId="3ED37278" w14:textId="77777777" w:rsidR="00E70CD3" w:rsidRPr="00C322AE" w:rsidRDefault="00E70CD3" w:rsidP="006647C2">
            <w:pPr>
              <w:spacing w:after="240" w:line="240" w:lineRule="auto"/>
              <w:ind w:right="176"/>
              <w:jc w:val="both"/>
              <w:rPr>
                <w:rFonts w:ascii="Arial" w:eastAsia="Times New Roman" w:hAnsi="Arial" w:cs="Arial"/>
                <w:color w:val="000000"/>
                <w:sz w:val="24"/>
                <w:szCs w:val="24"/>
                <w:lang w:eastAsia="en-GB"/>
              </w:rPr>
            </w:pPr>
            <w:r w:rsidRPr="00100F23">
              <w:rPr>
                <w:rFonts w:ascii="Arial" w:eastAsia="Times New Roman" w:hAnsi="Arial" w:cs="Arial"/>
                <w:color w:val="000000"/>
                <w:sz w:val="24"/>
                <w:szCs w:val="24"/>
                <w:lang w:eastAsia="en-GB"/>
              </w:rPr>
              <w:t>Interest accrues at a variable margin ranging between 2.25% and 3.25% over LIBOR and is payable over periods ranging between 1 month and 6 months, or any other period agreed between the company and the lender.</w:t>
            </w:r>
          </w:p>
        </w:tc>
      </w:tr>
      <w:tr w:rsidR="00E70CD3" w:rsidRPr="00B654E3" w14:paraId="73DCFC9C" w14:textId="77777777" w:rsidTr="007729E5">
        <w:trPr>
          <w:trHeight w:val="585"/>
        </w:trPr>
        <w:tc>
          <w:tcPr>
            <w:tcW w:w="9500" w:type="dxa"/>
            <w:tcBorders>
              <w:top w:val="nil"/>
              <w:left w:val="nil"/>
              <w:bottom w:val="nil"/>
              <w:right w:val="nil"/>
            </w:tcBorders>
            <w:shd w:val="clear" w:color="auto" w:fill="auto"/>
            <w:vAlign w:val="center"/>
            <w:hideMark/>
          </w:tcPr>
          <w:p w14:paraId="0434ACFC" w14:textId="77777777" w:rsidR="00E70CD3" w:rsidRPr="00C322AE" w:rsidRDefault="00E70CD3" w:rsidP="00F760F4">
            <w:pPr>
              <w:spacing w:after="240" w:line="240" w:lineRule="auto"/>
              <w:ind w:right="176"/>
              <w:jc w:val="both"/>
              <w:rPr>
                <w:rFonts w:ascii="Arial" w:eastAsia="Times New Roman" w:hAnsi="Arial" w:cs="Arial"/>
                <w:color w:val="000000"/>
                <w:sz w:val="24"/>
                <w:szCs w:val="24"/>
                <w:lang w:eastAsia="en-GB"/>
              </w:rPr>
            </w:pPr>
            <w:r w:rsidRPr="00C322AE">
              <w:rPr>
                <w:rFonts w:ascii="Arial" w:eastAsia="Times New Roman" w:hAnsi="Arial" w:cs="Arial"/>
                <w:color w:val="000000"/>
                <w:sz w:val="24"/>
                <w:szCs w:val="24"/>
                <w:lang w:eastAsia="en-GB"/>
              </w:rPr>
              <w:t xml:space="preserve">Transaction costs in respect of the refinancing </w:t>
            </w:r>
            <w:r w:rsidR="00F760F4">
              <w:rPr>
                <w:rFonts w:ascii="Arial" w:eastAsia="Times New Roman" w:hAnsi="Arial" w:cs="Arial"/>
                <w:color w:val="000000"/>
                <w:sz w:val="24"/>
                <w:szCs w:val="24"/>
                <w:lang w:eastAsia="en-GB"/>
              </w:rPr>
              <w:t>were</w:t>
            </w:r>
            <w:r w:rsidRPr="00C322AE">
              <w:rPr>
                <w:rFonts w:ascii="Arial" w:eastAsia="Times New Roman" w:hAnsi="Arial" w:cs="Arial"/>
                <w:color w:val="000000"/>
                <w:sz w:val="24"/>
                <w:szCs w:val="24"/>
                <w:lang w:eastAsia="en-GB"/>
              </w:rPr>
              <w:t xml:space="preserve"> recognised as part of the interest expense, amortised over the term of the bank loan.</w:t>
            </w:r>
          </w:p>
        </w:tc>
      </w:tr>
      <w:tr w:rsidR="00E70CD3" w:rsidRPr="00B654E3" w14:paraId="0069BCBE" w14:textId="77777777" w:rsidTr="007729E5">
        <w:trPr>
          <w:trHeight w:val="555"/>
        </w:trPr>
        <w:tc>
          <w:tcPr>
            <w:tcW w:w="9500" w:type="dxa"/>
            <w:tcBorders>
              <w:top w:val="nil"/>
              <w:left w:val="nil"/>
              <w:bottom w:val="nil"/>
              <w:right w:val="nil"/>
            </w:tcBorders>
            <w:shd w:val="clear" w:color="auto" w:fill="auto"/>
            <w:vAlign w:val="center"/>
            <w:hideMark/>
          </w:tcPr>
          <w:p w14:paraId="7FD3EE4B" w14:textId="77777777" w:rsidR="00E70CD3" w:rsidRPr="00C322AE" w:rsidRDefault="00E70CD3" w:rsidP="00B85A1F">
            <w:pPr>
              <w:spacing w:after="240" w:line="240" w:lineRule="auto"/>
              <w:ind w:right="176"/>
              <w:jc w:val="both"/>
              <w:rPr>
                <w:rFonts w:ascii="Arial" w:eastAsia="Times New Roman" w:hAnsi="Arial" w:cs="Arial"/>
                <w:sz w:val="24"/>
                <w:szCs w:val="24"/>
                <w:lang w:eastAsia="en-GB"/>
              </w:rPr>
            </w:pPr>
            <w:r w:rsidRPr="00C322AE">
              <w:rPr>
                <w:rFonts w:ascii="Arial" w:eastAsia="Times New Roman" w:hAnsi="Arial" w:cs="Arial"/>
                <w:sz w:val="24"/>
                <w:szCs w:val="24"/>
                <w:lang w:eastAsia="en-GB"/>
              </w:rPr>
              <w:t>Borrowings by Forth Sector amounting to £</w:t>
            </w:r>
            <w:r w:rsidR="00047BC2">
              <w:rPr>
                <w:rFonts w:ascii="Arial" w:eastAsia="Times New Roman" w:hAnsi="Arial" w:cs="Arial"/>
                <w:sz w:val="24"/>
                <w:szCs w:val="24"/>
                <w:lang w:eastAsia="en-GB"/>
              </w:rPr>
              <w:t>1.</w:t>
            </w:r>
            <w:r w:rsidR="00B85A1F">
              <w:rPr>
                <w:rFonts w:ascii="Arial" w:eastAsia="Times New Roman" w:hAnsi="Arial" w:cs="Arial"/>
                <w:sz w:val="24"/>
                <w:szCs w:val="24"/>
                <w:lang w:eastAsia="en-GB"/>
              </w:rPr>
              <w:t>3</w:t>
            </w:r>
            <w:r w:rsidRPr="00BA2743">
              <w:rPr>
                <w:rFonts w:ascii="Arial" w:eastAsia="Times New Roman" w:hAnsi="Arial" w:cs="Arial"/>
                <w:sz w:val="24"/>
                <w:szCs w:val="24"/>
                <w:lang w:eastAsia="en-GB"/>
              </w:rPr>
              <w:t>m</w:t>
            </w:r>
            <w:r w:rsidRPr="00C322AE">
              <w:rPr>
                <w:rFonts w:ascii="Arial" w:eastAsia="Times New Roman" w:hAnsi="Arial" w:cs="Arial"/>
                <w:sz w:val="24"/>
                <w:szCs w:val="24"/>
                <w:lang w:eastAsia="en-GB"/>
              </w:rPr>
              <w:t xml:space="preserve"> are secured by floating charges and standard securities over the assets of that company.</w:t>
            </w:r>
          </w:p>
        </w:tc>
      </w:tr>
    </w:tbl>
    <w:p w14:paraId="737A847C" w14:textId="77777777" w:rsidR="00E70CD3" w:rsidRDefault="00E70CD3" w:rsidP="00E70CD3">
      <w:pPr>
        <w:autoSpaceDE w:val="0"/>
        <w:autoSpaceDN w:val="0"/>
        <w:adjustRightInd w:val="0"/>
        <w:spacing w:after="0" w:line="240" w:lineRule="auto"/>
        <w:rPr>
          <w:rFonts w:ascii="Arial" w:hAnsi="Arial" w:cs="Arial"/>
          <w:sz w:val="20"/>
          <w:szCs w:val="20"/>
        </w:rPr>
      </w:pPr>
    </w:p>
    <w:tbl>
      <w:tblPr>
        <w:tblW w:w="9343" w:type="dxa"/>
        <w:tblLook w:val="04A0" w:firstRow="1" w:lastRow="0" w:firstColumn="1" w:lastColumn="0" w:noHBand="0" w:noVBand="1"/>
      </w:tblPr>
      <w:tblGrid>
        <w:gridCol w:w="4882"/>
        <w:gridCol w:w="1639"/>
        <w:gridCol w:w="1701"/>
        <w:gridCol w:w="1121"/>
      </w:tblGrid>
      <w:tr w:rsidR="00E70CD3" w:rsidRPr="00B654E3" w14:paraId="5722353E" w14:textId="77777777" w:rsidTr="00314A3A">
        <w:trPr>
          <w:trHeight w:val="397"/>
        </w:trPr>
        <w:tc>
          <w:tcPr>
            <w:tcW w:w="6521" w:type="dxa"/>
            <w:gridSpan w:val="2"/>
            <w:tcBorders>
              <w:top w:val="nil"/>
              <w:left w:val="nil"/>
              <w:bottom w:val="nil"/>
              <w:right w:val="nil"/>
            </w:tcBorders>
            <w:shd w:val="clear" w:color="auto" w:fill="auto"/>
            <w:noWrap/>
            <w:vAlign w:val="center"/>
            <w:hideMark/>
          </w:tcPr>
          <w:p w14:paraId="3E39837B" w14:textId="77777777" w:rsidR="00E70CD3" w:rsidRPr="00B654E3" w:rsidRDefault="00E70CD3" w:rsidP="000416E6">
            <w:pPr>
              <w:spacing w:after="0" w:line="240" w:lineRule="auto"/>
              <w:rPr>
                <w:rFonts w:ascii="Arial" w:eastAsia="Times New Roman" w:hAnsi="Arial" w:cs="Arial"/>
                <w:b/>
                <w:bCs/>
                <w:sz w:val="24"/>
                <w:szCs w:val="24"/>
                <w:lang w:eastAsia="en-GB"/>
              </w:rPr>
            </w:pPr>
            <w:r w:rsidRPr="00B654E3">
              <w:rPr>
                <w:rFonts w:ascii="Arial" w:eastAsia="Times New Roman" w:hAnsi="Arial" w:cs="Arial"/>
                <w:b/>
                <w:bCs/>
                <w:sz w:val="24"/>
                <w:szCs w:val="24"/>
                <w:lang w:eastAsia="en-GB"/>
              </w:rPr>
              <w:t>17. Provision for liabilities and charges</w:t>
            </w:r>
          </w:p>
        </w:tc>
        <w:tc>
          <w:tcPr>
            <w:tcW w:w="1701" w:type="dxa"/>
            <w:tcBorders>
              <w:top w:val="nil"/>
              <w:left w:val="nil"/>
              <w:bottom w:val="nil"/>
              <w:right w:val="nil"/>
            </w:tcBorders>
            <w:shd w:val="clear" w:color="auto" w:fill="auto"/>
            <w:noWrap/>
            <w:vAlign w:val="center"/>
            <w:hideMark/>
          </w:tcPr>
          <w:p w14:paraId="3F75E644" w14:textId="77777777" w:rsidR="00E70CD3" w:rsidRPr="00B654E3" w:rsidRDefault="00E70CD3" w:rsidP="000416E6">
            <w:pPr>
              <w:spacing w:after="0" w:line="240" w:lineRule="auto"/>
              <w:rPr>
                <w:rFonts w:ascii="Arial" w:eastAsia="Times New Roman" w:hAnsi="Arial" w:cs="Arial"/>
                <w:b/>
                <w:bCs/>
                <w:sz w:val="24"/>
                <w:szCs w:val="24"/>
                <w:lang w:eastAsia="en-GB"/>
              </w:rPr>
            </w:pPr>
          </w:p>
        </w:tc>
        <w:tc>
          <w:tcPr>
            <w:tcW w:w="1121" w:type="dxa"/>
            <w:tcBorders>
              <w:top w:val="nil"/>
              <w:left w:val="nil"/>
              <w:bottom w:val="nil"/>
              <w:right w:val="nil"/>
            </w:tcBorders>
            <w:shd w:val="clear" w:color="auto" w:fill="auto"/>
            <w:noWrap/>
            <w:vAlign w:val="center"/>
            <w:hideMark/>
          </w:tcPr>
          <w:p w14:paraId="290F9DB7" w14:textId="77777777" w:rsidR="00E70CD3" w:rsidRPr="00B654E3" w:rsidRDefault="00E70CD3" w:rsidP="000416E6">
            <w:pPr>
              <w:spacing w:after="0" w:line="240" w:lineRule="auto"/>
              <w:rPr>
                <w:rFonts w:ascii="Times New Roman" w:eastAsia="Times New Roman" w:hAnsi="Times New Roman" w:cs="Times New Roman"/>
                <w:sz w:val="20"/>
                <w:szCs w:val="20"/>
                <w:lang w:eastAsia="en-GB"/>
              </w:rPr>
            </w:pPr>
          </w:p>
        </w:tc>
      </w:tr>
      <w:tr w:rsidR="00E70CD3" w:rsidRPr="00B654E3" w14:paraId="0B18A87B" w14:textId="77777777" w:rsidTr="00314A3A">
        <w:trPr>
          <w:trHeight w:val="329"/>
        </w:trPr>
        <w:tc>
          <w:tcPr>
            <w:tcW w:w="4882" w:type="dxa"/>
            <w:tcBorders>
              <w:top w:val="nil"/>
              <w:left w:val="nil"/>
              <w:bottom w:val="nil"/>
              <w:right w:val="nil"/>
            </w:tcBorders>
            <w:shd w:val="clear" w:color="auto" w:fill="auto"/>
            <w:noWrap/>
            <w:vAlign w:val="center"/>
            <w:hideMark/>
          </w:tcPr>
          <w:p w14:paraId="56617B77" w14:textId="77777777" w:rsidR="00E70CD3" w:rsidRPr="00B654E3" w:rsidRDefault="00E70CD3" w:rsidP="000416E6">
            <w:pPr>
              <w:spacing w:after="0" w:line="240" w:lineRule="auto"/>
              <w:rPr>
                <w:rFonts w:ascii="Times New Roman" w:eastAsia="Times New Roman" w:hAnsi="Times New Roman" w:cs="Times New Roman"/>
                <w:sz w:val="20"/>
                <w:szCs w:val="20"/>
                <w:lang w:eastAsia="en-GB"/>
              </w:rPr>
            </w:pPr>
          </w:p>
        </w:tc>
        <w:tc>
          <w:tcPr>
            <w:tcW w:w="1639" w:type="dxa"/>
            <w:tcBorders>
              <w:top w:val="nil"/>
              <w:left w:val="nil"/>
              <w:bottom w:val="nil"/>
              <w:right w:val="nil"/>
            </w:tcBorders>
            <w:shd w:val="clear" w:color="auto" w:fill="auto"/>
            <w:noWrap/>
            <w:vAlign w:val="center"/>
            <w:hideMark/>
          </w:tcPr>
          <w:p w14:paraId="74CA6C4E" w14:textId="77777777" w:rsidR="00E70CD3" w:rsidRPr="00B654E3" w:rsidRDefault="00E70CD3" w:rsidP="000416E6">
            <w:pPr>
              <w:spacing w:after="0" w:line="240" w:lineRule="auto"/>
              <w:rPr>
                <w:rFonts w:ascii="Times New Roman" w:eastAsia="Times New Roman" w:hAnsi="Times New Roman" w:cs="Times New Roman"/>
                <w:sz w:val="20"/>
                <w:szCs w:val="20"/>
                <w:lang w:eastAsia="en-GB"/>
              </w:rPr>
            </w:pPr>
          </w:p>
        </w:tc>
        <w:tc>
          <w:tcPr>
            <w:tcW w:w="1701" w:type="dxa"/>
            <w:tcBorders>
              <w:top w:val="nil"/>
              <w:left w:val="nil"/>
              <w:bottom w:val="nil"/>
              <w:right w:val="nil"/>
            </w:tcBorders>
            <w:shd w:val="clear" w:color="auto" w:fill="auto"/>
            <w:noWrap/>
            <w:vAlign w:val="center"/>
            <w:hideMark/>
          </w:tcPr>
          <w:p w14:paraId="14A9D1A4" w14:textId="77777777" w:rsidR="00E70CD3" w:rsidRPr="00B654E3" w:rsidRDefault="00E70CD3" w:rsidP="000416E6">
            <w:pPr>
              <w:spacing w:after="0" w:line="240" w:lineRule="auto"/>
              <w:rPr>
                <w:rFonts w:ascii="Times New Roman" w:eastAsia="Times New Roman" w:hAnsi="Times New Roman" w:cs="Times New Roman"/>
                <w:sz w:val="20"/>
                <w:szCs w:val="20"/>
                <w:lang w:eastAsia="en-GB"/>
              </w:rPr>
            </w:pPr>
          </w:p>
        </w:tc>
        <w:tc>
          <w:tcPr>
            <w:tcW w:w="1121" w:type="dxa"/>
            <w:tcBorders>
              <w:top w:val="nil"/>
              <w:left w:val="nil"/>
              <w:bottom w:val="nil"/>
              <w:right w:val="nil"/>
            </w:tcBorders>
            <w:shd w:val="clear" w:color="auto" w:fill="auto"/>
            <w:noWrap/>
            <w:vAlign w:val="center"/>
            <w:hideMark/>
          </w:tcPr>
          <w:p w14:paraId="51DC4A3B" w14:textId="77777777" w:rsidR="00E70CD3" w:rsidRPr="00B654E3" w:rsidRDefault="00E70CD3" w:rsidP="000416E6">
            <w:pPr>
              <w:spacing w:after="0" w:line="240" w:lineRule="auto"/>
              <w:rPr>
                <w:rFonts w:ascii="Times New Roman" w:eastAsia="Times New Roman" w:hAnsi="Times New Roman" w:cs="Times New Roman"/>
                <w:sz w:val="20"/>
                <w:szCs w:val="20"/>
                <w:lang w:eastAsia="en-GB"/>
              </w:rPr>
            </w:pPr>
          </w:p>
        </w:tc>
      </w:tr>
      <w:tr w:rsidR="00E70CD3" w:rsidRPr="00B654E3" w14:paraId="17E3AB56" w14:textId="77777777" w:rsidTr="00314A3A">
        <w:trPr>
          <w:trHeight w:val="259"/>
        </w:trPr>
        <w:tc>
          <w:tcPr>
            <w:tcW w:w="4882" w:type="dxa"/>
            <w:tcBorders>
              <w:top w:val="nil"/>
              <w:left w:val="nil"/>
              <w:bottom w:val="nil"/>
              <w:right w:val="nil"/>
            </w:tcBorders>
            <w:shd w:val="clear" w:color="auto" w:fill="auto"/>
            <w:hideMark/>
          </w:tcPr>
          <w:p w14:paraId="4C043180" w14:textId="77777777" w:rsidR="00E70CD3" w:rsidRPr="00B654E3" w:rsidRDefault="00E70CD3" w:rsidP="000416E6">
            <w:pPr>
              <w:spacing w:after="0" w:line="240" w:lineRule="auto"/>
              <w:rPr>
                <w:rFonts w:ascii="Arial" w:eastAsia="Times New Roman" w:hAnsi="Arial" w:cs="Arial"/>
                <w:b/>
                <w:bCs/>
                <w:sz w:val="20"/>
                <w:szCs w:val="20"/>
                <w:lang w:eastAsia="en-GB"/>
              </w:rPr>
            </w:pPr>
            <w:r w:rsidRPr="00B654E3">
              <w:rPr>
                <w:rFonts w:ascii="Arial" w:eastAsia="Times New Roman" w:hAnsi="Arial" w:cs="Arial"/>
                <w:b/>
                <w:bCs/>
                <w:sz w:val="20"/>
                <w:szCs w:val="20"/>
                <w:lang w:eastAsia="en-GB"/>
              </w:rPr>
              <w:t>Group</w:t>
            </w:r>
          </w:p>
        </w:tc>
        <w:tc>
          <w:tcPr>
            <w:tcW w:w="1639" w:type="dxa"/>
            <w:tcBorders>
              <w:top w:val="nil"/>
              <w:left w:val="nil"/>
              <w:right w:val="nil"/>
            </w:tcBorders>
            <w:shd w:val="clear" w:color="auto" w:fill="auto"/>
            <w:hideMark/>
          </w:tcPr>
          <w:p w14:paraId="57EBEBE4" w14:textId="77777777" w:rsidR="00E70CD3" w:rsidRPr="00B654E3" w:rsidRDefault="00E70CD3" w:rsidP="005229F1">
            <w:pPr>
              <w:spacing w:after="0" w:line="240" w:lineRule="auto"/>
              <w:jc w:val="right"/>
              <w:rPr>
                <w:rFonts w:ascii="Arial" w:eastAsia="Times New Roman" w:hAnsi="Arial" w:cs="Arial"/>
                <w:sz w:val="20"/>
                <w:szCs w:val="20"/>
                <w:lang w:eastAsia="en-GB"/>
              </w:rPr>
            </w:pPr>
            <w:r w:rsidRPr="00B654E3">
              <w:rPr>
                <w:rFonts w:ascii="Arial" w:eastAsia="Times New Roman" w:hAnsi="Arial" w:cs="Arial"/>
                <w:sz w:val="20"/>
                <w:szCs w:val="20"/>
                <w:lang w:eastAsia="en-GB"/>
              </w:rPr>
              <w:t>Dilapidations</w:t>
            </w:r>
          </w:p>
        </w:tc>
        <w:tc>
          <w:tcPr>
            <w:tcW w:w="1701" w:type="dxa"/>
            <w:tcBorders>
              <w:top w:val="nil"/>
              <w:left w:val="nil"/>
              <w:right w:val="nil"/>
            </w:tcBorders>
            <w:shd w:val="clear" w:color="auto" w:fill="auto"/>
            <w:hideMark/>
          </w:tcPr>
          <w:p w14:paraId="10C5755A" w14:textId="77777777" w:rsidR="00E70CD3" w:rsidRPr="00B654E3" w:rsidRDefault="00E70CD3" w:rsidP="005229F1">
            <w:pPr>
              <w:spacing w:after="0" w:line="240" w:lineRule="auto"/>
              <w:jc w:val="right"/>
              <w:rPr>
                <w:rFonts w:ascii="Arial" w:eastAsia="Times New Roman" w:hAnsi="Arial" w:cs="Arial"/>
                <w:sz w:val="20"/>
                <w:szCs w:val="20"/>
                <w:lang w:eastAsia="en-GB"/>
              </w:rPr>
            </w:pPr>
            <w:r w:rsidRPr="00B654E3">
              <w:rPr>
                <w:rFonts w:ascii="Arial" w:eastAsia="Times New Roman" w:hAnsi="Arial" w:cs="Arial"/>
                <w:sz w:val="20"/>
                <w:szCs w:val="20"/>
                <w:lang w:eastAsia="en-GB"/>
              </w:rPr>
              <w:t>Contract Risk</w:t>
            </w:r>
          </w:p>
        </w:tc>
        <w:tc>
          <w:tcPr>
            <w:tcW w:w="1121" w:type="dxa"/>
            <w:tcBorders>
              <w:top w:val="nil"/>
              <w:left w:val="nil"/>
              <w:right w:val="nil"/>
            </w:tcBorders>
            <w:shd w:val="clear" w:color="auto" w:fill="auto"/>
            <w:hideMark/>
          </w:tcPr>
          <w:p w14:paraId="0233CA47" w14:textId="77777777" w:rsidR="00E70CD3" w:rsidRPr="00B654E3" w:rsidRDefault="00E70CD3" w:rsidP="005229F1">
            <w:pPr>
              <w:spacing w:after="0" w:line="240" w:lineRule="auto"/>
              <w:jc w:val="right"/>
              <w:rPr>
                <w:rFonts w:ascii="Arial" w:eastAsia="Times New Roman" w:hAnsi="Arial" w:cs="Arial"/>
                <w:b/>
                <w:bCs/>
                <w:sz w:val="20"/>
                <w:szCs w:val="20"/>
                <w:lang w:eastAsia="en-GB"/>
              </w:rPr>
            </w:pPr>
            <w:r w:rsidRPr="00B654E3">
              <w:rPr>
                <w:rFonts w:ascii="Arial" w:eastAsia="Times New Roman" w:hAnsi="Arial" w:cs="Arial"/>
                <w:b/>
                <w:bCs/>
                <w:sz w:val="20"/>
                <w:szCs w:val="20"/>
                <w:lang w:eastAsia="en-GB"/>
              </w:rPr>
              <w:t>Total</w:t>
            </w:r>
          </w:p>
        </w:tc>
      </w:tr>
      <w:tr w:rsidR="00E70CD3" w:rsidRPr="00B654E3" w14:paraId="035AB78A" w14:textId="77777777" w:rsidTr="00314A3A">
        <w:trPr>
          <w:trHeight w:val="329"/>
        </w:trPr>
        <w:tc>
          <w:tcPr>
            <w:tcW w:w="4882" w:type="dxa"/>
            <w:tcBorders>
              <w:top w:val="nil"/>
              <w:left w:val="nil"/>
              <w:bottom w:val="single" w:sz="4" w:space="0" w:color="auto"/>
              <w:right w:val="nil"/>
            </w:tcBorders>
            <w:shd w:val="clear" w:color="auto" w:fill="auto"/>
            <w:noWrap/>
            <w:vAlign w:val="center"/>
            <w:hideMark/>
          </w:tcPr>
          <w:p w14:paraId="1430B5CC" w14:textId="77777777" w:rsidR="00E70CD3" w:rsidRPr="00B654E3" w:rsidRDefault="00E70CD3" w:rsidP="000416E6">
            <w:pPr>
              <w:spacing w:after="0" w:line="240" w:lineRule="auto"/>
              <w:rPr>
                <w:rFonts w:ascii="Arial" w:eastAsia="Times New Roman" w:hAnsi="Arial" w:cs="Arial"/>
                <w:sz w:val="20"/>
                <w:szCs w:val="20"/>
                <w:lang w:eastAsia="en-GB"/>
              </w:rPr>
            </w:pPr>
            <w:r w:rsidRPr="00B654E3">
              <w:rPr>
                <w:rFonts w:ascii="Arial" w:eastAsia="Times New Roman" w:hAnsi="Arial" w:cs="Arial"/>
                <w:sz w:val="20"/>
                <w:szCs w:val="20"/>
                <w:lang w:eastAsia="en-GB"/>
              </w:rPr>
              <w:t> </w:t>
            </w:r>
          </w:p>
        </w:tc>
        <w:tc>
          <w:tcPr>
            <w:tcW w:w="1639" w:type="dxa"/>
            <w:tcBorders>
              <w:top w:val="nil"/>
              <w:left w:val="nil"/>
              <w:bottom w:val="single" w:sz="4" w:space="0" w:color="auto"/>
              <w:right w:val="nil"/>
            </w:tcBorders>
            <w:shd w:val="clear" w:color="auto" w:fill="auto"/>
            <w:noWrap/>
            <w:vAlign w:val="center"/>
            <w:hideMark/>
          </w:tcPr>
          <w:p w14:paraId="2BBB1C64" w14:textId="77777777" w:rsidR="00E70CD3" w:rsidRPr="00B654E3" w:rsidRDefault="00E70CD3" w:rsidP="005229F1">
            <w:pPr>
              <w:spacing w:after="0" w:line="240" w:lineRule="auto"/>
              <w:jc w:val="right"/>
              <w:rPr>
                <w:rFonts w:ascii="Arial" w:eastAsia="Times New Roman" w:hAnsi="Arial" w:cs="Arial"/>
                <w:sz w:val="20"/>
                <w:szCs w:val="20"/>
                <w:lang w:eastAsia="en-GB"/>
              </w:rPr>
            </w:pPr>
            <w:r w:rsidRPr="00B654E3">
              <w:rPr>
                <w:rFonts w:ascii="Arial" w:eastAsia="Times New Roman" w:hAnsi="Arial" w:cs="Arial"/>
                <w:sz w:val="20"/>
                <w:szCs w:val="20"/>
                <w:lang w:eastAsia="en-GB"/>
              </w:rPr>
              <w:t>£'000</w:t>
            </w:r>
          </w:p>
        </w:tc>
        <w:tc>
          <w:tcPr>
            <w:tcW w:w="1701" w:type="dxa"/>
            <w:tcBorders>
              <w:top w:val="nil"/>
              <w:left w:val="nil"/>
              <w:bottom w:val="single" w:sz="4" w:space="0" w:color="auto"/>
              <w:right w:val="nil"/>
            </w:tcBorders>
            <w:shd w:val="clear" w:color="auto" w:fill="auto"/>
            <w:noWrap/>
            <w:vAlign w:val="center"/>
            <w:hideMark/>
          </w:tcPr>
          <w:p w14:paraId="443CF488" w14:textId="77777777" w:rsidR="00E70CD3" w:rsidRPr="00B654E3" w:rsidRDefault="00E70CD3" w:rsidP="005229F1">
            <w:pPr>
              <w:spacing w:after="0" w:line="240" w:lineRule="auto"/>
              <w:jc w:val="right"/>
              <w:rPr>
                <w:rFonts w:ascii="Arial" w:eastAsia="Times New Roman" w:hAnsi="Arial" w:cs="Arial"/>
                <w:sz w:val="20"/>
                <w:szCs w:val="20"/>
                <w:lang w:eastAsia="en-GB"/>
              </w:rPr>
            </w:pPr>
            <w:r w:rsidRPr="00B654E3">
              <w:rPr>
                <w:rFonts w:ascii="Arial" w:eastAsia="Times New Roman" w:hAnsi="Arial" w:cs="Arial"/>
                <w:sz w:val="20"/>
                <w:szCs w:val="20"/>
                <w:lang w:eastAsia="en-GB"/>
              </w:rPr>
              <w:t>£'000</w:t>
            </w:r>
          </w:p>
        </w:tc>
        <w:tc>
          <w:tcPr>
            <w:tcW w:w="1121" w:type="dxa"/>
            <w:tcBorders>
              <w:top w:val="nil"/>
              <w:left w:val="nil"/>
              <w:bottom w:val="single" w:sz="4" w:space="0" w:color="auto"/>
              <w:right w:val="nil"/>
            </w:tcBorders>
            <w:shd w:val="clear" w:color="auto" w:fill="auto"/>
            <w:noWrap/>
            <w:vAlign w:val="center"/>
            <w:hideMark/>
          </w:tcPr>
          <w:p w14:paraId="717DD4D4" w14:textId="77777777" w:rsidR="00E70CD3" w:rsidRPr="00B654E3" w:rsidRDefault="00E70CD3" w:rsidP="005229F1">
            <w:pPr>
              <w:spacing w:after="0" w:line="240" w:lineRule="auto"/>
              <w:jc w:val="right"/>
              <w:rPr>
                <w:rFonts w:ascii="Arial" w:eastAsia="Times New Roman" w:hAnsi="Arial" w:cs="Arial"/>
                <w:b/>
                <w:bCs/>
                <w:sz w:val="20"/>
                <w:szCs w:val="20"/>
                <w:lang w:eastAsia="en-GB"/>
              </w:rPr>
            </w:pPr>
            <w:r w:rsidRPr="00B654E3">
              <w:rPr>
                <w:rFonts w:ascii="Arial" w:eastAsia="Times New Roman" w:hAnsi="Arial" w:cs="Arial"/>
                <w:b/>
                <w:bCs/>
                <w:sz w:val="20"/>
                <w:szCs w:val="20"/>
                <w:lang w:eastAsia="en-GB"/>
              </w:rPr>
              <w:t>£'000</w:t>
            </w:r>
          </w:p>
        </w:tc>
      </w:tr>
      <w:tr w:rsidR="0039438F" w:rsidRPr="00B654E3" w14:paraId="6898874C" w14:textId="77777777" w:rsidTr="00314A3A">
        <w:trPr>
          <w:trHeight w:val="329"/>
        </w:trPr>
        <w:tc>
          <w:tcPr>
            <w:tcW w:w="4882" w:type="dxa"/>
            <w:tcBorders>
              <w:top w:val="nil"/>
              <w:left w:val="nil"/>
              <w:bottom w:val="nil"/>
              <w:right w:val="nil"/>
            </w:tcBorders>
            <w:shd w:val="clear" w:color="auto" w:fill="auto"/>
            <w:noWrap/>
            <w:vAlign w:val="center"/>
            <w:hideMark/>
          </w:tcPr>
          <w:p w14:paraId="4A3FD99C" w14:textId="77777777" w:rsidR="0039438F" w:rsidRPr="00B654E3" w:rsidRDefault="0039438F" w:rsidP="0039438F">
            <w:pPr>
              <w:spacing w:after="0" w:line="240" w:lineRule="auto"/>
              <w:rPr>
                <w:rFonts w:ascii="Arial" w:eastAsia="Times New Roman" w:hAnsi="Arial" w:cs="Arial"/>
                <w:sz w:val="20"/>
                <w:szCs w:val="20"/>
                <w:lang w:eastAsia="en-GB"/>
              </w:rPr>
            </w:pPr>
            <w:r w:rsidRPr="00B654E3">
              <w:rPr>
                <w:rFonts w:ascii="Arial" w:eastAsia="Times New Roman" w:hAnsi="Arial" w:cs="Arial"/>
                <w:sz w:val="20"/>
                <w:szCs w:val="20"/>
                <w:lang w:eastAsia="en-GB"/>
              </w:rPr>
              <w:t xml:space="preserve">At 1 September </w:t>
            </w:r>
            <w:r>
              <w:rPr>
                <w:rFonts w:ascii="Arial" w:eastAsia="Times New Roman" w:hAnsi="Arial" w:cs="Arial"/>
                <w:sz w:val="20"/>
                <w:szCs w:val="20"/>
                <w:lang w:eastAsia="en-GB"/>
              </w:rPr>
              <w:t>2019</w:t>
            </w:r>
          </w:p>
        </w:tc>
        <w:tc>
          <w:tcPr>
            <w:tcW w:w="1639" w:type="dxa"/>
            <w:tcBorders>
              <w:top w:val="single" w:sz="4" w:space="0" w:color="auto"/>
              <w:left w:val="nil"/>
              <w:right w:val="nil"/>
            </w:tcBorders>
            <w:shd w:val="clear" w:color="auto" w:fill="auto"/>
            <w:noWrap/>
            <w:vAlign w:val="center"/>
            <w:hideMark/>
          </w:tcPr>
          <w:p w14:paraId="0E8C2385" w14:textId="77777777" w:rsidR="0039438F" w:rsidRPr="0039438F" w:rsidRDefault="0039438F" w:rsidP="0039438F">
            <w:pPr>
              <w:spacing w:after="0" w:line="240" w:lineRule="auto"/>
              <w:jc w:val="right"/>
              <w:rPr>
                <w:rFonts w:ascii="Arial" w:eastAsia="Times New Roman" w:hAnsi="Arial" w:cs="Arial"/>
                <w:sz w:val="20"/>
                <w:szCs w:val="20"/>
                <w:lang w:eastAsia="en-GB"/>
              </w:rPr>
            </w:pPr>
            <w:r w:rsidRPr="0039438F">
              <w:rPr>
                <w:rFonts w:ascii="Arial" w:eastAsia="Times New Roman" w:hAnsi="Arial" w:cs="Arial"/>
                <w:bCs/>
                <w:sz w:val="20"/>
                <w:szCs w:val="20"/>
                <w:lang w:eastAsia="en-GB"/>
              </w:rPr>
              <w:t>162</w:t>
            </w:r>
          </w:p>
        </w:tc>
        <w:tc>
          <w:tcPr>
            <w:tcW w:w="1701" w:type="dxa"/>
            <w:tcBorders>
              <w:top w:val="single" w:sz="4" w:space="0" w:color="auto"/>
              <w:left w:val="nil"/>
              <w:right w:val="nil"/>
            </w:tcBorders>
            <w:shd w:val="clear" w:color="auto" w:fill="auto"/>
            <w:noWrap/>
            <w:vAlign w:val="center"/>
            <w:hideMark/>
          </w:tcPr>
          <w:p w14:paraId="313B63BC" w14:textId="77777777" w:rsidR="0039438F" w:rsidRPr="0039438F" w:rsidRDefault="0039438F" w:rsidP="0039438F">
            <w:pPr>
              <w:spacing w:after="0" w:line="240" w:lineRule="auto"/>
              <w:jc w:val="right"/>
              <w:rPr>
                <w:rFonts w:ascii="Arial" w:eastAsia="Times New Roman" w:hAnsi="Arial" w:cs="Arial"/>
                <w:sz w:val="20"/>
                <w:szCs w:val="20"/>
                <w:lang w:eastAsia="en-GB"/>
              </w:rPr>
            </w:pPr>
            <w:r w:rsidRPr="0039438F">
              <w:rPr>
                <w:rFonts w:ascii="Arial" w:eastAsia="Times New Roman" w:hAnsi="Arial" w:cs="Arial"/>
                <w:bCs/>
                <w:sz w:val="20"/>
                <w:szCs w:val="20"/>
                <w:lang w:eastAsia="en-GB"/>
              </w:rPr>
              <w:t>1,950</w:t>
            </w:r>
          </w:p>
        </w:tc>
        <w:tc>
          <w:tcPr>
            <w:tcW w:w="1121" w:type="dxa"/>
            <w:tcBorders>
              <w:top w:val="single" w:sz="4" w:space="0" w:color="auto"/>
              <w:left w:val="nil"/>
              <w:right w:val="nil"/>
            </w:tcBorders>
            <w:shd w:val="clear" w:color="auto" w:fill="auto"/>
            <w:noWrap/>
            <w:vAlign w:val="center"/>
            <w:hideMark/>
          </w:tcPr>
          <w:p w14:paraId="4E6DE289" w14:textId="77777777" w:rsidR="0039438F" w:rsidRPr="007A5B95" w:rsidRDefault="0039438F" w:rsidP="0039438F">
            <w:pPr>
              <w:spacing w:after="0" w:line="240" w:lineRule="auto"/>
              <w:jc w:val="right"/>
              <w:rPr>
                <w:rFonts w:ascii="Arial" w:eastAsia="Times New Roman" w:hAnsi="Arial" w:cs="Arial"/>
                <w:b/>
                <w:bCs/>
                <w:sz w:val="20"/>
                <w:szCs w:val="20"/>
                <w:lang w:eastAsia="en-GB"/>
              </w:rPr>
            </w:pPr>
            <w:r w:rsidRPr="007A5B95">
              <w:rPr>
                <w:rFonts w:ascii="Arial" w:eastAsia="Times New Roman" w:hAnsi="Arial" w:cs="Arial"/>
                <w:b/>
                <w:bCs/>
                <w:sz w:val="20"/>
                <w:szCs w:val="20"/>
                <w:lang w:eastAsia="en-GB"/>
              </w:rPr>
              <w:t>2,112</w:t>
            </w:r>
          </w:p>
        </w:tc>
      </w:tr>
      <w:tr w:rsidR="00A42FCD" w:rsidRPr="00543D10" w14:paraId="6BA5C54B" w14:textId="77777777" w:rsidTr="00314A3A">
        <w:trPr>
          <w:trHeight w:val="329"/>
        </w:trPr>
        <w:tc>
          <w:tcPr>
            <w:tcW w:w="4882" w:type="dxa"/>
            <w:tcBorders>
              <w:top w:val="nil"/>
              <w:left w:val="nil"/>
              <w:bottom w:val="nil"/>
              <w:right w:val="nil"/>
            </w:tcBorders>
            <w:shd w:val="clear" w:color="auto" w:fill="auto"/>
            <w:noWrap/>
            <w:vAlign w:val="center"/>
          </w:tcPr>
          <w:p w14:paraId="3E8B4D2B" w14:textId="77777777" w:rsidR="00A42FCD" w:rsidRPr="00543D10" w:rsidRDefault="00A42FCD" w:rsidP="000416E6">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Created during the Year</w:t>
            </w:r>
          </w:p>
        </w:tc>
        <w:tc>
          <w:tcPr>
            <w:tcW w:w="1639" w:type="dxa"/>
            <w:tcBorders>
              <w:top w:val="nil"/>
              <w:left w:val="nil"/>
              <w:bottom w:val="nil"/>
              <w:right w:val="nil"/>
            </w:tcBorders>
            <w:shd w:val="clear" w:color="auto" w:fill="auto"/>
            <w:noWrap/>
            <w:vAlign w:val="center"/>
          </w:tcPr>
          <w:p w14:paraId="011C4D4E" w14:textId="77777777" w:rsidR="00A42FCD" w:rsidRDefault="00A42FCD" w:rsidP="005229F1">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14</w:t>
            </w:r>
            <w:r w:rsidR="00A56D9A">
              <w:rPr>
                <w:rFonts w:ascii="Arial" w:eastAsia="Times New Roman" w:hAnsi="Arial" w:cs="Arial"/>
                <w:sz w:val="20"/>
                <w:szCs w:val="20"/>
                <w:lang w:eastAsia="en-GB"/>
              </w:rPr>
              <w:t>6</w:t>
            </w:r>
          </w:p>
        </w:tc>
        <w:tc>
          <w:tcPr>
            <w:tcW w:w="1701" w:type="dxa"/>
            <w:tcBorders>
              <w:top w:val="nil"/>
              <w:left w:val="nil"/>
              <w:bottom w:val="nil"/>
              <w:right w:val="nil"/>
            </w:tcBorders>
            <w:shd w:val="clear" w:color="auto" w:fill="auto"/>
            <w:noWrap/>
            <w:vAlign w:val="center"/>
          </w:tcPr>
          <w:p w14:paraId="35CE6548" w14:textId="77777777" w:rsidR="00A42FCD" w:rsidRPr="00543D10" w:rsidRDefault="00A42FCD" w:rsidP="005229F1">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w:t>
            </w:r>
          </w:p>
        </w:tc>
        <w:tc>
          <w:tcPr>
            <w:tcW w:w="1121" w:type="dxa"/>
            <w:tcBorders>
              <w:top w:val="nil"/>
              <w:left w:val="nil"/>
              <w:bottom w:val="nil"/>
              <w:right w:val="nil"/>
            </w:tcBorders>
            <w:shd w:val="clear" w:color="auto" w:fill="auto"/>
            <w:noWrap/>
            <w:vAlign w:val="center"/>
          </w:tcPr>
          <w:p w14:paraId="4A103A9F" w14:textId="77777777" w:rsidR="00A42FCD" w:rsidRPr="00543D10" w:rsidRDefault="00A42FCD" w:rsidP="005229F1">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14</w:t>
            </w:r>
            <w:r w:rsidR="00A56D9A">
              <w:rPr>
                <w:rFonts w:ascii="Arial" w:eastAsia="Times New Roman" w:hAnsi="Arial" w:cs="Arial"/>
                <w:b/>
                <w:bCs/>
                <w:sz w:val="20"/>
                <w:szCs w:val="20"/>
                <w:lang w:eastAsia="en-GB"/>
              </w:rPr>
              <w:t>6</w:t>
            </w:r>
          </w:p>
        </w:tc>
      </w:tr>
      <w:tr w:rsidR="00543D10" w:rsidRPr="00543D10" w14:paraId="1829AB9D" w14:textId="77777777" w:rsidTr="00314A3A">
        <w:trPr>
          <w:trHeight w:val="329"/>
        </w:trPr>
        <w:tc>
          <w:tcPr>
            <w:tcW w:w="4882" w:type="dxa"/>
            <w:tcBorders>
              <w:top w:val="nil"/>
              <w:left w:val="nil"/>
              <w:bottom w:val="nil"/>
              <w:right w:val="nil"/>
            </w:tcBorders>
            <w:shd w:val="clear" w:color="auto" w:fill="auto"/>
            <w:noWrap/>
            <w:vAlign w:val="center"/>
            <w:hideMark/>
          </w:tcPr>
          <w:p w14:paraId="518EBECA" w14:textId="77777777" w:rsidR="00E70CD3" w:rsidRPr="00543D10" w:rsidRDefault="00E70CD3" w:rsidP="000416E6">
            <w:pPr>
              <w:spacing w:after="0" w:line="240" w:lineRule="auto"/>
              <w:rPr>
                <w:rFonts w:ascii="Arial" w:eastAsia="Times New Roman" w:hAnsi="Arial" w:cs="Arial"/>
                <w:sz w:val="20"/>
                <w:szCs w:val="20"/>
                <w:lang w:eastAsia="en-GB"/>
              </w:rPr>
            </w:pPr>
            <w:r w:rsidRPr="00543D10">
              <w:rPr>
                <w:rFonts w:ascii="Arial" w:eastAsia="Times New Roman" w:hAnsi="Arial" w:cs="Arial"/>
                <w:sz w:val="20"/>
                <w:szCs w:val="20"/>
                <w:lang w:eastAsia="en-GB"/>
              </w:rPr>
              <w:t>Utilised during the year</w:t>
            </w:r>
          </w:p>
        </w:tc>
        <w:tc>
          <w:tcPr>
            <w:tcW w:w="1639" w:type="dxa"/>
            <w:tcBorders>
              <w:top w:val="nil"/>
              <w:left w:val="nil"/>
              <w:bottom w:val="nil"/>
              <w:right w:val="nil"/>
            </w:tcBorders>
            <w:shd w:val="clear" w:color="auto" w:fill="auto"/>
            <w:noWrap/>
            <w:vAlign w:val="center"/>
          </w:tcPr>
          <w:p w14:paraId="6C3A1EA0" w14:textId="77777777" w:rsidR="00E70CD3" w:rsidRPr="00543D10" w:rsidRDefault="00A56D9A" w:rsidP="005229F1">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(134</w:t>
            </w:r>
            <w:r w:rsidR="00A42FCD">
              <w:rPr>
                <w:rFonts w:ascii="Arial" w:eastAsia="Times New Roman" w:hAnsi="Arial" w:cs="Arial"/>
                <w:sz w:val="20"/>
                <w:szCs w:val="20"/>
                <w:lang w:eastAsia="en-GB"/>
              </w:rPr>
              <w:t>)</w:t>
            </w:r>
          </w:p>
        </w:tc>
        <w:tc>
          <w:tcPr>
            <w:tcW w:w="1701" w:type="dxa"/>
            <w:tcBorders>
              <w:top w:val="nil"/>
              <w:left w:val="nil"/>
              <w:bottom w:val="nil"/>
              <w:right w:val="nil"/>
            </w:tcBorders>
            <w:shd w:val="clear" w:color="auto" w:fill="auto"/>
            <w:noWrap/>
            <w:vAlign w:val="center"/>
          </w:tcPr>
          <w:p w14:paraId="0CB5D8C3" w14:textId="77777777" w:rsidR="00E70CD3" w:rsidRPr="00543D10" w:rsidRDefault="00A42FCD" w:rsidP="005229F1">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w:t>
            </w:r>
          </w:p>
        </w:tc>
        <w:tc>
          <w:tcPr>
            <w:tcW w:w="1121" w:type="dxa"/>
            <w:tcBorders>
              <w:top w:val="nil"/>
              <w:left w:val="nil"/>
              <w:bottom w:val="nil"/>
              <w:right w:val="nil"/>
            </w:tcBorders>
            <w:shd w:val="clear" w:color="auto" w:fill="auto"/>
            <w:noWrap/>
            <w:vAlign w:val="center"/>
          </w:tcPr>
          <w:p w14:paraId="37497566" w14:textId="77777777" w:rsidR="00E70CD3" w:rsidRPr="00543D10" w:rsidRDefault="00A56D9A" w:rsidP="005229F1">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(134</w:t>
            </w:r>
            <w:r w:rsidR="00A42FCD">
              <w:rPr>
                <w:rFonts w:ascii="Arial" w:eastAsia="Times New Roman" w:hAnsi="Arial" w:cs="Arial"/>
                <w:b/>
                <w:bCs/>
                <w:sz w:val="20"/>
                <w:szCs w:val="20"/>
                <w:lang w:eastAsia="en-GB"/>
              </w:rPr>
              <w:t>)</w:t>
            </w:r>
          </w:p>
        </w:tc>
      </w:tr>
      <w:tr w:rsidR="00543D10" w:rsidRPr="00543D10" w14:paraId="7C0FC785" w14:textId="77777777" w:rsidTr="00314A3A">
        <w:trPr>
          <w:trHeight w:val="329"/>
        </w:trPr>
        <w:tc>
          <w:tcPr>
            <w:tcW w:w="4882" w:type="dxa"/>
            <w:tcBorders>
              <w:top w:val="single" w:sz="4" w:space="0" w:color="auto"/>
              <w:left w:val="nil"/>
              <w:bottom w:val="single" w:sz="4" w:space="0" w:color="auto"/>
              <w:right w:val="nil"/>
            </w:tcBorders>
            <w:shd w:val="clear" w:color="auto" w:fill="auto"/>
            <w:noWrap/>
            <w:vAlign w:val="center"/>
            <w:hideMark/>
          </w:tcPr>
          <w:p w14:paraId="11A96C8C" w14:textId="77777777" w:rsidR="00E70CD3" w:rsidRPr="00543D10" w:rsidRDefault="00E70CD3" w:rsidP="000416E6">
            <w:pPr>
              <w:spacing w:after="0" w:line="240" w:lineRule="auto"/>
              <w:rPr>
                <w:rFonts w:ascii="Arial" w:eastAsia="Times New Roman" w:hAnsi="Arial" w:cs="Arial"/>
                <w:b/>
                <w:bCs/>
                <w:sz w:val="20"/>
                <w:szCs w:val="20"/>
                <w:lang w:eastAsia="en-GB"/>
              </w:rPr>
            </w:pPr>
            <w:r w:rsidRPr="00543D10">
              <w:rPr>
                <w:rFonts w:ascii="Arial" w:eastAsia="Times New Roman" w:hAnsi="Arial" w:cs="Arial"/>
                <w:b/>
                <w:bCs/>
                <w:sz w:val="20"/>
                <w:szCs w:val="20"/>
                <w:lang w:eastAsia="en-GB"/>
              </w:rPr>
              <w:t xml:space="preserve">At 31 August </w:t>
            </w:r>
            <w:r w:rsidR="0037645F">
              <w:rPr>
                <w:rFonts w:ascii="Arial" w:eastAsia="Times New Roman" w:hAnsi="Arial" w:cs="Arial"/>
                <w:b/>
                <w:bCs/>
                <w:sz w:val="20"/>
                <w:szCs w:val="20"/>
                <w:lang w:eastAsia="en-GB"/>
              </w:rPr>
              <w:t>2020</w:t>
            </w:r>
          </w:p>
        </w:tc>
        <w:tc>
          <w:tcPr>
            <w:tcW w:w="1639" w:type="dxa"/>
            <w:tcBorders>
              <w:top w:val="single" w:sz="4" w:space="0" w:color="auto"/>
              <w:left w:val="nil"/>
              <w:bottom w:val="single" w:sz="4" w:space="0" w:color="auto"/>
              <w:right w:val="nil"/>
            </w:tcBorders>
            <w:shd w:val="clear" w:color="auto" w:fill="auto"/>
            <w:noWrap/>
            <w:vAlign w:val="center"/>
          </w:tcPr>
          <w:p w14:paraId="2BB5E76A" w14:textId="77777777" w:rsidR="00E70CD3" w:rsidRPr="00543D10" w:rsidRDefault="00A42FCD" w:rsidP="005229F1">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17</w:t>
            </w:r>
            <w:r w:rsidR="00A56D9A">
              <w:rPr>
                <w:rFonts w:ascii="Arial" w:eastAsia="Times New Roman" w:hAnsi="Arial" w:cs="Arial"/>
                <w:b/>
                <w:bCs/>
                <w:sz w:val="20"/>
                <w:szCs w:val="20"/>
                <w:lang w:eastAsia="en-GB"/>
              </w:rPr>
              <w:t>4</w:t>
            </w:r>
          </w:p>
        </w:tc>
        <w:tc>
          <w:tcPr>
            <w:tcW w:w="1701" w:type="dxa"/>
            <w:tcBorders>
              <w:top w:val="single" w:sz="4" w:space="0" w:color="auto"/>
              <w:left w:val="nil"/>
              <w:bottom w:val="single" w:sz="4" w:space="0" w:color="auto"/>
              <w:right w:val="nil"/>
            </w:tcBorders>
            <w:shd w:val="clear" w:color="auto" w:fill="auto"/>
            <w:noWrap/>
            <w:vAlign w:val="center"/>
          </w:tcPr>
          <w:p w14:paraId="7C7B9BF4" w14:textId="77777777" w:rsidR="00E70CD3" w:rsidRPr="00543D10" w:rsidRDefault="00A42FCD" w:rsidP="005229F1">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1,950</w:t>
            </w:r>
          </w:p>
        </w:tc>
        <w:tc>
          <w:tcPr>
            <w:tcW w:w="1121" w:type="dxa"/>
            <w:tcBorders>
              <w:top w:val="single" w:sz="4" w:space="0" w:color="auto"/>
              <w:left w:val="nil"/>
              <w:bottom w:val="single" w:sz="4" w:space="0" w:color="auto"/>
              <w:right w:val="nil"/>
            </w:tcBorders>
            <w:shd w:val="clear" w:color="auto" w:fill="auto"/>
            <w:noWrap/>
            <w:vAlign w:val="center"/>
          </w:tcPr>
          <w:p w14:paraId="2D1AE6AA" w14:textId="77777777" w:rsidR="00E70CD3" w:rsidRPr="00543D10" w:rsidRDefault="00A42FCD" w:rsidP="005229F1">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2,12</w:t>
            </w:r>
            <w:r w:rsidR="00A56D9A">
              <w:rPr>
                <w:rFonts w:ascii="Arial" w:eastAsia="Times New Roman" w:hAnsi="Arial" w:cs="Arial"/>
                <w:b/>
                <w:bCs/>
                <w:sz w:val="20"/>
                <w:szCs w:val="20"/>
                <w:lang w:eastAsia="en-GB"/>
              </w:rPr>
              <w:t>4</w:t>
            </w:r>
          </w:p>
        </w:tc>
      </w:tr>
      <w:tr w:rsidR="00E70CD3" w:rsidRPr="00543D10" w14:paraId="2C4FD89D" w14:textId="77777777" w:rsidTr="00314A3A">
        <w:trPr>
          <w:trHeight w:val="329"/>
        </w:trPr>
        <w:tc>
          <w:tcPr>
            <w:tcW w:w="4882" w:type="dxa"/>
            <w:tcBorders>
              <w:top w:val="nil"/>
              <w:left w:val="nil"/>
              <w:bottom w:val="nil"/>
              <w:right w:val="nil"/>
            </w:tcBorders>
            <w:shd w:val="clear" w:color="auto" w:fill="auto"/>
            <w:noWrap/>
            <w:vAlign w:val="center"/>
            <w:hideMark/>
          </w:tcPr>
          <w:p w14:paraId="04662943" w14:textId="77777777" w:rsidR="00E70CD3" w:rsidRPr="00543D10" w:rsidRDefault="00E70CD3" w:rsidP="000416E6">
            <w:pPr>
              <w:spacing w:after="0" w:line="240" w:lineRule="auto"/>
              <w:rPr>
                <w:rFonts w:ascii="Arial" w:eastAsia="Times New Roman" w:hAnsi="Arial" w:cs="Arial"/>
                <w:b/>
                <w:bCs/>
                <w:sz w:val="20"/>
                <w:szCs w:val="20"/>
                <w:lang w:eastAsia="en-GB"/>
              </w:rPr>
            </w:pPr>
          </w:p>
        </w:tc>
        <w:tc>
          <w:tcPr>
            <w:tcW w:w="1639" w:type="dxa"/>
            <w:tcBorders>
              <w:top w:val="nil"/>
              <w:left w:val="nil"/>
              <w:bottom w:val="nil"/>
              <w:right w:val="nil"/>
            </w:tcBorders>
            <w:shd w:val="clear" w:color="auto" w:fill="auto"/>
            <w:noWrap/>
            <w:vAlign w:val="center"/>
            <w:hideMark/>
          </w:tcPr>
          <w:p w14:paraId="5E49B133" w14:textId="77777777" w:rsidR="00E70CD3" w:rsidRPr="00543D10" w:rsidRDefault="00E70CD3" w:rsidP="000416E6">
            <w:pPr>
              <w:spacing w:after="0" w:line="240" w:lineRule="auto"/>
              <w:rPr>
                <w:rFonts w:ascii="Times New Roman" w:eastAsia="Times New Roman" w:hAnsi="Times New Roman" w:cs="Times New Roman"/>
                <w:sz w:val="20"/>
                <w:szCs w:val="20"/>
                <w:lang w:eastAsia="en-GB"/>
              </w:rPr>
            </w:pPr>
          </w:p>
        </w:tc>
        <w:tc>
          <w:tcPr>
            <w:tcW w:w="1701" w:type="dxa"/>
            <w:tcBorders>
              <w:top w:val="nil"/>
              <w:left w:val="nil"/>
              <w:bottom w:val="nil"/>
              <w:right w:val="nil"/>
            </w:tcBorders>
            <w:shd w:val="clear" w:color="auto" w:fill="auto"/>
            <w:noWrap/>
            <w:vAlign w:val="center"/>
            <w:hideMark/>
          </w:tcPr>
          <w:p w14:paraId="4C1FE4C4" w14:textId="77777777" w:rsidR="00E70CD3" w:rsidRPr="00543D10" w:rsidRDefault="00E70CD3" w:rsidP="000416E6">
            <w:pPr>
              <w:spacing w:after="0" w:line="240" w:lineRule="auto"/>
              <w:rPr>
                <w:rFonts w:ascii="Times New Roman" w:eastAsia="Times New Roman" w:hAnsi="Times New Roman" w:cs="Times New Roman"/>
                <w:sz w:val="20"/>
                <w:szCs w:val="20"/>
                <w:lang w:eastAsia="en-GB"/>
              </w:rPr>
            </w:pPr>
          </w:p>
        </w:tc>
        <w:tc>
          <w:tcPr>
            <w:tcW w:w="1121" w:type="dxa"/>
            <w:tcBorders>
              <w:top w:val="nil"/>
              <w:left w:val="nil"/>
              <w:bottom w:val="nil"/>
              <w:right w:val="nil"/>
            </w:tcBorders>
            <w:shd w:val="clear" w:color="auto" w:fill="auto"/>
            <w:noWrap/>
            <w:vAlign w:val="center"/>
            <w:hideMark/>
          </w:tcPr>
          <w:p w14:paraId="7E981AFA" w14:textId="77777777" w:rsidR="00E70CD3" w:rsidRPr="00543D10" w:rsidRDefault="00E70CD3" w:rsidP="000416E6">
            <w:pPr>
              <w:spacing w:after="0" w:line="240" w:lineRule="auto"/>
              <w:rPr>
                <w:rFonts w:ascii="Times New Roman" w:eastAsia="Times New Roman" w:hAnsi="Times New Roman" w:cs="Times New Roman"/>
                <w:sz w:val="20"/>
                <w:szCs w:val="20"/>
                <w:lang w:eastAsia="en-GB"/>
              </w:rPr>
            </w:pPr>
          </w:p>
        </w:tc>
      </w:tr>
    </w:tbl>
    <w:p w14:paraId="0E35D92D" w14:textId="77777777" w:rsidR="005229F1" w:rsidRPr="00543D10" w:rsidRDefault="005229F1" w:rsidP="00E70CD3">
      <w:pPr>
        <w:autoSpaceDE w:val="0"/>
        <w:autoSpaceDN w:val="0"/>
        <w:adjustRightInd w:val="0"/>
        <w:spacing w:after="0" w:line="240" w:lineRule="auto"/>
        <w:rPr>
          <w:rFonts w:ascii="Arial" w:hAnsi="Arial" w:cs="Arial"/>
          <w:sz w:val="20"/>
          <w:szCs w:val="20"/>
        </w:rPr>
      </w:pPr>
    </w:p>
    <w:p w14:paraId="42D95A88" w14:textId="77777777" w:rsidR="00581924" w:rsidRPr="00543D10" w:rsidRDefault="00581924" w:rsidP="00E70CD3">
      <w:pPr>
        <w:autoSpaceDE w:val="0"/>
        <w:autoSpaceDN w:val="0"/>
        <w:adjustRightInd w:val="0"/>
        <w:spacing w:after="0" w:line="240" w:lineRule="auto"/>
        <w:rPr>
          <w:rFonts w:ascii="Arial" w:hAnsi="Arial" w:cs="Arial"/>
          <w:sz w:val="20"/>
          <w:szCs w:val="20"/>
        </w:rPr>
      </w:pPr>
    </w:p>
    <w:tbl>
      <w:tblPr>
        <w:tblW w:w="9349" w:type="dxa"/>
        <w:tblLook w:val="04A0" w:firstRow="1" w:lastRow="0" w:firstColumn="1" w:lastColumn="0" w:noHBand="0" w:noVBand="1"/>
      </w:tblPr>
      <w:tblGrid>
        <w:gridCol w:w="5103"/>
        <w:gridCol w:w="1362"/>
        <w:gridCol w:w="1766"/>
        <w:gridCol w:w="1118"/>
      </w:tblGrid>
      <w:tr w:rsidR="00543D10" w:rsidRPr="00543D10" w14:paraId="6801169B" w14:textId="77777777" w:rsidTr="006647C2">
        <w:trPr>
          <w:trHeight w:val="255"/>
        </w:trPr>
        <w:tc>
          <w:tcPr>
            <w:tcW w:w="5103" w:type="dxa"/>
            <w:tcBorders>
              <w:top w:val="nil"/>
              <w:left w:val="nil"/>
              <w:bottom w:val="nil"/>
              <w:right w:val="nil"/>
            </w:tcBorders>
            <w:shd w:val="clear" w:color="auto" w:fill="auto"/>
            <w:hideMark/>
          </w:tcPr>
          <w:p w14:paraId="2772DC50" w14:textId="77777777" w:rsidR="005229F1" w:rsidRPr="00543D10" w:rsidRDefault="005229F1" w:rsidP="00085C2E">
            <w:pPr>
              <w:spacing w:after="0" w:line="240" w:lineRule="auto"/>
              <w:rPr>
                <w:rFonts w:ascii="Arial" w:eastAsia="Times New Roman" w:hAnsi="Arial" w:cs="Arial"/>
                <w:b/>
                <w:bCs/>
                <w:sz w:val="20"/>
                <w:szCs w:val="20"/>
                <w:lang w:eastAsia="en-GB"/>
              </w:rPr>
            </w:pPr>
            <w:r w:rsidRPr="00543D10">
              <w:rPr>
                <w:rFonts w:ascii="Arial" w:eastAsia="Times New Roman" w:hAnsi="Arial" w:cs="Arial"/>
                <w:b/>
                <w:bCs/>
                <w:sz w:val="20"/>
                <w:szCs w:val="20"/>
                <w:lang w:eastAsia="en-GB"/>
              </w:rPr>
              <w:t xml:space="preserve">Company </w:t>
            </w:r>
          </w:p>
        </w:tc>
        <w:tc>
          <w:tcPr>
            <w:tcW w:w="1362" w:type="dxa"/>
            <w:tcBorders>
              <w:top w:val="nil"/>
              <w:left w:val="nil"/>
              <w:right w:val="nil"/>
            </w:tcBorders>
            <w:shd w:val="clear" w:color="auto" w:fill="auto"/>
            <w:hideMark/>
          </w:tcPr>
          <w:p w14:paraId="7C7AB8C8" w14:textId="77777777" w:rsidR="005229F1" w:rsidRPr="00543D10" w:rsidRDefault="005229F1" w:rsidP="00085C2E">
            <w:pPr>
              <w:spacing w:after="0" w:line="240" w:lineRule="auto"/>
              <w:jc w:val="right"/>
              <w:rPr>
                <w:rFonts w:ascii="Arial" w:eastAsia="Times New Roman" w:hAnsi="Arial" w:cs="Arial"/>
                <w:sz w:val="20"/>
                <w:szCs w:val="20"/>
                <w:lang w:eastAsia="en-GB"/>
              </w:rPr>
            </w:pPr>
            <w:r w:rsidRPr="00543D10">
              <w:rPr>
                <w:rFonts w:ascii="Arial" w:eastAsia="Times New Roman" w:hAnsi="Arial" w:cs="Arial"/>
                <w:sz w:val="20"/>
                <w:szCs w:val="20"/>
                <w:lang w:eastAsia="en-GB"/>
              </w:rPr>
              <w:t>Dilapidations</w:t>
            </w:r>
          </w:p>
        </w:tc>
        <w:tc>
          <w:tcPr>
            <w:tcW w:w="1766" w:type="dxa"/>
            <w:tcBorders>
              <w:top w:val="nil"/>
              <w:left w:val="nil"/>
              <w:right w:val="nil"/>
            </w:tcBorders>
            <w:shd w:val="clear" w:color="auto" w:fill="auto"/>
            <w:hideMark/>
          </w:tcPr>
          <w:p w14:paraId="0B0FDB0D" w14:textId="77777777" w:rsidR="005229F1" w:rsidRPr="00543D10" w:rsidRDefault="005229F1" w:rsidP="00085C2E">
            <w:pPr>
              <w:spacing w:after="0" w:line="240" w:lineRule="auto"/>
              <w:jc w:val="right"/>
              <w:rPr>
                <w:rFonts w:ascii="Arial" w:eastAsia="Times New Roman" w:hAnsi="Arial" w:cs="Arial"/>
                <w:sz w:val="20"/>
                <w:szCs w:val="20"/>
                <w:lang w:eastAsia="en-GB"/>
              </w:rPr>
            </w:pPr>
            <w:r w:rsidRPr="00543D10">
              <w:rPr>
                <w:rFonts w:ascii="Arial" w:eastAsia="Times New Roman" w:hAnsi="Arial" w:cs="Arial"/>
                <w:sz w:val="20"/>
                <w:szCs w:val="20"/>
                <w:lang w:eastAsia="en-GB"/>
              </w:rPr>
              <w:t>Contract Risk</w:t>
            </w:r>
          </w:p>
        </w:tc>
        <w:tc>
          <w:tcPr>
            <w:tcW w:w="1118" w:type="dxa"/>
            <w:tcBorders>
              <w:top w:val="nil"/>
              <w:left w:val="nil"/>
              <w:right w:val="nil"/>
            </w:tcBorders>
            <w:shd w:val="clear" w:color="auto" w:fill="auto"/>
            <w:hideMark/>
          </w:tcPr>
          <w:p w14:paraId="7A534814" w14:textId="77777777" w:rsidR="005229F1" w:rsidRPr="00543D10" w:rsidRDefault="005229F1" w:rsidP="00085C2E">
            <w:pPr>
              <w:spacing w:after="0" w:line="240" w:lineRule="auto"/>
              <w:jc w:val="right"/>
              <w:rPr>
                <w:rFonts w:ascii="Arial" w:eastAsia="Times New Roman" w:hAnsi="Arial" w:cs="Arial"/>
                <w:b/>
                <w:bCs/>
                <w:sz w:val="20"/>
                <w:szCs w:val="20"/>
                <w:lang w:eastAsia="en-GB"/>
              </w:rPr>
            </w:pPr>
            <w:r w:rsidRPr="00543D10">
              <w:rPr>
                <w:rFonts w:ascii="Arial" w:eastAsia="Times New Roman" w:hAnsi="Arial" w:cs="Arial"/>
                <w:b/>
                <w:bCs/>
                <w:sz w:val="20"/>
                <w:szCs w:val="20"/>
                <w:lang w:eastAsia="en-GB"/>
              </w:rPr>
              <w:t>Total</w:t>
            </w:r>
          </w:p>
        </w:tc>
      </w:tr>
      <w:tr w:rsidR="00543D10" w:rsidRPr="00543D10" w14:paraId="365A7FE3" w14:textId="77777777" w:rsidTr="006647C2">
        <w:trPr>
          <w:trHeight w:val="323"/>
        </w:trPr>
        <w:tc>
          <w:tcPr>
            <w:tcW w:w="5103" w:type="dxa"/>
            <w:tcBorders>
              <w:top w:val="nil"/>
              <w:left w:val="nil"/>
              <w:bottom w:val="single" w:sz="4" w:space="0" w:color="auto"/>
              <w:right w:val="nil"/>
            </w:tcBorders>
            <w:shd w:val="clear" w:color="auto" w:fill="auto"/>
            <w:noWrap/>
            <w:vAlign w:val="center"/>
            <w:hideMark/>
          </w:tcPr>
          <w:p w14:paraId="0CCD3584" w14:textId="77777777" w:rsidR="005229F1" w:rsidRPr="00543D10" w:rsidRDefault="005229F1" w:rsidP="00085C2E">
            <w:pPr>
              <w:spacing w:after="0" w:line="240" w:lineRule="auto"/>
              <w:rPr>
                <w:rFonts w:ascii="Arial" w:eastAsia="Times New Roman" w:hAnsi="Arial" w:cs="Arial"/>
                <w:sz w:val="20"/>
                <w:szCs w:val="20"/>
                <w:lang w:eastAsia="en-GB"/>
              </w:rPr>
            </w:pPr>
            <w:r w:rsidRPr="00543D10">
              <w:rPr>
                <w:rFonts w:ascii="Arial" w:eastAsia="Times New Roman" w:hAnsi="Arial" w:cs="Arial"/>
                <w:sz w:val="20"/>
                <w:szCs w:val="20"/>
                <w:lang w:eastAsia="en-GB"/>
              </w:rPr>
              <w:t> </w:t>
            </w:r>
          </w:p>
        </w:tc>
        <w:tc>
          <w:tcPr>
            <w:tcW w:w="1362" w:type="dxa"/>
            <w:tcBorders>
              <w:top w:val="nil"/>
              <w:left w:val="nil"/>
              <w:bottom w:val="single" w:sz="4" w:space="0" w:color="auto"/>
              <w:right w:val="nil"/>
            </w:tcBorders>
            <w:shd w:val="clear" w:color="auto" w:fill="auto"/>
            <w:noWrap/>
            <w:vAlign w:val="center"/>
            <w:hideMark/>
          </w:tcPr>
          <w:p w14:paraId="378AD070" w14:textId="77777777" w:rsidR="005229F1" w:rsidRPr="00543D10" w:rsidRDefault="005229F1" w:rsidP="00085C2E">
            <w:pPr>
              <w:spacing w:after="0" w:line="240" w:lineRule="auto"/>
              <w:jc w:val="right"/>
              <w:rPr>
                <w:rFonts w:ascii="Arial" w:eastAsia="Times New Roman" w:hAnsi="Arial" w:cs="Arial"/>
                <w:sz w:val="20"/>
                <w:szCs w:val="20"/>
                <w:lang w:eastAsia="en-GB"/>
              </w:rPr>
            </w:pPr>
            <w:r w:rsidRPr="00543D10">
              <w:rPr>
                <w:rFonts w:ascii="Arial" w:eastAsia="Times New Roman" w:hAnsi="Arial" w:cs="Arial"/>
                <w:sz w:val="20"/>
                <w:szCs w:val="20"/>
                <w:lang w:eastAsia="en-GB"/>
              </w:rPr>
              <w:t>£'000</w:t>
            </w:r>
          </w:p>
        </w:tc>
        <w:tc>
          <w:tcPr>
            <w:tcW w:w="1766" w:type="dxa"/>
            <w:tcBorders>
              <w:top w:val="nil"/>
              <w:left w:val="nil"/>
              <w:bottom w:val="single" w:sz="4" w:space="0" w:color="auto"/>
              <w:right w:val="nil"/>
            </w:tcBorders>
            <w:shd w:val="clear" w:color="auto" w:fill="auto"/>
            <w:noWrap/>
            <w:vAlign w:val="center"/>
            <w:hideMark/>
          </w:tcPr>
          <w:p w14:paraId="636B171A" w14:textId="77777777" w:rsidR="005229F1" w:rsidRPr="00543D10" w:rsidRDefault="005229F1" w:rsidP="00085C2E">
            <w:pPr>
              <w:spacing w:after="0" w:line="240" w:lineRule="auto"/>
              <w:jc w:val="right"/>
              <w:rPr>
                <w:rFonts w:ascii="Arial" w:eastAsia="Times New Roman" w:hAnsi="Arial" w:cs="Arial"/>
                <w:sz w:val="20"/>
                <w:szCs w:val="20"/>
                <w:lang w:eastAsia="en-GB"/>
              </w:rPr>
            </w:pPr>
            <w:r w:rsidRPr="00543D10">
              <w:rPr>
                <w:rFonts w:ascii="Arial" w:eastAsia="Times New Roman" w:hAnsi="Arial" w:cs="Arial"/>
                <w:sz w:val="20"/>
                <w:szCs w:val="20"/>
                <w:lang w:eastAsia="en-GB"/>
              </w:rPr>
              <w:t>£'000</w:t>
            </w:r>
          </w:p>
        </w:tc>
        <w:tc>
          <w:tcPr>
            <w:tcW w:w="1118" w:type="dxa"/>
            <w:tcBorders>
              <w:top w:val="nil"/>
              <w:left w:val="nil"/>
              <w:bottom w:val="single" w:sz="4" w:space="0" w:color="auto"/>
              <w:right w:val="nil"/>
            </w:tcBorders>
            <w:shd w:val="clear" w:color="auto" w:fill="auto"/>
            <w:noWrap/>
            <w:vAlign w:val="center"/>
            <w:hideMark/>
          </w:tcPr>
          <w:p w14:paraId="1E62260D" w14:textId="77777777" w:rsidR="005229F1" w:rsidRPr="00543D10" w:rsidRDefault="005229F1" w:rsidP="00085C2E">
            <w:pPr>
              <w:spacing w:after="0" w:line="240" w:lineRule="auto"/>
              <w:jc w:val="right"/>
              <w:rPr>
                <w:rFonts w:ascii="Arial" w:eastAsia="Times New Roman" w:hAnsi="Arial" w:cs="Arial"/>
                <w:b/>
                <w:bCs/>
                <w:sz w:val="20"/>
                <w:szCs w:val="20"/>
                <w:lang w:eastAsia="en-GB"/>
              </w:rPr>
            </w:pPr>
            <w:r w:rsidRPr="00543D10">
              <w:rPr>
                <w:rFonts w:ascii="Arial" w:eastAsia="Times New Roman" w:hAnsi="Arial" w:cs="Arial"/>
                <w:b/>
                <w:bCs/>
                <w:sz w:val="20"/>
                <w:szCs w:val="20"/>
                <w:lang w:eastAsia="en-GB"/>
              </w:rPr>
              <w:t>£'000</w:t>
            </w:r>
          </w:p>
        </w:tc>
      </w:tr>
      <w:tr w:rsidR="0039438F" w:rsidRPr="00543D10" w14:paraId="2869C1A0" w14:textId="77777777" w:rsidTr="006647C2">
        <w:trPr>
          <w:trHeight w:val="323"/>
        </w:trPr>
        <w:tc>
          <w:tcPr>
            <w:tcW w:w="5103" w:type="dxa"/>
            <w:tcBorders>
              <w:top w:val="nil"/>
              <w:left w:val="nil"/>
              <w:bottom w:val="nil"/>
              <w:right w:val="nil"/>
            </w:tcBorders>
            <w:shd w:val="clear" w:color="auto" w:fill="auto"/>
            <w:noWrap/>
            <w:vAlign w:val="center"/>
            <w:hideMark/>
          </w:tcPr>
          <w:p w14:paraId="48E90606" w14:textId="77777777" w:rsidR="0039438F" w:rsidRPr="00543D10" w:rsidRDefault="0039438F" w:rsidP="0039438F">
            <w:pPr>
              <w:spacing w:after="0" w:line="240" w:lineRule="auto"/>
              <w:rPr>
                <w:rFonts w:ascii="Arial" w:eastAsia="Times New Roman" w:hAnsi="Arial" w:cs="Arial"/>
                <w:sz w:val="20"/>
                <w:szCs w:val="20"/>
                <w:lang w:eastAsia="en-GB"/>
              </w:rPr>
            </w:pPr>
            <w:r w:rsidRPr="00543D10">
              <w:rPr>
                <w:rFonts w:ascii="Arial" w:eastAsia="Times New Roman" w:hAnsi="Arial" w:cs="Arial"/>
                <w:sz w:val="20"/>
                <w:szCs w:val="20"/>
                <w:lang w:eastAsia="en-GB"/>
              </w:rPr>
              <w:t xml:space="preserve">At 1 September </w:t>
            </w:r>
            <w:r>
              <w:rPr>
                <w:rFonts w:ascii="Arial" w:eastAsia="Times New Roman" w:hAnsi="Arial" w:cs="Arial"/>
                <w:sz w:val="20"/>
                <w:szCs w:val="20"/>
                <w:lang w:eastAsia="en-GB"/>
              </w:rPr>
              <w:t>2019</w:t>
            </w:r>
          </w:p>
        </w:tc>
        <w:tc>
          <w:tcPr>
            <w:tcW w:w="1362" w:type="dxa"/>
            <w:tcBorders>
              <w:top w:val="single" w:sz="4" w:space="0" w:color="auto"/>
              <w:left w:val="nil"/>
              <w:right w:val="nil"/>
            </w:tcBorders>
            <w:shd w:val="clear" w:color="auto" w:fill="auto"/>
            <w:noWrap/>
            <w:vAlign w:val="center"/>
            <w:hideMark/>
          </w:tcPr>
          <w:p w14:paraId="2E98F6DD" w14:textId="77777777" w:rsidR="0039438F" w:rsidRPr="007A5B95" w:rsidRDefault="0039438F" w:rsidP="0039438F">
            <w:pPr>
              <w:spacing w:after="0" w:line="240" w:lineRule="auto"/>
              <w:jc w:val="right"/>
              <w:rPr>
                <w:rFonts w:ascii="Arial" w:eastAsia="Times New Roman" w:hAnsi="Arial" w:cs="Arial"/>
                <w:sz w:val="20"/>
                <w:szCs w:val="20"/>
                <w:lang w:eastAsia="en-GB"/>
              </w:rPr>
            </w:pPr>
            <w:r w:rsidRPr="007A5B95">
              <w:rPr>
                <w:rFonts w:ascii="Arial" w:eastAsia="Times New Roman" w:hAnsi="Arial" w:cs="Arial"/>
                <w:bCs/>
                <w:sz w:val="20"/>
                <w:szCs w:val="20"/>
                <w:lang w:eastAsia="en-GB"/>
              </w:rPr>
              <w:t>162</w:t>
            </w:r>
          </w:p>
        </w:tc>
        <w:tc>
          <w:tcPr>
            <w:tcW w:w="1766" w:type="dxa"/>
            <w:tcBorders>
              <w:top w:val="single" w:sz="4" w:space="0" w:color="auto"/>
              <w:left w:val="nil"/>
              <w:right w:val="nil"/>
            </w:tcBorders>
            <w:shd w:val="clear" w:color="auto" w:fill="auto"/>
            <w:noWrap/>
            <w:vAlign w:val="center"/>
            <w:hideMark/>
          </w:tcPr>
          <w:p w14:paraId="3D43383A" w14:textId="77777777" w:rsidR="0039438F" w:rsidRPr="007A5B95" w:rsidRDefault="0039438F" w:rsidP="0039438F">
            <w:pPr>
              <w:spacing w:after="0" w:line="240" w:lineRule="auto"/>
              <w:jc w:val="right"/>
              <w:rPr>
                <w:rFonts w:ascii="Arial" w:eastAsia="Times New Roman" w:hAnsi="Arial" w:cs="Arial"/>
                <w:sz w:val="20"/>
                <w:szCs w:val="20"/>
                <w:lang w:eastAsia="en-GB"/>
              </w:rPr>
            </w:pPr>
            <w:r w:rsidRPr="007A5B95">
              <w:rPr>
                <w:rFonts w:ascii="Arial" w:eastAsia="Times New Roman" w:hAnsi="Arial" w:cs="Arial"/>
                <w:bCs/>
                <w:sz w:val="20"/>
                <w:szCs w:val="20"/>
                <w:lang w:eastAsia="en-GB"/>
              </w:rPr>
              <w:t>1,950</w:t>
            </w:r>
          </w:p>
        </w:tc>
        <w:tc>
          <w:tcPr>
            <w:tcW w:w="1118" w:type="dxa"/>
            <w:tcBorders>
              <w:top w:val="single" w:sz="4" w:space="0" w:color="auto"/>
              <w:left w:val="nil"/>
              <w:right w:val="nil"/>
            </w:tcBorders>
            <w:shd w:val="clear" w:color="auto" w:fill="auto"/>
            <w:noWrap/>
            <w:vAlign w:val="center"/>
            <w:hideMark/>
          </w:tcPr>
          <w:p w14:paraId="56D0EEE6" w14:textId="77777777" w:rsidR="0039438F" w:rsidRPr="00543D10" w:rsidRDefault="0039438F" w:rsidP="0039438F">
            <w:pPr>
              <w:spacing w:after="0" w:line="240" w:lineRule="auto"/>
              <w:jc w:val="right"/>
              <w:rPr>
                <w:rFonts w:ascii="Arial" w:eastAsia="Times New Roman" w:hAnsi="Arial" w:cs="Arial"/>
                <w:b/>
                <w:bCs/>
                <w:sz w:val="20"/>
                <w:szCs w:val="20"/>
                <w:lang w:eastAsia="en-GB"/>
              </w:rPr>
            </w:pPr>
            <w:r w:rsidRPr="00543D10">
              <w:rPr>
                <w:rFonts w:ascii="Arial" w:eastAsia="Times New Roman" w:hAnsi="Arial" w:cs="Arial"/>
                <w:b/>
                <w:bCs/>
                <w:sz w:val="20"/>
                <w:szCs w:val="20"/>
                <w:lang w:eastAsia="en-GB"/>
              </w:rPr>
              <w:t>2,112</w:t>
            </w:r>
          </w:p>
        </w:tc>
      </w:tr>
      <w:tr w:rsidR="00543D10" w:rsidRPr="00543D10" w14:paraId="5A9B99B6" w14:textId="77777777" w:rsidTr="006647C2">
        <w:trPr>
          <w:trHeight w:val="323"/>
        </w:trPr>
        <w:tc>
          <w:tcPr>
            <w:tcW w:w="5103" w:type="dxa"/>
            <w:tcBorders>
              <w:top w:val="nil"/>
              <w:left w:val="nil"/>
              <w:bottom w:val="nil"/>
              <w:right w:val="nil"/>
            </w:tcBorders>
            <w:shd w:val="clear" w:color="auto" w:fill="auto"/>
            <w:noWrap/>
            <w:vAlign w:val="center"/>
            <w:hideMark/>
          </w:tcPr>
          <w:p w14:paraId="7C35E951" w14:textId="77777777" w:rsidR="001E3E92" w:rsidRPr="00543D10" w:rsidRDefault="001E3E92" w:rsidP="001E3E92">
            <w:pPr>
              <w:spacing w:after="0" w:line="240" w:lineRule="auto"/>
              <w:rPr>
                <w:rFonts w:ascii="Arial" w:eastAsia="Times New Roman" w:hAnsi="Arial" w:cs="Arial"/>
                <w:sz w:val="20"/>
                <w:szCs w:val="20"/>
                <w:lang w:eastAsia="en-GB"/>
              </w:rPr>
            </w:pPr>
            <w:r w:rsidRPr="00543D10">
              <w:rPr>
                <w:rFonts w:ascii="Arial" w:eastAsia="Times New Roman" w:hAnsi="Arial" w:cs="Arial"/>
                <w:sz w:val="20"/>
                <w:szCs w:val="20"/>
                <w:lang w:eastAsia="en-GB"/>
              </w:rPr>
              <w:t>Utilised during the year</w:t>
            </w:r>
          </w:p>
        </w:tc>
        <w:tc>
          <w:tcPr>
            <w:tcW w:w="1362" w:type="dxa"/>
            <w:tcBorders>
              <w:top w:val="nil"/>
              <w:left w:val="nil"/>
              <w:bottom w:val="nil"/>
              <w:right w:val="nil"/>
            </w:tcBorders>
            <w:shd w:val="clear" w:color="auto" w:fill="auto"/>
            <w:noWrap/>
            <w:vAlign w:val="center"/>
          </w:tcPr>
          <w:p w14:paraId="3B44D298" w14:textId="77777777" w:rsidR="001E3E92" w:rsidRPr="00543D10" w:rsidRDefault="0023225B" w:rsidP="001E3E92">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(134)</w:t>
            </w:r>
          </w:p>
        </w:tc>
        <w:tc>
          <w:tcPr>
            <w:tcW w:w="1766" w:type="dxa"/>
            <w:tcBorders>
              <w:top w:val="nil"/>
              <w:left w:val="nil"/>
              <w:bottom w:val="nil"/>
              <w:right w:val="nil"/>
            </w:tcBorders>
            <w:shd w:val="clear" w:color="auto" w:fill="auto"/>
            <w:noWrap/>
            <w:vAlign w:val="center"/>
          </w:tcPr>
          <w:p w14:paraId="5A4FE8F5" w14:textId="77777777" w:rsidR="001E3E92" w:rsidRPr="00543D10" w:rsidRDefault="0023225B" w:rsidP="001E3E92">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w:t>
            </w:r>
          </w:p>
        </w:tc>
        <w:tc>
          <w:tcPr>
            <w:tcW w:w="1118" w:type="dxa"/>
            <w:tcBorders>
              <w:top w:val="nil"/>
              <w:left w:val="nil"/>
              <w:bottom w:val="nil"/>
              <w:right w:val="nil"/>
            </w:tcBorders>
            <w:shd w:val="clear" w:color="auto" w:fill="auto"/>
            <w:noWrap/>
            <w:vAlign w:val="center"/>
          </w:tcPr>
          <w:p w14:paraId="46A8F3BE" w14:textId="77777777" w:rsidR="001E3E92" w:rsidRPr="00543D10" w:rsidRDefault="0023225B" w:rsidP="001E3E92">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(134)</w:t>
            </w:r>
          </w:p>
        </w:tc>
      </w:tr>
      <w:tr w:rsidR="00543D10" w:rsidRPr="00543D10" w14:paraId="24D12CCB" w14:textId="77777777" w:rsidTr="006647C2">
        <w:trPr>
          <w:trHeight w:val="323"/>
        </w:trPr>
        <w:tc>
          <w:tcPr>
            <w:tcW w:w="5103" w:type="dxa"/>
            <w:tcBorders>
              <w:top w:val="single" w:sz="4" w:space="0" w:color="auto"/>
              <w:left w:val="nil"/>
              <w:bottom w:val="single" w:sz="4" w:space="0" w:color="auto"/>
              <w:right w:val="nil"/>
            </w:tcBorders>
            <w:shd w:val="clear" w:color="auto" w:fill="auto"/>
            <w:noWrap/>
            <w:vAlign w:val="center"/>
            <w:hideMark/>
          </w:tcPr>
          <w:p w14:paraId="1E64C538" w14:textId="77777777" w:rsidR="001E3E92" w:rsidRPr="00543D10" w:rsidRDefault="001E3E92" w:rsidP="001E3E92">
            <w:pPr>
              <w:spacing w:after="0" w:line="240" w:lineRule="auto"/>
              <w:rPr>
                <w:rFonts w:ascii="Arial" w:eastAsia="Times New Roman" w:hAnsi="Arial" w:cs="Arial"/>
                <w:b/>
                <w:bCs/>
                <w:sz w:val="20"/>
                <w:szCs w:val="20"/>
                <w:lang w:eastAsia="en-GB"/>
              </w:rPr>
            </w:pPr>
            <w:r w:rsidRPr="00543D10">
              <w:rPr>
                <w:rFonts w:ascii="Arial" w:eastAsia="Times New Roman" w:hAnsi="Arial" w:cs="Arial"/>
                <w:b/>
                <w:bCs/>
                <w:sz w:val="20"/>
                <w:szCs w:val="20"/>
                <w:lang w:eastAsia="en-GB"/>
              </w:rPr>
              <w:t xml:space="preserve">At 31 August </w:t>
            </w:r>
            <w:r w:rsidR="0037645F">
              <w:rPr>
                <w:rFonts w:ascii="Arial" w:eastAsia="Times New Roman" w:hAnsi="Arial" w:cs="Arial"/>
                <w:b/>
                <w:bCs/>
                <w:sz w:val="20"/>
                <w:szCs w:val="20"/>
                <w:lang w:eastAsia="en-GB"/>
              </w:rPr>
              <w:t>2020</w:t>
            </w:r>
          </w:p>
        </w:tc>
        <w:tc>
          <w:tcPr>
            <w:tcW w:w="1362" w:type="dxa"/>
            <w:tcBorders>
              <w:top w:val="single" w:sz="4" w:space="0" w:color="auto"/>
              <w:left w:val="nil"/>
              <w:bottom w:val="single" w:sz="4" w:space="0" w:color="auto"/>
              <w:right w:val="nil"/>
            </w:tcBorders>
            <w:shd w:val="clear" w:color="auto" w:fill="auto"/>
            <w:noWrap/>
            <w:vAlign w:val="center"/>
          </w:tcPr>
          <w:p w14:paraId="1AEEB09D" w14:textId="77777777" w:rsidR="001E3E92" w:rsidRPr="00543D10" w:rsidRDefault="0023225B" w:rsidP="001E3E92">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28</w:t>
            </w:r>
          </w:p>
        </w:tc>
        <w:tc>
          <w:tcPr>
            <w:tcW w:w="1766" w:type="dxa"/>
            <w:tcBorders>
              <w:top w:val="single" w:sz="4" w:space="0" w:color="auto"/>
              <w:left w:val="nil"/>
              <w:bottom w:val="single" w:sz="4" w:space="0" w:color="auto"/>
              <w:right w:val="nil"/>
            </w:tcBorders>
            <w:shd w:val="clear" w:color="auto" w:fill="auto"/>
            <w:noWrap/>
            <w:vAlign w:val="center"/>
          </w:tcPr>
          <w:p w14:paraId="51FA4483" w14:textId="77777777" w:rsidR="001E3E92" w:rsidRPr="00543D10" w:rsidRDefault="0023225B" w:rsidP="001E3E92">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1,950</w:t>
            </w:r>
          </w:p>
        </w:tc>
        <w:tc>
          <w:tcPr>
            <w:tcW w:w="1118" w:type="dxa"/>
            <w:tcBorders>
              <w:top w:val="single" w:sz="4" w:space="0" w:color="auto"/>
              <w:left w:val="nil"/>
              <w:bottom w:val="single" w:sz="4" w:space="0" w:color="auto"/>
              <w:right w:val="nil"/>
            </w:tcBorders>
            <w:shd w:val="clear" w:color="auto" w:fill="auto"/>
            <w:noWrap/>
            <w:vAlign w:val="center"/>
          </w:tcPr>
          <w:p w14:paraId="09232864" w14:textId="77777777" w:rsidR="001E3E92" w:rsidRPr="00543D10" w:rsidRDefault="0023225B" w:rsidP="001E3E92">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1,978</w:t>
            </w:r>
          </w:p>
        </w:tc>
      </w:tr>
    </w:tbl>
    <w:p w14:paraId="07B01E86" w14:textId="77777777" w:rsidR="00581924" w:rsidRDefault="00581924" w:rsidP="00E70CD3">
      <w:pPr>
        <w:autoSpaceDE w:val="0"/>
        <w:autoSpaceDN w:val="0"/>
        <w:adjustRightInd w:val="0"/>
        <w:spacing w:after="0" w:line="240" w:lineRule="auto"/>
        <w:rPr>
          <w:rFonts w:ascii="Arial" w:hAnsi="Arial" w:cs="Arial"/>
          <w:sz w:val="20"/>
          <w:szCs w:val="20"/>
        </w:rPr>
      </w:pPr>
    </w:p>
    <w:p w14:paraId="0A8FA5B1" w14:textId="77777777" w:rsidR="009A1B07" w:rsidRDefault="009A1B07" w:rsidP="00E70CD3">
      <w:pPr>
        <w:autoSpaceDE w:val="0"/>
        <w:autoSpaceDN w:val="0"/>
        <w:adjustRightInd w:val="0"/>
        <w:spacing w:after="0" w:line="240" w:lineRule="auto"/>
        <w:rPr>
          <w:rFonts w:ascii="Arial" w:hAnsi="Arial" w:cs="Arial"/>
          <w:sz w:val="20"/>
          <w:szCs w:val="20"/>
        </w:rPr>
      </w:pPr>
    </w:p>
    <w:tbl>
      <w:tblPr>
        <w:tblW w:w="9734" w:type="dxa"/>
        <w:tblLayout w:type="fixed"/>
        <w:tblLook w:val="04A0" w:firstRow="1" w:lastRow="0" w:firstColumn="1" w:lastColumn="0" w:noHBand="0" w:noVBand="1"/>
      </w:tblPr>
      <w:tblGrid>
        <w:gridCol w:w="9734"/>
      </w:tblGrid>
      <w:tr w:rsidR="00DD5595" w:rsidRPr="00B654E3" w14:paraId="3AB484A9" w14:textId="77777777" w:rsidTr="00EB42C4">
        <w:trPr>
          <w:trHeight w:val="465"/>
        </w:trPr>
        <w:tc>
          <w:tcPr>
            <w:tcW w:w="9354" w:type="dxa"/>
            <w:tcBorders>
              <w:top w:val="nil"/>
              <w:left w:val="nil"/>
              <w:bottom w:val="nil"/>
              <w:right w:val="nil"/>
            </w:tcBorders>
            <w:shd w:val="clear" w:color="auto" w:fill="auto"/>
            <w:hideMark/>
          </w:tcPr>
          <w:p w14:paraId="43D434D1" w14:textId="77777777" w:rsidR="00DD5595" w:rsidRDefault="00DD5595" w:rsidP="00E95971">
            <w:pPr>
              <w:spacing w:after="240" w:line="240" w:lineRule="auto"/>
              <w:ind w:right="416"/>
              <w:jc w:val="both"/>
              <w:rPr>
                <w:rFonts w:ascii="Arial" w:eastAsia="Times New Roman" w:hAnsi="Arial" w:cs="Arial"/>
                <w:color w:val="000000"/>
                <w:sz w:val="24"/>
                <w:szCs w:val="24"/>
                <w:lang w:eastAsia="en-GB"/>
              </w:rPr>
            </w:pPr>
            <w:r w:rsidRPr="00C322AE">
              <w:rPr>
                <w:rFonts w:ascii="Arial" w:eastAsia="Times New Roman" w:hAnsi="Arial" w:cs="Arial"/>
                <w:color w:val="000000"/>
                <w:sz w:val="24"/>
                <w:szCs w:val="24"/>
                <w:lang w:eastAsia="en-GB"/>
              </w:rPr>
              <w:t xml:space="preserve">The dilapidations provision relates to the costs that the Trust will incur in reinstating its leased properties to original condition, accrued over the length of the lease. Last year provision was utilised for Work Choice and Work Programme offices. Changes in contracts and reduction in number of delivery sites mean that Shaw Trust </w:t>
            </w:r>
            <w:r>
              <w:rPr>
                <w:rFonts w:ascii="Arial" w:eastAsia="Times New Roman" w:hAnsi="Arial" w:cs="Arial"/>
                <w:color w:val="000000"/>
                <w:sz w:val="24"/>
                <w:szCs w:val="24"/>
                <w:lang w:eastAsia="en-GB"/>
              </w:rPr>
              <w:t xml:space="preserve">Limited </w:t>
            </w:r>
            <w:r w:rsidRPr="00C322AE">
              <w:rPr>
                <w:rFonts w:ascii="Arial" w:eastAsia="Times New Roman" w:hAnsi="Arial" w:cs="Arial"/>
                <w:color w:val="000000"/>
                <w:sz w:val="24"/>
                <w:szCs w:val="24"/>
                <w:lang w:eastAsia="en-GB"/>
              </w:rPr>
              <w:t xml:space="preserve">does not need higher Dilapidations provision.   </w:t>
            </w:r>
          </w:p>
          <w:p w14:paraId="3EFB14A3" w14:textId="77777777" w:rsidR="00DD5595" w:rsidRDefault="00DD5595" w:rsidP="00E95971">
            <w:pPr>
              <w:spacing w:after="240" w:line="240" w:lineRule="auto"/>
              <w:ind w:right="416"/>
              <w:jc w:val="both"/>
              <w:rPr>
                <w:rFonts w:ascii="Arial" w:eastAsia="Times New Roman" w:hAnsi="Arial" w:cs="Arial"/>
                <w:color w:val="000000"/>
                <w:sz w:val="24"/>
                <w:szCs w:val="24"/>
                <w:lang w:eastAsia="en-GB"/>
              </w:rPr>
            </w:pPr>
            <w:r w:rsidRPr="00C322AE">
              <w:rPr>
                <w:rFonts w:ascii="Arial" w:eastAsia="Times New Roman" w:hAnsi="Arial" w:cs="Arial"/>
                <w:color w:val="000000"/>
                <w:sz w:val="24"/>
                <w:szCs w:val="24"/>
                <w:lang w:eastAsia="en-GB"/>
              </w:rPr>
              <w:t>The contract risk provision relates to work undertaken to enhance procedures and compliance within the Trust’s historical contracts and as a result the Trustees have made a contract risk provision to cover possible rectification costs that might arise from short-comings in the record keeping on those contracts.</w:t>
            </w:r>
          </w:p>
          <w:p w14:paraId="41537B78" w14:textId="77777777" w:rsidR="00DD5595" w:rsidRPr="00C322AE" w:rsidRDefault="00DD5595" w:rsidP="00EB42C4">
            <w:pPr>
              <w:tabs>
                <w:tab w:val="left" w:pos="567"/>
              </w:tabs>
              <w:ind w:left="567" w:hanging="567"/>
              <w:rPr>
                <w:rFonts w:ascii="Arial" w:eastAsia="Times New Roman" w:hAnsi="Arial" w:cs="Arial"/>
                <w:color w:val="000000"/>
                <w:sz w:val="24"/>
                <w:szCs w:val="24"/>
                <w:lang w:eastAsia="en-GB"/>
              </w:rPr>
            </w:pPr>
          </w:p>
        </w:tc>
      </w:tr>
    </w:tbl>
    <w:p w14:paraId="3A52079C" w14:textId="77777777" w:rsidR="00B4638C" w:rsidRDefault="00B4638C" w:rsidP="006C07DD">
      <w:pPr>
        <w:spacing w:after="0" w:line="240" w:lineRule="auto"/>
        <w:rPr>
          <w:rFonts w:ascii="Arial" w:hAnsi="Arial" w:cs="Arial"/>
          <w:b/>
          <w:i/>
          <w:sz w:val="24"/>
          <w:szCs w:val="24"/>
        </w:rPr>
      </w:pPr>
    </w:p>
    <w:p w14:paraId="77FAB8B2" w14:textId="66E3D824" w:rsidR="00665501" w:rsidRDefault="00665501" w:rsidP="006C07DD">
      <w:pPr>
        <w:spacing w:after="0" w:line="240" w:lineRule="auto"/>
        <w:rPr>
          <w:rFonts w:ascii="Arial" w:hAnsi="Arial" w:cs="Arial"/>
          <w:b/>
          <w:i/>
          <w:sz w:val="24"/>
          <w:szCs w:val="24"/>
        </w:rPr>
      </w:pPr>
    </w:p>
    <w:p w14:paraId="688C7A60" w14:textId="77777777" w:rsidR="006C07DD" w:rsidRDefault="006C07DD" w:rsidP="006C07DD">
      <w:pPr>
        <w:spacing w:after="0" w:line="240" w:lineRule="auto"/>
        <w:rPr>
          <w:rFonts w:ascii="Arial" w:hAnsi="Arial" w:cs="Arial"/>
          <w:b/>
          <w:i/>
          <w:sz w:val="24"/>
          <w:szCs w:val="24"/>
        </w:rPr>
      </w:pPr>
      <w:r w:rsidRPr="0088736E">
        <w:rPr>
          <w:rFonts w:ascii="Arial" w:hAnsi="Arial" w:cs="Arial"/>
          <w:b/>
          <w:i/>
          <w:sz w:val="24"/>
          <w:szCs w:val="24"/>
        </w:rPr>
        <w:lastRenderedPageBreak/>
        <w:t xml:space="preserve">Notes to the financial </w:t>
      </w:r>
      <w:r>
        <w:rPr>
          <w:rFonts w:ascii="Arial" w:hAnsi="Arial" w:cs="Arial"/>
          <w:b/>
          <w:i/>
          <w:sz w:val="24"/>
          <w:szCs w:val="24"/>
        </w:rPr>
        <w:t>statements</w:t>
      </w:r>
      <w:r w:rsidRPr="0088736E">
        <w:rPr>
          <w:rFonts w:ascii="Arial" w:hAnsi="Arial" w:cs="Arial"/>
          <w:b/>
          <w:i/>
          <w:sz w:val="24"/>
          <w:szCs w:val="24"/>
        </w:rPr>
        <w:t xml:space="preserve"> (continued)</w:t>
      </w:r>
    </w:p>
    <w:p w14:paraId="703F9C80" w14:textId="77777777" w:rsidR="006C07DD" w:rsidRDefault="006C07DD" w:rsidP="00E70CD3">
      <w:pPr>
        <w:autoSpaceDE w:val="0"/>
        <w:autoSpaceDN w:val="0"/>
        <w:adjustRightInd w:val="0"/>
        <w:spacing w:after="0" w:line="240" w:lineRule="auto"/>
        <w:rPr>
          <w:rFonts w:ascii="Arial" w:hAnsi="Arial" w:cs="Arial"/>
          <w:b/>
          <w:i/>
          <w:sz w:val="24"/>
          <w:szCs w:val="24"/>
        </w:rPr>
      </w:pPr>
    </w:p>
    <w:tbl>
      <w:tblPr>
        <w:tblW w:w="9734" w:type="dxa"/>
        <w:tblLayout w:type="fixed"/>
        <w:tblLook w:val="04A0" w:firstRow="1" w:lastRow="0" w:firstColumn="1" w:lastColumn="0" w:noHBand="0" w:noVBand="1"/>
      </w:tblPr>
      <w:tblGrid>
        <w:gridCol w:w="2552"/>
        <w:gridCol w:w="316"/>
        <w:gridCol w:w="1385"/>
        <w:gridCol w:w="637"/>
        <w:gridCol w:w="399"/>
        <w:gridCol w:w="637"/>
        <w:gridCol w:w="559"/>
        <w:gridCol w:w="637"/>
        <w:gridCol w:w="419"/>
        <w:gridCol w:w="637"/>
        <w:gridCol w:w="919"/>
        <w:gridCol w:w="637"/>
      </w:tblGrid>
      <w:tr w:rsidR="00E70CD3" w:rsidRPr="00397F4D" w14:paraId="5AC22B28" w14:textId="77777777" w:rsidTr="006647C2">
        <w:trPr>
          <w:trHeight w:val="402"/>
        </w:trPr>
        <w:tc>
          <w:tcPr>
            <w:tcW w:w="2868" w:type="dxa"/>
            <w:gridSpan w:val="2"/>
            <w:tcBorders>
              <w:top w:val="nil"/>
              <w:left w:val="nil"/>
              <w:bottom w:val="nil"/>
              <w:right w:val="nil"/>
            </w:tcBorders>
            <w:shd w:val="clear" w:color="auto" w:fill="auto"/>
            <w:noWrap/>
            <w:vAlign w:val="center"/>
            <w:hideMark/>
          </w:tcPr>
          <w:p w14:paraId="5363BC5B" w14:textId="77777777" w:rsidR="00E70CD3" w:rsidRPr="00397F4D" w:rsidRDefault="00680710" w:rsidP="007729E5">
            <w:pPr>
              <w:spacing w:after="0" w:line="240" w:lineRule="auto"/>
              <w:rPr>
                <w:rFonts w:ascii="Arial" w:eastAsia="Times New Roman" w:hAnsi="Arial" w:cs="Arial"/>
                <w:b/>
                <w:bCs/>
                <w:sz w:val="24"/>
                <w:szCs w:val="24"/>
                <w:lang w:eastAsia="en-GB"/>
              </w:rPr>
            </w:pPr>
            <w:r>
              <w:rPr>
                <w:rFonts w:ascii="Arial" w:eastAsia="Times New Roman" w:hAnsi="Arial" w:cs="Arial"/>
                <w:b/>
                <w:bCs/>
                <w:sz w:val="24"/>
                <w:szCs w:val="24"/>
                <w:lang w:eastAsia="en-GB"/>
              </w:rPr>
              <w:t>1</w:t>
            </w:r>
            <w:r w:rsidR="00E70CD3" w:rsidRPr="00397F4D">
              <w:rPr>
                <w:rFonts w:ascii="Arial" w:eastAsia="Times New Roman" w:hAnsi="Arial" w:cs="Arial"/>
                <w:b/>
                <w:bCs/>
                <w:sz w:val="24"/>
                <w:szCs w:val="24"/>
                <w:lang w:eastAsia="en-GB"/>
              </w:rPr>
              <w:t>8. Unrestricted funds</w:t>
            </w:r>
          </w:p>
        </w:tc>
        <w:tc>
          <w:tcPr>
            <w:tcW w:w="2022" w:type="dxa"/>
            <w:gridSpan w:val="2"/>
            <w:tcBorders>
              <w:top w:val="nil"/>
              <w:left w:val="nil"/>
              <w:bottom w:val="nil"/>
              <w:right w:val="nil"/>
            </w:tcBorders>
            <w:shd w:val="clear" w:color="auto" w:fill="auto"/>
            <w:noWrap/>
            <w:vAlign w:val="center"/>
            <w:hideMark/>
          </w:tcPr>
          <w:p w14:paraId="343DD197" w14:textId="77777777" w:rsidR="00E70CD3" w:rsidRPr="00397F4D" w:rsidRDefault="00E70CD3" w:rsidP="007729E5">
            <w:pPr>
              <w:spacing w:after="0" w:line="240" w:lineRule="auto"/>
              <w:rPr>
                <w:rFonts w:ascii="Arial" w:eastAsia="Times New Roman" w:hAnsi="Arial" w:cs="Arial"/>
                <w:b/>
                <w:bCs/>
                <w:sz w:val="24"/>
                <w:szCs w:val="24"/>
                <w:lang w:eastAsia="en-GB"/>
              </w:rPr>
            </w:pPr>
          </w:p>
        </w:tc>
        <w:tc>
          <w:tcPr>
            <w:tcW w:w="1036" w:type="dxa"/>
            <w:gridSpan w:val="2"/>
            <w:tcBorders>
              <w:top w:val="nil"/>
              <w:left w:val="nil"/>
              <w:bottom w:val="nil"/>
              <w:right w:val="nil"/>
            </w:tcBorders>
            <w:shd w:val="clear" w:color="auto" w:fill="auto"/>
            <w:noWrap/>
            <w:vAlign w:val="center"/>
            <w:hideMark/>
          </w:tcPr>
          <w:p w14:paraId="429E623A" w14:textId="77777777" w:rsidR="00E70CD3" w:rsidRPr="00397F4D" w:rsidRDefault="00E70CD3" w:rsidP="007729E5">
            <w:pPr>
              <w:spacing w:after="0" w:line="240" w:lineRule="auto"/>
              <w:rPr>
                <w:rFonts w:ascii="Times New Roman" w:eastAsia="Times New Roman" w:hAnsi="Times New Roman" w:cs="Times New Roman"/>
                <w:sz w:val="20"/>
                <w:szCs w:val="20"/>
                <w:lang w:eastAsia="en-GB"/>
              </w:rPr>
            </w:pPr>
          </w:p>
        </w:tc>
        <w:tc>
          <w:tcPr>
            <w:tcW w:w="1196" w:type="dxa"/>
            <w:gridSpan w:val="2"/>
            <w:tcBorders>
              <w:top w:val="nil"/>
              <w:left w:val="nil"/>
              <w:bottom w:val="nil"/>
              <w:right w:val="nil"/>
            </w:tcBorders>
            <w:shd w:val="clear" w:color="auto" w:fill="auto"/>
            <w:noWrap/>
            <w:vAlign w:val="center"/>
            <w:hideMark/>
          </w:tcPr>
          <w:p w14:paraId="512B12C7" w14:textId="77777777" w:rsidR="00E70CD3" w:rsidRPr="00397F4D" w:rsidRDefault="00E70CD3" w:rsidP="007729E5">
            <w:pPr>
              <w:spacing w:after="0" w:line="240" w:lineRule="auto"/>
              <w:rPr>
                <w:rFonts w:ascii="Times New Roman" w:eastAsia="Times New Roman" w:hAnsi="Times New Roman" w:cs="Times New Roman"/>
                <w:sz w:val="20"/>
                <w:szCs w:val="20"/>
                <w:lang w:eastAsia="en-GB"/>
              </w:rPr>
            </w:pPr>
          </w:p>
        </w:tc>
        <w:tc>
          <w:tcPr>
            <w:tcW w:w="1056" w:type="dxa"/>
            <w:gridSpan w:val="2"/>
            <w:tcBorders>
              <w:top w:val="nil"/>
              <w:left w:val="nil"/>
              <w:bottom w:val="nil"/>
              <w:right w:val="nil"/>
            </w:tcBorders>
            <w:shd w:val="clear" w:color="auto" w:fill="auto"/>
            <w:noWrap/>
            <w:vAlign w:val="center"/>
            <w:hideMark/>
          </w:tcPr>
          <w:p w14:paraId="7C7C2F9C" w14:textId="77777777" w:rsidR="00E70CD3" w:rsidRPr="00397F4D" w:rsidRDefault="00E70CD3" w:rsidP="007729E5">
            <w:pPr>
              <w:spacing w:after="0" w:line="240" w:lineRule="auto"/>
              <w:rPr>
                <w:rFonts w:ascii="Times New Roman" w:eastAsia="Times New Roman" w:hAnsi="Times New Roman" w:cs="Times New Roman"/>
                <w:sz w:val="20"/>
                <w:szCs w:val="20"/>
                <w:lang w:eastAsia="en-GB"/>
              </w:rPr>
            </w:pPr>
          </w:p>
        </w:tc>
        <w:tc>
          <w:tcPr>
            <w:tcW w:w="1556" w:type="dxa"/>
            <w:gridSpan w:val="2"/>
            <w:tcBorders>
              <w:top w:val="nil"/>
              <w:left w:val="nil"/>
              <w:bottom w:val="nil"/>
              <w:right w:val="nil"/>
            </w:tcBorders>
            <w:shd w:val="clear" w:color="auto" w:fill="auto"/>
            <w:noWrap/>
            <w:vAlign w:val="center"/>
            <w:hideMark/>
          </w:tcPr>
          <w:p w14:paraId="433B7346" w14:textId="77777777" w:rsidR="00E70CD3" w:rsidRPr="00397F4D" w:rsidRDefault="00E70CD3" w:rsidP="007729E5">
            <w:pPr>
              <w:spacing w:after="0" w:line="240" w:lineRule="auto"/>
              <w:rPr>
                <w:rFonts w:ascii="Times New Roman" w:eastAsia="Times New Roman" w:hAnsi="Times New Roman" w:cs="Times New Roman"/>
                <w:sz w:val="20"/>
                <w:szCs w:val="20"/>
                <w:lang w:eastAsia="en-GB"/>
              </w:rPr>
            </w:pPr>
          </w:p>
        </w:tc>
      </w:tr>
      <w:tr w:rsidR="00E70CD3" w:rsidRPr="00397F4D" w14:paraId="29C29DD3" w14:textId="77777777" w:rsidTr="006647C2">
        <w:trPr>
          <w:trHeight w:val="323"/>
        </w:trPr>
        <w:tc>
          <w:tcPr>
            <w:tcW w:w="2868" w:type="dxa"/>
            <w:gridSpan w:val="2"/>
            <w:tcBorders>
              <w:top w:val="nil"/>
              <w:left w:val="nil"/>
              <w:bottom w:val="nil"/>
              <w:right w:val="nil"/>
            </w:tcBorders>
            <w:shd w:val="clear" w:color="auto" w:fill="auto"/>
            <w:noWrap/>
            <w:vAlign w:val="center"/>
            <w:hideMark/>
          </w:tcPr>
          <w:p w14:paraId="65FE787E" w14:textId="77777777" w:rsidR="00E70CD3" w:rsidRPr="00397F4D" w:rsidRDefault="00E70CD3" w:rsidP="007729E5">
            <w:pPr>
              <w:spacing w:after="0" w:line="240" w:lineRule="auto"/>
              <w:rPr>
                <w:rFonts w:ascii="Times New Roman" w:eastAsia="Times New Roman" w:hAnsi="Times New Roman" w:cs="Times New Roman"/>
                <w:sz w:val="20"/>
                <w:szCs w:val="20"/>
                <w:lang w:eastAsia="en-GB"/>
              </w:rPr>
            </w:pPr>
          </w:p>
        </w:tc>
        <w:tc>
          <w:tcPr>
            <w:tcW w:w="6866" w:type="dxa"/>
            <w:gridSpan w:val="10"/>
            <w:tcBorders>
              <w:top w:val="nil"/>
              <w:left w:val="nil"/>
              <w:bottom w:val="nil"/>
              <w:right w:val="nil"/>
            </w:tcBorders>
            <w:shd w:val="clear" w:color="auto" w:fill="auto"/>
            <w:noWrap/>
            <w:vAlign w:val="center"/>
            <w:hideMark/>
          </w:tcPr>
          <w:p w14:paraId="6E61673E" w14:textId="77777777" w:rsidR="00E70CD3" w:rsidRPr="00397F4D" w:rsidRDefault="00E70CD3" w:rsidP="00581924">
            <w:pPr>
              <w:spacing w:after="0" w:line="240" w:lineRule="auto"/>
              <w:jc w:val="center"/>
              <w:rPr>
                <w:rFonts w:ascii="Arial" w:eastAsia="Times New Roman" w:hAnsi="Arial" w:cs="Arial"/>
                <w:b/>
                <w:bCs/>
                <w:sz w:val="20"/>
                <w:szCs w:val="20"/>
                <w:lang w:eastAsia="en-GB"/>
              </w:rPr>
            </w:pPr>
            <w:r w:rsidRPr="00397F4D">
              <w:rPr>
                <w:rFonts w:ascii="Arial" w:eastAsia="Times New Roman" w:hAnsi="Arial" w:cs="Arial"/>
                <w:b/>
                <w:bCs/>
                <w:sz w:val="20"/>
                <w:szCs w:val="20"/>
                <w:lang w:eastAsia="en-GB"/>
              </w:rPr>
              <w:t>Movement in Funds</w:t>
            </w:r>
          </w:p>
        </w:tc>
      </w:tr>
      <w:tr w:rsidR="00E70CD3" w:rsidRPr="00397F4D" w14:paraId="7B750131" w14:textId="77777777" w:rsidTr="006647C2">
        <w:trPr>
          <w:gridAfter w:val="1"/>
          <w:wAfter w:w="637" w:type="dxa"/>
          <w:trHeight w:val="525"/>
        </w:trPr>
        <w:tc>
          <w:tcPr>
            <w:tcW w:w="2552" w:type="dxa"/>
            <w:tcBorders>
              <w:top w:val="nil"/>
              <w:left w:val="nil"/>
              <w:bottom w:val="nil"/>
              <w:right w:val="nil"/>
            </w:tcBorders>
            <w:shd w:val="clear" w:color="auto" w:fill="auto"/>
            <w:noWrap/>
            <w:vAlign w:val="center"/>
            <w:hideMark/>
          </w:tcPr>
          <w:p w14:paraId="2A2D7B80" w14:textId="77777777" w:rsidR="00E70CD3" w:rsidRPr="00397F4D" w:rsidRDefault="00E70CD3" w:rsidP="007729E5">
            <w:pPr>
              <w:spacing w:after="0" w:line="240" w:lineRule="auto"/>
              <w:rPr>
                <w:rFonts w:ascii="Arial" w:eastAsia="Times New Roman" w:hAnsi="Arial" w:cs="Arial"/>
                <w:b/>
                <w:bCs/>
                <w:sz w:val="20"/>
                <w:szCs w:val="20"/>
                <w:lang w:eastAsia="en-GB"/>
              </w:rPr>
            </w:pPr>
          </w:p>
        </w:tc>
        <w:tc>
          <w:tcPr>
            <w:tcW w:w="1701" w:type="dxa"/>
            <w:gridSpan w:val="2"/>
            <w:tcBorders>
              <w:top w:val="nil"/>
              <w:left w:val="nil"/>
              <w:bottom w:val="nil"/>
              <w:right w:val="nil"/>
            </w:tcBorders>
            <w:shd w:val="clear" w:color="auto" w:fill="auto"/>
            <w:vAlign w:val="center"/>
            <w:hideMark/>
          </w:tcPr>
          <w:p w14:paraId="2DE79ACB" w14:textId="77777777" w:rsidR="00E70CD3" w:rsidRPr="00397F4D" w:rsidRDefault="00E70CD3">
            <w:pPr>
              <w:spacing w:after="0" w:line="240" w:lineRule="auto"/>
              <w:jc w:val="right"/>
              <w:rPr>
                <w:rFonts w:ascii="Arial" w:eastAsia="Times New Roman" w:hAnsi="Arial" w:cs="Arial"/>
                <w:sz w:val="20"/>
                <w:szCs w:val="20"/>
                <w:lang w:eastAsia="en-GB"/>
              </w:rPr>
            </w:pPr>
            <w:r w:rsidRPr="00397F4D">
              <w:rPr>
                <w:rFonts w:ascii="Arial" w:eastAsia="Times New Roman" w:hAnsi="Arial" w:cs="Arial"/>
                <w:sz w:val="20"/>
                <w:szCs w:val="20"/>
                <w:lang w:eastAsia="en-GB"/>
              </w:rPr>
              <w:t xml:space="preserve">At 1 September </w:t>
            </w:r>
            <w:r w:rsidR="0037645F">
              <w:rPr>
                <w:rFonts w:ascii="Arial" w:eastAsia="Times New Roman" w:hAnsi="Arial" w:cs="Arial"/>
                <w:sz w:val="20"/>
                <w:szCs w:val="20"/>
                <w:lang w:eastAsia="en-GB"/>
              </w:rPr>
              <w:t>2019</w:t>
            </w:r>
          </w:p>
        </w:tc>
        <w:tc>
          <w:tcPr>
            <w:tcW w:w="1036" w:type="dxa"/>
            <w:gridSpan w:val="2"/>
            <w:tcBorders>
              <w:top w:val="nil"/>
              <w:left w:val="nil"/>
              <w:bottom w:val="nil"/>
              <w:right w:val="nil"/>
            </w:tcBorders>
            <w:shd w:val="clear" w:color="auto" w:fill="auto"/>
            <w:noWrap/>
            <w:vAlign w:val="center"/>
            <w:hideMark/>
          </w:tcPr>
          <w:p w14:paraId="292A278D" w14:textId="77777777" w:rsidR="00E70CD3" w:rsidRPr="00397F4D" w:rsidRDefault="00E70CD3">
            <w:pPr>
              <w:spacing w:after="0" w:line="240" w:lineRule="auto"/>
              <w:jc w:val="right"/>
              <w:rPr>
                <w:rFonts w:ascii="Arial" w:eastAsia="Times New Roman" w:hAnsi="Arial" w:cs="Arial"/>
                <w:sz w:val="20"/>
                <w:szCs w:val="20"/>
                <w:lang w:eastAsia="en-GB"/>
              </w:rPr>
            </w:pPr>
            <w:r w:rsidRPr="00397F4D">
              <w:rPr>
                <w:rFonts w:ascii="Arial" w:eastAsia="Times New Roman" w:hAnsi="Arial" w:cs="Arial"/>
                <w:sz w:val="20"/>
                <w:szCs w:val="20"/>
                <w:lang w:eastAsia="en-GB"/>
              </w:rPr>
              <w:t>Incoming</w:t>
            </w:r>
          </w:p>
        </w:tc>
        <w:tc>
          <w:tcPr>
            <w:tcW w:w="1196" w:type="dxa"/>
            <w:gridSpan w:val="2"/>
            <w:tcBorders>
              <w:top w:val="nil"/>
              <w:left w:val="nil"/>
              <w:bottom w:val="nil"/>
              <w:right w:val="nil"/>
            </w:tcBorders>
            <w:shd w:val="clear" w:color="auto" w:fill="auto"/>
            <w:noWrap/>
            <w:vAlign w:val="center"/>
            <w:hideMark/>
          </w:tcPr>
          <w:p w14:paraId="513C22D7" w14:textId="77777777" w:rsidR="00E70CD3" w:rsidRPr="00397F4D" w:rsidRDefault="00E70CD3" w:rsidP="005229F1">
            <w:pPr>
              <w:spacing w:after="0" w:line="240" w:lineRule="auto"/>
              <w:jc w:val="right"/>
              <w:rPr>
                <w:rFonts w:ascii="Arial" w:eastAsia="Times New Roman" w:hAnsi="Arial" w:cs="Arial"/>
                <w:sz w:val="20"/>
                <w:szCs w:val="20"/>
                <w:lang w:eastAsia="en-GB"/>
              </w:rPr>
            </w:pPr>
            <w:r w:rsidRPr="00397F4D">
              <w:rPr>
                <w:rFonts w:ascii="Arial" w:eastAsia="Times New Roman" w:hAnsi="Arial" w:cs="Arial"/>
                <w:sz w:val="20"/>
                <w:szCs w:val="20"/>
                <w:lang w:eastAsia="en-GB"/>
              </w:rPr>
              <w:t>(Outgoing)</w:t>
            </w:r>
          </w:p>
        </w:tc>
        <w:tc>
          <w:tcPr>
            <w:tcW w:w="1056" w:type="dxa"/>
            <w:gridSpan w:val="2"/>
            <w:tcBorders>
              <w:top w:val="nil"/>
              <w:left w:val="nil"/>
              <w:bottom w:val="nil"/>
              <w:right w:val="nil"/>
            </w:tcBorders>
            <w:shd w:val="clear" w:color="auto" w:fill="auto"/>
            <w:noWrap/>
            <w:vAlign w:val="center"/>
            <w:hideMark/>
          </w:tcPr>
          <w:p w14:paraId="0B116B0D" w14:textId="77777777" w:rsidR="00E70CD3" w:rsidRPr="00397F4D" w:rsidRDefault="00E70CD3" w:rsidP="005229F1">
            <w:pPr>
              <w:spacing w:after="0" w:line="240" w:lineRule="auto"/>
              <w:jc w:val="right"/>
              <w:rPr>
                <w:rFonts w:ascii="Arial" w:eastAsia="Times New Roman" w:hAnsi="Arial" w:cs="Arial"/>
                <w:sz w:val="20"/>
                <w:szCs w:val="20"/>
                <w:lang w:eastAsia="en-GB"/>
              </w:rPr>
            </w:pPr>
            <w:r w:rsidRPr="00397F4D">
              <w:rPr>
                <w:rFonts w:ascii="Arial" w:eastAsia="Times New Roman" w:hAnsi="Arial" w:cs="Arial"/>
                <w:sz w:val="20"/>
                <w:szCs w:val="20"/>
                <w:lang w:eastAsia="en-GB"/>
              </w:rPr>
              <w:t>Transfer</w:t>
            </w:r>
          </w:p>
        </w:tc>
        <w:tc>
          <w:tcPr>
            <w:tcW w:w="1556" w:type="dxa"/>
            <w:gridSpan w:val="2"/>
            <w:tcBorders>
              <w:top w:val="nil"/>
              <w:left w:val="nil"/>
              <w:bottom w:val="nil"/>
              <w:right w:val="nil"/>
            </w:tcBorders>
            <w:shd w:val="clear" w:color="auto" w:fill="auto"/>
            <w:vAlign w:val="center"/>
            <w:hideMark/>
          </w:tcPr>
          <w:p w14:paraId="36447624" w14:textId="77777777" w:rsidR="00E70CD3" w:rsidRPr="00397F4D" w:rsidRDefault="00E70CD3" w:rsidP="005229F1">
            <w:pPr>
              <w:spacing w:after="0" w:line="240" w:lineRule="auto"/>
              <w:jc w:val="right"/>
              <w:rPr>
                <w:rFonts w:ascii="Arial" w:eastAsia="Times New Roman" w:hAnsi="Arial" w:cs="Arial"/>
                <w:b/>
                <w:bCs/>
                <w:sz w:val="20"/>
                <w:szCs w:val="20"/>
                <w:lang w:eastAsia="en-GB"/>
              </w:rPr>
            </w:pPr>
            <w:r w:rsidRPr="00397F4D">
              <w:rPr>
                <w:rFonts w:ascii="Arial" w:eastAsia="Times New Roman" w:hAnsi="Arial" w:cs="Arial"/>
                <w:b/>
                <w:bCs/>
                <w:sz w:val="20"/>
                <w:szCs w:val="20"/>
                <w:lang w:eastAsia="en-GB"/>
              </w:rPr>
              <w:t xml:space="preserve">At 31 August </w:t>
            </w:r>
            <w:r w:rsidR="0037645F">
              <w:rPr>
                <w:rFonts w:ascii="Arial" w:eastAsia="Times New Roman" w:hAnsi="Arial" w:cs="Arial"/>
                <w:b/>
                <w:bCs/>
                <w:sz w:val="20"/>
                <w:szCs w:val="20"/>
                <w:lang w:eastAsia="en-GB"/>
              </w:rPr>
              <w:t>2020</w:t>
            </w:r>
          </w:p>
        </w:tc>
      </w:tr>
      <w:tr w:rsidR="00E70CD3" w:rsidRPr="00397F4D" w14:paraId="3A502423" w14:textId="77777777" w:rsidTr="006647C2">
        <w:trPr>
          <w:gridAfter w:val="1"/>
          <w:wAfter w:w="637" w:type="dxa"/>
          <w:trHeight w:val="323"/>
        </w:trPr>
        <w:tc>
          <w:tcPr>
            <w:tcW w:w="2552" w:type="dxa"/>
            <w:tcBorders>
              <w:top w:val="nil"/>
              <w:left w:val="nil"/>
              <w:bottom w:val="single" w:sz="4" w:space="0" w:color="auto"/>
              <w:right w:val="nil"/>
            </w:tcBorders>
            <w:shd w:val="clear" w:color="auto" w:fill="auto"/>
            <w:noWrap/>
            <w:vAlign w:val="center"/>
            <w:hideMark/>
          </w:tcPr>
          <w:p w14:paraId="52BBA4E5" w14:textId="77777777" w:rsidR="00E70CD3" w:rsidRPr="00397F4D" w:rsidRDefault="00E70CD3" w:rsidP="007729E5">
            <w:pPr>
              <w:spacing w:after="0" w:line="240" w:lineRule="auto"/>
              <w:rPr>
                <w:rFonts w:ascii="Arial" w:eastAsia="Times New Roman" w:hAnsi="Arial" w:cs="Arial"/>
                <w:b/>
                <w:bCs/>
                <w:sz w:val="20"/>
                <w:szCs w:val="20"/>
                <w:lang w:eastAsia="en-GB"/>
              </w:rPr>
            </w:pPr>
            <w:r w:rsidRPr="00397F4D">
              <w:rPr>
                <w:rFonts w:ascii="Arial" w:eastAsia="Times New Roman" w:hAnsi="Arial" w:cs="Arial"/>
                <w:b/>
                <w:bCs/>
                <w:sz w:val="20"/>
                <w:szCs w:val="20"/>
                <w:lang w:eastAsia="en-GB"/>
              </w:rPr>
              <w:t>Group</w:t>
            </w:r>
          </w:p>
        </w:tc>
        <w:tc>
          <w:tcPr>
            <w:tcW w:w="1701" w:type="dxa"/>
            <w:gridSpan w:val="2"/>
            <w:tcBorders>
              <w:top w:val="nil"/>
              <w:left w:val="nil"/>
              <w:bottom w:val="single" w:sz="4" w:space="0" w:color="auto"/>
              <w:right w:val="nil"/>
            </w:tcBorders>
            <w:shd w:val="clear" w:color="auto" w:fill="auto"/>
            <w:noWrap/>
            <w:vAlign w:val="center"/>
            <w:hideMark/>
          </w:tcPr>
          <w:p w14:paraId="03B1B4D8" w14:textId="77777777" w:rsidR="00E70CD3" w:rsidRPr="00397F4D" w:rsidRDefault="00E70CD3" w:rsidP="005229F1">
            <w:pPr>
              <w:spacing w:after="0" w:line="240" w:lineRule="auto"/>
              <w:jc w:val="right"/>
              <w:rPr>
                <w:rFonts w:ascii="Arial" w:eastAsia="Times New Roman" w:hAnsi="Arial" w:cs="Arial"/>
                <w:sz w:val="20"/>
                <w:szCs w:val="20"/>
                <w:lang w:eastAsia="en-GB"/>
              </w:rPr>
            </w:pPr>
            <w:r w:rsidRPr="00397F4D">
              <w:rPr>
                <w:rFonts w:ascii="Arial" w:eastAsia="Times New Roman" w:hAnsi="Arial" w:cs="Arial"/>
                <w:sz w:val="20"/>
                <w:szCs w:val="20"/>
                <w:lang w:eastAsia="en-GB"/>
              </w:rPr>
              <w:t>£'000</w:t>
            </w:r>
          </w:p>
        </w:tc>
        <w:tc>
          <w:tcPr>
            <w:tcW w:w="1036" w:type="dxa"/>
            <w:gridSpan w:val="2"/>
            <w:tcBorders>
              <w:top w:val="nil"/>
              <w:left w:val="nil"/>
              <w:bottom w:val="single" w:sz="4" w:space="0" w:color="auto"/>
              <w:right w:val="nil"/>
            </w:tcBorders>
            <w:shd w:val="clear" w:color="auto" w:fill="auto"/>
            <w:noWrap/>
            <w:vAlign w:val="center"/>
            <w:hideMark/>
          </w:tcPr>
          <w:p w14:paraId="5373792A" w14:textId="77777777" w:rsidR="00E70CD3" w:rsidRPr="00397F4D" w:rsidRDefault="00E70CD3" w:rsidP="005229F1">
            <w:pPr>
              <w:spacing w:after="0" w:line="240" w:lineRule="auto"/>
              <w:jc w:val="right"/>
              <w:rPr>
                <w:rFonts w:ascii="Arial" w:eastAsia="Times New Roman" w:hAnsi="Arial" w:cs="Arial"/>
                <w:sz w:val="20"/>
                <w:szCs w:val="20"/>
                <w:lang w:eastAsia="en-GB"/>
              </w:rPr>
            </w:pPr>
            <w:r w:rsidRPr="00397F4D">
              <w:rPr>
                <w:rFonts w:ascii="Arial" w:eastAsia="Times New Roman" w:hAnsi="Arial" w:cs="Arial"/>
                <w:sz w:val="20"/>
                <w:szCs w:val="20"/>
                <w:lang w:eastAsia="en-GB"/>
              </w:rPr>
              <w:t>£'000</w:t>
            </w:r>
          </w:p>
        </w:tc>
        <w:tc>
          <w:tcPr>
            <w:tcW w:w="1196" w:type="dxa"/>
            <w:gridSpan w:val="2"/>
            <w:tcBorders>
              <w:top w:val="nil"/>
              <w:left w:val="nil"/>
              <w:bottom w:val="single" w:sz="4" w:space="0" w:color="auto"/>
              <w:right w:val="nil"/>
            </w:tcBorders>
            <w:shd w:val="clear" w:color="auto" w:fill="auto"/>
            <w:noWrap/>
            <w:vAlign w:val="center"/>
            <w:hideMark/>
          </w:tcPr>
          <w:p w14:paraId="0FFC3107" w14:textId="77777777" w:rsidR="00E70CD3" w:rsidRPr="00397F4D" w:rsidRDefault="00E70CD3" w:rsidP="005229F1">
            <w:pPr>
              <w:spacing w:after="0" w:line="240" w:lineRule="auto"/>
              <w:jc w:val="right"/>
              <w:rPr>
                <w:rFonts w:ascii="Arial" w:eastAsia="Times New Roman" w:hAnsi="Arial" w:cs="Arial"/>
                <w:sz w:val="20"/>
                <w:szCs w:val="20"/>
                <w:lang w:eastAsia="en-GB"/>
              </w:rPr>
            </w:pPr>
            <w:r w:rsidRPr="00397F4D">
              <w:rPr>
                <w:rFonts w:ascii="Arial" w:eastAsia="Times New Roman" w:hAnsi="Arial" w:cs="Arial"/>
                <w:sz w:val="20"/>
                <w:szCs w:val="20"/>
                <w:lang w:eastAsia="en-GB"/>
              </w:rPr>
              <w:t>£'000</w:t>
            </w:r>
          </w:p>
        </w:tc>
        <w:tc>
          <w:tcPr>
            <w:tcW w:w="1056" w:type="dxa"/>
            <w:gridSpan w:val="2"/>
            <w:tcBorders>
              <w:top w:val="nil"/>
              <w:left w:val="nil"/>
              <w:bottom w:val="single" w:sz="4" w:space="0" w:color="auto"/>
              <w:right w:val="nil"/>
            </w:tcBorders>
            <w:shd w:val="clear" w:color="auto" w:fill="auto"/>
            <w:noWrap/>
            <w:vAlign w:val="center"/>
            <w:hideMark/>
          </w:tcPr>
          <w:p w14:paraId="58F19B2E" w14:textId="77777777" w:rsidR="00E70CD3" w:rsidRPr="00397F4D" w:rsidRDefault="00E70CD3" w:rsidP="005229F1">
            <w:pPr>
              <w:spacing w:after="0" w:line="240" w:lineRule="auto"/>
              <w:jc w:val="right"/>
              <w:rPr>
                <w:rFonts w:ascii="Arial" w:eastAsia="Times New Roman" w:hAnsi="Arial" w:cs="Arial"/>
                <w:sz w:val="20"/>
                <w:szCs w:val="20"/>
                <w:lang w:eastAsia="en-GB"/>
              </w:rPr>
            </w:pPr>
            <w:r w:rsidRPr="00397F4D">
              <w:rPr>
                <w:rFonts w:ascii="Arial" w:eastAsia="Times New Roman" w:hAnsi="Arial" w:cs="Arial"/>
                <w:sz w:val="20"/>
                <w:szCs w:val="20"/>
                <w:lang w:eastAsia="en-GB"/>
              </w:rPr>
              <w:t>£'000</w:t>
            </w:r>
          </w:p>
        </w:tc>
        <w:tc>
          <w:tcPr>
            <w:tcW w:w="1556" w:type="dxa"/>
            <w:gridSpan w:val="2"/>
            <w:tcBorders>
              <w:top w:val="nil"/>
              <w:left w:val="nil"/>
              <w:bottom w:val="single" w:sz="4" w:space="0" w:color="auto"/>
              <w:right w:val="nil"/>
            </w:tcBorders>
            <w:shd w:val="clear" w:color="auto" w:fill="auto"/>
            <w:noWrap/>
            <w:vAlign w:val="center"/>
            <w:hideMark/>
          </w:tcPr>
          <w:p w14:paraId="47DB120C" w14:textId="77777777" w:rsidR="00E70CD3" w:rsidRPr="00397F4D" w:rsidRDefault="00E70CD3" w:rsidP="005229F1">
            <w:pPr>
              <w:spacing w:after="0" w:line="240" w:lineRule="auto"/>
              <w:jc w:val="right"/>
              <w:rPr>
                <w:rFonts w:ascii="Arial" w:eastAsia="Times New Roman" w:hAnsi="Arial" w:cs="Arial"/>
                <w:b/>
                <w:bCs/>
                <w:sz w:val="20"/>
                <w:szCs w:val="20"/>
                <w:lang w:eastAsia="en-GB"/>
              </w:rPr>
            </w:pPr>
            <w:r w:rsidRPr="00397F4D">
              <w:rPr>
                <w:rFonts w:ascii="Arial" w:eastAsia="Times New Roman" w:hAnsi="Arial" w:cs="Arial"/>
                <w:b/>
                <w:bCs/>
                <w:sz w:val="20"/>
                <w:szCs w:val="20"/>
                <w:lang w:eastAsia="en-GB"/>
              </w:rPr>
              <w:t>£'000</w:t>
            </w:r>
          </w:p>
        </w:tc>
      </w:tr>
      <w:tr w:rsidR="00E70CD3" w:rsidRPr="00397F4D" w14:paraId="74546E2B" w14:textId="77777777" w:rsidTr="006647C2">
        <w:trPr>
          <w:gridAfter w:val="1"/>
          <w:wAfter w:w="637" w:type="dxa"/>
          <w:trHeight w:val="323"/>
        </w:trPr>
        <w:tc>
          <w:tcPr>
            <w:tcW w:w="2552" w:type="dxa"/>
            <w:tcBorders>
              <w:top w:val="nil"/>
              <w:left w:val="nil"/>
              <w:bottom w:val="nil"/>
              <w:right w:val="nil"/>
            </w:tcBorders>
            <w:shd w:val="clear" w:color="auto" w:fill="auto"/>
            <w:noWrap/>
            <w:vAlign w:val="center"/>
            <w:hideMark/>
          </w:tcPr>
          <w:p w14:paraId="2F871B06" w14:textId="77777777" w:rsidR="00E70CD3" w:rsidRPr="00397F4D" w:rsidRDefault="00E70CD3" w:rsidP="007729E5">
            <w:pPr>
              <w:spacing w:after="0" w:line="240" w:lineRule="auto"/>
              <w:rPr>
                <w:rFonts w:ascii="Arial" w:eastAsia="Times New Roman" w:hAnsi="Arial" w:cs="Arial"/>
                <w:sz w:val="20"/>
                <w:szCs w:val="20"/>
                <w:lang w:eastAsia="en-GB"/>
              </w:rPr>
            </w:pPr>
            <w:r w:rsidRPr="00397F4D">
              <w:rPr>
                <w:rFonts w:ascii="Arial" w:eastAsia="Times New Roman" w:hAnsi="Arial" w:cs="Arial"/>
                <w:sz w:val="20"/>
                <w:szCs w:val="20"/>
                <w:lang w:eastAsia="en-GB"/>
              </w:rPr>
              <w:t>Designated funds:</w:t>
            </w:r>
          </w:p>
        </w:tc>
        <w:tc>
          <w:tcPr>
            <w:tcW w:w="1701" w:type="dxa"/>
            <w:gridSpan w:val="2"/>
            <w:tcBorders>
              <w:top w:val="nil"/>
              <w:left w:val="nil"/>
              <w:bottom w:val="nil"/>
              <w:right w:val="nil"/>
            </w:tcBorders>
            <w:shd w:val="clear" w:color="auto" w:fill="auto"/>
            <w:noWrap/>
            <w:vAlign w:val="center"/>
            <w:hideMark/>
          </w:tcPr>
          <w:p w14:paraId="6D247385" w14:textId="77777777" w:rsidR="00E70CD3" w:rsidRPr="00397F4D" w:rsidRDefault="00E70CD3" w:rsidP="005229F1">
            <w:pPr>
              <w:spacing w:after="0" w:line="240" w:lineRule="auto"/>
              <w:jc w:val="right"/>
              <w:rPr>
                <w:rFonts w:ascii="Arial" w:eastAsia="Times New Roman" w:hAnsi="Arial" w:cs="Arial"/>
                <w:sz w:val="20"/>
                <w:szCs w:val="20"/>
                <w:lang w:eastAsia="en-GB"/>
              </w:rPr>
            </w:pPr>
          </w:p>
        </w:tc>
        <w:tc>
          <w:tcPr>
            <w:tcW w:w="1036" w:type="dxa"/>
            <w:gridSpan w:val="2"/>
            <w:tcBorders>
              <w:top w:val="nil"/>
              <w:left w:val="nil"/>
              <w:bottom w:val="nil"/>
              <w:right w:val="nil"/>
            </w:tcBorders>
            <w:shd w:val="clear" w:color="auto" w:fill="auto"/>
            <w:noWrap/>
            <w:vAlign w:val="center"/>
            <w:hideMark/>
          </w:tcPr>
          <w:p w14:paraId="2A7093F4" w14:textId="77777777" w:rsidR="00E70CD3" w:rsidRPr="00397F4D" w:rsidRDefault="00E70CD3" w:rsidP="005229F1">
            <w:pPr>
              <w:spacing w:after="0" w:line="240" w:lineRule="auto"/>
              <w:jc w:val="right"/>
              <w:rPr>
                <w:rFonts w:ascii="Times New Roman" w:eastAsia="Times New Roman" w:hAnsi="Times New Roman" w:cs="Times New Roman"/>
                <w:sz w:val="20"/>
                <w:szCs w:val="20"/>
                <w:lang w:eastAsia="en-GB"/>
              </w:rPr>
            </w:pPr>
          </w:p>
        </w:tc>
        <w:tc>
          <w:tcPr>
            <w:tcW w:w="1196" w:type="dxa"/>
            <w:gridSpan w:val="2"/>
            <w:tcBorders>
              <w:top w:val="nil"/>
              <w:left w:val="nil"/>
              <w:bottom w:val="nil"/>
              <w:right w:val="nil"/>
            </w:tcBorders>
            <w:shd w:val="clear" w:color="auto" w:fill="auto"/>
            <w:noWrap/>
            <w:vAlign w:val="center"/>
            <w:hideMark/>
          </w:tcPr>
          <w:p w14:paraId="3BE8BB00" w14:textId="77777777" w:rsidR="00E70CD3" w:rsidRPr="00397F4D" w:rsidRDefault="00E70CD3" w:rsidP="005229F1">
            <w:pPr>
              <w:spacing w:after="0" w:line="240" w:lineRule="auto"/>
              <w:jc w:val="right"/>
              <w:rPr>
                <w:rFonts w:ascii="Times New Roman" w:eastAsia="Times New Roman" w:hAnsi="Times New Roman" w:cs="Times New Roman"/>
                <w:sz w:val="20"/>
                <w:szCs w:val="20"/>
                <w:lang w:eastAsia="en-GB"/>
              </w:rPr>
            </w:pPr>
          </w:p>
        </w:tc>
        <w:tc>
          <w:tcPr>
            <w:tcW w:w="1056" w:type="dxa"/>
            <w:gridSpan w:val="2"/>
            <w:tcBorders>
              <w:top w:val="nil"/>
              <w:left w:val="nil"/>
              <w:bottom w:val="nil"/>
              <w:right w:val="nil"/>
            </w:tcBorders>
            <w:shd w:val="clear" w:color="auto" w:fill="auto"/>
            <w:noWrap/>
            <w:vAlign w:val="center"/>
            <w:hideMark/>
          </w:tcPr>
          <w:p w14:paraId="6A5AD427" w14:textId="77777777" w:rsidR="00E70CD3" w:rsidRPr="00397F4D" w:rsidRDefault="00E70CD3" w:rsidP="005229F1">
            <w:pPr>
              <w:spacing w:after="0" w:line="240" w:lineRule="auto"/>
              <w:jc w:val="right"/>
              <w:rPr>
                <w:rFonts w:ascii="Times New Roman" w:eastAsia="Times New Roman" w:hAnsi="Times New Roman" w:cs="Times New Roman"/>
                <w:sz w:val="20"/>
                <w:szCs w:val="20"/>
                <w:lang w:eastAsia="en-GB"/>
              </w:rPr>
            </w:pPr>
          </w:p>
        </w:tc>
        <w:tc>
          <w:tcPr>
            <w:tcW w:w="1556" w:type="dxa"/>
            <w:gridSpan w:val="2"/>
            <w:tcBorders>
              <w:top w:val="nil"/>
              <w:left w:val="nil"/>
              <w:bottom w:val="nil"/>
              <w:right w:val="nil"/>
            </w:tcBorders>
            <w:shd w:val="clear" w:color="auto" w:fill="auto"/>
            <w:noWrap/>
            <w:vAlign w:val="center"/>
            <w:hideMark/>
          </w:tcPr>
          <w:p w14:paraId="3989BE40" w14:textId="77777777" w:rsidR="00E70CD3" w:rsidRPr="00397F4D" w:rsidRDefault="00E70CD3" w:rsidP="005229F1">
            <w:pPr>
              <w:spacing w:after="0" w:line="240" w:lineRule="auto"/>
              <w:jc w:val="right"/>
              <w:rPr>
                <w:rFonts w:ascii="Times New Roman" w:eastAsia="Times New Roman" w:hAnsi="Times New Roman" w:cs="Times New Roman"/>
                <w:sz w:val="20"/>
                <w:szCs w:val="20"/>
                <w:lang w:eastAsia="en-GB"/>
              </w:rPr>
            </w:pPr>
          </w:p>
        </w:tc>
      </w:tr>
      <w:tr w:rsidR="0039438F" w:rsidRPr="00543D10" w14:paraId="143AEC5A" w14:textId="77777777" w:rsidTr="006647C2">
        <w:trPr>
          <w:gridAfter w:val="1"/>
          <w:wAfter w:w="637" w:type="dxa"/>
          <w:trHeight w:val="323"/>
        </w:trPr>
        <w:tc>
          <w:tcPr>
            <w:tcW w:w="2552" w:type="dxa"/>
            <w:tcBorders>
              <w:top w:val="nil"/>
              <w:left w:val="nil"/>
              <w:bottom w:val="single" w:sz="4" w:space="0" w:color="auto"/>
              <w:right w:val="nil"/>
            </w:tcBorders>
            <w:shd w:val="clear" w:color="auto" w:fill="auto"/>
            <w:noWrap/>
            <w:vAlign w:val="center"/>
            <w:hideMark/>
          </w:tcPr>
          <w:p w14:paraId="66136E6A" w14:textId="77777777" w:rsidR="0039438F" w:rsidRPr="00543D10" w:rsidRDefault="0039438F" w:rsidP="0039438F">
            <w:pPr>
              <w:spacing w:after="0" w:line="240" w:lineRule="auto"/>
              <w:rPr>
                <w:rFonts w:ascii="Arial" w:eastAsia="Times New Roman" w:hAnsi="Arial" w:cs="Arial"/>
                <w:sz w:val="20"/>
                <w:szCs w:val="20"/>
                <w:lang w:eastAsia="en-GB"/>
              </w:rPr>
            </w:pPr>
            <w:r w:rsidRPr="00543D10">
              <w:rPr>
                <w:rFonts w:ascii="Arial" w:eastAsia="Times New Roman" w:hAnsi="Arial" w:cs="Arial"/>
                <w:sz w:val="20"/>
                <w:szCs w:val="20"/>
                <w:lang w:eastAsia="en-GB"/>
              </w:rPr>
              <w:t>Fixed assets fund</w:t>
            </w:r>
          </w:p>
        </w:tc>
        <w:tc>
          <w:tcPr>
            <w:tcW w:w="1701" w:type="dxa"/>
            <w:gridSpan w:val="2"/>
            <w:tcBorders>
              <w:top w:val="nil"/>
              <w:left w:val="nil"/>
              <w:bottom w:val="single" w:sz="4" w:space="0" w:color="auto"/>
              <w:right w:val="nil"/>
            </w:tcBorders>
            <w:shd w:val="clear" w:color="auto" w:fill="auto"/>
            <w:noWrap/>
            <w:vAlign w:val="center"/>
            <w:hideMark/>
          </w:tcPr>
          <w:p w14:paraId="127FD006" w14:textId="77777777" w:rsidR="0039438F" w:rsidRPr="00175B62" w:rsidRDefault="0039438F" w:rsidP="0039438F">
            <w:pPr>
              <w:spacing w:after="0" w:line="240" w:lineRule="auto"/>
              <w:jc w:val="right"/>
              <w:rPr>
                <w:rFonts w:ascii="Arial" w:eastAsia="Times New Roman" w:hAnsi="Arial" w:cs="Arial"/>
                <w:sz w:val="20"/>
                <w:szCs w:val="20"/>
                <w:lang w:eastAsia="en-GB"/>
              </w:rPr>
            </w:pPr>
            <w:r w:rsidRPr="00175B62">
              <w:rPr>
                <w:rFonts w:ascii="Arial" w:eastAsia="Times New Roman" w:hAnsi="Arial" w:cs="Arial"/>
                <w:bCs/>
                <w:sz w:val="20"/>
                <w:szCs w:val="20"/>
                <w:lang w:eastAsia="en-GB"/>
              </w:rPr>
              <w:t>1,7</w:t>
            </w:r>
            <w:r w:rsidR="00E4576C" w:rsidRPr="00175B62">
              <w:rPr>
                <w:rFonts w:ascii="Arial" w:eastAsia="Times New Roman" w:hAnsi="Arial" w:cs="Arial"/>
                <w:bCs/>
                <w:sz w:val="20"/>
                <w:szCs w:val="20"/>
                <w:lang w:eastAsia="en-GB"/>
              </w:rPr>
              <w:t>3</w:t>
            </w:r>
            <w:r w:rsidRPr="00175B62">
              <w:rPr>
                <w:rFonts w:ascii="Arial" w:eastAsia="Times New Roman" w:hAnsi="Arial" w:cs="Arial"/>
                <w:bCs/>
                <w:sz w:val="20"/>
                <w:szCs w:val="20"/>
                <w:lang w:eastAsia="en-GB"/>
              </w:rPr>
              <w:t>3</w:t>
            </w:r>
          </w:p>
        </w:tc>
        <w:tc>
          <w:tcPr>
            <w:tcW w:w="1036" w:type="dxa"/>
            <w:gridSpan w:val="2"/>
            <w:tcBorders>
              <w:top w:val="nil"/>
              <w:left w:val="nil"/>
              <w:bottom w:val="single" w:sz="4" w:space="0" w:color="auto"/>
              <w:right w:val="nil"/>
            </w:tcBorders>
            <w:shd w:val="clear" w:color="auto" w:fill="auto"/>
            <w:noWrap/>
            <w:vAlign w:val="center"/>
          </w:tcPr>
          <w:p w14:paraId="4C5C1ECA" w14:textId="77777777" w:rsidR="0039438F" w:rsidRPr="00175B62" w:rsidRDefault="0023225B" w:rsidP="0039438F">
            <w:pPr>
              <w:spacing w:after="0" w:line="240" w:lineRule="auto"/>
              <w:jc w:val="right"/>
              <w:rPr>
                <w:rFonts w:ascii="Arial" w:eastAsia="Times New Roman" w:hAnsi="Arial" w:cs="Arial"/>
                <w:sz w:val="20"/>
                <w:szCs w:val="20"/>
                <w:lang w:eastAsia="en-GB"/>
              </w:rPr>
            </w:pPr>
            <w:r w:rsidRPr="00175B62">
              <w:rPr>
                <w:rFonts w:ascii="Arial" w:eastAsia="Times New Roman" w:hAnsi="Arial" w:cs="Arial"/>
                <w:sz w:val="20"/>
                <w:szCs w:val="20"/>
                <w:lang w:eastAsia="en-GB"/>
              </w:rPr>
              <w:t>104</w:t>
            </w:r>
          </w:p>
        </w:tc>
        <w:tc>
          <w:tcPr>
            <w:tcW w:w="1196" w:type="dxa"/>
            <w:gridSpan w:val="2"/>
            <w:tcBorders>
              <w:top w:val="nil"/>
              <w:left w:val="nil"/>
              <w:bottom w:val="single" w:sz="4" w:space="0" w:color="auto"/>
              <w:right w:val="nil"/>
            </w:tcBorders>
            <w:shd w:val="clear" w:color="auto" w:fill="auto"/>
            <w:noWrap/>
            <w:vAlign w:val="center"/>
          </w:tcPr>
          <w:p w14:paraId="05161676" w14:textId="77777777" w:rsidR="0039438F" w:rsidRPr="00175B62" w:rsidRDefault="0029377B" w:rsidP="0039438F">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(326</w:t>
            </w:r>
            <w:r w:rsidR="0023225B" w:rsidRPr="00175B62">
              <w:rPr>
                <w:rFonts w:ascii="Arial" w:eastAsia="Times New Roman" w:hAnsi="Arial" w:cs="Arial"/>
                <w:sz w:val="20"/>
                <w:szCs w:val="20"/>
                <w:lang w:eastAsia="en-GB"/>
              </w:rPr>
              <w:t>)</w:t>
            </w:r>
          </w:p>
        </w:tc>
        <w:tc>
          <w:tcPr>
            <w:tcW w:w="1056" w:type="dxa"/>
            <w:gridSpan w:val="2"/>
            <w:tcBorders>
              <w:top w:val="nil"/>
              <w:left w:val="nil"/>
              <w:bottom w:val="single" w:sz="4" w:space="0" w:color="auto"/>
              <w:right w:val="nil"/>
            </w:tcBorders>
            <w:shd w:val="clear" w:color="auto" w:fill="auto"/>
            <w:noWrap/>
            <w:vAlign w:val="center"/>
          </w:tcPr>
          <w:p w14:paraId="3B684FA2" w14:textId="77777777" w:rsidR="0039438F" w:rsidRPr="00175B62" w:rsidRDefault="0023225B" w:rsidP="0039438F">
            <w:pPr>
              <w:spacing w:after="0" w:line="240" w:lineRule="auto"/>
              <w:jc w:val="right"/>
              <w:rPr>
                <w:rFonts w:ascii="Arial" w:eastAsia="Times New Roman" w:hAnsi="Arial" w:cs="Arial"/>
                <w:sz w:val="20"/>
                <w:szCs w:val="20"/>
                <w:lang w:eastAsia="en-GB"/>
              </w:rPr>
            </w:pPr>
            <w:r w:rsidRPr="00175B62">
              <w:rPr>
                <w:rFonts w:ascii="Arial" w:eastAsia="Times New Roman" w:hAnsi="Arial" w:cs="Arial"/>
                <w:sz w:val="20"/>
                <w:szCs w:val="20"/>
                <w:lang w:eastAsia="en-GB"/>
              </w:rPr>
              <w:t>-</w:t>
            </w:r>
          </w:p>
        </w:tc>
        <w:tc>
          <w:tcPr>
            <w:tcW w:w="1556" w:type="dxa"/>
            <w:gridSpan w:val="2"/>
            <w:tcBorders>
              <w:top w:val="nil"/>
              <w:left w:val="nil"/>
              <w:bottom w:val="single" w:sz="4" w:space="0" w:color="auto"/>
              <w:right w:val="nil"/>
            </w:tcBorders>
            <w:shd w:val="clear" w:color="auto" w:fill="auto"/>
            <w:noWrap/>
            <w:vAlign w:val="center"/>
          </w:tcPr>
          <w:p w14:paraId="2BC3DE7B" w14:textId="77777777" w:rsidR="0039438F" w:rsidRPr="00175B62" w:rsidRDefault="0029377B" w:rsidP="0039438F">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1,511</w:t>
            </w:r>
          </w:p>
        </w:tc>
      </w:tr>
      <w:tr w:rsidR="0039438F" w:rsidRPr="00543D10" w14:paraId="6A9A81A0" w14:textId="77777777" w:rsidTr="006647C2">
        <w:trPr>
          <w:gridAfter w:val="1"/>
          <w:wAfter w:w="637" w:type="dxa"/>
          <w:trHeight w:val="323"/>
        </w:trPr>
        <w:tc>
          <w:tcPr>
            <w:tcW w:w="2552" w:type="dxa"/>
            <w:tcBorders>
              <w:top w:val="nil"/>
              <w:left w:val="nil"/>
              <w:bottom w:val="nil"/>
              <w:right w:val="nil"/>
            </w:tcBorders>
            <w:shd w:val="clear" w:color="auto" w:fill="auto"/>
            <w:noWrap/>
            <w:vAlign w:val="center"/>
            <w:hideMark/>
          </w:tcPr>
          <w:p w14:paraId="338A001A" w14:textId="77777777" w:rsidR="0039438F" w:rsidRPr="00543D10" w:rsidRDefault="0039438F" w:rsidP="0039438F">
            <w:pPr>
              <w:spacing w:after="0" w:line="240" w:lineRule="auto"/>
              <w:rPr>
                <w:rFonts w:ascii="Arial" w:eastAsia="Times New Roman" w:hAnsi="Arial" w:cs="Arial"/>
                <w:sz w:val="20"/>
                <w:szCs w:val="20"/>
                <w:lang w:eastAsia="en-GB"/>
              </w:rPr>
            </w:pPr>
            <w:r w:rsidRPr="00543D10">
              <w:rPr>
                <w:rFonts w:ascii="Arial" w:eastAsia="Times New Roman" w:hAnsi="Arial" w:cs="Arial"/>
                <w:sz w:val="20"/>
                <w:szCs w:val="20"/>
                <w:lang w:eastAsia="en-GB"/>
              </w:rPr>
              <w:t>Total designated funds</w:t>
            </w:r>
          </w:p>
        </w:tc>
        <w:tc>
          <w:tcPr>
            <w:tcW w:w="1701" w:type="dxa"/>
            <w:gridSpan w:val="2"/>
            <w:tcBorders>
              <w:top w:val="nil"/>
              <w:left w:val="nil"/>
              <w:bottom w:val="nil"/>
              <w:right w:val="nil"/>
            </w:tcBorders>
            <w:shd w:val="clear" w:color="auto" w:fill="auto"/>
            <w:noWrap/>
            <w:vAlign w:val="center"/>
            <w:hideMark/>
          </w:tcPr>
          <w:p w14:paraId="5032C341" w14:textId="77777777" w:rsidR="0039438F" w:rsidRPr="00175B62" w:rsidRDefault="0039438F" w:rsidP="0039438F">
            <w:pPr>
              <w:spacing w:after="0" w:line="240" w:lineRule="auto"/>
              <w:jc w:val="right"/>
              <w:rPr>
                <w:rFonts w:ascii="Arial" w:eastAsia="Times New Roman" w:hAnsi="Arial" w:cs="Arial"/>
                <w:sz w:val="20"/>
                <w:szCs w:val="20"/>
                <w:lang w:eastAsia="en-GB"/>
              </w:rPr>
            </w:pPr>
            <w:r w:rsidRPr="00175B62">
              <w:rPr>
                <w:rFonts w:ascii="Arial" w:eastAsia="Times New Roman" w:hAnsi="Arial" w:cs="Arial"/>
                <w:bCs/>
                <w:sz w:val="20"/>
                <w:szCs w:val="20"/>
                <w:lang w:eastAsia="en-GB"/>
              </w:rPr>
              <w:t>1,7</w:t>
            </w:r>
            <w:r w:rsidR="00E4576C" w:rsidRPr="00175B62">
              <w:rPr>
                <w:rFonts w:ascii="Arial" w:eastAsia="Times New Roman" w:hAnsi="Arial" w:cs="Arial"/>
                <w:bCs/>
                <w:sz w:val="20"/>
                <w:szCs w:val="20"/>
                <w:lang w:eastAsia="en-GB"/>
              </w:rPr>
              <w:t>3</w:t>
            </w:r>
            <w:r w:rsidRPr="00175B62">
              <w:rPr>
                <w:rFonts w:ascii="Arial" w:eastAsia="Times New Roman" w:hAnsi="Arial" w:cs="Arial"/>
                <w:bCs/>
                <w:sz w:val="20"/>
                <w:szCs w:val="20"/>
                <w:lang w:eastAsia="en-GB"/>
              </w:rPr>
              <w:t>3</w:t>
            </w:r>
          </w:p>
        </w:tc>
        <w:tc>
          <w:tcPr>
            <w:tcW w:w="1036" w:type="dxa"/>
            <w:gridSpan w:val="2"/>
            <w:tcBorders>
              <w:top w:val="nil"/>
              <w:left w:val="nil"/>
              <w:bottom w:val="nil"/>
              <w:right w:val="nil"/>
            </w:tcBorders>
            <w:shd w:val="clear" w:color="auto" w:fill="auto"/>
            <w:noWrap/>
            <w:vAlign w:val="center"/>
          </w:tcPr>
          <w:p w14:paraId="46797E56" w14:textId="77777777" w:rsidR="0039438F" w:rsidRPr="00175B62" w:rsidRDefault="0023225B" w:rsidP="0039438F">
            <w:pPr>
              <w:spacing w:after="0" w:line="240" w:lineRule="auto"/>
              <w:jc w:val="right"/>
              <w:rPr>
                <w:rFonts w:ascii="Arial" w:eastAsia="Times New Roman" w:hAnsi="Arial" w:cs="Arial"/>
                <w:sz w:val="20"/>
                <w:szCs w:val="20"/>
                <w:lang w:eastAsia="en-GB"/>
              </w:rPr>
            </w:pPr>
            <w:r w:rsidRPr="00175B62">
              <w:rPr>
                <w:rFonts w:ascii="Arial" w:eastAsia="Times New Roman" w:hAnsi="Arial" w:cs="Arial"/>
                <w:sz w:val="20"/>
                <w:szCs w:val="20"/>
                <w:lang w:eastAsia="en-GB"/>
              </w:rPr>
              <w:t>104</w:t>
            </w:r>
          </w:p>
        </w:tc>
        <w:tc>
          <w:tcPr>
            <w:tcW w:w="1196" w:type="dxa"/>
            <w:gridSpan w:val="2"/>
            <w:tcBorders>
              <w:top w:val="nil"/>
              <w:left w:val="nil"/>
              <w:bottom w:val="nil"/>
              <w:right w:val="nil"/>
            </w:tcBorders>
            <w:shd w:val="clear" w:color="auto" w:fill="auto"/>
            <w:noWrap/>
            <w:vAlign w:val="center"/>
          </w:tcPr>
          <w:p w14:paraId="3DF08E65" w14:textId="77777777" w:rsidR="0039438F" w:rsidRPr="00175B62" w:rsidRDefault="0029377B" w:rsidP="0039438F">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(326</w:t>
            </w:r>
            <w:r w:rsidR="0023225B" w:rsidRPr="00175B62">
              <w:rPr>
                <w:rFonts w:ascii="Arial" w:eastAsia="Times New Roman" w:hAnsi="Arial" w:cs="Arial"/>
                <w:sz w:val="20"/>
                <w:szCs w:val="20"/>
                <w:lang w:eastAsia="en-GB"/>
              </w:rPr>
              <w:t>)</w:t>
            </w:r>
          </w:p>
        </w:tc>
        <w:tc>
          <w:tcPr>
            <w:tcW w:w="1056" w:type="dxa"/>
            <w:gridSpan w:val="2"/>
            <w:tcBorders>
              <w:top w:val="nil"/>
              <w:left w:val="nil"/>
              <w:bottom w:val="nil"/>
              <w:right w:val="nil"/>
            </w:tcBorders>
            <w:shd w:val="clear" w:color="auto" w:fill="auto"/>
            <w:noWrap/>
            <w:vAlign w:val="center"/>
          </w:tcPr>
          <w:p w14:paraId="50939AC6" w14:textId="77777777" w:rsidR="0039438F" w:rsidRPr="00175B62" w:rsidRDefault="0023225B" w:rsidP="0039438F">
            <w:pPr>
              <w:spacing w:after="0" w:line="240" w:lineRule="auto"/>
              <w:jc w:val="right"/>
              <w:rPr>
                <w:rFonts w:ascii="Arial" w:eastAsia="Times New Roman" w:hAnsi="Arial" w:cs="Arial"/>
                <w:sz w:val="20"/>
                <w:szCs w:val="20"/>
                <w:lang w:eastAsia="en-GB"/>
              </w:rPr>
            </w:pPr>
            <w:r w:rsidRPr="00175B62">
              <w:rPr>
                <w:rFonts w:ascii="Arial" w:eastAsia="Times New Roman" w:hAnsi="Arial" w:cs="Arial"/>
                <w:sz w:val="20"/>
                <w:szCs w:val="20"/>
                <w:lang w:eastAsia="en-GB"/>
              </w:rPr>
              <w:t>-</w:t>
            </w:r>
          </w:p>
        </w:tc>
        <w:tc>
          <w:tcPr>
            <w:tcW w:w="1556" w:type="dxa"/>
            <w:gridSpan w:val="2"/>
            <w:tcBorders>
              <w:top w:val="nil"/>
              <w:left w:val="nil"/>
              <w:bottom w:val="nil"/>
              <w:right w:val="nil"/>
            </w:tcBorders>
            <w:shd w:val="clear" w:color="auto" w:fill="auto"/>
            <w:noWrap/>
            <w:vAlign w:val="center"/>
          </w:tcPr>
          <w:p w14:paraId="49A56EDA" w14:textId="77777777" w:rsidR="0039438F" w:rsidRPr="00175B62" w:rsidRDefault="0029377B" w:rsidP="0039438F">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1,511</w:t>
            </w:r>
          </w:p>
        </w:tc>
      </w:tr>
      <w:tr w:rsidR="0039438F" w:rsidRPr="00543D10" w14:paraId="07777D62" w14:textId="77777777" w:rsidTr="006647C2">
        <w:trPr>
          <w:gridAfter w:val="1"/>
          <w:wAfter w:w="637" w:type="dxa"/>
          <w:trHeight w:val="323"/>
        </w:trPr>
        <w:tc>
          <w:tcPr>
            <w:tcW w:w="2552" w:type="dxa"/>
            <w:tcBorders>
              <w:top w:val="nil"/>
              <w:left w:val="nil"/>
              <w:bottom w:val="single" w:sz="4" w:space="0" w:color="auto"/>
              <w:right w:val="nil"/>
            </w:tcBorders>
            <w:shd w:val="clear" w:color="auto" w:fill="auto"/>
            <w:noWrap/>
            <w:vAlign w:val="center"/>
            <w:hideMark/>
          </w:tcPr>
          <w:p w14:paraId="446BCE90" w14:textId="77777777" w:rsidR="0039438F" w:rsidRPr="00543D10" w:rsidRDefault="0039438F" w:rsidP="0039438F">
            <w:pPr>
              <w:spacing w:after="0" w:line="240" w:lineRule="auto"/>
              <w:rPr>
                <w:rFonts w:ascii="Arial" w:eastAsia="Times New Roman" w:hAnsi="Arial" w:cs="Arial"/>
                <w:sz w:val="20"/>
                <w:szCs w:val="20"/>
                <w:lang w:eastAsia="en-GB"/>
              </w:rPr>
            </w:pPr>
            <w:r w:rsidRPr="00543D10">
              <w:rPr>
                <w:rFonts w:ascii="Arial" w:eastAsia="Times New Roman" w:hAnsi="Arial" w:cs="Arial"/>
                <w:sz w:val="20"/>
                <w:szCs w:val="20"/>
                <w:lang w:eastAsia="en-GB"/>
              </w:rPr>
              <w:t>General funds</w:t>
            </w:r>
          </w:p>
        </w:tc>
        <w:tc>
          <w:tcPr>
            <w:tcW w:w="1701" w:type="dxa"/>
            <w:gridSpan w:val="2"/>
            <w:tcBorders>
              <w:top w:val="nil"/>
              <w:left w:val="nil"/>
              <w:bottom w:val="single" w:sz="4" w:space="0" w:color="auto"/>
              <w:right w:val="nil"/>
            </w:tcBorders>
            <w:shd w:val="clear" w:color="auto" w:fill="auto"/>
            <w:noWrap/>
            <w:vAlign w:val="center"/>
            <w:hideMark/>
          </w:tcPr>
          <w:p w14:paraId="76E03251" w14:textId="77777777" w:rsidR="0039438F" w:rsidRPr="00175B62" w:rsidRDefault="0039438F" w:rsidP="0069798A">
            <w:pPr>
              <w:spacing w:after="0" w:line="240" w:lineRule="auto"/>
              <w:jc w:val="right"/>
              <w:rPr>
                <w:rFonts w:ascii="Arial" w:eastAsia="Times New Roman" w:hAnsi="Arial" w:cs="Arial"/>
                <w:sz w:val="20"/>
                <w:szCs w:val="20"/>
                <w:lang w:eastAsia="en-GB"/>
              </w:rPr>
            </w:pPr>
            <w:r w:rsidRPr="00175B62">
              <w:rPr>
                <w:rFonts w:ascii="Arial" w:eastAsia="Times New Roman" w:hAnsi="Arial" w:cs="Arial"/>
                <w:bCs/>
                <w:sz w:val="20"/>
                <w:szCs w:val="20"/>
                <w:lang w:eastAsia="en-GB"/>
              </w:rPr>
              <w:t>35,4</w:t>
            </w:r>
            <w:r w:rsidR="00E4576C" w:rsidRPr="00175B62">
              <w:rPr>
                <w:rFonts w:ascii="Arial" w:eastAsia="Times New Roman" w:hAnsi="Arial" w:cs="Arial"/>
                <w:bCs/>
                <w:sz w:val="20"/>
                <w:szCs w:val="20"/>
                <w:lang w:eastAsia="en-GB"/>
              </w:rPr>
              <w:t>30</w:t>
            </w:r>
          </w:p>
        </w:tc>
        <w:tc>
          <w:tcPr>
            <w:tcW w:w="1036" w:type="dxa"/>
            <w:gridSpan w:val="2"/>
            <w:tcBorders>
              <w:top w:val="nil"/>
              <w:left w:val="nil"/>
              <w:bottom w:val="single" w:sz="4" w:space="0" w:color="auto"/>
              <w:right w:val="nil"/>
            </w:tcBorders>
            <w:shd w:val="clear" w:color="auto" w:fill="auto"/>
            <w:noWrap/>
            <w:vAlign w:val="center"/>
          </w:tcPr>
          <w:p w14:paraId="11F73C9F" w14:textId="77777777" w:rsidR="0039438F" w:rsidRPr="00175B62" w:rsidRDefault="00304D34" w:rsidP="0039438F">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119,720</w:t>
            </w:r>
          </w:p>
        </w:tc>
        <w:tc>
          <w:tcPr>
            <w:tcW w:w="1196" w:type="dxa"/>
            <w:gridSpan w:val="2"/>
            <w:tcBorders>
              <w:top w:val="nil"/>
              <w:left w:val="nil"/>
              <w:bottom w:val="single" w:sz="4" w:space="0" w:color="auto"/>
              <w:right w:val="nil"/>
            </w:tcBorders>
            <w:shd w:val="clear" w:color="auto" w:fill="auto"/>
            <w:noWrap/>
            <w:vAlign w:val="center"/>
          </w:tcPr>
          <w:p w14:paraId="54DD6884" w14:textId="77777777" w:rsidR="0039438F" w:rsidRPr="00175B62" w:rsidRDefault="004D433E" w:rsidP="0039438F">
            <w:pPr>
              <w:spacing w:after="0" w:line="240" w:lineRule="auto"/>
              <w:jc w:val="right"/>
              <w:rPr>
                <w:rFonts w:ascii="Arial" w:eastAsia="Times New Roman" w:hAnsi="Arial" w:cs="Arial"/>
                <w:sz w:val="20"/>
                <w:szCs w:val="20"/>
                <w:lang w:eastAsia="en-GB"/>
              </w:rPr>
            </w:pPr>
            <w:r w:rsidRPr="00175B62">
              <w:rPr>
                <w:rFonts w:ascii="Arial" w:eastAsia="Times New Roman" w:hAnsi="Arial" w:cs="Arial"/>
                <w:sz w:val="20"/>
                <w:szCs w:val="20"/>
                <w:lang w:eastAsia="en-GB"/>
              </w:rPr>
              <w:t>(1</w:t>
            </w:r>
            <w:r w:rsidR="007418B9">
              <w:rPr>
                <w:rFonts w:ascii="Arial" w:eastAsia="Times New Roman" w:hAnsi="Arial" w:cs="Arial"/>
                <w:sz w:val="20"/>
                <w:szCs w:val="20"/>
                <w:lang w:eastAsia="en-GB"/>
              </w:rPr>
              <w:t>3</w:t>
            </w:r>
            <w:r w:rsidR="00304D34">
              <w:rPr>
                <w:rFonts w:ascii="Arial" w:eastAsia="Times New Roman" w:hAnsi="Arial" w:cs="Arial"/>
                <w:sz w:val="20"/>
                <w:szCs w:val="20"/>
                <w:lang w:eastAsia="en-GB"/>
              </w:rPr>
              <w:t>1,241</w:t>
            </w:r>
            <w:r w:rsidR="0023225B" w:rsidRPr="00175B62">
              <w:rPr>
                <w:rFonts w:ascii="Arial" w:eastAsia="Times New Roman" w:hAnsi="Arial" w:cs="Arial"/>
                <w:sz w:val="20"/>
                <w:szCs w:val="20"/>
                <w:lang w:eastAsia="en-GB"/>
              </w:rPr>
              <w:t>)</w:t>
            </w:r>
          </w:p>
        </w:tc>
        <w:tc>
          <w:tcPr>
            <w:tcW w:w="1056" w:type="dxa"/>
            <w:gridSpan w:val="2"/>
            <w:tcBorders>
              <w:top w:val="nil"/>
              <w:left w:val="nil"/>
              <w:bottom w:val="single" w:sz="4" w:space="0" w:color="auto"/>
              <w:right w:val="nil"/>
            </w:tcBorders>
            <w:shd w:val="clear" w:color="auto" w:fill="auto"/>
            <w:noWrap/>
            <w:vAlign w:val="center"/>
          </w:tcPr>
          <w:p w14:paraId="4CFF781A" w14:textId="77777777" w:rsidR="0039438F" w:rsidRPr="00175B62" w:rsidRDefault="00F87602" w:rsidP="0039438F">
            <w:pPr>
              <w:spacing w:after="0" w:line="240" w:lineRule="auto"/>
              <w:jc w:val="right"/>
              <w:rPr>
                <w:rFonts w:ascii="Arial" w:eastAsia="Times New Roman" w:hAnsi="Arial" w:cs="Arial"/>
                <w:sz w:val="20"/>
                <w:szCs w:val="20"/>
                <w:lang w:eastAsia="en-GB"/>
              </w:rPr>
            </w:pPr>
            <w:r w:rsidRPr="00175B62">
              <w:rPr>
                <w:rFonts w:ascii="Arial" w:eastAsia="Times New Roman" w:hAnsi="Arial" w:cs="Arial"/>
                <w:sz w:val="20"/>
                <w:szCs w:val="20"/>
                <w:lang w:eastAsia="en-GB"/>
              </w:rPr>
              <w:t>(35</w:t>
            </w:r>
            <w:r w:rsidR="0023225B" w:rsidRPr="00175B62">
              <w:rPr>
                <w:rFonts w:ascii="Arial" w:eastAsia="Times New Roman" w:hAnsi="Arial" w:cs="Arial"/>
                <w:sz w:val="20"/>
                <w:szCs w:val="20"/>
                <w:lang w:eastAsia="en-GB"/>
              </w:rPr>
              <w:t>3)</w:t>
            </w:r>
          </w:p>
        </w:tc>
        <w:tc>
          <w:tcPr>
            <w:tcW w:w="1556" w:type="dxa"/>
            <w:gridSpan w:val="2"/>
            <w:tcBorders>
              <w:top w:val="nil"/>
              <w:left w:val="nil"/>
              <w:bottom w:val="single" w:sz="4" w:space="0" w:color="auto"/>
              <w:right w:val="nil"/>
            </w:tcBorders>
            <w:shd w:val="clear" w:color="auto" w:fill="auto"/>
            <w:noWrap/>
            <w:vAlign w:val="center"/>
          </w:tcPr>
          <w:p w14:paraId="7FAF69B7" w14:textId="77777777" w:rsidR="0039438F" w:rsidRPr="00175B62" w:rsidRDefault="00F87602" w:rsidP="0039438F">
            <w:pPr>
              <w:spacing w:after="0" w:line="240" w:lineRule="auto"/>
              <w:jc w:val="right"/>
              <w:rPr>
                <w:rFonts w:ascii="Arial" w:eastAsia="Times New Roman" w:hAnsi="Arial" w:cs="Arial"/>
                <w:b/>
                <w:bCs/>
                <w:sz w:val="20"/>
                <w:szCs w:val="20"/>
                <w:lang w:eastAsia="en-GB"/>
              </w:rPr>
            </w:pPr>
            <w:r w:rsidRPr="00175B62">
              <w:rPr>
                <w:rFonts w:ascii="Arial" w:eastAsia="Times New Roman" w:hAnsi="Arial" w:cs="Arial"/>
                <w:b/>
                <w:bCs/>
                <w:sz w:val="20"/>
                <w:szCs w:val="20"/>
                <w:lang w:eastAsia="en-GB"/>
              </w:rPr>
              <w:t>2</w:t>
            </w:r>
            <w:r w:rsidR="00304D34">
              <w:rPr>
                <w:rFonts w:ascii="Arial" w:eastAsia="Times New Roman" w:hAnsi="Arial" w:cs="Arial"/>
                <w:b/>
                <w:bCs/>
                <w:sz w:val="20"/>
                <w:szCs w:val="20"/>
                <w:lang w:eastAsia="en-GB"/>
              </w:rPr>
              <w:t>3,556</w:t>
            </w:r>
          </w:p>
        </w:tc>
      </w:tr>
      <w:tr w:rsidR="0039438F" w:rsidRPr="00543D10" w14:paraId="0FA8C846" w14:textId="77777777" w:rsidTr="006647C2">
        <w:trPr>
          <w:gridAfter w:val="1"/>
          <w:wAfter w:w="637" w:type="dxa"/>
          <w:trHeight w:val="840"/>
        </w:trPr>
        <w:tc>
          <w:tcPr>
            <w:tcW w:w="2552" w:type="dxa"/>
            <w:tcBorders>
              <w:top w:val="nil"/>
              <w:left w:val="nil"/>
              <w:bottom w:val="nil"/>
              <w:right w:val="nil"/>
            </w:tcBorders>
            <w:shd w:val="clear" w:color="auto" w:fill="auto"/>
            <w:vAlign w:val="center"/>
            <w:hideMark/>
          </w:tcPr>
          <w:p w14:paraId="0E11BB4C" w14:textId="77777777" w:rsidR="0039438F" w:rsidRPr="00543D10" w:rsidRDefault="0039438F" w:rsidP="0039438F">
            <w:pPr>
              <w:spacing w:after="0" w:line="240" w:lineRule="auto"/>
              <w:rPr>
                <w:rFonts w:ascii="Arial" w:eastAsia="Times New Roman" w:hAnsi="Arial" w:cs="Arial"/>
                <w:sz w:val="20"/>
                <w:szCs w:val="20"/>
                <w:lang w:eastAsia="en-GB"/>
              </w:rPr>
            </w:pPr>
          </w:p>
          <w:p w14:paraId="594B09E8" w14:textId="77777777" w:rsidR="0039438F" w:rsidRPr="00543D10" w:rsidRDefault="0039438F" w:rsidP="0039438F">
            <w:pPr>
              <w:spacing w:after="0" w:line="240" w:lineRule="auto"/>
              <w:rPr>
                <w:rFonts w:ascii="Arial" w:eastAsia="Times New Roman" w:hAnsi="Arial" w:cs="Arial"/>
                <w:sz w:val="20"/>
                <w:szCs w:val="20"/>
                <w:lang w:eastAsia="en-GB"/>
              </w:rPr>
            </w:pPr>
            <w:r w:rsidRPr="00543D10">
              <w:rPr>
                <w:rFonts w:ascii="Arial" w:eastAsia="Times New Roman" w:hAnsi="Arial" w:cs="Arial"/>
                <w:sz w:val="20"/>
                <w:szCs w:val="20"/>
                <w:lang w:eastAsia="en-GB"/>
              </w:rPr>
              <w:t xml:space="preserve">Total unrestricted funds before pension surplus / (deficit) </w:t>
            </w:r>
          </w:p>
        </w:tc>
        <w:tc>
          <w:tcPr>
            <w:tcW w:w="1701" w:type="dxa"/>
            <w:gridSpan w:val="2"/>
            <w:tcBorders>
              <w:top w:val="nil"/>
              <w:left w:val="nil"/>
              <w:bottom w:val="nil"/>
              <w:right w:val="nil"/>
            </w:tcBorders>
            <w:shd w:val="clear" w:color="auto" w:fill="auto"/>
            <w:noWrap/>
            <w:vAlign w:val="bottom"/>
            <w:hideMark/>
          </w:tcPr>
          <w:p w14:paraId="2EC7E512" w14:textId="77777777" w:rsidR="0039438F" w:rsidRPr="00175B62" w:rsidRDefault="0039438F" w:rsidP="0039438F">
            <w:pPr>
              <w:spacing w:after="0" w:line="240" w:lineRule="auto"/>
              <w:jc w:val="right"/>
              <w:rPr>
                <w:rFonts w:ascii="Arial" w:eastAsia="Times New Roman" w:hAnsi="Arial" w:cs="Arial"/>
                <w:sz w:val="20"/>
                <w:szCs w:val="20"/>
                <w:lang w:eastAsia="en-GB"/>
              </w:rPr>
            </w:pPr>
            <w:r w:rsidRPr="00175B62">
              <w:rPr>
                <w:rFonts w:ascii="Arial" w:eastAsia="Times New Roman" w:hAnsi="Arial" w:cs="Arial"/>
                <w:bCs/>
                <w:sz w:val="20"/>
                <w:szCs w:val="20"/>
                <w:lang w:eastAsia="en-GB"/>
              </w:rPr>
              <w:t>3</w:t>
            </w:r>
            <w:r w:rsidR="00175B62" w:rsidRPr="00175B62">
              <w:rPr>
                <w:rFonts w:ascii="Arial" w:eastAsia="Times New Roman" w:hAnsi="Arial" w:cs="Arial"/>
                <w:bCs/>
                <w:sz w:val="20"/>
                <w:szCs w:val="20"/>
                <w:lang w:eastAsia="en-GB"/>
              </w:rPr>
              <w:t>7,163</w:t>
            </w:r>
          </w:p>
        </w:tc>
        <w:tc>
          <w:tcPr>
            <w:tcW w:w="1036" w:type="dxa"/>
            <w:gridSpan w:val="2"/>
            <w:tcBorders>
              <w:top w:val="nil"/>
              <w:left w:val="nil"/>
              <w:bottom w:val="nil"/>
              <w:right w:val="nil"/>
            </w:tcBorders>
            <w:shd w:val="clear" w:color="auto" w:fill="auto"/>
            <w:noWrap/>
            <w:vAlign w:val="bottom"/>
          </w:tcPr>
          <w:p w14:paraId="45ABAA92" w14:textId="77777777" w:rsidR="0039438F" w:rsidRPr="00175B62" w:rsidRDefault="00304D34" w:rsidP="0039438F">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119,824</w:t>
            </w:r>
          </w:p>
        </w:tc>
        <w:tc>
          <w:tcPr>
            <w:tcW w:w="1196" w:type="dxa"/>
            <w:gridSpan w:val="2"/>
            <w:tcBorders>
              <w:top w:val="nil"/>
              <w:left w:val="nil"/>
              <w:bottom w:val="nil"/>
              <w:right w:val="nil"/>
            </w:tcBorders>
            <w:shd w:val="clear" w:color="auto" w:fill="auto"/>
            <w:noWrap/>
            <w:vAlign w:val="bottom"/>
          </w:tcPr>
          <w:p w14:paraId="65BB845E" w14:textId="77777777" w:rsidR="0039438F" w:rsidRPr="00175B62" w:rsidRDefault="004D433E" w:rsidP="0039438F">
            <w:pPr>
              <w:spacing w:after="0" w:line="240" w:lineRule="auto"/>
              <w:jc w:val="right"/>
              <w:rPr>
                <w:rFonts w:ascii="Arial" w:eastAsia="Times New Roman" w:hAnsi="Arial" w:cs="Arial"/>
                <w:sz w:val="20"/>
                <w:szCs w:val="20"/>
                <w:lang w:eastAsia="en-GB"/>
              </w:rPr>
            </w:pPr>
            <w:r w:rsidRPr="00175B62">
              <w:rPr>
                <w:rFonts w:ascii="Arial" w:eastAsia="Times New Roman" w:hAnsi="Arial" w:cs="Arial"/>
                <w:sz w:val="20"/>
                <w:szCs w:val="20"/>
                <w:lang w:eastAsia="en-GB"/>
              </w:rPr>
              <w:t>(1</w:t>
            </w:r>
            <w:r w:rsidR="007950DC">
              <w:rPr>
                <w:rFonts w:ascii="Arial" w:eastAsia="Times New Roman" w:hAnsi="Arial" w:cs="Arial"/>
                <w:sz w:val="20"/>
                <w:szCs w:val="20"/>
                <w:lang w:eastAsia="en-GB"/>
              </w:rPr>
              <w:t>3</w:t>
            </w:r>
            <w:r w:rsidR="00304D34">
              <w:rPr>
                <w:rFonts w:ascii="Arial" w:eastAsia="Times New Roman" w:hAnsi="Arial" w:cs="Arial"/>
                <w:sz w:val="20"/>
                <w:szCs w:val="20"/>
                <w:lang w:eastAsia="en-GB"/>
              </w:rPr>
              <w:t>1,567</w:t>
            </w:r>
            <w:r w:rsidR="00F87602" w:rsidRPr="00175B62">
              <w:rPr>
                <w:rFonts w:ascii="Arial" w:eastAsia="Times New Roman" w:hAnsi="Arial" w:cs="Arial"/>
                <w:sz w:val="20"/>
                <w:szCs w:val="20"/>
                <w:lang w:eastAsia="en-GB"/>
              </w:rPr>
              <w:t>)</w:t>
            </w:r>
          </w:p>
        </w:tc>
        <w:tc>
          <w:tcPr>
            <w:tcW w:w="1056" w:type="dxa"/>
            <w:gridSpan w:val="2"/>
            <w:tcBorders>
              <w:top w:val="nil"/>
              <w:left w:val="nil"/>
              <w:bottom w:val="nil"/>
              <w:right w:val="nil"/>
            </w:tcBorders>
            <w:shd w:val="clear" w:color="auto" w:fill="auto"/>
            <w:noWrap/>
            <w:vAlign w:val="bottom"/>
          </w:tcPr>
          <w:p w14:paraId="65D2087A" w14:textId="77777777" w:rsidR="0039438F" w:rsidRPr="00175B62" w:rsidRDefault="00F87602" w:rsidP="0039438F">
            <w:pPr>
              <w:spacing w:after="0" w:line="240" w:lineRule="auto"/>
              <w:jc w:val="right"/>
              <w:rPr>
                <w:rFonts w:ascii="Arial" w:eastAsia="Times New Roman" w:hAnsi="Arial" w:cs="Arial"/>
                <w:sz w:val="20"/>
                <w:szCs w:val="20"/>
                <w:lang w:eastAsia="en-GB"/>
              </w:rPr>
            </w:pPr>
            <w:r w:rsidRPr="00175B62">
              <w:rPr>
                <w:rFonts w:ascii="Arial" w:eastAsia="Times New Roman" w:hAnsi="Arial" w:cs="Arial"/>
                <w:sz w:val="20"/>
                <w:szCs w:val="20"/>
                <w:lang w:eastAsia="en-GB"/>
              </w:rPr>
              <w:t>(353)</w:t>
            </w:r>
          </w:p>
        </w:tc>
        <w:tc>
          <w:tcPr>
            <w:tcW w:w="1556" w:type="dxa"/>
            <w:gridSpan w:val="2"/>
            <w:tcBorders>
              <w:top w:val="nil"/>
              <w:left w:val="nil"/>
              <w:bottom w:val="nil"/>
              <w:right w:val="nil"/>
            </w:tcBorders>
            <w:shd w:val="clear" w:color="auto" w:fill="auto"/>
            <w:noWrap/>
            <w:vAlign w:val="bottom"/>
          </w:tcPr>
          <w:p w14:paraId="459C139A" w14:textId="77777777" w:rsidR="0039438F" w:rsidRPr="00175B62" w:rsidRDefault="006238BA">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2</w:t>
            </w:r>
            <w:r w:rsidR="00304D34">
              <w:rPr>
                <w:rFonts w:ascii="Arial" w:eastAsia="Times New Roman" w:hAnsi="Arial" w:cs="Arial"/>
                <w:b/>
                <w:bCs/>
                <w:sz w:val="20"/>
                <w:szCs w:val="20"/>
                <w:lang w:eastAsia="en-GB"/>
              </w:rPr>
              <w:t>5,067</w:t>
            </w:r>
          </w:p>
        </w:tc>
      </w:tr>
      <w:tr w:rsidR="0039438F" w:rsidRPr="00543D10" w14:paraId="5AB9DABC" w14:textId="77777777" w:rsidTr="006647C2">
        <w:trPr>
          <w:gridAfter w:val="1"/>
          <w:wAfter w:w="637" w:type="dxa"/>
          <w:trHeight w:val="323"/>
        </w:trPr>
        <w:tc>
          <w:tcPr>
            <w:tcW w:w="2552" w:type="dxa"/>
            <w:tcBorders>
              <w:top w:val="nil"/>
              <w:left w:val="nil"/>
              <w:bottom w:val="nil"/>
              <w:right w:val="nil"/>
            </w:tcBorders>
            <w:shd w:val="clear" w:color="auto" w:fill="auto"/>
            <w:noWrap/>
            <w:vAlign w:val="center"/>
            <w:hideMark/>
          </w:tcPr>
          <w:p w14:paraId="5917EA4A" w14:textId="77777777" w:rsidR="0039438F" w:rsidRPr="00543D10" w:rsidRDefault="0039438F" w:rsidP="0039438F">
            <w:pPr>
              <w:spacing w:after="0" w:line="240" w:lineRule="auto"/>
              <w:rPr>
                <w:rFonts w:ascii="Arial" w:eastAsia="Times New Roman" w:hAnsi="Arial" w:cs="Arial"/>
                <w:sz w:val="20"/>
                <w:szCs w:val="20"/>
                <w:lang w:eastAsia="en-GB"/>
              </w:rPr>
            </w:pPr>
            <w:r w:rsidRPr="00543D10">
              <w:rPr>
                <w:rFonts w:ascii="Arial" w:eastAsia="Times New Roman" w:hAnsi="Arial" w:cs="Arial"/>
                <w:sz w:val="20"/>
                <w:szCs w:val="20"/>
                <w:lang w:eastAsia="en-GB"/>
              </w:rPr>
              <w:t>Pension deficit</w:t>
            </w:r>
          </w:p>
        </w:tc>
        <w:tc>
          <w:tcPr>
            <w:tcW w:w="1701" w:type="dxa"/>
            <w:gridSpan w:val="2"/>
            <w:tcBorders>
              <w:top w:val="nil"/>
              <w:left w:val="nil"/>
              <w:bottom w:val="nil"/>
              <w:right w:val="nil"/>
            </w:tcBorders>
            <w:shd w:val="clear" w:color="auto" w:fill="auto"/>
            <w:noWrap/>
            <w:vAlign w:val="center"/>
            <w:hideMark/>
          </w:tcPr>
          <w:p w14:paraId="0583EFF4" w14:textId="77777777" w:rsidR="0039438F" w:rsidRPr="00175B62" w:rsidRDefault="0039438F" w:rsidP="0039438F">
            <w:pPr>
              <w:spacing w:after="0" w:line="240" w:lineRule="auto"/>
              <w:jc w:val="right"/>
              <w:rPr>
                <w:rFonts w:ascii="Arial" w:eastAsia="Times New Roman" w:hAnsi="Arial" w:cs="Arial"/>
                <w:sz w:val="20"/>
                <w:szCs w:val="20"/>
                <w:lang w:eastAsia="en-GB"/>
              </w:rPr>
            </w:pPr>
            <w:r w:rsidRPr="00175B62">
              <w:rPr>
                <w:rFonts w:ascii="Arial" w:eastAsia="Times New Roman" w:hAnsi="Arial" w:cs="Arial"/>
                <w:bCs/>
                <w:sz w:val="20"/>
                <w:szCs w:val="20"/>
                <w:lang w:eastAsia="en-GB"/>
              </w:rPr>
              <w:t>(60,537)</w:t>
            </w:r>
          </w:p>
        </w:tc>
        <w:tc>
          <w:tcPr>
            <w:tcW w:w="1036" w:type="dxa"/>
            <w:gridSpan w:val="2"/>
            <w:tcBorders>
              <w:top w:val="nil"/>
              <w:left w:val="nil"/>
              <w:bottom w:val="nil"/>
              <w:right w:val="nil"/>
            </w:tcBorders>
            <w:shd w:val="clear" w:color="auto" w:fill="auto"/>
            <w:noWrap/>
            <w:vAlign w:val="center"/>
          </w:tcPr>
          <w:p w14:paraId="319919AA" w14:textId="77777777" w:rsidR="0039438F" w:rsidRPr="00175B62" w:rsidRDefault="0029377B" w:rsidP="0039438F">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w:t>
            </w:r>
          </w:p>
        </w:tc>
        <w:tc>
          <w:tcPr>
            <w:tcW w:w="1196" w:type="dxa"/>
            <w:gridSpan w:val="2"/>
            <w:tcBorders>
              <w:top w:val="nil"/>
              <w:left w:val="nil"/>
              <w:bottom w:val="nil"/>
              <w:right w:val="nil"/>
            </w:tcBorders>
            <w:shd w:val="clear" w:color="auto" w:fill="auto"/>
            <w:noWrap/>
            <w:vAlign w:val="center"/>
          </w:tcPr>
          <w:p w14:paraId="597A672C" w14:textId="77777777" w:rsidR="0039438F" w:rsidRPr="00175B62" w:rsidRDefault="00F87602" w:rsidP="0039438F">
            <w:pPr>
              <w:spacing w:after="0" w:line="240" w:lineRule="auto"/>
              <w:jc w:val="right"/>
              <w:rPr>
                <w:rFonts w:ascii="Arial" w:eastAsia="Times New Roman" w:hAnsi="Arial" w:cs="Arial"/>
                <w:sz w:val="20"/>
                <w:szCs w:val="20"/>
                <w:lang w:eastAsia="en-GB"/>
              </w:rPr>
            </w:pPr>
            <w:r w:rsidRPr="00175B62">
              <w:rPr>
                <w:rFonts w:ascii="Arial" w:eastAsia="Times New Roman" w:hAnsi="Arial" w:cs="Arial"/>
                <w:sz w:val="20"/>
                <w:szCs w:val="20"/>
                <w:lang w:eastAsia="en-GB"/>
              </w:rPr>
              <w:t>(4,118)</w:t>
            </w:r>
          </w:p>
        </w:tc>
        <w:tc>
          <w:tcPr>
            <w:tcW w:w="1056" w:type="dxa"/>
            <w:gridSpan w:val="2"/>
            <w:tcBorders>
              <w:top w:val="nil"/>
              <w:left w:val="nil"/>
              <w:bottom w:val="nil"/>
              <w:right w:val="nil"/>
            </w:tcBorders>
            <w:shd w:val="clear" w:color="auto" w:fill="auto"/>
            <w:noWrap/>
            <w:vAlign w:val="center"/>
          </w:tcPr>
          <w:p w14:paraId="47D4E9B6" w14:textId="77777777" w:rsidR="0039438F" w:rsidRPr="00175B62" w:rsidRDefault="00C51D9C" w:rsidP="0039438F">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w:t>
            </w:r>
          </w:p>
        </w:tc>
        <w:tc>
          <w:tcPr>
            <w:tcW w:w="1556" w:type="dxa"/>
            <w:gridSpan w:val="2"/>
            <w:tcBorders>
              <w:top w:val="nil"/>
              <w:left w:val="nil"/>
              <w:bottom w:val="nil"/>
              <w:right w:val="nil"/>
            </w:tcBorders>
            <w:shd w:val="clear" w:color="auto" w:fill="auto"/>
            <w:noWrap/>
            <w:vAlign w:val="center"/>
          </w:tcPr>
          <w:p w14:paraId="4E16C614" w14:textId="77777777" w:rsidR="0039438F" w:rsidRPr="00175B62" w:rsidRDefault="00F87602" w:rsidP="0039438F">
            <w:pPr>
              <w:spacing w:after="0" w:line="240" w:lineRule="auto"/>
              <w:jc w:val="right"/>
              <w:rPr>
                <w:rFonts w:ascii="Arial" w:eastAsia="Times New Roman" w:hAnsi="Arial" w:cs="Arial"/>
                <w:b/>
                <w:bCs/>
                <w:sz w:val="20"/>
                <w:szCs w:val="20"/>
                <w:lang w:eastAsia="en-GB"/>
              </w:rPr>
            </w:pPr>
            <w:r w:rsidRPr="00175B62">
              <w:rPr>
                <w:rFonts w:ascii="Arial" w:eastAsia="Times New Roman" w:hAnsi="Arial" w:cs="Arial"/>
                <w:b/>
                <w:bCs/>
                <w:sz w:val="20"/>
                <w:szCs w:val="20"/>
                <w:lang w:eastAsia="en-GB"/>
              </w:rPr>
              <w:t>(64,655)</w:t>
            </w:r>
          </w:p>
        </w:tc>
      </w:tr>
      <w:tr w:rsidR="0039438F" w:rsidRPr="00543D10" w14:paraId="40703B5D" w14:textId="77777777" w:rsidTr="006647C2">
        <w:trPr>
          <w:gridAfter w:val="1"/>
          <w:wAfter w:w="637" w:type="dxa"/>
          <w:trHeight w:val="323"/>
        </w:trPr>
        <w:tc>
          <w:tcPr>
            <w:tcW w:w="2552" w:type="dxa"/>
            <w:tcBorders>
              <w:top w:val="single" w:sz="4" w:space="0" w:color="auto"/>
              <w:left w:val="nil"/>
              <w:bottom w:val="single" w:sz="4" w:space="0" w:color="auto"/>
              <w:right w:val="nil"/>
            </w:tcBorders>
            <w:shd w:val="clear" w:color="auto" w:fill="auto"/>
            <w:noWrap/>
            <w:vAlign w:val="center"/>
            <w:hideMark/>
          </w:tcPr>
          <w:p w14:paraId="27094699" w14:textId="77777777" w:rsidR="0039438F" w:rsidRPr="00543D10" w:rsidRDefault="0039438F" w:rsidP="0039438F">
            <w:pPr>
              <w:spacing w:after="0" w:line="240" w:lineRule="auto"/>
              <w:rPr>
                <w:rFonts w:ascii="Arial" w:eastAsia="Times New Roman" w:hAnsi="Arial" w:cs="Arial"/>
                <w:sz w:val="20"/>
                <w:szCs w:val="20"/>
                <w:lang w:eastAsia="en-GB"/>
              </w:rPr>
            </w:pPr>
            <w:r w:rsidRPr="00543D10">
              <w:rPr>
                <w:rFonts w:ascii="Arial" w:eastAsia="Times New Roman" w:hAnsi="Arial" w:cs="Arial"/>
                <w:sz w:val="20"/>
                <w:szCs w:val="20"/>
                <w:lang w:eastAsia="en-GB"/>
              </w:rPr>
              <w:t>Total unrestricted funds</w:t>
            </w:r>
          </w:p>
        </w:tc>
        <w:tc>
          <w:tcPr>
            <w:tcW w:w="1701" w:type="dxa"/>
            <w:gridSpan w:val="2"/>
            <w:tcBorders>
              <w:top w:val="single" w:sz="4" w:space="0" w:color="auto"/>
              <w:left w:val="nil"/>
              <w:bottom w:val="single" w:sz="4" w:space="0" w:color="auto"/>
              <w:right w:val="nil"/>
            </w:tcBorders>
            <w:shd w:val="clear" w:color="auto" w:fill="auto"/>
            <w:noWrap/>
            <w:vAlign w:val="center"/>
            <w:hideMark/>
          </w:tcPr>
          <w:p w14:paraId="29E62F6E" w14:textId="77777777" w:rsidR="0039438F" w:rsidRPr="00175B62" w:rsidRDefault="0039438F" w:rsidP="0039438F">
            <w:pPr>
              <w:spacing w:after="0" w:line="240" w:lineRule="auto"/>
              <w:jc w:val="right"/>
              <w:rPr>
                <w:rFonts w:ascii="Arial" w:eastAsia="Times New Roman" w:hAnsi="Arial" w:cs="Arial"/>
                <w:sz w:val="20"/>
                <w:szCs w:val="20"/>
                <w:lang w:eastAsia="en-GB"/>
              </w:rPr>
            </w:pPr>
            <w:r w:rsidRPr="00175B62">
              <w:rPr>
                <w:rFonts w:ascii="Arial" w:eastAsia="Times New Roman" w:hAnsi="Arial" w:cs="Arial"/>
                <w:bCs/>
                <w:sz w:val="20"/>
                <w:szCs w:val="20"/>
                <w:lang w:eastAsia="en-GB"/>
              </w:rPr>
              <w:t>(23,3</w:t>
            </w:r>
            <w:r w:rsidR="00175B62" w:rsidRPr="00175B62">
              <w:rPr>
                <w:rFonts w:ascii="Arial" w:eastAsia="Times New Roman" w:hAnsi="Arial" w:cs="Arial"/>
                <w:bCs/>
                <w:sz w:val="20"/>
                <w:szCs w:val="20"/>
                <w:lang w:eastAsia="en-GB"/>
              </w:rPr>
              <w:t>74</w:t>
            </w:r>
            <w:r w:rsidRPr="00175B62">
              <w:rPr>
                <w:rFonts w:ascii="Arial" w:eastAsia="Times New Roman" w:hAnsi="Arial" w:cs="Arial"/>
                <w:bCs/>
                <w:sz w:val="20"/>
                <w:szCs w:val="20"/>
                <w:lang w:eastAsia="en-GB"/>
              </w:rPr>
              <w:t>)</w:t>
            </w:r>
          </w:p>
        </w:tc>
        <w:tc>
          <w:tcPr>
            <w:tcW w:w="1036" w:type="dxa"/>
            <w:gridSpan w:val="2"/>
            <w:tcBorders>
              <w:top w:val="single" w:sz="4" w:space="0" w:color="auto"/>
              <w:left w:val="nil"/>
              <w:bottom w:val="single" w:sz="4" w:space="0" w:color="auto"/>
              <w:right w:val="nil"/>
            </w:tcBorders>
            <w:shd w:val="clear" w:color="auto" w:fill="auto"/>
            <w:noWrap/>
            <w:vAlign w:val="center"/>
          </w:tcPr>
          <w:p w14:paraId="7EB64C40" w14:textId="77777777" w:rsidR="0039438F" w:rsidRPr="00175B62" w:rsidRDefault="00304D34" w:rsidP="0039438F">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119,824</w:t>
            </w:r>
          </w:p>
        </w:tc>
        <w:tc>
          <w:tcPr>
            <w:tcW w:w="1196" w:type="dxa"/>
            <w:gridSpan w:val="2"/>
            <w:tcBorders>
              <w:top w:val="single" w:sz="4" w:space="0" w:color="auto"/>
              <w:left w:val="nil"/>
              <w:bottom w:val="single" w:sz="4" w:space="0" w:color="auto"/>
              <w:right w:val="nil"/>
            </w:tcBorders>
            <w:shd w:val="clear" w:color="auto" w:fill="auto"/>
            <w:noWrap/>
            <w:vAlign w:val="center"/>
          </w:tcPr>
          <w:p w14:paraId="3298236B" w14:textId="77777777" w:rsidR="0039438F" w:rsidRPr="00175B62" w:rsidRDefault="004D433E" w:rsidP="00304D34">
            <w:pPr>
              <w:spacing w:after="0" w:line="240" w:lineRule="auto"/>
              <w:jc w:val="right"/>
              <w:rPr>
                <w:rFonts w:ascii="Arial" w:eastAsia="Times New Roman" w:hAnsi="Arial" w:cs="Arial"/>
                <w:sz w:val="20"/>
                <w:szCs w:val="20"/>
                <w:lang w:eastAsia="en-GB"/>
              </w:rPr>
            </w:pPr>
            <w:r w:rsidRPr="00175B62">
              <w:rPr>
                <w:rFonts w:ascii="Arial" w:eastAsia="Times New Roman" w:hAnsi="Arial" w:cs="Arial"/>
                <w:sz w:val="20"/>
                <w:szCs w:val="20"/>
                <w:lang w:eastAsia="en-GB"/>
              </w:rPr>
              <w:t>(13</w:t>
            </w:r>
            <w:r w:rsidR="00304D34">
              <w:rPr>
                <w:rFonts w:ascii="Arial" w:eastAsia="Times New Roman" w:hAnsi="Arial" w:cs="Arial"/>
                <w:sz w:val="20"/>
                <w:szCs w:val="20"/>
                <w:lang w:eastAsia="en-GB"/>
              </w:rPr>
              <w:t>5</w:t>
            </w:r>
            <w:r w:rsidR="00087C63">
              <w:rPr>
                <w:rFonts w:ascii="Arial" w:eastAsia="Times New Roman" w:hAnsi="Arial" w:cs="Arial"/>
                <w:sz w:val="20"/>
                <w:szCs w:val="20"/>
                <w:lang w:eastAsia="en-GB"/>
              </w:rPr>
              <w:t>,</w:t>
            </w:r>
            <w:r w:rsidR="00304D34">
              <w:rPr>
                <w:rFonts w:ascii="Arial" w:eastAsia="Times New Roman" w:hAnsi="Arial" w:cs="Arial"/>
                <w:sz w:val="20"/>
                <w:szCs w:val="20"/>
                <w:lang w:eastAsia="en-GB"/>
              </w:rPr>
              <w:t>685</w:t>
            </w:r>
            <w:r w:rsidR="00F87602" w:rsidRPr="00175B62">
              <w:rPr>
                <w:rFonts w:ascii="Arial" w:eastAsia="Times New Roman" w:hAnsi="Arial" w:cs="Arial"/>
                <w:sz w:val="20"/>
                <w:szCs w:val="20"/>
                <w:lang w:eastAsia="en-GB"/>
              </w:rPr>
              <w:t>)</w:t>
            </w:r>
          </w:p>
        </w:tc>
        <w:tc>
          <w:tcPr>
            <w:tcW w:w="1056" w:type="dxa"/>
            <w:gridSpan w:val="2"/>
            <w:tcBorders>
              <w:top w:val="single" w:sz="4" w:space="0" w:color="auto"/>
              <w:left w:val="nil"/>
              <w:bottom w:val="single" w:sz="4" w:space="0" w:color="auto"/>
              <w:right w:val="nil"/>
            </w:tcBorders>
            <w:shd w:val="clear" w:color="auto" w:fill="auto"/>
            <w:noWrap/>
            <w:vAlign w:val="center"/>
          </w:tcPr>
          <w:p w14:paraId="11939691" w14:textId="77777777" w:rsidR="0039438F" w:rsidRPr="00175B62" w:rsidRDefault="00F87602" w:rsidP="0039438F">
            <w:pPr>
              <w:spacing w:after="0" w:line="240" w:lineRule="auto"/>
              <w:jc w:val="right"/>
              <w:rPr>
                <w:rFonts w:ascii="Arial" w:eastAsia="Times New Roman" w:hAnsi="Arial" w:cs="Arial"/>
                <w:sz w:val="20"/>
                <w:szCs w:val="20"/>
                <w:lang w:eastAsia="en-GB"/>
              </w:rPr>
            </w:pPr>
            <w:r w:rsidRPr="00175B62">
              <w:rPr>
                <w:rFonts w:ascii="Arial" w:eastAsia="Times New Roman" w:hAnsi="Arial" w:cs="Arial"/>
                <w:sz w:val="20"/>
                <w:szCs w:val="20"/>
                <w:lang w:eastAsia="en-GB"/>
              </w:rPr>
              <w:t>(353)</w:t>
            </w:r>
          </w:p>
        </w:tc>
        <w:tc>
          <w:tcPr>
            <w:tcW w:w="1556" w:type="dxa"/>
            <w:gridSpan w:val="2"/>
            <w:tcBorders>
              <w:top w:val="single" w:sz="4" w:space="0" w:color="auto"/>
              <w:left w:val="nil"/>
              <w:bottom w:val="single" w:sz="4" w:space="0" w:color="auto"/>
              <w:right w:val="nil"/>
            </w:tcBorders>
            <w:shd w:val="clear" w:color="auto" w:fill="auto"/>
            <w:noWrap/>
            <w:vAlign w:val="center"/>
          </w:tcPr>
          <w:p w14:paraId="6603F238" w14:textId="77777777" w:rsidR="0039438F" w:rsidRPr="00175B62" w:rsidRDefault="002566EE">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w:t>
            </w:r>
            <w:r w:rsidR="00304D34">
              <w:rPr>
                <w:rFonts w:ascii="Arial" w:eastAsia="Times New Roman" w:hAnsi="Arial" w:cs="Arial"/>
                <w:b/>
                <w:bCs/>
                <w:sz w:val="20"/>
                <w:szCs w:val="20"/>
                <w:lang w:eastAsia="en-GB"/>
              </w:rPr>
              <w:t>39,588</w:t>
            </w:r>
            <w:r w:rsidR="00F87602" w:rsidRPr="00175B62">
              <w:rPr>
                <w:rFonts w:ascii="Arial" w:eastAsia="Times New Roman" w:hAnsi="Arial" w:cs="Arial"/>
                <w:b/>
                <w:bCs/>
                <w:sz w:val="20"/>
                <w:szCs w:val="20"/>
                <w:lang w:eastAsia="en-GB"/>
              </w:rPr>
              <w:t>)</w:t>
            </w:r>
          </w:p>
        </w:tc>
      </w:tr>
    </w:tbl>
    <w:p w14:paraId="2CA243A4" w14:textId="77777777" w:rsidR="00E70CD3" w:rsidRDefault="00E70CD3" w:rsidP="00E70CD3">
      <w:pPr>
        <w:autoSpaceDE w:val="0"/>
        <w:autoSpaceDN w:val="0"/>
        <w:adjustRightInd w:val="0"/>
        <w:spacing w:after="0" w:line="240" w:lineRule="auto"/>
        <w:rPr>
          <w:rFonts w:ascii="Arial" w:hAnsi="Arial" w:cs="Arial"/>
          <w:sz w:val="20"/>
          <w:szCs w:val="20"/>
        </w:rPr>
      </w:pPr>
    </w:p>
    <w:tbl>
      <w:tblPr>
        <w:tblW w:w="9734" w:type="dxa"/>
        <w:tblLayout w:type="fixed"/>
        <w:tblLook w:val="04A0" w:firstRow="1" w:lastRow="0" w:firstColumn="1" w:lastColumn="0" w:noHBand="0" w:noVBand="1"/>
      </w:tblPr>
      <w:tblGrid>
        <w:gridCol w:w="2552"/>
        <w:gridCol w:w="316"/>
        <w:gridCol w:w="1385"/>
        <w:gridCol w:w="1036"/>
        <w:gridCol w:w="1196"/>
        <w:gridCol w:w="1056"/>
        <w:gridCol w:w="1556"/>
        <w:gridCol w:w="637"/>
      </w:tblGrid>
      <w:tr w:rsidR="00A22DAF" w:rsidRPr="00397F4D" w14:paraId="6DB6FD91" w14:textId="77777777" w:rsidTr="00A22DAF">
        <w:trPr>
          <w:trHeight w:val="323"/>
        </w:trPr>
        <w:tc>
          <w:tcPr>
            <w:tcW w:w="2868" w:type="dxa"/>
            <w:gridSpan w:val="2"/>
            <w:tcBorders>
              <w:top w:val="nil"/>
              <w:left w:val="nil"/>
              <w:bottom w:val="nil"/>
              <w:right w:val="nil"/>
            </w:tcBorders>
            <w:shd w:val="clear" w:color="auto" w:fill="auto"/>
            <w:noWrap/>
            <w:vAlign w:val="center"/>
            <w:hideMark/>
          </w:tcPr>
          <w:p w14:paraId="6809B0C9" w14:textId="77777777" w:rsidR="00A22DAF" w:rsidRDefault="00A22DAF" w:rsidP="00A22DAF">
            <w:pPr>
              <w:spacing w:after="0" w:line="240" w:lineRule="auto"/>
              <w:rPr>
                <w:rFonts w:ascii="Times New Roman" w:eastAsia="Times New Roman" w:hAnsi="Times New Roman" w:cs="Times New Roman"/>
                <w:sz w:val="20"/>
                <w:szCs w:val="20"/>
                <w:lang w:eastAsia="en-GB"/>
              </w:rPr>
            </w:pPr>
          </w:p>
          <w:p w14:paraId="56CFF06D" w14:textId="77777777" w:rsidR="00257034" w:rsidRDefault="00257034" w:rsidP="00A22DAF">
            <w:pPr>
              <w:spacing w:after="0" w:line="240" w:lineRule="auto"/>
              <w:rPr>
                <w:rFonts w:ascii="Times New Roman" w:eastAsia="Times New Roman" w:hAnsi="Times New Roman" w:cs="Times New Roman"/>
                <w:sz w:val="20"/>
                <w:szCs w:val="20"/>
                <w:lang w:eastAsia="en-GB"/>
              </w:rPr>
            </w:pPr>
          </w:p>
          <w:p w14:paraId="02476489" w14:textId="77777777" w:rsidR="00257034" w:rsidRDefault="00257034" w:rsidP="00A22DAF">
            <w:pPr>
              <w:spacing w:after="0" w:line="240" w:lineRule="auto"/>
              <w:rPr>
                <w:rFonts w:ascii="Times New Roman" w:eastAsia="Times New Roman" w:hAnsi="Times New Roman" w:cs="Times New Roman"/>
                <w:sz w:val="20"/>
                <w:szCs w:val="20"/>
                <w:lang w:eastAsia="en-GB"/>
              </w:rPr>
            </w:pPr>
          </w:p>
          <w:p w14:paraId="07E89492" w14:textId="77777777" w:rsidR="00257034" w:rsidRPr="00397F4D" w:rsidRDefault="00257034" w:rsidP="00A22DAF">
            <w:pPr>
              <w:spacing w:after="0" w:line="240" w:lineRule="auto"/>
              <w:rPr>
                <w:rFonts w:ascii="Times New Roman" w:eastAsia="Times New Roman" w:hAnsi="Times New Roman" w:cs="Times New Roman"/>
                <w:sz w:val="20"/>
                <w:szCs w:val="20"/>
                <w:lang w:eastAsia="en-GB"/>
              </w:rPr>
            </w:pPr>
          </w:p>
        </w:tc>
        <w:tc>
          <w:tcPr>
            <w:tcW w:w="6866" w:type="dxa"/>
            <w:gridSpan w:val="6"/>
            <w:tcBorders>
              <w:top w:val="nil"/>
              <w:left w:val="nil"/>
              <w:bottom w:val="nil"/>
              <w:right w:val="nil"/>
            </w:tcBorders>
            <w:shd w:val="clear" w:color="auto" w:fill="auto"/>
            <w:noWrap/>
            <w:vAlign w:val="center"/>
            <w:hideMark/>
          </w:tcPr>
          <w:p w14:paraId="00984C62" w14:textId="77777777" w:rsidR="00A22DAF" w:rsidRPr="00397F4D" w:rsidRDefault="00A22DAF" w:rsidP="00A22DAF">
            <w:pPr>
              <w:spacing w:after="0" w:line="240" w:lineRule="auto"/>
              <w:jc w:val="center"/>
              <w:rPr>
                <w:rFonts w:ascii="Arial" w:eastAsia="Times New Roman" w:hAnsi="Arial" w:cs="Arial"/>
                <w:b/>
                <w:bCs/>
                <w:sz w:val="20"/>
                <w:szCs w:val="20"/>
                <w:lang w:eastAsia="en-GB"/>
              </w:rPr>
            </w:pPr>
            <w:r w:rsidRPr="00397F4D">
              <w:rPr>
                <w:rFonts w:ascii="Arial" w:eastAsia="Times New Roman" w:hAnsi="Arial" w:cs="Arial"/>
                <w:b/>
                <w:bCs/>
                <w:sz w:val="20"/>
                <w:szCs w:val="20"/>
                <w:lang w:eastAsia="en-GB"/>
              </w:rPr>
              <w:t>Movement in Funds</w:t>
            </w:r>
          </w:p>
        </w:tc>
      </w:tr>
      <w:tr w:rsidR="00A22DAF" w:rsidRPr="00397F4D" w14:paraId="390618D5" w14:textId="77777777" w:rsidTr="00A22DAF">
        <w:trPr>
          <w:gridAfter w:val="1"/>
          <w:wAfter w:w="637" w:type="dxa"/>
          <w:trHeight w:val="525"/>
        </w:trPr>
        <w:tc>
          <w:tcPr>
            <w:tcW w:w="2552" w:type="dxa"/>
            <w:tcBorders>
              <w:top w:val="nil"/>
              <w:left w:val="nil"/>
              <w:bottom w:val="nil"/>
              <w:right w:val="nil"/>
            </w:tcBorders>
            <w:shd w:val="clear" w:color="auto" w:fill="auto"/>
            <w:noWrap/>
            <w:vAlign w:val="center"/>
            <w:hideMark/>
          </w:tcPr>
          <w:p w14:paraId="202A9A8B" w14:textId="77777777" w:rsidR="00A22DAF" w:rsidRPr="00397F4D" w:rsidRDefault="00A22DAF" w:rsidP="00A22DAF">
            <w:pPr>
              <w:spacing w:after="0" w:line="240" w:lineRule="auto"/>
              <w:rPr>
                <w:rFonts w:ascii="Arial" w:eastAsia="Times New Roman" w:hAnsi="Arial" w:cs="Arial"/>
                <w:b/>
                <w:bCs/>
                <w:sz w:val="20"/>
                <w:szCs w:val="20"/>
                <w:lang w:eastAsia="en-GB"/>
              </w:rPr>
            </w:pPr>
          </w:p>
        </w:tc>
        <w:tc>
          <w:tcPr>
            <w:tcW w:w="1701" w:type="dxa"/>
            <w:gridSpan w:val="2"/>
            <w:tcBorders>
              <w:top w:val="nil"/>
              <w:left w:val="nil"/>
              <w:bottom w:val="nil"/>
              <w:right w:val="nil"/>
            </w:tcBorders>
            <w:shd w:val="clear" w:color="auto" w:fill="auto"/>
            <w:vAlign w:val="center"/>
            <w:hideMark/>
          </w:tcPr>
          <w:p w14:paraId="1D779027" w14:textId="77777777" w:rsidR="00A22DAF" w:rsidRPr="00397F4D" w:rsidRDefault="00A22DAF" w:rsidP="00A22DAF">
            <w:pPr>
              <w:spacing w:after="0" w:line="240" w:lineRule="auto"/>
              <w:jc w:val="right"/>
              <w:rPr>
                <w:rFonts w:ascii="Arial" w:eastAsia="Times New Roman" w:hAnsi="Arial" w:cs="Arial"/>
                <w:sz w:val="20"/>
                <w:szCs w:val="20"/>
                <w:lang w:eastAsia="en-GB"/>
              </w:rPr>
            </w:pPr>
            <w:r w:rsidRPr="00397F4D">
              <w:rPr>
                <w:rFonts w:ascii="Arial" w:eastAsia="Times New Roman" w:hAnsi="Arial" w:cs="Arial"/>
                <w:sz w:val="20"/>
                <w:szCs w:val="20"/>
                <w:lang w:eastAsia="en-GB"/>
              </w:rPr>
              <w:t xml:space="preserve">At 1 September </w:t>
            </w:r>
            <w:r>
              <w:rPr>
                <w:rFonts w:ascii="Arial" w:eastAsia="Times New Roman" w:hAnsi="Arial" w:cs="Arial"/>
                <w:sz w:val="20"/>
                <w:szCs w:val="20"/>
                <w:lang w:eastAsia="en-GB"/>
              </w:rPr>
              <w:t>2019</w:t>
            </w:r>
          </w:p>
        </w:tc>
        <w:tc>
          <w:tcPr>
            <w:tcW w:w="1036" w:type="dxa"/>
            <w:tcBorders>
              <w:top w:val="nil"/>
              <w:left w:val="nil"/>
              <w:bottom w:val="nil"/>
              <w:right w:val="nil"/>
            </w:tcBorders>
            <w:shd w:val="clear" w:color="auto" w:fill="auto"/>
            <w:noWrap/>
            <w:vAlign w:val="center"/>
            <w:hideMark/>
          </w:tcPr>
          <w:p w14:paraId="0EE1F0DA" w14:textId="77777777" w:rsidR="00A22DAF" w:rsidRPr="00397F4D" w:rsidRDefault="00A22DAF" w:rsidP="00A22DAF">
            <w:pPr>
              <w:spacing w:after="0" w:line="240" w:lineRule="auto"/>
              <w:jc w:val="right"/>
              <w:rPr>
                <w:rFonts w:ascii="Arial" w:eastAsia="Times New Roman" w:hAnsi="Arial" w:cs="Arial"/>
                <w:sz w:val="20"/>
                <w:szCs w:val="20"/>
                <w:lang w:eastAsia="en-GB"/>
              </w:rPr>
            </w:pPr>
            <w:r w:rsidRPr="00397F4D">
              <w:rPr>
                <w:rFonts w:ascii="Arial" w:eastAsia="Times New Roman" w:hAnsi="Arial" w:cs="Arial"/>
                <w:sz w:val="20"/>
                <w:szCs w:val="20"/>
                <w:lang w:eastAsia="en-GB"/>
              </w:rPr>
              <w:t>Incoming</w:t>
            </w:r>
          </w:p>
        </w:tc>
        <w:tc>
          <w:tcPr>
            <w:tcW w:w="1196" w:type="dxa"/>
            <w:tcBorders>
              <w:top w:val="nil"/>
              <w:left w:val="nil"/>
              <w:bottom w:val="nil"/>
              <w:right w:val="nil"/>
            </w:tcBorders>
            <w:shd w:val="clear" w:color="auto" w:fill="auto"/>
            <w:noWrap/>
            <w:vAlign w:val="center"/>
            <w:hideMark/>
          </w:tcPr>
          <w:p w14:paraId="0CE19604" w14:textId="77777777" w:rsidR="00A22DAF" w:rsidRPr="00397F4D" w:rsidRDefault="00A22DAF" w:rsidP="00A22DAF">
            <w:pPr>
              <w:spacing w:after="0" w:line="240" w:lineRule="auto"/>
              <w:jc w:val="right"/>
              <w:rPr>
                <w:rFonts w:ascii="Arial" w:eastAsia="Times New Roman" w:hAnsi="Arial" w:cs="Arial"/>
                <w:sz w:val="20"/>
                <w:szCs w:val="20"/>
                <w:lang w:eastAsia="en-GB"/>
              </w:rPr>
            </w:pPr>
            <w:r w:rsidRPr="00397F4D">
              <w:rPr>
                <w:rFonts w:ascii="Arial" w:eastAsia="Times New Roman" w:hAnsi="Arial" w:cs="Arial"/>
                <w:sz w:val="20"/>
                <w:szCs w:val="20"/>
                <w:lang w:eastAsia="en-GB"/>
              </w:rPr>
              <w:t>(Outgoing)</w:t>
            </w:r>
          </w:p>
        </w:tc>
        <w:tc>
          <w:tcPr>
            <w:tcW w:w="1056" w:type="dxa"/>
            <w:tcBorders>
              <w:top w:val="nil"/>
              <w:left w:val="nil"/>
              <w:bottom w:val="nil"/>
              <w:right w:val="nil"/>
            </w:tcBorders>
            <w:shd w:val="clear" w:color="auto" w:fill="auto"/>
            <w:noWrap/>
            <w:vAlign w:val="center"/>
            <w:hideMark/>
          </w:tcPr>
          <w:p w14:paraId="4544E17B" w14:textId="77777777" w:rsidR="00A22DAF" w:rsidRPr="00397F4D" w:rsidRDefault="00A22DAF" w:rsidP="00A22DAF">
            <w:pPr>
              <w:spacing w:after="0" w:line="240" w:lineRule="auto"/>
              <w:jc w:val="right"/>
              <w:rPr>
                <w:rFonts w:ascii="Arial" w:eastAsia="Times New Roman" w:hAnsi="Arial" w:cs="Arial"/>
                <w:sz w:val="20"/>
                <w:szCs w:val="20"/>
                <w:lang w:eastAsia="en-GB"/>
              </w:rPr>
            </w:pPr>
            <w:r w:rsidRPr="00397F4D">
              <w:rPr>
                <w:rFonts w:ascii="Arial" w:eastAsia="Times New Roman" w:hAnsi="Arial" w:cs="Arial"/>
                <w:sz w:val="20"/>
                <w:szCs w:val="20"/>
                <w:lang w:eastAsia="en-GB"/>
              </w:rPr>
              <w:t>Transfer</w:t>
            </w:r>
          </w:p>
        </w:tc>
        <w:tc>
          <w:tcPr>
            <w:tcW w:w="1556" w:type="dxa"/>
            <w:tcBorders>
              <w:top w:val="nil"/>
              <w:left w:val="nil"/>
              <w:bottom w:val="nil"/>
              <w:right w:val="nil"/>
            </w:tcBorders>
            <w:shd w:val="clear" w:color="auto" w:fill="auto"/>
            <w:vAlign w:val="center"/>
            <w:hideMark/>
          </w:tcPr>
          <w:p w14:paraId="7E8B1734" w14:textId="77777777" w:rsidR="00A22DAF" w:rsidRPr="00397F4D" w:rsidRDefault="00A22DAF" w:rsidP="00A22DAF">
            <w:pPr>
              <w:spacing w:after="0" w:line="240" w:lineRule="auto"/>
              <w:jc w:val="right"/>
              <w:rPr>
                <w:rFonts w:ascii="Arial" w:eastAsia="Times New Roman" w:hAnsi="Arial" w:cs="Arial"/>
                <w:b/>
                <w:bCs/>
                <w:sz w:val="20"/>
                <w:szCs w:val="20"/>
                <w:lang w:eastAsia="en-GB"/>
              </w:rPr>
            </w:pPr>
            <w:r w:rsidRPr="00397F4D">
              <w:rPr>
                <w:rFonts w:ascii="Arial" w:eastAsia="Times New Roman" w:hAnsi="Arial" w:cs="Arial"/>
                <w:b/>
                <w:bCs/>
                <w:sz w:val="20"/>
                <w:szCs w:val="20"/>
                <w:lang w:eastAsia="en-GB"/>
              </w:rPr>
              <w:t xml:space="preserve">At 31 August </w:t>
            </w:r>
            <w:r>
              <w:rPr>
                <w:rFonts w:ascii="Arial" w:eastAsia="Times New Roman" w:hAnsi="Arial" w:cs="Arial"/>
                <w:b/>
                <w:bCs/>
                <w:sz w:val="20"/>
                <w:szCs w:val="20"/>
                <w:lang w:eastAsia="en-GB"/>
              </w:rPr>
              <w:t>2020</w:t>
            </w:r>
          </w:p>
        </w:tc>
      </w:tr>
      <w:tr w:rsidR="00A22DAF" w:rsidRPr="00397F4D" w14:paraId="6185A64B" w14:textId="77777777" w:rsidTr="00A22DAF">
        <w:trPr>
          <w:gridAfter w:val="1"/>
          <w:wAfter w:w="637" w:type="dxa"/>
          <w:trHeight w:val="323"/>
        </w:trPr>
        <w:tc>
          <w:tcPr>
            <w:tcW w:w="2552" w:type="dxa"/>
            <w:tcBorders>
              <w:top w:val="nil"/>
              <w:left w:val="nil"/>
              <w:bottom w:val="single" w:sz="4" w:space="0" w:color="auto"/>
              <w:right w:val="nil"/>
            </w:tcBorders>
            <w:shd w:val="clear" w:color="auto" w:fill="auto"/>
            <w:noWrap/>
            <w:vAlign w:val="center"/>
            <w:hideMark/>
          </w:tcPr>
          <w:p w14:paraId="39F36F6F" w14:textId="77777777" w:rsidR="00A22DAF" w:rsidRPr="00397F4D" w:rsidRDefault="00C9032F" w:rsidP="00A22DAF">
            <w:pPr>
              <w:spacing w:after="0" w:line="240" w:lineRule="auto"/>
              <w:rPr>
                <w:rFonts w:ascii="Arial" w:eastAsia="Times New Roman" w:hAnsi="Arial" w:cs="Arial"/>
                <w:b/>
                <w:bCs/>
                <w:sz w:val="20"/>
                <w:szCs w:val="20"/>
                <w:lang w:eastAsia="en-GB"/>
              </w:rPr>
            </w:pPr>
            <w:r>
              <w:rPr>
                <w:rFonts w:ascii="Arial" w:eastAsia="Times New Roman" w:hAnsi="Arial" w:cs="Arial"/>
                <w:b/>
                <w:bCs/>
                <w:sz w:val="20"/>
                <w:szCs w:val="20"/>
                <w:lang w:eastAsia="en-GB"/>
              </w:rPr>
              <w:t>Company</w:t>
            </w:r>
          </w:p>
        </w:tc>
        <w:tc>
          <w:tcPr>
            <w:tcW w:w="1701" w:type="dxa"/>
            <w:gridSpan w:val="2"/>
            <w:tcBorders>
              <w:top w:val="nil"/>
              <w:left w:val="nil"/>
              <w:bottom w:val="single" w:sz="4" w:space="0" w:color="auto"/>
              <w:right w:val="nil"/>
            </w:tcBorders>
            <w:shd w:val="clear" w:color="auto" w:fill="auto"/>
            <w:noWrap/>
            <w:vAlign w:val="center"/>
            <w:hideMark/>
          </w:tcPr>
          <w:p w14:paraId="4B06B6D0" w14:textId="77777777" w:rsidR="00A22DAF" w:rsidRPr="00397F4D" w:rsidRDefault="00A22DAF" w:rsidP="00A22DAF">
            <w:pPr>
              <w:spacing w:after="0" w:line="240" w:lineRule="auto"/>
              <w:jc w:val="right"/>
              <w:rPr>
                <w:rFonts w:ascii="Arial" w:eastAsia="Times New Roman" w:hAnsi="Arial" w:cs="Arial"/>
                <w:sz w:val="20"/>
                <w:szCs w:val="20"/>
                <w:lang w:eastAsia="en-GB"/>
              </w:rPr>
            </w:pPr>
            <w:r w:rsidRPr="00397F4D">
              <w:rPr>
                <w:rFonts w:ascii="Arial" w:eastAsia="Times New Roman" w:hAnsi="Arial" w:cs="Arial"/>
                <w:sz w:val="20"/>
                <w:szCs w:val="20"/>
                <w:lang w:eastAsia="en-GB"/>
              </w:rPr>
              <w:t>£'000</w:t>
            </w:r>
          </w:p>
        </w:tc>
        <w:tc>
          <w:tcPr>
            <w:tcW w:w="1036" w:type="dxa"/>
            <w:tcBorders>
              <w:top w:val="nil"/>
              <w:left w:val="nil"/>
              <w:bottom w:val="single" w:sz="4" w:space="0" w:color="auto"/>
              <w:right w:val="nil"/>
            </w:tcBorders>
            <w:shd w:val="clear" w:color="auto" w:fill="auto"/>
            <w:noWrap/>
            <w:vAlign w:val="center"/>
            <w:hideMark/>
          </w:tcPr>
          <w:p w14:paraId="5BA019F6" w14:textId="77777777" w:rsidR="00A22DAF" w:rsidRPr="00397F4D" w:rsidRDefault="00A22DAF" w:rsidP="00A22DAF">
            <w:pPr>
              <w:spacing w:after="0" w:line="240" w:lineRule="auto"/>
              <w:jc w:val="right"/>
              <w:rPr>
                <w:rFonts w:ascii="Arial" w:eastAsia="Times New Roman" w:hAnsi="Arial" w:cs="Arial"/>
                <w:sz w:val="20"/>
                <w:szCs w:val="20"/>
                <w:lang w:eastAsia="en-GB"/>
              </w:rPr>
            </w:pPr>
            <w:r w:rsidRPr="00397F4D">
              <w:rPr>
                <w:rFonts w:ascii="Arial" w:eastAsia="Times New Roman" w:hAnsi="Arial" w:cs="Arial"/>
                <w:sz w:val="20"/>
                <w:szCs w:val="20"/>
                <w:lang w:eastAsia="en-GB"/>
              </w:rPr>
              <w:t>£'000</w:t>
            </w:r>
          </w:p>
        </w:tc>
        <w:tc>
          <w:tcPr>
            <w:tcW w:w="1196" w:type="dxa"/>
            <w:tcBorders>
              <w:top w:val="nil"/>
              <w:left w:val="nil"/>
              <w:bottom w:val="single" w:sz="4" w:space="0" w:color="auto"/>
              <w:right w:val="nil"/>
            </w:tcBorders>
            <w:shd w:val="clear" w:color="auto" w:fill="auto"/>
            <w:noWrap/>
            <w:vAlign w:val="center"/>
            <w:hideMark/>
          </w:tcPr>
          <w:p w14:paraId="2810C863" w14:textId="77777777" w:rsidR="00A22DAF" w:rsidRPr="00397F4D" w:rsidRDefault="00A22DAF" w:rsidP="00A22DAF">
            <w:pPr>
              <w:spacing w:after="0" w:line="240" w:lineRule="auto"/>
              <w:jc w:val="right"/>
              <w:rPr>
                <w:rFonts w:ascii="Arial" w:eastAsia="Times New Roman" w:hAnsi="Arial" w:cs="Arial"/>
                <w:sz w:val="20"/>
                <w:szCs w:val="20"/>
                <w:lang w:eastAsia="en-GB"/>
              </w:rPr>
            </w:pPr>
            <w:r w:rsidRPr="00397F4D">
              <w:rPr>
                <w:rFonts w:ascii="Arial" w:eastAsia="Times New Roman" w:hAnsi="Arial" w:cs="Arial"/>
                <w:sz w:val="20"/>
                <w:szCs w:val="20"/>
                <w:lang w:eastAsia="en-GB"/>
              </w:rPr>
              <w:t>£'000</w:t>
            </w:r>
          </w:p>
        </w:tc>
        <w:tc>
          <w:tcPr>
            <w:tcW w:w="1056" w:type="dxa"/>
            <w:tcBorders>
              <w:top w:val="nil"/>
              <w:left w:val="nil"/>
              <w:bottom w:val="single" w:sz="4" w:space="0" w:color="auto"/>
              <w:right w:val="nil"/>
            </w:tcBorders>
            <w:shd w:val="clear" w:color="auto" w:fill="auto"/>
            <w:noWrap/>
            <w:vAlign w:val="center"/>
            <w:hideMark/>
          </w:tcPr>
          <w:p w14:paraId="26E44586" w14:textId="77777777" w:rsidR="00A22DAF" w:rsidRPr="00397F4D" w:rsidRDefault="00A22DAF" w:rsidP="00A22DAF">
            <w:pPr>
              <w:spacing w:after="0" w:line="240" w:lineRule="auto"/>
              <w:jc w:val="right"/>
              <w:rPr>
                <w:rFonts w:ascii="Arial" w:eastAsia="Times New Roman" w:hAnsi="Arial" w:cs="Arial"/>
                <w:sz w:val="20"/>
                <w:szCs w:val="20"/>
                <w:lang w:eastAsia="en-GB"/>
              </w:rPr>
            </w:pPr>
            <w:r w:rsidRPr="00397F4D">
              <w:rPr>
                <w:rFonts w:ascii="Arial" w:eastAsia="Times New Roman" w:hAnsi="Arial" w:cs="Arial"/>
                <w:sz w:val="20"/>
                <w:szCs w:val="20"/>
                <w:lang w:eastAsia="en-GB"/>
              </w:rPr>
              <w:t>£'000</w:t>
            </w:r>
          </w:p>
        </w:tc>
        <w:tc>
          <w:tcPr>
            <w:tcW w:w="1556" w:type="dxa"/>
            <w:tcBorders>
              <w:top w:val="nil"/>
              <w:left w:val="nil"/>
              <w:bottom w:val="single" w:sz="4" w:space="0" w:color="auto"/>
              <w:right w:val="nil"/>
            </w:tcBorders>
            <w:shd w:val="clear" w:color="auto" w:fill="auto"/>
            <w:noWrap/>
            <w:vAlign w:val="center"/>
            <w:hideMark/>
          </w:tcPr>
          <w:p w14:paraId="1E4BEB11" w14:textId="77777777" w:rsidR="00A22DAF" w:rsidRPr="00397F4D" w:rsidRDefault="00A22DAF" w:rsidP="00A22DAF">
            <w:pPr>
              <w:spacing w:after="0" w:line="240" w:lineRule="auto"/>
              <w:jc w:val="right"/>
              <w:rPr>
                <w:rFonts w:ascii="Arial" w:eastAsia="Times New Roman" w:hAnsi="Arial" w:cs="Arial"/>
                <w:b/>
                <w:bCs/>
                <w:sz w:val="20"/>
                <w:szCs w:val="20"/>
                <w:lang w:eastAsia="en-GB"/>
              </w:rPr>
            </w:pPr>
            <w:r w:rsidRPr="00397F4D">
              <w:rPr>
                <w:rFonts w:ascii="Arial" w:eastAsia="Times New Roman" w:hAnsi="Arial" w:cs="Arial"/>
                <w:b/>
                <w:bCs/>
                <w:sz w:val="20"/>
                <w:szCs w:val="20"/>
                <w:lang w:eastAsia="en-GB"/>
              </w:rPr>
              <w:t>£'000</w:t>
            </w:r>
          </w:p>
        </w:tc>
      </w:tr>
      <w:tr w:rsidR="00A22DAF" w:rsidRPr="00397F4D" w14:paraId="109AA044" w14:textId="77777777" w:rsidTr="00A22DAF">
        <w:trPr>
          <w:gridAfter w:val="1"/>
          <w:wAfter w:w="637" w:type="dxa"/>
          <w:trHeight w:val="323"/>
        </w:trPr>
        <w:tc>
          <w:tcPr>
            <w:tcW w:w="2552" w:type="dxa"/>
            <w:tcBorders>
              <w:top w:val="nil"/>
              <w:left w:val="nil"/>
              <w:bottom w:val="nil"/>
              <w:right w:val="nil"/>
            </w:tcBorders>
            <w:shd w:val="clear" w:color="auto" w:fill="auto"/>
            <w:noWrap/>
            <w:vAlign w:val="center"/>
            <w:hideMark/>
          </w:tcPr>
          <w:p w14:paraId="5F497126" w14:textId="77777777" w:rsidR="00A22DAF" w:rsidRPr="00397F4D" w:rsidRDefault="00A22DAF" w:rsidP="00A22DAF">
            <w:pPr>
              <w:spacing w:after="0" w:line="240" w:lineRule="auto"/>
              <w:rPr>
                <w:rFonts w:ascii="Arial" w:eastAsia="Times New Roman" w:hAnsi="Arial" w:cs="Arial"/>
                <w:sz w:val="20"/>
                <w:szCs w:val="20"/>
                <w:lang w:eastAsia="en-GB"/>
              </w:rPr>
            </w:pPr>
            <w:r w:rsidRPr="00397F4D">
              <w:rPr>
                <w:rFonts w:ascii="Arial" w:eastAsia="Times New Roman" w:hAnsi="Arial" w:cs="Arial"/>
                <w:sz w:val="20"/>
                <w:szCs w:val="20"/>
                <w:lang w:eastAsia="en-GB"/>
              </w:rPr>
              <w:t>Designated funds:</w:t>
            </w:r>
          </w:p>
        </w:tc>
        <w:tc>
          <w:tcPr>
            <w:tcW w:w="1701" w:type="dxa"/>
            <w:gridSpan w:val="2"/>
            <w:tcBorders>
              <w:top w:val="nil"/>
              <w:left w:val="nil"/>
              <w:bottom w:val="nil"/>
              <w:right w:val="nil"/>
            </w:tcBorders>
            <w:shd w:val="clear" w:color="auto" w:fill="auto"/>
            <w:noWrap/>
            <w:vAlign w:val="center"/>
            <w:hideMark/>
          </w:tcPr>
          <w:p w14:paraId="1F8699D8" w14:textId="77777777" w:rsidR="00A22DAF" w:rsidRPr="00397F4D" w:rsidRDefault="00A22DAF" w:rsidP="00A22DAF">
            <w:pPr>
              <w:spacing w:after="0" w:line="240" w:lineRule="auto"/>
              <w:jc w:val="right"/>
              <w:rPr>
                <w:rFonts w:ascii="Arial" w:eastAsia="Times New Roman" w:hAnsi="Arial" w:cs="Arial"/>
                <w:sz w:val="20"/>
                <w:szCs w:val="20"/>
                <w:lang w:eastAsia="en-GB"/>
              </w:rPr>
            </w:pPr>
          </w:p>
        </w:tc>
        <w:tc>
          <w:tcPr>
            <w:tcW w:w="1036" w:type="dxa"/>
            <w:tcBorders>
              <w:top w:val="nil"/>
              <w:left w:val="nil"/>
              <w:bottom w:val="nil"/>
              <w:right w:val="nil"/>
            </w:tcBorders>
            <w:shd w:val="clear" w:color="auto" w:fill="auto"/>
            <w:noWrap/>
            <w:vAlign w:val="center"/>
            <w:hideMark/>
          </w:tcPr>
          <w:p w14:paraId="09C8C18C" w14:textId="77777777" w:rsidR="00A22DAF" w:rsidRPr="00397F4D" w:rsidRDefault="00A22DAF" w:rsidP="00A22DAF">
            <w:pPr>
              <w:spacing w:after="0" w:line="240" w:lineRule="auto"/>
              <w:jc w:val="right"/>
              <w:rPr>
                <w:rFonts w:ascii="Times New Roman" w:eastAsia="Times New Roman" w:hAnsi="Times New Roman" w:cs="Times New Roman"/>
                <w:sz w:val="20"/>
                <w:szCs w:val="20"/>
                <w:lang w:eastAsia="en-GB"/>
              </w:rPr>
            </w:pPr>
          </w:p>
        </w:tc>
        <w:tc>
          <w:tcPr>
            <w:tcW w:w="1196" w:type="dxa"/>
            <w:tcBorders>
              <w:top w:val="nil"/>
              <w:left w:val="nil"/>
              <w:bottom w:val="nil"/>
              <w:right w:val="nil"/>
            </w:tcBorders>
            <w:shd w:val="clear" w:color="auto" w:fill="auto"/>
            <w:noWrap/>
            <w:vAlign w:val="center"/>
            <w:hideMark/>
          </w:tcPr>
          <w:p w14:paraId="75B5D5AC" w14:textId="77777777" w:rsidR="00A22DAF" w:rsidRPr="00397F4D" w:rsidRDefault="00A22DAF" w:rsidP="00A22DAF">
            <w:pPr>
              <w:spacing w:after="0" w:line="240" w:lineRule="auto"/>
              <w:jc w:val="right"/>
              <w:rPr>
                <w:rFonts w:ascii="Times New Roman" w:eastAsia="Times New Roman" w:hAnsi="Times New Roman" w:cs="Times New Roman"/>
                <w:sz w:val="20"/>
                <w:szCs w:val="20"/>
                <w:lang w:eastAsia="en-GB"/>
              </w:rPr>
            </w:pPr>
          </w:p>
        </w:tc>
        <w:tc>
          <w:tcPr>
            <w:tcW w:w="1056" w:type="dxa"/>
            <w:tcBorders>
              <w:top w:val="nil"/>
              <w:left w:val="nil"/>
              <w:bottom w:val="nil"/>
              <w:right w:val="nil"/>
            </w:tcBorders>
            <w:shd w:val="clear" w:color="auto" w:fill="auto"/>
            <w:noWrap/>
            <w:vAlign w:val="center"/>
            <w:hideMark/>
          </w:tcPr>
          <w:p w14:paraId="5BD32211" w14:textId="77777777" w:rsidR="00A22DAF" w:rsidRPr="00397F4D" w:rsidRDefault="00A22DAF" w:rsidP="00A22DAF">
            <w:pPr>
              <w:spacing w:after="0" w:line="240" w:lineRule="auto"/>
              <w:jc w:val="right"/>
              <w:rPr>
                <w:rFonts w:ascii="Times New Roman" w:eastAsia="Times New Roman" w:hAnsi="Times New Roman" w:cs="Times New Roman"/>
                <w:sz w:val="20"/>
                <w:szCs w:val="20"/>
                <w:lang w:eastAsia="en-GB"/>
              </w:rPr>
            </w:pPr>
          </w:p>
        </w:tc>
        <w:tc>
          <w:tcPr>
            <w:tcW w:w="1556" w:type="dxa"/>
            <w:tcBorders>
              <w:top w:val="nil"/>
              <w:left w:val="nil"/>
              <w:bottom w:val="nil"/>
              <w:right w:val="nil"/>
            </w:tcBorders>
            <w:shd w:val="clear" w:color="auto" w:fill="auto"/>
            <w:noWrap/>
            <w:vAlign w:val="center"/>
            <w:hideMark/>
          </w:tcPr>
          <w:p w14:paraId="4DCEC64F" w14:textId="77777777" w:rsidR="00A22DAF" w:rsidRPr="00397F4D" w:rsidRDefault="00A22DAF" w:rsidP="00A22DAF">
            <w:pPr>
              <w:spacing w:after="0" w:line="240" w:lineRule="auto"/>
              <w:jc w:val="right"/>
              <w:rPr>
                <w:rFonts w:ascii="Times New Roman" w:eastAsia="Times New Roman" w:hAnsi="Times New Roman" w:cs="Times New Roman"/>
                <w:sz w:val="20"/>
                <w:szCs w:val="20"/>
                <w:lang w:eastAsia="en-GB"/>
              </w:rPr>
            </w:pPr>
          </w:p>
        </w:tc>
      </w:tr>
      <w:tr w:rsidR="00A22DAF" w:rsidRPr="00543D10" w14:paraId="0AF464F7" w14:textId="77777777" w:rsidTr="00A22DAF">
        <w:trPr>
          <w:gridAfter w:val="1"/>
          <w:wAfter w:w="637" w:type="dxa"/>
          <w:trHeight w:val="323"/>
        </w:trPr>
        <w:tc>
          <w:tcPr>
            <w:tcW w:w="2552" w:type="dxa"/>
            <w:tcBorders>
              <w:top w:val="nil"/>
              <w:left w:val="nil"/>
              <w:bottom w:val="single" w:sz="4" w:space="0" w:color="auto"/>
              <w:right w:val="nil"/>
            </w:tcBorders>
            <w:shd w:val="clear" w:color="auto" w:fill="auto"/>
            <w:noWrap/>
            <w:vAlign w:val="center"/>
            <w:hideMark/>
          </w:tcPr>
          <w:p w14:paraId="170302D5" w14:textId="77777777" w:rsidR="00A22DAF" w:rsidRPr="00543D10" w:rsidRDefault="00A22DAF" w:rsidP="00A22DAF">
            <w:pPr>
              <w:spacing w:after="0" w:line="240" w:lineRule="auto"/>
              <w:rPr>
                <w:rFonts w:ascii="Arial" w:eastAsia="Times New Roman" w:hAnsi="Arial" w:cs="Arial"/>
                <w:sz w:val="20"/>
                <w:szCs w:val="20"/>
                <w:lang w:eastAsia="en-GB"/>
              </w:rPr>
            </w:pPr>
            <w:r w:rsidRPr="00543D10">
              <w:rPr>
                <w:rFonts w:ascii="Arial" w:eastAsia="Times New Roman" w:hAnsi="Arial" w:cs="Arial"/>
                <w:sz w:val="20"/>
                <w:szCs w:val="20"/>
                <w:lang w:eastAsia="en-GB"/>
              </w:rPr>
              <w:t>Fixed assets fund</w:t>
            </w:r>
          </w:p>
        </w:tc>
        <w:tc>
          <w:tcPr>
            <w:tcW w:w="1701" w:type="dxa"/>
            <w:gridSpan w:val="2"/>
            <w:tcBorders>
              <w:top w:val="nil"/>
              <w:left w:val="nil"/>
              <w:bottom w:val="single" w:sz="4" w:space="0" w:color="auto"/>
              <w:right w:val="nil"/>
            </w:tcBorders>
            <w:shd w:val="clear" w:color="auto" w:fill="auto"/>
            <w:noWrap/>
            <w:vAlign w:val="center"/>
            <w:hideMark/>
          </w:tcPr>
          <w:p w14:paraId="69906CB5" w14:textId="77777777" w:rsidR="00A22DAF" w:rsidRPr="0039438F" w:rsidRDefault="00A22DAF" w:rsidP="00A22DAF">
            <w:pPr>
              <w:spacing w:after="0" w:line="240" w:lineRule="auto"/>
              <w:jc w:val="right"/>
              <w:rPr>
                <w:rFonts w:ascii="Arial" w:eastAsia="Times New Roman" w:hAnsi="Arial" w:cs="Arial"/>
                <w:sz w:val="20"/>
                <w:szCs w:val="20"/>
                <w:lang w:eastAsia="en-GB"/>
              </w:rPr>
            </w:pPr>
            <w:r>
              <w:rPr>
                <w:rFonts w:ascii="Arial" w:eastAsia="Times New Roman" w:hAnsi="Arial" w:cs="Arial"/>
                <w:bCs/>
                <w:sz w:val="20"/>
                <w:szCs w:val="20"/>
                <w:lang w:eastAsia="en-GB"/>
              </w:rPr>
              <w:t>1,528</w:t>
            </w:r>
          </w:p>
        </w:tc>
        <w:tc>
          <w:tcPr>
            <w:tcW w:w="1036" w:type="dxa"/>
            <w:tcBorders>
              <w:top w:val="nil"/>
              <w:left w:val="nil"/>
              <w:bottom w:val="single" w:sz="4" w:space="0" w:color="auto"/>
              <w:right w:val="nil"/>
            </w:tcBorders>
            <w:shd w:val="clear" w:color="auto" w:fill="auto"/>
            <w:noWrap/>
            <w:vAlign w:val="center"/>
          </w:tcPr>
          <w:p w14:paraId="64A758F5" w14:textId="77777777" w:rsidR="00A22DAF" w:rsidRPr="00543D10" w:rsidRDefault="004D5B54" w:rsidP="00A22DAF">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104</w:t>
            </w:r>
          </w:p>
        </w:tc>
        <w:tc>
          <w:tcPr>
            <w:tcW w:w="1196" w:type="dxa"/>
            <w:tcBorders>
              <w:top w:val="nil"/>
              <w:left w:val="nil"/>
              <w:bottom w:val="single" w:sz="4" w:space="0" w:color="auto"/>
              <w:right w:val="nil"/>
            </w:tcBorders>
            <w:shd w:val="clear" w:color="auto" w:fill="auto"/>
            <w:noWrap/>
            <w:vAlign w:val="center"/>
          </w:tcPr>
          <w:p w14:paraId="030C9CDA" w14:textId="77777777" w:rsidR="00A22DAF" w:rsidRPr="00543D10" w:rsidRDefault="004D5B54" w:rsidP="00A22DAF">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(326)</w:t>
            </w:r>
          </w:p>
        </w:tc>
        <w:tc>
          <w:tcPr>
            <w:tcW w:w="1056" w:type="dxa"/>
            <w:tcBorders>
              <w:top w:val="nil"/>
              <w:left w:val="nil"/>
              <w:bottom w:val="single" w:sz="4" w:space="0" w:color="auto"/>
              <w:right w:val="nil"/>
            </w:tcBorders>
            <w:shd w:val="clear" w:color="auto" w:fill="auto"/>
            <w:noWrap/>
            <w:vAlign w:val="center"/>
          </w:tcPr>
          <w:p w14:paraId="15EA159D" w14:textId="77777777" w:rsidR="00A22DAF" w:rsidRPr="00543D10" w:rsidRDefault="004D5B54" w:rsidP="00A22DAF">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w:t>
            </w:r>
          </w:p>
        </w:tc>
        <w:tc>
          <w:tcPr>
            <w:tcW w:w="1556" w:type="dxa"/>
            <w:tcBorders>
              <w:top w:val="nil"/>
              <w:left w:val="nil"/>
              <w:bottom w:val="single" w:sz="4" w:space="0" w:color="auto"/>
              <w:right w:val="nil"/>
            </w:tcBorders>
            <w:shd w:val="clear" w:color="auto" w:fill="auto"/>
            <w:noWrap/>
            <w:vAlign w:val="center"/>
          </w:tcPr>
          <w:p w14:paraId="504BE747" w14:textId="77777777" w:rsidR="00A22DAF" w:rsidRPr="00543D10" w:rsidRDefault="004D5B54" w:rsidP="00A22DAF">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1,306</w:t>
            </w:r>
          </w:p>
        </w:tc>
      </w:tr>
      <w:tr w:rsidR="00A22DAF" w:rsidRPr="00543D10" w14:paraId="46161278" w14:textId="77777777" w:rsidTr="00A22DAF">
        <w:trPr>
          <w:gridAfter w:val="1"/>
          <w:wAfter w:w="637" w:type="dxa"/>
          <w:trHeight w:val="323"/>
        </w:trPr>
        <w:tc>
          <w:tcPr>
            <w:tcW w:w="2552" w:type="dxa"/>
            <w:tcBorders>
              <w:top w:val="nil"/>
              <w:left w:val="nil"/>
              <w:bottom w:val="nil"/>
              <w:right w:val="nil"/>
            </w:tcBorders>
            <w:shd w:val="clear" w:color="auto" w:fill="auto"/>
            <w:noWrap/>
            <w:vAlign w:val="center"/>
            <w:hideMark/>
          </w:tcPr>
          <w:p w14:paraId="5CD206DC" w14:textId="77777777" w:rsidR="00A22DAF" w:rsidRPr="00543D10" w:rsidRDefault="00A22DAF" w:rsidP="00A22DAF">
            <w:pPr>
              <w:spacing w:after="0" w:line="240" w:lineRule="auto"/>
              <w:rPr>
                <w:rFonts w:ascii="Arial" w:eastAsia="Times New Roman" w:hAnsi="Arial" w:cs="Arial"/>
                <w:sz w:val="20"/>
                <w:szCs w:val="20"/>
                <w:lang w:eastAsia="en-GB"/>
              </w:rPr>
            </w:pPr>
            <w:r w:rsidRPr="00543D10">
              <w:rPr>
                <w:rFonts w:ascii="Arial" w:eastAsia="Times New Roman" w:hAnsi="Arial" w:cs="Arial"/>
                <w:sz w:val="20"/>
                <w:szCs w:val="20"/>
                <w:lang w:eastAsia="en-GB"/>
              </w:rPr>
              <w:t>Total designated funds</w:t>
            </w:r>
          </w:p>
        </w:tc>
        <w:tc>
          <w:tcPr>
            <w:tcW w:w="1701" w:type="dxa"/>
            <w:gridSpan w:val="2"/>
            <w:tcBorders>
              <w:top w:val="nil"/>
              <w:left w:val="nil"/>
              <w:bottom w:val="nil"/>
              <w:right w:val="nil"/>
            </w:tcBorders>
            <w:shd w:val="clear" w:color="auto" w:fill="auto"/>
            <w:noWrap/>
            <w:vAlign w:val="center"/>
            <w:hideMark/>
          </w:tcPr>
          <w:p w14:paraId="005E096E" w14:textId="77777777" w:rsidR="00A22DAF" w:rsidRPr="0039438F" w:rsidRDefault="00A22DAF" w:rsidP="00A22DAF">
            <w:pPr>
              <w:spacing w:after="0" w:line="240" w:lineRule="auto"/>
              <w:jc w:val="right"/>
              <w:rPr>
                <w:rFonts w:ascii="Arial" w:eastAsia="Times New Roman" w:hAnsi="Arial" w:cs="Arial"/>
                <w:sz w:val="20"/>
                <w:szCs w:val="20"/>
                <w:lang w:eastAsia="en-GB"/>
              </w:rPr>
            </w:pPr>
            <w:r>
              <w:rPr>
                <w:rFonts w:ascii="Arial" w:eastAsia="Times New Roman" w:hAnsi="Arial" w:cs="Arial"/>
                <w:bCs/>
                <w:sz w:val="20"/>
                <w:szCs w:val="20"/>
                <w:lang w:eastAsia="en-GB"/>
              </w:rPr>
              <w:t>1,528</w:t>
            </w:r>
          </w:p>
        </w:tc>
        <w:tc>
          <w:tcPr>
            <w:tcW w:w="1036" w:type="dxa"/>
            <w:tcBorders>
              <w:top w:val="nil"/>
              <w:left w:val="nil"/>
              <w:bottom w:val="nil"/>
              <w:right w:val="nil"/>
            </w:tcBorders>
            <w:shd w:val="clear" w:color="auto" w:fill="auto"/>
            <w:noWrap/>
            <w:vAlign w:val="center"/>
          </w:tcPr>
          <w:p w14:paraId="329C7CD4" w14:textId="77777777" w:rsidR="00A22DAF" w:rsidRPr="00543D10" w:rsidRDefault="004D5B54" w:rsidP="00A22DAF">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104</w:t>
            </w:r>
          </w:p>
        </w:tc>
        <w:tc>
          <w:tcPr>
            <w:tcW w:w="1196" w:type="dxa"/>
            <w:tcBorders>
              <w:top w:val="nil"/>
              <w:left w:val="nil"/>
              <w:bottom w:val="nil"/>
              <w:right w:val="nil"/>
            </w:tcBorders>
            <w:shd w:val="clear" w:color="auto" w:fill="auto"/>
            <w:noWrap/>
            <w:vAlign w:val="center"/>
          </w:tcPr>
          <w:p w14:paraId="386DAFE1" w14:textId="77777777" w:rsidR="00A22DAF" w:rsidRPr="00543D10" w:rsidRDefault="004D5B54" w:rsidP="00A22DAF">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(326)</w:t>
            </w:r>
          </w:p>
        </w:tc>
        <w:tc>
          <w:tcPr>
            <w:tcW w:w="1056" w:type="dxa"/>
            <w:tcBorders>
              <w:top w:val="nil"/>
              <w:left w:val="nil"/>
              <w:bottom w:val="nil"/>
              <w:right w:val="nil"/>
            </w:tcBorders>
            <w:shd w:val="clear" w:color="auto" w:fill="auto"/>
            <w:noWrap/>
            <w:vAlign w:val="center"/>
          </w:tcPr>
          <w:p w14:paraId="63010AF3" w14:textId="77777777" w:rsidR="00A22DAF" w:rsidRPr="00543D10" w:rsidRDefault="004D5B54" w:rsidP="00A22DAF">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w:t>
            </w:r>
          </w:p>
        </w:tc>
        <w:tc>
          <w:tcPr>
            <w:tcW w:w="1556" w:type="dxa"/>
            <w:tcBorders>
              <w:top w:val="nil"/>
              <w:left w:val="nil"/>
              <w:bottom w:val="nil"/>
              <w:right w:val="nil"/>
            </w:tcBorders>
            <w:shd w:val="clear" w:color="auto" w:fill="auto"/>
            <w:noWrap/>
            <w:vAlign w:val="center"/>
          </w:tcPr>
          <w:p w14:paraId="3A0DFFAB" w14:textId="77777777" w:rsidR="00A22DAF" w:rsidRPr="00543D10" w:rsidRDefault="004D5B54" w:rsidP="00A22DAF">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1,306</w:t>
            </w:r>
          </w:p>
        </w:tc>
      </w:tr>
      <w:tr w:rsidR="00A22DAF" w:rsidRPr="00543D10" w14:paraId="411DE65A" w14:textId="77777777" w:rsidTr="00A22DAF">
        <w:trPr>
          <w:gridAfter w:val="1"/>
          <w:wAfter w:w="637" w:type="dxa"/>
          <w:trHeight w:val="323"/>
        </w:trPr>
        <w:tc>
          <w:tcPr>
            <w:tcW w:w="2552" w:type="dxa"/>
            <w:tcBorders>
              <w:top w:val="nil"/>
              <w:left w:val="nil"/>
              <w:bottom w:val="single" w:sz="4" w:space="0" w:color="auto"/>
              <w:right w:val="nil"/>
            </w:tcBorders>
            <w:shd w:val="clear" w:color="auto" w:fill="auto"/>
            <w:noWrap/>
            <w:vAlign w:val="center"/>
            <w:hideMark/>
          </w:tcPr>
          <w:p w14:paraId="57CF6D25" w14:textId="77777777" w:rsidR="00A22DAF" w:rsidRPr="00543D10" w:rsidRDefault="00A22DAF" w:rsidP="00A22DAF">
            <w:pPr>
              <w:spacing w:after="0" w:line="240" w:lineRule="auto"/>
              <w:rPr>
                <w:rFonts w:ascii="Arial" w:eastAsia="Times New Roman" w:hAnsi="Arial" w:cs="Arial"/>
                <w:sz w:val="20"/>
                <w:szCs w:val="20"/>
                <w:lang w:eastAsia="en-GB"/>
              </w:rPr>
            </w:pPr>
            <w:r w:rsidRPr="00543D10">
              <w:rPr>
                <w:rFonts w:ascii="Arial" w:eastAsia="Times New Roman" w:hAnsi="Arial" w:cs="Arial"/>
                <w:sz w:val="20"/>
                <w:szCs w:val="20"/>
                <w:lang w:eastAsia="en-GB"/>
              </w:rPr>
              <w:t>General funds</w:t>
            </w:r>
          </w:p>
        </w:tc>
        <w:tc>
          <w:tcPr>
            <w:tcW w:w="1701" w:type="dxa"/>
            <w:gridSpan w:val="2"/>
            <w:tcBorders>
              <w:top w:val="nil"/>
              <w:left w:val="nil"/>
              <w:bottom w:val="single" w:sz="4" w:space="0" w:color="auto"/>
              <w:right w:val="nil"/>
            </w:tcBorders>
            <w:shd w:val="clear" w:color="auto" w:fill="auto"/>
            <w:noWrap/>
            <w:vAlign w:val="center"/>
            <w:hideMark/>
          </w:tcPr>
          <w:p w14:paraId="4B9AFF54" w14:textId="77777777" w:rsidR="00A22DAF" w:rsidRPr="0039438F" w:rsidRDefault="00A22DAF" w:rsidP="00A22DAF">
            <w:pPr>
              <w:spacing w:after="0" w:line="240" w:lineRule="auto"/>
              <w:jc w:val="right"/>
              <w:rPr>
                <w:rFonts w:ascii="Arial" w:eastAsia="Times New Roman" w:hAnsi="Arial" w:cs="Arial"/>
                <w:sz w:val="20"/>
                <w:szCs w:val="20"/>
                <w:lang w:eastAsia="en-GB"/>
              </w:rPr>
            </w:pPr>
            <w:r>
              <w:rPr>
                <w:rFonts w:ascii="Arial" w:eastAsia="Times New Roman" w:hAnsi="Arial" w:cs="Arial"/>
                <w:bCs/>
                <w:sz w:val="20"/>
                <w:szCs w:val="20"/>
                <w:lang w:eastAsia="en-GB"/>
              </w:rPr>
              <w:t>20,612</w:t>
            </w:r>
          </w:p>
        </w:tc>
        <w:tc>
          <w:tcPr>
            <w:tcW w:w="1036" w:type="dxa"/>
            <w:tcBorders>
              <w:top w:val="nil"/>
              <w:left w:val="nil"/>
              <w:bottom w:val="single" w:sz="4" w:space="0" w:color="auto"/>
              <w:right w:val="nil"/>
            </w:tcBorders>
            <w:shd w:val="clear" w:color="auto" w:fill="auto"/>
            <w:noWrap/>
            <w:vAlign w:val="center"/>
          </w:tcPr>
          <w:p w14:paraId="14422005" w14:textId="77777777" w:rsidR="00A22DAF" w:rsidRPr="00543D10" w:rsidRDefault="00C03131" w:rsidP="00A22DAF">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41,180</w:t>
            </w:r>
          </w:p>
        </w:tc>
        <w:tc>
          <w:tcPr>
            <w:tcW w:w="1196" w:type="dxa"/>
            <w:tcBorders>
              <w:top w:val="nil"/>
              <w:left w:val="nil"/>
              <w:bottom w:val="single" w:sz="4" w:space="0" w:color="auto"/>
              <w:right w:val="nil"/>
            </w:tcBorders>
            <w:shd w:val="clear" w:color="auto" w:fill="auto"/>
            <w:noWrap/>
            <w:vAlign w:val="center"/>
          </w:tcPr>
          <w:p w14:paraId="47D325E0" w14:textId="77777777" w:rsidR="00A22DAF" w:rsidRPr="00543D10" w:rsidRDefault="004D5B54" w:rsidP="00A22DAF">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(47,</w:t>
            </w:r>
            <w:r w:rsidR="00C03131">
              <w:rPr>
                <w:rFonts w:ascii="Arial" w:eastAsia="Times New Roman" w:hAnsi="Arial" w:cs="Arial"/>
                <w:sz w:val="20"/>
                <w:szCs w:val="20"/>
                <w:lang w:eastAsia="en-GB"/>
              </w:rPr>
              <w:t>014</w:t>
            </w:r>
            <w:r>
              <w:rPr>
                <w:rFonts w:ascii="Arial" w:eastAsia="Times New Roman" w:hAnsi="Arial" w:cs="Arial"/>
                <w:sz w:val="20"/>
                <w:szCs w:val="20"/>
                <w:lang w:eastAsia="en-GB"/>
              </w:rPr>
              <w:t>)</w:t>
            </w:r>
          </w:p>
        </w:tc>
        <w:tc>
          <w:tcPr>
            <w:tcW w:w="1056" w:type="dxa"/>
            <w:tcBorders>
              <w:top w:val="nil"/>
              <w:left w:val="nil"/>
              <w:bottom w:val="single" w:sz="4" w:space="0" w:color="auto"/>
              <w:right w:val="nil"/>
            </w:tcBorders>
            <w:shd w:val="clear" w:color="auto" w:fill="auto"/>
            <w:noWrap/>
            <w:vAlign w:val="center"/>
          </w:tcPr>
          <w:p w14:paraId="0A60D5D9" w14:textId="77777777" w:rsidR="00A22DAF" w:rsidRPr="00543D10" w:rsidRDefault="004D5B54" w:rsidP="00A22DAF">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(353)</w:t>
            </w:r>
          </w:p>
        </w:tc>
        <w:tc>
          <w:tcPr>
            <w:tcW w:w="1556" w:type="dxa"/>
            <w:tcBorders>
              <w:top w:val="nil"/>
              <w:left w:val="nil"/>
              <w:bottom w:val="single" w:sz="4" w:space="0" w:color="auto"/>
              <w:right w:val="nil"/>
            </w:tcBorders>
            <w:shd w:val="clear" w:color="auto" w:fill="auto"/>
            <w:noWrap/>
            <w:vAlign w:val="center"/>
          </w:tcPr>
          <w:p w14:paraId="3FF8A6A5" w14:textId="77777777" w:rsidR="00A22DAF" w:rsidRPr="00543D10" w:rsidRDefault="00C03131" w:rsidP="00C03131">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14,425</w:t>
            </w:r>
          </w:p>
        </w:tc>
      </w:tr>
      <w:tr w:rsidR="00A22DAF" w:rsidRPr="00543D10" w14:paraId="1D0144E0" w14:textId="77777777" w:rsidTr="00A22DAF">
        <w:trPr>
          <w:gridAfter w:val="1"/>
          <w:wAfter w:w="637" w:type="dxa"/>
          <w:trHeight w:val="840"/>
        </w:trPr>
        <w:tc>
          <w:tcPr>
            <w:tcW w:w="2552" w:type="dxa"/>
            <w:tcBorders>
              <w:top w:val="nil"/>
              <w:left w:val="nil"/>
              <w:bottom w:val="nil"/>
              <w:right w:val="nil"/>
            </w:tcBorders>
            <w:shd w:val="clear" w:color="auto" w:fill="auto"/>
            <w:vAlign w:val="center"/>
            <w:hideMark/>
          </w:tcPr>
          <w:p w14:paraId="331ADF71" w14:textId="77777777" w:rsidR="00A22DAF" w:rsidRPr="00543D10" w:rsidRDefault="00A22DAF" w:rsidP="00A22DAF">
            <w:pPr>
              <w:spacing w:after="0" w:line="240" w:lineRule="auto"/>
              <w:rPr>
                <w:rFonts w:ascii="Arial" w:eastAsia="Times New Roman" w:hAnsi="Arial" w:cs="Arial"/>
                <w:sz w:val="20"/>
                <w:szCs w:val="20"/>
                <w:lang w:eastAsia="en-GB"/>
              </w:rPr>
            </w:pPr>
          </w:p>
          <w:p w14:paraId="28FAB63D" w14:textId="77777777" w:rsidR="00A22DAF" w:rsidRPr="00543D10" w:rsidRDefault="00A22DAF" w:rsidP="00A22DAF">
            <w:pPr>
              <w:spacing w:after="0" w:line="240" w:lineRule="auto"/>
              <w:rPr>
                <w:rFonts w:ascii="Arial" w:eastAsia="Times New Roman" w:hAnsi="Arial" w:cs="Arial"/>
                <w:sz w:val="20"/>
                <w:szCs w:val="20"/>
                <w:lang w:eastAsia="en-GB"/>
              </w:rPr>
            </w:pPr>
            <w:r w:rsidRPr="00543D10">
              <w:rPr>
                <w:rFonts w:ascii="Arial" w:eastAsia="Times New Roman" w:hAnsi="Arial" w:cs="Arial"/>
                <w:sz w:val="20"/>
                <w:szCs w:val="20"/>
                <w:lang w:eastAsia="en-GB"/>
              </w:rPr>
              <w:t xml:space="preserve">Total unrestricted funds before pension surplus / (deficit) </w:t>
            </w:r>
          </w:p>
        </w:tc>
        <w:tc>
          <w:tcPr>
            <w:tcW w:w="1701" w:type="dxa"/>
            <w:gridSpan w:val="2"/>
            <w:tcBorders>
              <w:top w:val="nil"/>
              <w:left w:val="nil"/>
              <w:bottom w:val="nil"/>
              <w:right w:val="nil"/>
            </w:tcBorders>
            <w:shd w:val="clear" w:color="auto" w:fill="auto"/>
            <w:noWrap/>
            <w:vAlign w:val="bottom"/>
            <w:hideMark/>
          </w:tcPr>
          <w:p w14:paraId="352E00E0" w14:textId="77777777" w:rsidR="00A22DAF" w:rsidRPr="0039438F" w:rsidRDefault="00A22DAF" w:rsidP="00A22DAF">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22,140</w:t>
            </w:r>
          </w:p>
        </w:tc>
        <w:tc>
          <w:tcPr>
            <w:tcW w:w="1036" w:type="dxa"/>
            <w:tcBorders>
              <w:top w:val="nil"/>
              <w:left w:val="nil"/>
              <w:bottom w:val="nil"/>
              <w:right w:val="nil"/>
            </w:tcBorders>
            <w:shd w:val="clear" w:color="auto" w:fill="auto"/>
            <w:noWrap/>
            <w:vAlign w:val="bottom"/>
          </w:tcPr>
          <w:p w14:paraId="40E46C7D" w14:textId="77777777" w:rsidR="00A22DAF" w:rsidRPr="00543D10" w:rsidRDefault="00C03131" w:rsidP="00C03131">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41,284</w:t>
            </w:r>
          </w:p>
        </w:tc>
        <w:tc>
          <w:tcPr>
            <w:tcW w:w="1196" w:type="dxa"/>
            <w:tcBorders>
              <w:top w:val="nil"/>
              <w:left w:val="nil"/>
              <w:bottom w:val="nil"/>
              <w:right w:val="nil"/>
            </w:tcBorders>
            <w:shd w:val="clear" w:color="auto" w:fill="auto"/>
            <w:noWrap/>
            <w:vAlign w:val="bottom"/>
          </w:tcPr>
          <w:p w14:paraId="1622CC75" w14:textId="77777777" w:rsidR="00A22DAF" w:rsidRPr="00543D10" w:rsidRDefault="00206926" w:rsidP="00A22DAF">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(47</w:t>
            </w:r>
            <w:r w:rsidR="00C03131">
              <w:rPr>
                <w:rFonts w:ascii="Arial" w:eastAsia="Times New Roman" w:hAnsi="Arial" w:cs="Arial"/>
                <w:sz w:val="20"/>
                <w:szCs w:val="20"/>
                <w:lang w:eastAsia="en-GB"/>
              </w:rPr>
              <w:t>,340</w:t>
            </w:r>
            <w:r w:rsidR="004D5B54">
              <w:rPr>
                <w:rFonts w:ascii="Arial" w:eastAsia="Times New Roman" w:hAnsi="Arial" w:cs="Arial"/>
                <w:sz w:val="20"/>
                <w:szCs w:val="20"/>
                <w:lang w:eastAsia="en-GB"/>
              </w:rPr>
              <w:t>)</w:t>
            </w:r>
          </w:p>
        </w:tc>
        <w:tc>
          <w:tcPr>
            <w:tcW w:w="1056" w:type="dxa"/>
            <w:tcBorders>
              <w:top w:val="nil"/>
              <w:left w:val="nil"/>
              <w:bottom w:val="nil"/>
              <w:right w:val="nil"/>
            </w:tcBorders>
            <w:shd w:val="clear" w:color="auto" w:fill="auto"/>
            <w:noWrap/>
            <w:vAlign w:val="bottom"/>
          </w:tcPr>
          <w:p w14:paraId="500A5E33" w14:textId="77777777" w:rsidR="00A22DAF" w:rsidRPr="00543D10" w:rsidRDefault="004D5B54" w:rsidP="0069798A">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(353)</w:t>
            </w:r>
          </w:p>
        </w:tc>
        <w:tc>
          <w:tcPr>
            <w:tcW w:w="1556" w:type="dxa"/>
            <w:tcBorders>
              <w:top w:val="nil"/>
              <w:left w:val="nil"/>
              <w:bottom w:val="nil"/>
              <w:right w:val="nil"/>
            </w:tcBorders>
            <w:shd w:val="clear" w:color="auto" w:fill="auto"/>
            <w:noWrap/>
            <w:vAlign w:val="bottom"/>
          </w:tcPr>
          <w:p w14:paraId="38CC9F1F" w14:textId="77777777" w:rsidR="00A22DAF" w:rsidRPr="00543D10" w:rsidRDefault="008D359C">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15,</w:t>
            </w:r>
            <w:r w:rsidR="00C03131">
              <w:rPr>
                <w:rFonts w:ascii="Arial" w:eastAsia="Times New Roman" w:hAnsi="Arial" w:cs="Arial"/>
                <w:b/>
                <w:bCs/>
                <w:sz w:val="20"/>
                <w:szCs w:val="20"/>
                <w:lang w:eastAsia="en-GB"/>
              </w:rPr>
              <w:t>731</w:t>
            </w:r>
          </w:p>
        </w:tc>
      </w:tr>
      <w:tr w:rsidR="00A22DAF" w:rsidRPr="00543D10" w14:paraId="2EB49DB2" w14:textId="77777777" w:rsidTr="00A22DAF">
        <w:trPr>
          <w:gridAfter w:val="1"/>
          <w:wAfter w:w="637" w:type="dxa"/>
          <w:trHeight w:val="323"/>
        </w:trPr>
        <w:tc>
          <w:tcPr>
            <w:tcW w:w="2552" w:type="dxa"/>
            <w:tcBorders>
              <w:top w:val="nil"/>
              <w:left w:val="nil"/>
              <w:bottom w:val="nil"/>
              <w:right w:val="nil"/>
            </w:tcBorders>
            <w:shd w:val="clear" w:color="auto" w:fill="auto"/>
            <w:noWrap/>
            <w:vAlign w:val="center"/>
            <w:hideMark/>
          </w:tcPr>
          <w:p w14:paraId="54BC0C55" w14:textId="77777777" w:rsidR="00A22DAF" w:rsidRPr="00543D10" w:rsidRDefault="00A22DAF" w:rsidP="00A22DAF">
            <w:pPr>
              <w:spacing w:after="0" w:line="240" w:lineRule="auto"/>
              <w:rPr>
                <w:rFonts w:ascii="Arial" w:eastAsia="Times New Roman" w:hAnsi="Arial" w:cs="Arial"/>
                <w:sz w:val="20"/>
                <w:szCs w:val="20"/>
                <w:lang w:eastAsia="en-GB"/>
              </w:rPr>
            </w:pPr>
            <w:r w:rsidRPr="00543D10">
              <w:rPr>
                <w:rFonts w:ascii="Arial" w:eastAsia="Times New Roman" w:hAnsi="Arial" w:cs="Arial"/>
                <w:sz w:val="20"/>
                <w:szCs w:val="20"/>
                <w:lang w:eastAsia="en-GB"/>
              </w:rPr>
              <w:t>Pension deficit</w:t>
            </w:r>
          </w:p>
        </w:tc>
        <w:tc>
          <w:tcPr>
            <w:tcW w:w="1701" w:type="dxa"/>
            <w:gridSpan w:val="2"/>
            <w:tcBorders>
              <w:top w:val="nil"/>
              <w:left w:val="nil"/>
              <w:bottom w:val="nil"/>
              <w:right w:val="nil"/>
            </w:tcBorders>
            <w:shd w:val="clear" w:color="auto" w:fill="auto"/>
            <w:noWrap/>
            <w:vAlign w:val="center"/>
            <w:hideMark/>
          </w:tcPr>
          <w:p w14:paraId="4D31F33E" w14:textId="77777777" w:rsidR="00A22DAF" w:rsidRPr="0039438F" w:rsidRDefault="00A22DAF" w:rsidP="00A22DAF">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14</w:t>
            </w:r>
          </w:p>
        </w:tc>
        <w:tc>
          <w:tcPr>
            <w:tcW w:w="1036" w:type="dxa"/>
            <w:tcBorders>
              <w:top w:val="nil"/>
              <w:left w:val="nil"/>
              <w:bottom w:val="nil"/>
              <w:right w:val="nil"/>
            </w:tcBorders>
            <w:shd w:val="clear" w:color="auto" w:fill="auto"/>
            <w:noWrap/>
            <w:vAlign w:val="center"/>
          </w:tcPr>
          <w:p w14:paraId="104D6D9D" w14:textId="77777777" w:rsidR="00A22DAF" w:rsidRPr="00543D10" w:rsidRDefault="004D5B54" w:rsidP="00A22DAF">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w:t>
            </w:r>
          </w:p>
        </w:tc>
        <w:tc>
          <w:tcPr>
            <w:tcW w:w="1196" w:type="dxa"/>
            <w:tcBorders>
              <w:top w:val="nil"/>
              <w:left w:val="nil"/>
              <w:bottom w:val="nil"/>
              <w:right w:val="nil"/>
            </w:tcBorders>
            <w:shd w:val="clear" w:color="auto" w:fill="auto"/>
            <w:noWrap/>
            <w:vAlign w:val="center"/>
          </w:tcPr>
          <w:p w14:paraId="0572DC95" w14:textId="77777777" w:rsidR="00A22DAF" w:rsidRPr="00543D10" w:rsidRDefault="004D5B54" w:rsidP="00A22DAF">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(29)</w:t>
            </w:r>
          </w:p>
        </w:tc>
        <w:tc>
          <w:tcPr>
            <w:tcW w:w="1056" w:type="dxa"/>
            <w:tcBorders>
              <w:top w:val="nil"/>
              <w:left w:val="nil"/>
              <w:bottom w:val="nil"/>
              <w:right w:val="nil"/>
            </w:tcBorders>
            <w:shd w:val="clear" w:color="auto" w:fill="auto"/>
            <w:noWrap/>
            <w:vAlign w:val="center"/>
          </w:tcPr>
          <w:p w14:paraId="2284EA9E" w14:textId="77777777" w:rsidR="00A22DAF" w:rsidRPr="00543D10" w:rsidRDefault="004D5B54" w:rsidP="00A22DAF">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w:t>
            </w:r>
          </w:p>
        </w:tc>
        <w:tc>
          <w:tcPr>
            <w:tcW w:w="1556" w:type="dxa"/>
            <w:tcBorders>
              <w:top w:val="nil"/>
              <w:left w:val="nil"/>
              <w:bottom w:val="nil"/>
              <w:right w:val="nil"/>
            </w:tcBorders>
            <w:shd w:val="clear" w:color="auto" w:fill="auto"/>
            <w:noWrap/>
            <w:vAlign w:val="center"/>
          </w:tcPr>
          <w:p w14:paraId="6029627F" w14:textId="77777777" w:rsidR="00A22DAF" w:rsidRPr="00543D10" w:rsidRDefault="004D5B54" w:rsidP="00A22DAF">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(15)</w:t>
            </w:r>
          </w:p>
        </w:tc>
      </w:tr>
      <w:tr w:rsidR="00A22DAF" w:rsidRPr="00543D10" w14:paraId="4E70607A" w14:textId="77777777" w:rsidTr="00A22DAF">
        <w:trPr>
          <w:gridAfter w:val="1"/>
          <w:wAfter w:w="637" w:type="dxa"/>
          <w:trHeight w:val="323"/>
        </w:trPr>
        <w:tc>
          <w:tcPr>
            <w:tcW w:w="2552" w:type="dxa"/>
            <w:tcBorders>
              <w:top w:val="single" w:sz="4" w:space="0" w:color="auto"/>
              <w:left w:val="nil"/>
              <w:bottom w:val="single" w:sz="4" w:space="0" w:color="auto"/>
              <w:right w:val="nil"/>
            </w:tcBorders>
            <w:shd w:val="clear" w:color="auto" w:fill="auto"/>
            <w:noWrap/>
            <w:vAlign w:val="center"/>
            <w:hideMark/>
          </w:tcPr>
          <w:p w14:paraId="62127D4B" w14:textId="77777777" w:rsidR="00A22DAF" w:rsidRPr="00543D10" w:rsidRDefault="00A22DAF" w:rsidP="00A22DAF">
            <w:pPr>
              <w:spacing w:after="0" w:line="240" w:lineRule="auto"/>
              <w:rPr>
                <w:rFonts w:ascii="Arial" w:eastAsia="Times New Roman" w:hAnsi="Arial" w:cs="Arial"/>
                <w:sz w:val="20"/>
                <w:szCs w:val="20"/>
                <w:lang w:eastAsia="en-GB"/>
              </w:rPr>
            </w:pPr>
            <w:r w:rsidRPr="00543D10">
              <w:rPr>
                <w:rFonts w:ascii="Arial" w:eastAsia="Times New Roman" w:hAnsi="Arial" w:cs="Arial"/>
                <w:sz w:val="20"/>
                <w:szCs w:val="20"/>
                <w:lang w:eastAsia="en-GB"/>
              </w:rPr>
              <w:t>Total unrestricted funds</w:t>
            </w:r>
          </w:p>
        </w:tc>
        <w:tc>
          <w:tcPr>
            <w:tcW w:w="1701" w:type="dxa"/>
            <w:gridSpan w:val="2"/>
            <w:tcBorders>
              <w:top w:val="single" w:sz="4" w:space="0" w:color="auto"/>
              <w:left w:val="nil"/>
              <w:bottom w:val="single" w:sz="4" w:space="0" w:color="auto"/>
              <w:right w:val="nil"/>
            </w:tcBorders>
            <w:shd w:val="clear" w:color="auto" w:fill="auto"/>
            <w:noWrap/>
            <w:vAlign w:val="center"/>
            <w:hideMark/>
          </w:tcPr>
          <w:p w14:paraId="7A5D98F5" w14:textId="77777777" w:rsidR="00A22DAF" w:rsidRPr="0039438F" w:rsidRDefault="00A22DAF" w:rsidP="00A22DAF">
            <w:pPr>
              <w:spacing w:after="0" w:line="240" w:lineRule="auto"/>
              <w:jc w:val="right"/>
              <w:rPr>
                <w:rFonts w:ascii="Arial" w:eastAsia="Times New Roman" w:hAnsi="Arial" w:cs="Arial"/>
                <w:sz w:val="20"/>
                <w:szCs w:val="20"/>
                <w:lang w:eastAsia="en-GB"/>
              </w:rPr>
            </w:pPr>
            <w:r>
              <w:rPr>
                <w:rFonts w:ascii="Arial" w:eastAsia="Times New Roman" w:hAnsi="Arial" w:cs="Arial"/>
                <w:bCs/>
                <w:sz w:val="20"/>
                <w:szCs w:val="20"/>
                <w:lang w:eastAsia="en-GB"/>
              </w:rPr>
              <w:t>22,154</w:t>
            </w:r>
          </w:p>
        </w:tc>
        <w:tc>
          <w:tcPr>
            <w:tcW w:w="1036" w:type="dxa"/>
            <w:tcBorders>
              <w:top w:val="single" w:sz="4" w:space="0" w:color="auto"/>
              <w:left w:val="nil"/>
              <w:bottom w:val="single" w:sz="4" w:space="0" w:color="auto"/>
              <w:right w:val="nil"/>
            </w:tcBorders>
            <w:shd w:val="clear" w:color="auto" w:fill="auto"/>
            <w:noWrap/>
            <w:vAlign w:val="center"/>
          </w:tcPr>
          <w:p w14:paraId="73C1F2BA" w14:textId="77777777" w:rsidR="00A22DAF" w:rsidRPr="00543D10" w:rsidRDefault="00C03131" w:rsidP="00A22DAF">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41,284</w:t>
            </w:r>
          </w:p>
        </w:tc>
        <w:tc>
          <w:tcPr>
            <w:tcW w:w="1196" w:type="dxa"/>
            <w:tcBorders>
              <w:top w:val="single" w:sz="4" w:space="0" w:color="auto"/>
              <w:left w:val="nil"/>
              <w:bottom w:val="single" w:sz="4" w:space="0" w:color="auto"/>
              <w:right w:val="nil"/>
            </w:tcBorders>
            <w:shd w:val="clear" w:color="auto" w:fill="auto"/>
            <w:noWrap/>
            <w:vAlign w:val="center"/>
          </w:tcPr>
          <w:p w14:paraId="7289AFFF" w14:textId="77777777" w:rsidR="00A22DAF" w:rsidRPr="00543D10" w:rsidRDefault="00C03131" w:rsidP="00A22DAF">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(47,369</w:t>
            </w:r>
            <w:r w:rsidR="004D5B54">
              <w:rPr>
                <w:rFonts w:ascii="Arial" w:eastAsia="Times New Roman" w:hAnsi="Arial" w:cs="Arial"/>
                <w:sz w:val="20"/>
                <w:szCs w:val="20"/>
                <w:lang w:eastAsia="en-GB"/>
              </w:rPr>
              <w:t>)</w:t>
            </w:r>
          </w:p>
        </w:tc>
        <w:tc>
          <w:tcPr>
            <w:tcW w:w="1056" w:type="dxa"/>
            <w:tcBorders>
              <w:top w:val="single" w:sz="4" w:space="0" w:color="auto"/>
              <w:left w:val="nil"/>
              <w:bottom w:val="single" w:sz="4" w:space="0" w:color="auto"/>
              <w:right w:val="nil"/>
            </w:tcBorders>
            <w:shd w:val="clear" w:color="auto" w:fill="auto"/>
            <w:noWrap/>
            <w:vAlign w:val="center"/>
          </w:tcPr>
          <w:p w14:paraId="2731AF2B" w14:textId="77777777" w:rsidR="00A22DAF" w:rsidRPr="00543D10" w:rsidRDefault="004D5B54" w:rsidP="00A22DAF">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(353)</w:t>
            </w:r>
          </w:p>
        </w:tc>
        <w:tc>
          <w:tcPr>
            <w:tcW w:w="1556" w:type="dxa"/>
            <w:tcBorders>
              <w:top w:val="single" w:sz="4" w:space="0" w:color="auto"/>
              <w:left w:val="nil"/>
              <w:bottom w:val="single" w:sz="4" w:space="0" w:color="auto"/>
              <w:right w:val="nil"/>
            </w:tcBorders>
            <w:shd w:val="clear" w:color="auto" w:fill="auto"/>
            <w:noWrap/>
            <w:vAlign w:val="center"/>
          </w:tcPr>
          <w:p w14:paraId="3819BCE5" w14:textId="77777777" w:rsidR="00A22DAF" w:rsidRPr="00543D10" w:rsidRDefault="00C03131" w:rsidP="00C03131">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15,</w:t>
            </w:r>
            <w:r w:rsidR="00865A9E">
              <w:rPr>
                <w:rFonts w:ascii="Arial" w:eastAsia="Times New Roman" w:hAnsi="Arial" w:cs="Arial"/>
                <w:b/>
                <w:bCs/>
                <w:sz w:val="20"/>
                <w:szCs w:val="20"/>
                <w:lang w:eastAsia="en-GB"/>
              </w:rPr>
              <w:t>716</w:t>
            </w:r>
          </w:p>
        </w:tc>
      </w:tr>
    </w:tbl>
    <w:p w14:paraId="48320681" w14:textId="77777777" w:rsidR="00A22DAF" w:rsidRPr="00543D10" w:rsidRDefault="00A22DAF" w:rsidP="00A22DAF">
      <w:pPr>
        <w:autoSpaceDE w:val="0"/>
        <w:autoSpaceDN w:val="0"/>
        <w:adjustRightInd w:val="0"/>
        <w:spacing w:after="0" w:line="240" w:lineRule="auto"/>
        <w:rPr>
          <w:rFonts w:ascii="Arial" w:hAnsi="Arial" w:cs="Arial"/>
          <w:sz w:val="20"/>
          <w:szCs w:val="20"/>
        </w:rPr>
      </w:pPr>
    </w:p>
    <w:p w14:paraId="42306911" w14:textId="77777777" w:rsidR="00DD5595" w:rsidRPr="00C322AE" w:rsidRDefault="00DD5595" w:rsidP="00DD5595">
      <w:pPr>
        <w:autoSpaceDE w:val="0"/>
        <w:autoSpaceDN w:val="0"/>
        <w:adjustRightInd w:val="0"/>
        <w:spacing w:after="240" w:line="240" w:lineRule="auto"/>
        <w:jc w:val="both"/>
        <w:rPr>
          <w:rFonts w:ascii="Arial" w:hAnsi="Arial" w:cs="Arial"/>
          <w:sz w:val="24"/>
          <w:szCs w:val="24"/>
        </w:rPr>
      </w:pPr>
      <w:r w:rsidRPr="00C322AE">
        <w:rPr>
          <w:rFonts w:ascii="Arial" w:hAnsi="Arial" w:cs="Arial"/>
          <w:sz w:val="24"/>
          <w:szCs w:val="24"/>
        </w:rPr>
        <w:t>The designated fund represents the Trust’s fixed assets which are not subject to restriction.</w:t>
      </w:r>
    </w:p>
    <w:p w14:paraId="563B81B9" w14:textId="77777777" w:rsidR="00DD5595" w:rsidRPr="00C322AE" w:rsidRDefault="00DD5595" w:rsidP="00DD5595">
      <w:pPr>
        <w:autoSpaceDE w:val="0"/>
        <w:autoSpaceDN w:val="0"/>
        <w:adjustRightInd w:val="0"/>
        <w:spacing w:after="240" w:line="240" w:lineRule="auto"/>
        <w:jc w:val="both"/>
        <w:rPr>
          <w:rFonts w:ascii="Arial" w:hAnsi="Arial" w:cs="Arial"/>
          <w:sz w:val="24"/>
          <w:szCs w:val="24"/>
        </w:rPr>
      </w:pPr>
      <w:r w:rsidRPr="00C322AE">
        <w:rPr>
          <w:rFonts w:ascii="Arial" w:hAnsi="Arial" w:cs="Arial"/>
          <w:sz w:val="24"/>
          <w:szCs w:val="24"/>
        </w:rPr>
        <w:t xml:space="preserve">The pension liability arises from a number of defined </w:t>
      </w:r>
      <w:r>
        <w:rPr>
          <w:rFonts w:ascii="Arial" w:hAnsi="Arial" w:cs="Arial"/>
          <w:sz w:val="24"/>
          <w:szCs w:val="24"/>
        </w:rPr>
        <w:t>benefits</w:t>
      </w:r>
      <w:r w:rsidRPr="00C322AE">
        <w:rPr>
          <w:rFonts w:ascii="Arial" w:hAnsi="Arial" w:cs="Arial"/>
          <w:sz w:val="24"/>
          <w:szCs w:val="24"/>
        </w:rPr>
        <w:t xml:space="preserve"> schemes that the Trust makes payments to in respect of certain employees to whom the Transfer of Undertakings (Protection of Employment) regulations (TUPE) applied (see note 24).</w:t>
      </w:r>
    </w:p>
    <w:p w14:paraId="43EC7A29" w14:textId="77777777" w:rsidR="00DD5595" w:rsidRPr="00C322AE" w:rsidRDefault="00DD5595" w:rsidP="00DD5595">
      <w:pPr>
        <w:autoSpaceDE w:val="0"/>
        <w:autoSpaceDN w:val="0"/>
        <w:adjustRightInd w:val="0"/>
        <w:spacing w:after="240" w:line="240" w:lineRule="auto"/>
        <w:jc w:val="both"/>
        <w:rPr>
          <w:rFonts w:ascii="Arial" w:hAnsi="Arial" w:cs="Arial"/>
          <w:sz w:val="24"/>
          <w:szCs w:val="24"/>
        </w:rPr>
      </w:pPr>
      <w:r w:rsidRPr="00C322AE">
        <w:rPr>
          <w:rFonts w:ascii="Arial" w:hAnsi="Arial" w:cs="Arial"/>
          <w:sz w:val="24"/>
          <w:szCs w:val="24"/>
        </w:rPr>
        <w:t>The pension deficits associated with the Staffordshire Council (LGPS), West Midland Pension Fund</w:t>
      </w:r>
      <w:r>
        <w:rPr>
          <w:rFonts w:ascii="Arial" w:hAnsi="Arial" w:cs="Arial"/>
          <w:sz w:val="24"/>
          <w:szCs w:val="24"/>
        </w:rPr>
        <w:t>,</w:t>
      </w:r>
      <w:r w:rsidRPr="00C322AE">
        <w:rPr>
          <w:rFonts w:ascii="Arial" w:hAnsi="Arial" w:cs="Arial"/>
          <w:sz w:val="24"/>
          <w:szCs w:val="24"/>
        </w:rPr>
        <w:t xml:space="preserve"> Greater Manchester Pension Fund </w:t>
      </w:r>
      <w:r>
        <w:rPr>
          <w:rFonts w:ascii="Arial" w:hAnsi="Arial" w:cs="Arial"/>
          <w:sz w:val="24"/>
          <w:szCs w:val="24"/>
        </w:rPr>
        <w:t xml:space="preserve">Cheshire Pension Fund and Derbyshire Pension Fund </w:t>
      </w:r>
      <w:r w:rsidRPr="00C322AE">
        <w:rPr>
          <w:rFonts w:ascii="Arial" w:hAnsi="Arial" w:cs="Arial"/>
          <w:sz w:val="24"/>
          <w:szCs w:val="24"/>
        </w:rPr>
        <w:t>are all held within Restricted Funds as they pertain to SET.</w:t>
      </w:r>
    </w:p>
    <w:p w14:paraId="62175C92" w14:textId="77777777" w:rsidR="00F5337B" w:rsidRDefault="00DD5595" w:rsidP="00DD5595">
      <w:pPr>
        <w:rPr>
          <w:rFonts w:ascii="Arial" w:hAnsi="Arial" w:cs="Arial"/>
          <w:sz w:val="20"/>
          <w:szCs w:val="20"/>
        </w:rPr>
      </w:pPr>
      <w:r w:rsidRPr="00C322AE">
        <w:rPr>
          <w:rFonts w:ascii="Arial" w:hAnsi="Arial" w:cs="Arial"/>
          <w:sz w:val="24"/>
          <w:szCs w:val="24"/>
        </w:rPr>
        <w:t>The transfers comprise transfers to restricted reserves as shown in Note 19.</w:t>
      </w:r>
      <w:r w:rsidR="00F5337B">
        <w:rPr>
          <w:rFonts w:ascii="Arial" w:hAnsi="Arial" w:cs="Arial"/>
          <w:sz w:val="20"/>
          <w:szCs w:val="20"/>
        </w:rPr>
        <w:br w:type="page"/>
      </w:r>
    </w:p>
    <w:p w14:paraId="35473989" w14:textId="77777777" w:rsidR="006C07DD" w:rsidRDefault="006C07DD" w:rsidP="006C07DD">
      <w:pPr>
        <w:spacing w:after="0" w:line="240" w:lineRule="auto"/>
        <w:rPr>
          <w:rFonts w:ascii="Arial" w:hAnsi="Arial" w:cs="Arial"/>
          <w:b/>
          <w:i/>
          <w:sz w:val="24"/>
          <w:szCs w:val="24"/>
        </w:rPr>
      </w:pPr>
      <w:r w:rsidRPr="0088736E">
        <w:rPr>
          <w:rFonts w:ascii="Arial" w:hAnsi="Arial" w:cs="Arial"/>
          <w:b/>
          <w:i/>
          <w:sz w:val="24"/>
          <w:szCs w:val="24"/>
        </w:rPr>
        <w:lastRenderedPageBreak/>
        <w:t xml:space="preserve">Notes to the financial </w:t>
      </w:r>
      <w:r>
        <w:rPr>
          <w:rFonts w:ascii="Arial" w:hAnsi="Arial" w:cs="Arial"/>
          <w:b/>
          <w:i/>
          <w:sz w:val="24"/>
          <w:szCs w:val="24"/>
        </w:rPr>
        <w:t>statements</w:t>
      </w:r>
      <w:r w:rsidRPr="0088736E">
        <w:rPr>
          <w:rFonts w:ascii="Arial" w:hAnsi="Arial" w:cs="Arial"/>
          <w:b/>
          <w:i/>
          <w:sz w:val="24"/>
          <w:szCs w:val="24"/>
        </w:rPr>
        <w:t xml:space="preserve"> (continued)</w:t>
      </w:r>
    </w:p>
    <w:tbl>
      <w:tblPr>
        <w:tblW w:w="9303" w:type="dxa"/>
        <w:tblLayout w:type="fixed"/>
        <w:tblLook w:val="04A0" w:firstRow="1" w:lastRow="0" w:firstColumn="1" w:lastColumn="0" w:noHBand="0" w:noVBand="1"/>
      </w:tblPr>
      <w:tblGrid>
        <w:gridCol w:w="2409"/>
        <w:gridCol w:w="1202"/>
        <w:gridCol w:w="1068"/>
        <w:gridCol w:w="1202"/>
        <w:gridCol w:w="1347"/>
        <w:gridCol w:w="1111"/>
        <w:gridCol w:w="820"/>
        <w:gridCol w:w="144"/>
      </w:tblGrid>
      <w:tr w:rsidR="004B18B9" w:rsidRPr="00C85CAE" w14:paraId="17210E46" w14:textId="77777777" w:rsidTr="00161381">
        <w:trPr>
          <w:gridAfter w:val="1"/>
          <w:wAfter w:w="144" w:type="dxa"/>
          <w:trHeight w:val="402"/>
        </w:trPr>
        <w:tc>
          <w:tcPr>
            <w:tcW w:w="9159" w:type="dxa"/>
            <w:gridSpan w:val="7"/>
            <w:tcBorders>
              <w:top w:val="nil"/>
              <w:left w:val="nil"/>
              <w:bottom w:val="nil"/>
              <w:right w:val="nil"/>
            </w:tcBorders>
            <w:shd w:val="clear" w:color="auto" w:fill="auto"/>
            <w:noWrap/>
            <w:vAlign w:val="center"/>
            <w:hideMark/>
          </w:tcPr>
          <w:p w14:paraId="5BC22F4F" w14:textId="77777777" w:rsidR="004B18B9" w:rsidRPr="003B791D" w:rsidRDefault="004B18B9" w:rsidP="00665BC7">
            <w:pPr>
              <w:spacing w:after="0" w:line="240" w:lineRule="auto"/>
              <w:rPr>
                <w:rFonts w:ascii="Arial" w:eastAsia="Times New Roman" w:hAnsi="Arial" w:cs="Arial"/>
                <w:b/>
                <w:bCs/>
                <w:sz w:val="24"/>
                <w:szCs w:val="24"/>
                <w:lang w:eastAsia="en-GB"/>
              </w:rPr>
            </w:pPr>
          </w:p>
          <w:p w14:paraId="439DC87C" w14:textId="77777777" w:rsidR="004B18B9" w:rsidRPr="003B791D" w:rsidRDefault="004B18B9" w:rsidP="007729E5">
            <w:pPr>
              <w:spacing w:after="0" w:line="240" w:lineRule="auto"/>
              <w:rPr>
                <w:rFonts w:ascii="Times New Roman" w:eastAsia="Times New Roman" w:hAnsi="Times New Roman" w:cs="Times New Roman"/>
                <w:sz w:val="20"/>
                <w:szCs w:val="20"/>
                <w:lang w:eastAsia="en-GB"/>
              </w:rPr>
            </w:pPr>
            <w:r w:rsidRPr="003B791D">
              <w:rPr>
                <w:rFonts w:ascii="Arial" w:eastAsia="Times New Roman" w:hAnsi="Arial" w:cs="Arial"/>
                <w:b/>
                <w:bCs/>
                <w:sz w:val="24"/>
                <w:szCs w:val="24"/>
                <w:lang w:eastAsia="en-GB"/>
              </w:rPr>
              <w:t>19. Restricted Funds</w:t>
            </w:r>
          </w:p>
        </w:tc>
      </w:tr>
      <w:tr w:rsidR="00E70CD3" w:rsidRPr="00C85CAE" w14:paraId="2984FEB8" w14:textId="77777777" w:rsidTr="00161381">
        <w:trPr>
          <w:gridAfter w:val="1"/>
          <w:wAfter w:w="144" w:type="dxa"/>
          <w:trHeight w:val="323"/>
        </w:trPr>
        <w:tc>
          <w:tcPr>
            <w:tcW w:w="2409" w:type="dxa"/>
            <w:tcBorders>
              <w:top w:val="nil"/>
              <w:left w:val="nil"/>
              <w:bottom w:val="nil"/>
              <w:right w:val="nil"/>
            </w:tcBorders>
            <w:shd w:val="clear" w:color="auto" w:fill="auto"/>
            <w:noWrap/>
            <w:vAlign w:val="center"/>
            <w:hideMark/>
          </w:tcPr>
          <w:p w14:paraId="6A2D4302" w14:textId="77777777" w:rsidR="00E70CD3" w:rsidRPr="00C85CAE" w:rsidRDefault="00E70CD3" w:rsidP="007729E5">
            <w:pPr>
              <w:spacing w:after="0" w:line="240" w:lineRule="auto"/>
              <w:rPr>
                <w:rFonts w:ascii="Times New Roman" w:eastAsia="Times New Roman" w:hAnsi="Times New Roman" w:cs="Times New Roman"/>
                <w:sz w:val="20"/>
                <w:szCs w:val="20"/>
                <w:lang w:eastAsia="en-GB"/>
              </w:rPr>
            </w:pPr>
          </w:p>
        </w:tc>
        <w:tc>
          <w:tcPr>
            <w:tcW w:w="6750" w:type="dxa"/>
            <w:gridSpan w:val="6"/>
            <w:tcBorders>
              <w:top w:val="nil"/>
              <w:left w:val="nil"/>
              <w:bottom w:val="nil"/>
              <w:right w:val="nil"/>
            </w:tcBorders>
            <w:shd w:val="clear" w:color="auto" w:fill="auto"/>
            <w:noWrap/>
            <w:vAlign w:val="center"/>
            <w:hideMark/>
          </w:tcPr>
          <w:p w14:paraId="65708AAD" w14:textId="77777777" w:rsidR="00E70CD3" w:rsidRPr="00C85CAE" w:rsidRDefault="00E70CD3" w:rsidP="00581924">
            <w:pPr>
              <w:spacing w:after="0" w:line="240" w:lineRule="auto"/>
              <w:jc w:val="center"/>
              <w:rPr>
                <w:rFonts w:ascii="Arial" w:eastAsia="Times New Roman" w:hAnsi="Arial" w:cs="Arial"/>
                <w:sz w:val="20"/>
                <w:szCs w:val="20"/>
                <w:lang w:eastAsia="en-GB"/>
              </w:rPr>
            </w:pPr>
            <w:r w:rsidRPr="00C85CAE">
              <w:rPr>
                <w:rFonts w:ascii="Arial" w:eastAsia="Times New Roman" w:hAnsi="Arial" w:cs="Arial"/>
                <w:sz w:val="20"/>
                <w:szCs w:val="20"/>
                <w:lang w:eastAsia="en-GB"/>
              </w:rPr>
              <w:t>Movement in funds</w:t>
            </w:r>
          </w:p>
        </w:tc>
      </w:tr>
      <w:tr w:rsidR="00E70CD3" w:rsidRPr="00C85CAE" w14:paraId="273BC695" w14:textId="77777777" w:rsidTr="00161381">
        <w:trPr>
          <w:trHeight w:val="1022"/>
        </w:trPr>
        <w:tc>
          <w:tcPr>
            <w:tcW w:w="2409" w:type="dxa"/>
            <w:tcBorders>
              <w:top w:val="nil"/>
              <w:left w:val="nil"/>
              <w:bottom w:val="nil"/>
              <w:right w:val="nil"/>
            </w:tcBorders>
            <w:shd w:val="clear" w:color="auto" w:fill="auto"/>
            <w:hideMark/>
          </w:tcPr>
          <w:p w14:paraId="6E2C9396" w14:textId="77777777" w:rsidR="00E70CD3" w:rsidRPr="00C85CAE" w:rsidRDefault="00E70CD3" w:rsidP="007729E5">
            <w:pPr>
              <w:spacing w:after="0" w:line="240" w:lineRule="auto"/>
              <w:rPr>
                <w:rFonts w:ascii="Arial" w:eastAsia="Times New Roman" w:hAnsi="Arial" w:cs="Arial"/>
                <w:b/>
                <w:bCs/>
                <w:sz w:val="20"/>
                <w:szCs w:val="20"/>
                <w:lang w:eastAsia="en-GB"/>
              </w:rPr>
            </w:pPr>
            <w:r w:rsidRPr="00C85CAE">
              <w:rPr>
                <w:rFonts w:ascii="Arial" w:eastAsia="Times New Roman" w:hAnsi="Arial" w:cs="Arial"/>
                <w:b/>
                <w:bCs/>
                <w:sz w:val="20"/>
                <w:szCs w:val="20"/>
                <w:lang w:eastAsia="en-GB"/>
              </w:rPr>
              <w:t>Group and Company</w:t>
            </w:r>
          </w:p>
        </w:tc>
        <w:tc>
          <w:tcPr>
            <w:tcW w:w="1202" w:type="dxa"/>
            <w:tcBorders>
              <w:top w:val="nil"/>
              <w:left w:val="nil"/>
              <w:bottom w:val="nil"/>
              <w:right w:val="nil"/>
            </w:tcBorders>
            <w:shd w:val="clear" w:color="auto" w:fill="auto"/>
            <w:hideMark/>
          </w:tcPr>
          <w:p w14:paraId="3F26CAEB" w14:textId="77777777" w:rsidR="00E70CD3" w:rsidRPr="00C85CAE" w:rsidRDefault="00E70CD3" w:rsidP="005229F1">
            <w:pPr>
              <w:spacing w:after="0" w:line="240" w:lineRule="auto"/>
              <w:jc w:val="right"/>
              <w:rPr>
                <w:rFonts w:ascii="Arial" w:eastAsia="Times New Roman" w:hAnsi="Arial" w:cs="Arial"/>
                <w:sz w:val="20"/>
                <w:szCs w:val="20"/>
                <w:lang w:eastAsia="en-GB"/>
              </w:rPr>
            </w:pPr>
            <w:r w:rsidRPr="00C85CAE">
              <w:rPr>
                <w:rFonts w:ascii="Arial" w:eastAsia="Times New Roman" w:hAnsi="Arial" w:cs="Arial"/>
                <w:sz w:val="20"/>
                <w:szCs w:val="20"/>
                <w:lang w:eastAsia="en-GB"/>
              </w:rPr>
              <w:t xml:space="preserve">At 1 September </w:t>
            </w:r>
            <w:r w:rsidR="0037645F">
              <w:rPr>
                <w:rFonts w:ascii="Arial" w:eastAsia="Times New Roman" w:hAnsi="Arial" w:cs="Arial"/>
                <w:sz w:val="20"/>
                <w:szCs w:val="20"/>
                <w:lang w:eastAsia="en-GB"/>
              </w:rPr>
              <w:t>2019</w:t>
            </w:r>
          </w:p>
        </w:tc>
        <w:tc>
          <w:tcPr>
            <w:tcW w:w="1068" w:type="dxa"/>
            <w:tcBorders>
              <w:top w:val="nil"/>
              <w:left w:val="nil"/>
              <w:bottom w:val="nil"/>
              <w:right w:val="nil"/>
            </w:tcBorders>
            <w:shd w:val="clear" w:color="auto" w:fill="auto"/>
            <w:noWrap/>
            <w:hideMark/>
          </w:tcPr>
          <w:p w14:paraId="4E4362BA" w14:textId="77777777" w:rsidR="00E70CD3" w:rsidRPr="00C85CAE" w:rsidRDefault="00E70CD3" w:rsidP="005229F1">
            <w:pPr>
              <w:spacing w:after="0" w:line="240" w:lineRule="auto"/>
              <w:jc w:val="right"/>
              <w:rPr>
                <w:rFonts w:ascii="Arial" w:eastAsia="Times New Roman" w:hAnsi="Arial" w:cs="Arial"/>
                <w:sz w:val="20"/>
                <w:szCs w:val="20"/>
                <w:lang w:eastAsia="en-GB"/>
              </w:rPr>
            </w:pPr>
            <w:r w:rsidRPr="00C85CAE">
              <w:rPr>
                <w:rFonts w:ascii="Arial" w:eastAsia="Times New Roman" w:hAnsi="Arial" w:cs="Arial"/>
                <w:sz w:val="20"/>
                <w:szCs w:val="20"/>
                <w:lang w:eastAsia="en-GB"/>
              </w:rPr>
              <w:t>Incoming</w:t>
            </w:r>
          </w:p>
        </w:tc>
        <w:tc>
          <w:tcPr>
            <w:tcW w:w="1202" w:type="dxa"/>
            <w:tcBorders>
              <w:top w:val="nil"/>
              <w:left w:val="nil"/>
              <w:bottom w:val="nil"/>
              <w:right w:val="nil"/>
            </w:tcBorders>
            <w:shd w:val="clear" w:color="auto" w:fill="auto"/>
            <w:noWrap/>
            <w:hideMark/>
          </w:tcPr>
          <w:p w14:paraId="0A2F4CBF" w14:textId="77777777" w:rsidR="00E70CD3" w:rsidRPr="00C85CAE" w:rsidRDefault="00E70CD3" w:rsidP="005229F1">
            <w:pPr>
              <w:spacing w:after="0" w:line="240" w:lineRule="auto"/>
              <w:jc w:val="right"/>
              <w:rPr>
                <w:rFonts w:ascii="Arial" w:eastAsia="Times New Roman" w:hAnsi="Arial" w:cs="Arial"/>
                <w:sz w:val="20"/>
                <w:szCs w:val="20"/>
                <w:lang w:eastAsia="en-GB"/>
              </w:rPr>
            </w:pPr>
            <w:r w:rsidRPr="00C85CAE">
              <w:rPr>
                <w:rFonts w:ascii="Arial" w:eastAsia="Times New Roman" w:hAnsi="Arial" w:cs="Arial"/>
                <w:sz w:val="20"/>
                <w:szCs w:val="20"/>
                <w:lang w:eastAsia="en-GB"/>
              </w:rPr>
              <w:t>(Outgoing)</w:t>
            </w:r>
          </w:p>
        </w:tc>
        <w:tc>
          <w:tcPr>
            <w:tcW w:w="1347" w:type="dxa"/>
            <w:tcBorders>
              <w:top w:val="nil"/>
              <w:left w:val="nil"/>
              <w:bottom w:val="nil"/>
              <w:right w:val="nil"/>
            </w:tcBorders>
            <w:shd w:val="clear" w:color="auto" w:fill="auto"/>
            <w:hideMark/>
          </w:tcPr>
          <w:p w14:paraId="539FE053" w14:textId="77777777" w:rsidR="00E70CD3" w:rsidRPr="00C85CAE" w:rsidRDefault="00E70CD3" w:rsidP="005229F1">
            <w:pPr>
              <w:spacing w:after="0" w:line="240" w:lineRule="auto"/>
              <w:jc w:val="right"/>
              <w:rPr>
                <w:rFonts w:ascii="Arial" w:eastAsia="Times New Roman" w:hAnsi="Arial" w:cs="Arial"/>
                <w:sz w:val="20"/>
                <w:szCs w:val="20"/>
                <w:lang w:eastAsia="en-GB"/>
              </w:rPr>
            </w:pPr>
            <w:r w:rsidRPr="00C85CAE">
              <w:rPr>
                <w:rFonts w:ascii="Arial" w:eastAsia="Times New Roman" w:hAnsi="Arial" w:cs="Arial"/>
                <w:sz w:val="20"/>
                <w:szCs w:val="20"/>
                <w:lang w:eastAsia="en-GB"/>
              </w:rPr>
              <w:t>Impact of Foreign Currency Translations</w:t>
            </w:r>
          </w:p>
        </w:tc>
        <w:tc>
          <w:tcPr>
            <w:tcW w:w="1111" w:type="dxa"/>
            <w:tcBorders>
              <w:top w:val="nil"/>
              <w:left w:val="nil"/>
              <w:bottom w:val="nil"/>
              <w:right w:val="nil"/>
            </w:tcBorders>
            <w:shd w:val="clear" w:color="auto" w:fill="auto"/>
            <w:noWrap/>
            <w:hideMark/>
          </w:tcPr>
          <w:p w14:paraId="376DBF0C" w14:textId="77777777" w:rsidR="00E70CD3" w:rsidRPr="00C85CAE" w:rsidRDefault="00E70CD3" w:rsidP="005229F1">
            <w:pPr>
              <w:spacing w:after="0" w:line="240" w:lineRule="auto"/>
              <w:jc w:val="right"/>
              <w:rPr>
                <w:rFonts w:ascii="Arial" w:eastAsia="Times New Roman" w:hAnsi="Arial" w:cs="Arial"/>
                <w:sz w:val="20"/>
                <w:szCs w:val="20"/>
                <w:lang w:eastAsia="en-GB"/>
              </w:rPr>
            </w:pPr>
            <w:r w:rsidRPr="00C85CAE">
              <w:rPr>
                <w:rFonts w:ascii="Arial" w:eastAsia="Times New Roman" w:hAnsi="Arial" w:cs="Arial"/>
                <w:sz w:val="20"/>
                <w:szCs w:val="20"/>
                <w:lang w:eastAsia="en-GB"/>
              </w:rPr>
              <w:t>Transfers</w:t>
            </w:r>
          </w:p>
        </w:tc>
        <w:tc>
          <w:tcPr>
            <w:tcW w:w="964" w:type="dxa"/>
            <w:gridSpan w:val="2"/>
            <w:tcBorders>
              <w:top w:val="nil"/>
              <w:left w:val="nil"/>
              <w:bottom w:val="nil"/>
              <w:right w:val="nil"/>
            </w:tcBorders>
            <w:shd w:val="clear" w:color="auto" w:fill="auto"/>
            <w:hideMark/>
          </w:tcPr>
          <w:p w14:paraId="0847029C" w14:textId="77777777" w:rsidR="00E70CD3" w:rsidRPr="00C85CAE" w:rsidRDefault="00E70CD3" w:rsidP="006647C2">
            <w:pPr>
              <w:spacing w:after="0" w:line="240" w:lineRule="auto"/>
              <w:ind w:right="-79"/>
              <w:jc w:val="right"/>
              <w:rPr>
                <w:rFonts w:ascii="Arial" w:eastAsia="Times New Roman" w:hAnsi="Arial" w:cs="Arial"/>
                <w:b/>
                <w:bCs/>
                <w:sz w:val="20"/>
                <w:szCs w:val="20"/>
                <w:lang w:eastAsia="en-GB"/>
              </w:rPr>
            </w:pPr>
            <w:r w:rsidRPr="00C85CAE">
              <w:rPr>
                <w:rFonts w:ascii="Arial" w:eastAsia="Times New Roman" w:hAnsi="Arial" w:cs="Arial"/>
                <w:b/>
                <w:bCs/>
                <w:sz w:val="20"/>
                <w:szCs w:val="20"/>
                <w:lang w:eastAsia="en-GB"/>
              </w:rPr>
              <w:t xml:space="preserve">At 31 August </w:t>
            </w:r>
            <w:r w:rsidR="0037645F">
              <w:rPr>
                <w:rFonts w:ascii="Arial" w:eastAsia="Times New Roman" w:hAnsi="Arial" w:cs="Arial"/>
                <w:b/>
                <w:bCs/>
                <w:sz w:val="20"/>
                <w:szCs w:val="20"/>
                <w:lang w:eastAsia="en-GB"/>
              </w:rPr>
              <w:t>2020</w:t>
            </w:r>
          </w:p>
        </w:tc>
      </w:tr>
      <w:tr w:rsidR="00E70CD3" w:rsidRPr="00C85CAE" w14:paraId="3C99490A" w14:textId="77777777" w:rsidTr="00161381">
        <w:trPr>
          <w:trHeight w:val="402"/>
        </w:trPr>
        <w:tc>
          <w:tcPr>
            <w:tcW w:w="2409" w:type="dxa"/>
            <w:tcBorders>
              <w:top w:val="nil"/>
              <w:left w:val="nil"/>
              <w:bottom w:val="single" w:sz="4" w:space="0" w:color="auto"/>
              <w:right w:val="nil"/>
            </w:tcBorders>
            <w:shd w:val="clear" w:color="auto" w:fill="auto"/>
            <w:noWrap/>
            <w:vAlign w:val="center"/>
            <w:hideMark/>
          </w:tcPr>
          <w:p w14:paraId="3B3E068A" w14:textId="77777777" w:rsidR="00E70CD3" w:rsidRPr="00C85CAE" w:rsidRDefault="00E70CD3" w:rsidP="007729E5">
            <w:pPr>
              <w:spacing w:after="0" w:line="240" w:lineRule="auto"/>
              <w:rPr>
                <w:rFonts w:ascii="Arial" w:eastAsia="Times New Roman" w:hAnsi="Arial" w:cs="Arial"/>
                <w:sz w:val="20"/>
                <w:szCs w:val="20"/>
                <w:lang w:eastAsia="en-GB"/>
              </w:rPr>
            </w:pPr>
            <w:r w:rsidRPr="00C85CAE">
              <w:rPr>
                <w:rFonts w:ascii="Arial" w:eastAsia="Times New Roman" w:hAnsi="Arial" w:cs="Arial"/>
                <w:sz w:val="20"/>
                <w:szCs w:val="20"/>
                <w:lang w:eastAsia="en-GB"/>
              </w:rPr>
              <w:t> </w:t>
            </w:r>
          </w:p>
        </w:tc>
        <w:tc>
          <w:tcPr>
            <w:tcW w:w="1202" w:type="dxa"/>
            <w:tcBorders>
              <w:top w:val="nil"/>
              <w:left w:val="nil"/>
              <w:bottom w:val="single" w:sz="4" w:space="0" w:color="auto"/>
              <w:right w:val="nil"/>
            </w:tcBorders>
            <w:shd w:val="clear" w:color="auto" w:fill="auto"/>
            <w:noWrap/>
            <w:vAlign w:val="center"/>
            <w:hideMark/>
          </w:tcPr>
          <w:p w14:paraId="558DAFC0" w14:textId="77777777" w:rsidR="00E70CD3" w:rsidRPr="00C85CAE" w:rsidRDefault="00E70CD3" w:rsidP="005229F1">
            <w:pPr>
              <w:spacing w:after="0" w:line="240" w:lineRule="auto"/>
              <w:jc w:val="right"/>
              <w:rPr>
                <w:rFonts w:ascii="Arial" w:eastAsia="Times New Roman" w:hAnsi="Arial" w:cs="Arial"/>
                <w:sz w:val="20"/>
                <w:szCs w:val="20"/>
                <w:lang w:eastAsia="en-GB"/>
              </w:rPr>
            </w:pPr>
            <w:r w:rsidRPr="00C85CAE">
              <w:rPr>
                <w:rFonts w:ascii="Arial" w:eastAsia="Times New Roman" w:hAnsi="Arial" w:cs="Arial"/>
                <w:sz w:val="20"/>
                <w:szCs w:val="20"/>
                <w:lang w:eastAsia="en-GB"/>
              </w:rPr>
              <w:t>£'000</w:t>
            </w:r>
          </w:p>
        </w:tc>
        <w:tc>
          <w:tcPr>
            <w:tcW w:w="1068" w:type="dxa"/>
            <w:tcBorders>
              <w:top w:val="nil"/>
              <w:left w:val="nil"/>
              <w:bottom w:val="single" w:sz="4" w:space="0" w:color="auto"/>
              <w:right w:val="nil"/>
            </w:tcBorders>
            <w:shd w:val="clear" w:color="auto" w:fill="auto"/>
            <w:noWrap/>
            <w:vAlign w:val="center"/>
            <w:hideMark/>
          </w:tcPr>
          <w:p w14:paraId="379C4DDD" w14:textId="77777777" w:rsidR="00E70CD3" w:rsidRPr="00C85CAE" w:rsidRDefault="00E70CD3" w:rsidP="005229F1">
            <w:pPr>
              <w:spacing w:after="0" w:line="240" w:lineRule="auto"/>
              <w:jc w:val="right"/>
              <w:rPr>
                <w:rFonts w:ascii="Arial" w:eastAsia="Times New Roman" w:hAnsi="Arial" w:cs="Arial"/>
                <w:sz w:val="20"/>
                <w:szCs w:val="20"/>
                <w:lang w:eastAsia="en-GB"/>
              </w:rPr>
            </w:pPr>
            <w:r w:rsidRPr="00C85CAE">
              <w:rPr>
                <w:rFonts w:ascii="Arial" w:eastAsia="Times New Roman" w:hAnsi="Arial" w:cs="Arial"/>
                <w:sz w:val="20"/>
                <w:szCs w:val="20"/>
                <w:lang w:eastAsia="en-GB"/>
              </w:rPr>
              <w:t>£'000</w:t>
            </w:r>
          </w:p>
        </w:tc>
        <w:tc>
          <w:tcPr>
            <w:tcW w:w="1202" w:type="dxa"/>
            <w:tcBorders>
              <w:top w:val="nil"/>
              <w:left w:val="nil"/>
              <w:bottom w:val="single" w:sz="4" w:space="0" w:color="auto"/>
              <w:right w:val="nil"/>
            </w:tcBorders>
            <w:shd w:val="clear" w:color="auto" w:fill="auto"/>
            <w:noWrap/>
            <w:vAlign w:val="center"/>
            <w:hideMark/>
          </w:tcPr>
          <w:p w14:paraId="0263ED75" w14:textId="77777777" w:rsidR="00E70CD3" w:rsidRPr="00C85CAE" w:rsidRDefault="00E70CD3" w:rsidP="005229F1">
            <w:pPr>
              <w:spacing w:after="0" w:line="240" w:lineRule="auto"/>
              <w:jc w:val="right"/>
              <w:rPr>
                <w:rFonts w:ascii="Arial" w:eastAsia="Times New Roman" w:hAnsi="Arial" w:cs="Arial"/>
                <w:sz w:val="20"/>
                <w:szCs w:val="20"/>
                <w:lang w:eastAsia="en-GB"/>
              </w:rPr>
            </w:pPr>
            <w:r w:rsidRPr="00C85CAE">
              <w:rPr>
                <w:rFonts w:ascii="Arial" w:eastAsia="Times New Roman" w:hAnsi="Arial" w:cs="Arial"/>
                <w:sz w:val="20"/>
                <w:szCs w:val="20"/>
                <w:lang w:eastAsia="en-GB"/>
              </w:rPr>
              <w:t>£'000</w:t>
            </w:r>
          </w:p>
        </w:tc>
        <w:tc>
          <w:tcPr>
            <w:tcW w:w="1347" w:type="dxa"/>
            <w:tcBorders>
              <w:top w:val="nil"/>
              <w:left w:val="nil"/>
              <w:bottom w:val="single" w:sz="4" w:space="0" w:color="auto"/>
              <w:right w:val="nil"/>
            </w:tcBorders>
            <w:shd w:val="clear" w:color="auto" w:fill="auto"/>
            <w:noWrap/>
            <w:vAlign w:val="center"/>
            <w:hideMark/>
          </w:tcPr>
          <w:p w14:paraId="4E9950A2" w14:textId="77777777" w:rsidR="00E70CD3" w:rsidRPr="00C85CAE" w:rsidRDefault="00E70CD3" w:rsidP="005229F1">
            <w:pPr>
              <w:spacing w:after="0" w:line="240" w:lineRule="auto"/>
              <w:jc w:val="right"/>
              <w:rPr>
                <w:rFonts w:ascii="Arial" w:eastAsia="Times New Roman" w:hAnsi="Arial" w:cs="Arial"/>
                <w:sz w:val="20"/>
                <w:szCs w:val="20"/>
                <w:lang w:eastAsia="en-GB"/>
              </w:rPr>
            </w:pPr>
            <w:r w:rsidRPr="00C85CAE">
              <w:rPr>
                <w:rFonts w:ascii="Arial" w:eastAsia="Times New Roman" w:hAnsi="Arial" w:cs="Arial"/>
                <w:sz w:val="20"/>
                <w:szCs w:val="20"/>
                <w:lang w:eastAsia="en-GB"/>
              </w:rPr>
              <w:t>£'000</w:t>
            </w:r>
          </w:p>
        </w:tc>
        <w:tc>
          <w:tcPr>
            <w:tcW w:w="1111" w:type="dxa"/>
            <w:tcBorders>
              <w:top w:val="nil"/>
              <w:left w:val="nil"/>
              <w:bottom w:val="single" w:sz="4" w:space="0" w:color="auto"/>
              <w:right w:val="nil"/>
            </w:tcBorders>
            <w:shd w:val="clear" w:color="auto" w:fill="auto"/>
            <w:noWrap/>
            <w:vAlign w:val="center"/>
            <w:hideMark/>
          </w:tcPr>
          <w:p w14:paraId="6AB73A5B" w14:textId="77777777" w:rsidR="00E70CD3" w:rsidRPr="00C85CAE" w:rsidRDefault="00E70CD3" w:rsidP="005229F1">
            <w:pPr>
              <w:spacing w:after="0" w:line="240" w:lineRule="auto"/>
              <w:jc w:val="right"/>
              <w:rPr>
                <w:rFonts w:ascii="Arial" w:eastAsia="Times New Roman" w:hAnsi="Arial" w:cs="Arial"/>
                <w:sz w:val="20"/>
                <w:szCs w:val="20"/>
                <w:lang w:eastAsia="en-GB"/>
              </w:rPr>
            </w:pPr>
            <w:r w:rsidRPr="00C85CAE">
              <w:rPr>
                <w:rFonts w:ascii="Arial" w:eastAsia="Times New Roman" w:hAnsi="Arial" w:cs="Arial"/>
                <w:sz w:val="20"/>
                <w:szCs w:val="20"/>
                <w:lang w:eastAsia="en-GB"/>
              </w:rPr>
              <w:t>£'000</w:t>
            </w:r>
          </w:p>
        </w:tc>
        <w:tc>
          <w:tcPr>
            <w:tcW w:w="964" w:type="dxa"/>
            <w:gridSpan w:val="2"/>
            <w:tcBorders>
              <w:top w:val="nil"/>
              <w:left w:val="nil"/>
              <w:bottom w:val="single" w:sz="4" w:space="0" w:color="auto"/>
              <w:right w:val="nil"/>
            </w:tcBorders>
            <w:shd w:val="clear" w:color="auto" w:fill="auto"/>
            <w:noWrap/>
            <w:vAlign w:val="center"/>
            <w:hideMark/>
          </w:tcPr>
          <w:p w14:paraId="1246AE4C" w14:textId="77777777" w:rsidR="00E70CD3" w:rsidRPr="00C85CAE" w:rsidRDefault="00E70CD3" w:rsidP="006647C2">
            <w:pPr>
              <w:spacing w:after="0" w:line="240" w:lineRule="auto"/>
              <w:ind w:right="-79"/>
              <w:jc w:val="right"/>
              <w:rPr>
                <w:rFonts w:ascii="Arial" w:eastAsia="Times New Roman" w:hAnsi="Arial" w:cs="Arial"/>
                <w:b/>
                <w:bCs/>
                <w:sz w:val="20"/>
                <w:szCs w:val="20"/>
                <w:lang w:eastAsia="en-GB"/>
              </w:rPr>
            </w:pPr>
            <w:r w:rsidRPr="00C85CAE">
              <w:rPr>
                <w:rFonts w:ascii="Arial" w:eastAsia="Times New Roman" w:hAnsi="Arial" w:cs="Arial"/>
                <w:b/>
                <w:bCs/>
                <w:sz w:val="20"/>
                <w:szCs w:val="20"/>
                <w:lang w:eastAsia="en-GB"/>
              </w:rPr>
              <w:t>£'000</w:t>
            </w:r>
          </w:p>
        </w:tc>
      </w:tr>
      <w:tr w:rsidR="00E70CD3" w:rsidRPr="00C85CAE" w14:paraId="368C562E" w14:textId="77777777" w:rsidTr="00161381">
        <w:trPr>
          <w:trHeight w:val="402"/>
        </w:trPr>
        <w:tc>
          <w:tcPr>
            <w:tcW w:w="2409" w:type="dxa"/>
            <w:tcBorders>
              <w:top w:val="nil"/>
              <w:left w:val="nil"/>
              <w:right w:val="nil"/>
            </w:tcBorders>
            <w:shd w:val="clear" w:color="auto" w:fill="auto"/>
            <w:noWrap/>
            <w:vAlign w:val="center"/>
            <w:hideMark/>
          </w:tcPr>
          <w:p w14:paraId="5F93DDA5" w14:textId="77777777" w:rsidR="00E70CD3" w:rsidRPr="00C85CAE" w:rsidRDefault="00E70CD3" w:rsidP="007729E5">
            <w:pPr>
              <w:spacing w:after="0" w:line="240" w:lineRule="auto"/>
              <w:rPr>
                <w:rFonts w:ascii="Arial" w:eastAsia="Times New Roman" w:hAnsi="Arial" w:cs="Arial"/>
                <w:b/>
                <w:bCs/>
                <w:sz w:val="20"/>
                <w:szCs w:val="20"/>
                <w:lang w:eastAsia="en-GB"/>
              </w:rPr>
            </w:pPr>
            <w:r w:rsidRPr="00C85CAE">
              <w:rPr>
                <w:rFonts w:ascii="Arial" w:eastAsia="Times New Roman" w:hAnsi="Arial" w:cs="Arial"/>
                <w:b/>
                <w:bCs/>
                <w:sz w:val="20"/>
                <w:szCs w:val="20"/>
                <w:lang w:eastAsia="en-GB"/>
              </w:rPr>
              <w:t>The Big Lottery Fund</w:t>
            </w:r>
          </w:p>
        </w:tc>
        <w:tc>
          <w:tcPr>
            <w:tcW w:w="1202" w:type="dxa"/>
            <w:tcBorders>
              <w:top w:val="nil"/>
              <w:left w:val="nil"/>
              <w:right w:val="nil"/>
            </w:tcBorders>
            <w:shd w:val="clear" w:color="auto" w:fill="auto"/>
            <w:noWrap/>
            <w:vAlign w:val="center"/>
            <w:hideMark/>
          </w:tcPr>
          <w:p w14:paraId="46AAFB0D" w14:textId="77777777" w:rsidR="00E70CD3" w:rsidRPr="00C85CAE" w:rsidRDefault="00E70CD3" w:rsidP="005229F1">
            <w:pPr>
              <w:spacing w:after="0" w:line="240" w:lineRule="auto"/>
              <w:jc w:val="right"/>
              <w:rPr>
                <w:rFonts w:ascii="Arial" w:eastAsia="Times New Roman" w:hAnsi="Arial" w:cs="Arial"/>
                <w:b/>
                <w:bCs/>
                <w:sz w:val="20"/>
                <w:szCs w:val="20"/>
                <w:lang w:eastAsia="en-GB"/>
              </w:rPr>
            </w:pPr>
          </w:p>
        </w:tc>
        <w:tc>
          <w:tcPr>
            <w:tcW w:w="1068" w:type="dxa"/>
            <w:tcBorders>
              <w:top w:val="nil"/>
              <w:left w:val="nil"/>
              <w:right w:val="nil"/>
            </w:tcBorders>
            <w:shd w:val="clear" w:color="auto" w:fill="auto"/>
            <w:noWrap/>
            <w:vAlign w:val="center"/>
            <w:hideMark/>
          </w:tcPr>
          <w:p w14:paraId="286E0215" w14:textId="77777777" w:rsidR="00E70CD3" w:rsidRPr="00C85CAE" w:rsidRDefault="00E70CD3" w:rsidP="005229F1">
            <w:pPr>
              <w:spacing w:after="0" w:line="240" w:lineRule="auto"/>
              <w:jc w:val="right"/>
              <w:rPr>
                <w:rFonts w:ascii="Times New Roman" w:eastAsia="Times New Roman" w:hAnsi="Times New Roman" w:cs="Times New Roman"/>
                <w:sz w:val="20"/>
                <w:szCs w:val="20"/>
                <w:lang w:eastAsia="en-GB"/>
              </w:rPr>
            </w:pPr>
          </w:p>
        </w:tc>
        <w:tc>
          <w:tcPr>
            <w:tcW w:w="1202" w:type="dxa"/>
            <w:tcBorders>
              <w:top w:val="nil"/>
              <w:left w:val="nil"/>
              <w:right w:val="nil"/>
            </w:tcBorders>
            <w:shd w:val="clear" w:color="auto" w:fill="auto"/>
            <w:noWrap/>
            <w:vAlign w:val="center"/>
            <w:hideMark/>
          </w:tcPr>
          <w:p w14:paraId="1F52A9BC" w14:textId="77777777" w:rsidR="00E70CD3" w:rsidRPr="00C85CAE" w:rsidRDefault="00E70CD3" w:rsidP="005229F1">
            <w:pPr>
              <w:spacing w:after="0" w:line="240" w:lineRule="auto"/>
              <w:jc w:val="right"/>
              <w:rPr>
                <w:rFonts w:ascii="Times New Roman" w:eastAsia="Times New Roman" w:hAnsi="Times New Roman" w:cs="Times New Roman"/>
                <w:sz w:val="20"/>
                <w:szCs w:val="20"/>
                <w:lang w:eastAsia="en-GB"/>
              </w:rPr>
            </w:pPr>
          </w:p>
        </w:tc>
        <w:tc>
          <w:tcPr>
            <w:tcW w:w="1347" w:type="dxa"/>
            <w:tcBorders>
              <w:top w:val="nil"/>
              <w:left w:val="nil"/>
              <w:right w:val="nil"/>
            </w:tcBorders>
            <w:shd w:val="clear" w:color="auto" w:fill="auto"/>
            <w:noWrap/>
            <w:vAlign w:val="center"/>
            <w:hideMark/>
          </w:tcPr>
          <w:p w14:paraId="41465D6D" w14:textId="77777777" w:rsidR="00E70CD3" w:rsidRPr="00C85CAE" w:rsidRDefault="00E70CD3" w:rsidP="005229F1">
            <w:pPr>
              <w:spacing w:after="0" w:line="240" w:lineRule="auto"/>
              <w:jc w:val="right"/>
              <w:rPr>
                <w:rFonts w:ascii="Times New Roman" w:eastAsia="Times New Roman" w:hAnsi="Times New Roman" w:cs="Times New Roman"/>
                <w:sz w:val="20"/>
                <w:szCs w:val="20"/>
                <w:lang w:eastAsia="en-GB"/>
              </w:rPr>
            </w:pPr>
          </w:p>
        </w:tc>
        <w:tc>
          <w:tcPr>
            <w:tcW w:w="1111" w:type="dxa"/>
            <w:tcBorders>
              <w:top w:val="nil"/>
              <w:left w:val="nil"/>
              <w:right w:val="nil"/>
            </w:tcBorders>
            <w:shd w:val="clear" w:color="auto" w:fill="auto"/>
            <w:noWrap/>
            <w:vAlign w:val="center"/>
            <w:hideMark/>
          </w:tcPr>
          <w:p w14:paraId="437AE70E" w14:textId="77777777" w:rsidR="00E70CD3" w:rsidRPr="00C85CAE" w:rsidRDefault="00E70CD3" w:rsidP="005229F1">
            <w:pPr>
              <w:spacing w:after="0" w:line="240" w:lineRule="auto"/>
              <w:jc w:val="right"/>
              <w:rPr>
                <w:rFonts w:ascii="Times New Roman" w:eastAsia="Times New Roman" w:hAnsi="Times New Roman" w:cs="Times New Roman"/>
                <w:sz w:val="20"/>
                <w:szCs w:val="20"/>
                <w:lang w:eastAsia="en-GB"/>
              </w:rPr>
            </w:pPr>
          </w:p>
        </w:tc>
        <w:tc>
          <w:tcPr>
            <w:tcW w:w="964" w:type="dxa"/>
            <w:gridSpan w:val="2"/>
            <w:tcBorders>
              <w:top w:val="nil"/>
              <w:left w:val="nil"/>
              <w:right w:val="nil"/>
            </w:tcBorders>
            <w:shd w:val="clear" w:color="auto" w:fill="auto"/>
            <w:noWrap/>
            <w:vAlign w:val="center"/>
            <w:hideMark/>
          </w:tcPr>
          <w:p w14:paraId="5CFED05D" w14:textId="77777777" w:rsidR="00E70CD3" w:rsidRPr="00C85CAE" w:rsidRDefault="00E70CD3" w:rsidP="006647C2">
            <w:pPr>
              <w:spacing w:after="0" w:line="240" w:lineRule="auto"/>
              <w:ind w:right="-129"/>
              <w:jc w:val="right"/>
              <w:rPr>
                <w:rFonts w:ascii="Times New Roman" w:eastAsia="Times New Roman" w:hAnsi="Times New Roman" w:cs="Times New Roman"/>
                <w:sz w:val="20"/>
                <w:szCs w:val="20"/>
                <w:lang w:eastAsia="en-GB"/>
              </w:rPr>
            </w:pPr>
          </w:p>
        </w:tc>
      </w:tr>
      <w:tr w:rsidR="0039438F" w:rsidRPr="000D2606" w14:paraId="39AE39BD" w14:textId="77777777" w:rsidTr="00161381">
        <w:trPr>
          <w:trHeight w:val="402"/>
        </w:trPr>
        <w:tc>
          <w:tcPr>
            <w:tcW w:w="2409" w:type="dxa"/>
            <w:tcBorders>
              <w:top w:val="nil"/>
              <w:left w:val="nil"/>
              <w:bottom w:val="nil"/>
              <w:right w:val="nil"/>
            </w:tcBorders>
            <w:shd w:val="clear" w:color="auto" w:fill="auto"/>
            <w:noWrap/>
            <w:vAlign w:val="center"/>
            <w:hideMark/>
          </w:tcPr>
          <w:p w14:paraId="40D2E6BF" w14:textId="77777777" w:rsidR="0039438F" w:rsidRPr="00016313" w:rsidRDefault="0039438F" w:rsidP="0039438F">
            <w:pPr>
              <w:spacing w:after="0" w:line="240" w:lineRule="auto"/>
              <w:rPr>
                <w:rFonts w:ascii="Arial" w:eastAsia="Times New Roman" w:hAnsi="Arial" w:cs="Arial"/>
                <w:sz w:val="20"/>
                <w:szCs w:val="20"/>
                <w:lang w:eastAsia="en-GB"/>
              </w:rPr>
            </w:pPr>
            <w:r w:rsidRPr="00016313">
              <w:rPr>
                <w:rFonts w:ascii="Arial" w:eastAsia="Times New Roman" w:hAnsi="Arial" w:cs="Arial"/>
                <w:sz w:val="20"/>
                <w:szCs w:val="20"/>
                <w:lang w:eastAsia="en-GB"/>
              </w:rPr>
              <w:t>DIG for Dinner</w:t>
            </w:r>
          </w:p>
        </w:tc>
        <w:tc>
          <w:tcPr>
            <w:tcW w:w="1202" w:type="dxa"/>
            <w:tcBorders>
              <w:top w:val="nil"/>
              <w:left w:val="nil"/>
              <w:bottom w:val="nil"/>
              <w:right w:val="nil"/>
            </w:tcBorders>
            <w:shd w:val="clear" w:color="auto" w:fill="auto"/>
            <w:noWrap/>
            <w:vAlign w:val="center"/>
            <w:hideMark/>
          </w:tcPr>
          <w:p w14:paraId="75EB0486" w14:textId="77777777" w:rsidR="0039438F" w:rsidRPr="00016313" w:rsidRDefault="0039438F" w:rsidP="0039438F">
            <w:pPr>
              <w:spacing w:after="0" w:line="240" w:lineRule="auto"/>
              <w:jc w:val="right"/>
              <w:rPr>
                <w:rFonts w:ascii="Arial" w:eastAsia="Times New Roman" w:hAnsi="Arial" w:cs="Arial"/>
                <w:sz w:val="20"/>
                <w:szCs w:val="20"/>
                <w:lang w:eastAsia="en-GB"/>
              </w:rPr>
            </w:pPr>
            <w:r w:rsidRPr="00016313">
              <w:rPr>
                <w:rFonts w:ascii="Arial" w:eastAsia="Times New Roman" w:hAnsi="Arial" w:cs="Arial"/>
                <w:bCs/>
                <w:sz w:val="20"/>
                <w:szCs w:val="20"/>
                <w:lang w:eastAsia="en-GB"/>
              </w:rPr>
              <w:t>38</w:t>
            </w:r>
          </w:p>
        </w:tc>
        <w:tc>
          <w:tcPr>
            <w:tcW w:w="1068" w:type="dxa"/>
            <w:tcBorders>
              <w:top w:val="nil"/>
              <w:left w:val="nil"/>
              <w:bottom w:val="nil"/>
              <w:right w:val="nil"/>
            </w:tcBorders>
            <w:shd w:val="clear" w:color="auto" w:fill="auto"/>
            <w:noWrap/>
            <w:vAlign w:val="center"/>
          </w:tcPr>
          <w:p w14:paraId="54199266" w14:textId="77777777" w:rsidR="0039438F" w:rsidRPr="00016313" w:rsidRDefault="00306738" w:rsidP="0039438F">
            <w:pPr>
              <w:spacing w:after="0" w:line="240" w:lineRule="auto"/>
              <w:jc w:val="right"/>
              <w:rPr>
                <w:rFonts w:ascii="Arial" w:eastAsia="Times New Roman" w:hAnsi="Arial" w:cs="Arial"/>
                <w:sz w:val="20"/>
                <w:szCs w:val="20"/>
                <w:lang w:eastAsia="en-GB"/>
              </w:rPr>
            </w:pPr>
            <w:r w:rsidRPr="00016313">
              <w:rPr>
                <w:rFonts w:ascii="Arial" w:eastAsia="Times New Roman" w:hAnsi="Arial" w:cs="Arial"/>
                <w:sz w:val="20"/>
                <w:szCs w:val="20"/>
                <w:lang w:eastAsia="en-GB"/>
              </w:rPr>
              <w:t>-</w:t>
            </w:r>
          </w:p>
        </w:tc>
        <w:tc>
          <w:tcPr>
            <w:tcW w:w="1202" w:type="dxa"/>
            <w:tcBorders>
              <w:top w:val="nil"/>
              <w:left w:val="nil"/>
              <w:bottom w:val="nil"/>
              <w:right w:val="nil"/>
            </w:tcBorders>
            <w:shd w:val="clear" w:color="auto" w:fill="auto"/>
            <w:noWrap/>
            <w:vAlign w:val="center"/>
          </w:tcPr>
          <w:p w14:paraId="7412277F" w14:textId="77777777" w:rsidR="0039438F" w:rsidRPr="00016313" w:rsidRDefault="00306738" w:rsidP="0039438F">
            <w:pPr>
              <w:spacing w:after="0" w:line="240" w:lineRule="auto"/>
              <w:jc w:val="right"/>
              <w:rPr>
                <w:rFonts w:ascii="Arial" w:eastAsia="Times New Roman" w:hAnsi="Arial" w:cs="Arial"/>
                <w:sz w:val="20"/>
                <w:szCs w:val="20"/>
                <w:lang w:eastAsia="en-GB"/>
              </w:rPr>
            </w:pPr>
            <w:r w:rsidRPr="00016313">
              <w:rPr>
                <w:rFonts w:ascii="Arial" w:eastAsia="Times New Roman" w:hAnsi="Arial" w:cs="Arial"/>
                <w:sz w:val="20"/>
                <w:szCs w:val="20"/>
                <w:lang w:eastAsia="en-GB"/>
              </w:rPr>
              <w:t>-</w:t>
            </w:r>
          </w:p>
        </w:tc>
        <w:tc>
          <w:tcPr>
            <w:tcW w:w="1347" w:type="dxa"/>
            <w:tcBorders>
              <w:top w:val="nil"/>
              <w:left w:val="nil"/>
              <w:bottom w:val="nil"/>
              <w:right w:val="nil"/>
            </w:tcBorders>
            <w:shd w:val="clear" w:color="auto" w:fill="auto"/>
            <w:noWrap/>
            <w:vAlign w:val="center"/>
          </w:tcPr>
          <w:p w14:paraId="7782282C" w14:textId="77777777" w:rsidR="0039438F" w:rsidRPr="00016313" w:rsidRDefault="00306738" w:rsidP="0039438F">
            <w:pPr>
              <w:spacing w:after="0" w:line="240" w:lineRule="auto"/>
              <w:jc w:val="right"/>
              <w:rPr>
                <w:rFonts w:ascii="Arial" w:eastAsia="Times New Roman" w:hAnsi="Arial" w:cs="Arial"/>
                <w:sz w:val="20"/>
                <w:szCs w:val="20"/>
                <w:lang w:eastAsia="en-GB"/>
              </w:rPr>
            </w:pPr>
            <w:r w:rsidRPr="00016313">
              <w:rPr>
                <w:rFonts w:ascii="Arial" w:eastAsia="Times New Roman" w:hAnsi="Arial" w:cs="Arial"/>
                <w:sz w:val="20"/>
                <w:szCs w:val="20"/>
                <w:lang w:eastAsia="en-GB"/>
              </w:rPr>
              <w:t>-</w:t>
            </w:r>
          </w:p>
        </w:tc>
        <w:tc>
          <w:tcPr>
            <w:tcW w:w="1111" w:type="dxa"/>
            <w:tcBorders>
              <w:top w:val="nil"/>
              <w:left w:val="nil"/>
              <w:bottom w:val="nil"/>
              <w:right w:val="nil"/>
            </w:tcBorders>
            <w:shd w:val="clear" w:color="auto" w:fill="auto"/>
            <w:noWrap/>
            <w:vAlign w:val="center"/>
          </w:tcPr>
          <w:p w14:paraId="574C15B2" w14:textId="77777777" w:rsidR="0039438F" w:rsidRPr="00016313" w:rsidRDefault="00306738" w:rsidP="0039438F">
            <w:pPr>
              <w:spacing w:after="0" w:line="240" w:lineRule="auto"/>
              <w:jc w:val="right"/>
              <w:rPr>
                <w:rFonts w:ascii="Arial" w:eastAsia="Times New Roman" w:hAnsi="Arial" w:cs="Arial"/>
                <w:sz w:val="20"/>
                <w:szCs w:val="20"/>
                <w:lang w:eastAsia="en-GB"/>
              </w:rPr>
            </w:pPr>
            <w:r w:rsidRPr="00016313">
              <w:rPr>
                <w:rFonts w:ascii="Arial" w:eastAsia="Times New Roman" w:hAnsi="Arial" w:cs="Arial"/>
                <w:sz w:val="20"/>
                <w:szCs w:val="20"/>
                <w:lang w:eastAsia="en-GB"/>
              </w:rPr>
              <w:t>-</w:t>
            </w:r>
          </w:p>
        </w:tc>
        <w:tc>
          <w:tcPr>
            <w:tcW w:w="964" w:type="dxa"/>
            <w:gridSpan w:val="2"/>
            <w:tcBorders>
              <w:top w:val="nil"/>
              <w:left w:val="nil"/>
              <w:bottom w:val="nil"/>
              <w:right w:val="nil"/>
            </w:tcBorders>
            <w:shd w:val="clear" w:color="auto" w:fill="auto"/>
            <w:noWrap/>
            <w:vAlign w:val="center"/>
          </w:tcPr>
          <w:p w14:paraId="1CE9354B" w14:textId="77777777" w:rsidR="0039438F" w:rsidRPr="00016313" w:rsidRDefault="00306738" w:rsidP="006647C2">
            <w:pPr>
              <w:spacing w:after="0" w:line="240" w:lineRule="auto"/>
              <w:ind w:right="-79"/>
              <w:jc w:val="right"/>
              <w:rPr>
                <w:rFonts w:ascii="Arial" w:eastAsia="Times New Roman" w:hAnsi="Arial" w:cs="Arial"/>
                <w:b/>
                <w:bCs/>
                <w:sz w:val="20"/>
                <w:szCs w:val="20"/>
                <w:lang w:eastAsia="en-GB"/>
              </w:rPr>
            </w:pPr>
            <w:r w:rsidRPr="00016313">
              <w:rPr>
                <w:rFonts w:ascii="Arial" w:eastAsia="Times New Roman" w:hAnsi="Arial" w:cs="Arial"/>
                <w:b/>
                <w:bCs/>
                <w:sz w:val="20"/>
                <w:szCs w:val="20"/>
                <w:lang w:eastAsia="en-GB"/>
              </w:rPr>
              <w:t>38</w:t>
            </w:r>
          </w:p>
        </w:tc>
      </w:tr>
      <w:tr w:rsidR="0039438F" w:rsidRPr="00C85CAE" w14:paraId="7BF79807" w14:textId="77777777" w:rsidTr="00161381">
        <w:trPr>
          <w:trHeight w:val="402"/>
        </w:trPr>
        <w:tc>
          <w:tcPr>
            <w:tcW w:w="2409" w:type="dxa"/>
            <w:tcBorders>
              <w:top w:val="nil"/>
              <w:left w:val="nil"/>
              <w:bottom w:val="nil"/>
              <w:right w:val="nil"/>
            </w:tcBorders>
            <w:shd w:val="clear" w:color="auto" w:fill="auto"/>
            <w:noWrap/>
            <w:vAlign w:val="center"/>
            <w:hideMark/>
          </w:tcPr>
          <w:p w14:paraId="6BE9EA0A" w14:textId="77777777" w:rsidR="0039438F" w:rsidRPr="00C85CAE" w:rsidRDefault="0039438F" w:rsidP="0039438F">
            <w:pPr>
              <w:spacing w:after="0" w:line="240" w:lineRule="auto"/>
              <w:rPr>
                <w:rFonts w:ascii="Arial" w:eastAsia="Times New Roman" w:hAnsi="Arial" w:cs="Arial"/>
                <w:sz w:val="20"/>
                <w:szCs w:val="20"/>
                <w:lang w:eastAsia="en-GB"/>
              </w:rPr>
            </w:pPr>
            <w:r w:rsidRPr="00C85CAE">
              <w:rPr>
                <w:rFonts w:ascii="Arial" w:eastAsia="Times New Roman" w:hAnsi="Arial" w:cs="Arial"/>
                <w:sz w:val="20"/>
                <w:szCs w:val="20"/>
                <w:lang w:eastAsia="en-GB"/>
              </w:rPr>
              <w:t>Doncaster Borough Council (guarantee)</w:t>
            </w:r>
          </w:p>
        </w:tc>
        <w:tc>
          <w:tcPr>
            <w:tcW w:w="1202" w:type="dxa"/>
            <w:tcBorders>
              <w:top w:val="nil"/>
              <w:left w:val="nil"/>
              <w:bottom w:val="nil"/>
              <w:right w:val="nil"/>
            </w:tcBorders>
            <w:shd w:val="clear" w:color="auto" w:fill="auto"/>
            <w:noWrap/>
            <w:vAlign w:val="center"/>
            <w:hideMark/>
          </w:tcPr>
          <w:p w14:paraId="07C46E6F" w14:textId="77777777" w:rsidR="0039438F" w:rsidRPr="0039438F" w:rsidRDefault="0039438F" w:rsidP="0039438F">
            <w:pPr>
              <w:spacing w:after="0" w:line="240" w:lineRule="auto"/>
              <w:jc w:val="right"/>
              <w:rPr>
                <w:rFonts w:ascii="Arial" w:eastAsia="Times New Roman" w:hAnsi="Arial" w:cs="Arial"/>
                <w:sz w:val="20"/>
                <w:szCs w:val="20"/>
                <w:lang w:eastAsia="en-GB"/>
              </w:rPr>
            </w:pPr>
            <w:r w:rsidRPr="0039438F">
              <w:rPr>
                <w:rFonts w:ascii="Arial" w:eastAsia="Times New Roman" w:hAnsi="Arial" w:cs="Arial"/>
                <w:bCs/>
                <w:sz w:val="20"/>
                <w:szCs w:val="20"/>
                <w:lang w:eastAsia="en-GB"/>
              </w:rPr>
              <w:t>250</w:t>
            </w:r>
          </w:p>
        </w:tc>
        <w:tc>
          <w:tcPr>
            <w:tcW w:w="1068" w:type="dxa"/>
            <w:tcBorders>
              <w:top w:val="nil"/>
              <w:left w:val="nil"/>
              <w:bottom w:val="nil"/>
              <w:right w:val="nil"/>
            </w:tcBorders>
            <w:shd w:val="clear" w:color="auto" w:fill="auto"/>
            <w:noWrap/>
            <w:vAlign w:val="center"/>
          </w:tcPr>
          <w:p w14:paraId="15CD41EA" w14:textId="77777777" w:rsidR="0039438F" w:rsidRPr="004479BF" w:rsidRDefault="00306738" w:rsidP="0039438F">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w:t>
            </w:r>
          </w:p>
        </w:tc>
        <w:tc>
          <w:tcPr>
            <w:tcW w:w="1202" w:type="dxa"/>
            <w:tcBorders>
              <w:top w:val="nil"/>
              <w:left w:val="nil"/>
              <w:bottom w:val="nil"/>
              <w:right w:val="nil"/>
            </w:tcBorders>
            <w:shd w:val="clear" w:color="auto" w:fill="auto"/>
            <w:noWrap/>
            <w:vAlign w:val="center"/>
          </w:tcPr>
          <w:p w14:paraId="7E665A36" w14:textId="77777777" w:rsidR="0039438F" w:rsidRPr="00543D10" w:rsidRDefault="00306738" w:rsidP="0039438F">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w:t>
            </w:r>
          </w:p>
        </w:tc>
        <w:tc>
          <w:tcPr>
            <w:tcW w:w="1347" w:type="dxa"/>
            <w:tcBorders>
              <w:top w:val="nil"/>
              <w:left w:val="nil"/>
              <w:bottom w:val="nil"/>
              <w:right w:val="nil"/>
            </w:tcBorders>
            <w:shd w:val="clear" w:color="auto" w:fill="auto"/>
            <w:noWrap/>
            <w:vAlign w:val="center"/>
          </w:tcPr>
          <w:p w14:paraId="379FD044" w14:textId="77777777" w:rsidR="0039438F" w:rsidRPr="004479BF" w:rsidRDefault="00306738" w:rsidP="0039438F">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w:t>
            </w:r>
          </w:p>
        </w:tc>
        <w:tc>
          <w:tcPr>
            <w:tcW w:w="1111" w:type="dxa"/>
            <w:tcBorders>
              <w:top w:val="nil"/>
              <w:left w:val="nil"/>
              <w:bottom w:val="nil"/>
              <w:right w:val="nil"/>
            </w:tcBorders>
            <w:shd w:val="clear" w:color="auto" w:fill="auto"/>
            <w:noWrap/>
            <w:vAlign w:val="center"/>
          </w:tcPr>
          <w:p w14:paraId="090583EB" w14:textId="77777777" w:rsidR="0039438F" w:rsidRPr="004479BF" w:rsidRDefault="00306738" w:rsidP="0039438F">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w:t>
            </w:r>
          </w:p>
        </w:tc>
        <w:tc>
          <w:tcPr>
            <w:tcW w:w="964" w:type="dxa"/>
            <w:gridSpan w:val="2"/>
            <w:tcBorders>
              <w:top w:val="nil"/>
              <w:left w:val="nil"/>
              <w:bottom w:val="nil"/>
              <w:right w:val="nil"/>
            </w:tcBorders>
            <w:shd w:val="clear" w:color="auto" w:fill="auto"/>
            <w:noWrap/>
            <w:vAlign w:val="center"/>
          </w:tcPr>
          <w:p w14:paraId="33A27F3A" w14:textId="77777777" w:rsidR="0039438F" w:rsidRPr="00C85CAE" w:rsidRDefault="00306738" w:rsidP="006647C2">
            <w:pPr>
              <w:spacing w:after="0" w:line="240" w:lineRule="auto"/>
              <w:ind w:right="-79"/>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250</w:t>
            </w:r>
          </w:p>
        </w:tc>
      </w:tr>
      <w:tr w:rsidR="0039438F" w:rsidRPr="00C85CAE" w14:paraId="38C01F4E" w14:textId="77777777" w:rsidTr="00161381">
        <w:trPr>
          <w:trHeight w:val="402"/>
        </w:trPr>
        <w:tc>
          <w:tcPr>
            <w:tcW w:w="2409" w:type="dxa"/>
            <w:tcBorders>
              <w:top w:val="nil"/>
              <w:left w:val="nil"/>
              <w:bottom w:val="nil"/>
              <w:right w:val="nil"/>
            </w:tcBorders>
            <w:shd w:val="clear" w:color="auto" w:fill="auto"/>
            <w:noWrap/>
            <w:vAlign w:val="center"/>
            <w:hideMark/>
          </w:tcPr>
          <w:p w14:paraId="64903B14" w14:textId="77777777" w:rsidR="0039438F" w:rsidRPr="00C85CAE" w:rsidRDefault="0039438F" w:rsidP="0039438F">
            <w:pPr>
              <w:spacing w:after="0" w:line="240" w:lineRule="auto"/>
              <w:rPr>
                <w:rFonts w:ascii="Arial" w:eastAsia="Times New Roman" w:hAnsi="Arial" w:cs="Arial"/>
                <w:sz w:val="20"/>
                <w:szCs w:val="20"/>
                <w:lang w:eastAsia="en-GB"/>
              </w:rPr>
            </w:pPr>
            <w:r w:rsidRPr="00C85CAE">
              <w:rPr>
                <w:rFonts w:ascii="Arial" w:eastAsia="Times New Roman" w:hAnsi="Arial" w:cs="Arial"/>
                <w:sz w:val="20"/>
                <w:szCs w:val="20"/>
                <w:lang w:eastAsia="en-GB"/>
              </w:rPr>
              <w:t>Palmer Gardens Fund (Capital)</w:t>
            </w:r>
          </w:p>
        </w:tc>
        <w:tc>
          <w:tcPr>
            <w:tcW w:w="1202" w:type="dxa"/>
            <w:tcBorders>
              <w:top w:val="nil"/>
              <w:left w:val="nil"/>
              <w:bottom w:val="nil"/>
              <w:right w:val="nil"/>
            </w:tcBorders>
            <w:shd w:val="clear" w:color="auto" w:fill="auto"/>
            <w:noWrap/>
            <w:vAlign w:val="center"/>
            <w:hideMark/>
          </w:tcPr>
          <w:p w14:paraId="0C3755E5" w14:textId="77777777" w:rsidR="0039438F" w:rsidRPr="0039438F" w:rsidRDefault="0039438F" w:rsidP="0039438F">
            <w:pPr>
              <w:spacing w:after="0" w:line="240" w:lineRule="auto"/>
              <w:jc w:val="right"/>
              <w:rPr>
                <w:rFonts w:ascii="Arial" w:eastAsia="Times New Roman" w:hAnsi="Arial" w:cs="Arial"/>
                <w:sz w:val="20"/>
                <w:szCs w:val="20"/>
                <w:lang w:eastAsia="en-GB"/>
              </w:rPr>
            </w:pPr>
            <w:r w:rsidRPr="0039438F">
              <w:rPr>
                <w:rFonts w:ascii="Arial" w:eastAsia="Times New Roman" w:hAnsi="Arial" w:cs="Arial"/>
                <w:bCs/>
                <w:sz w:val="20"/>
                <w:szCs w:val="20"/>
                <w:lang w:eastAsia="en-GB"/>
              </w:rPr>
              <w:t>566</w:t>
            </w:r>
          </w:p>
        </w:tc>
        <w:tc>
          <w:tcPr>
            <w:tcW w:w="1068" w:type="dxa"/>
            <w:tcBorders>
              <w:top w:val="nil"/>
              <w:left w:val="nil"/>
              <w:bottom w:val="nil"/>
              <w:right w:val="nil"/>
            </w:tcBorders>
            <w:shd w:val="clear" w:color="auto" w:fill="auto"/>
            <w:noWrap/>
            <w:vAlign w:val="center"/>
          </w:tcPr>
          <w:p w14:paraId="41E6EDAF" w14:textId="77777777" w:rsidR="0039438F" w:rsidRPr="004479BF" w:rsidRDefault="00306738" w:rsidP="0039438F">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w:t>
            </w:r>
          </w:p>
        </w:tc>
        <w:tc>
          <w:tcPr>
            <w:tcW w:w="1202" w:type="dxa"/>
            <w:tcBorders>
              <w:top w:val="nil"/>
              <w:left w:val="nil"/>
              <w:bottom w:val="nil"/>
              <w:right w:val="nil"/>
            </w:tcBorders>
            <w:shd w:val="clear" w:color="auto" w:fill="auto"/>
            <w:noWrap/>
            <w:vAlign w:val="center"/>
          </w:tcPr>
          <w:p w14:paraId="533934F4" w14:textId="77777777" w:rsidR="0039438F" w:rsidRPr="00543D10" w:rsidRDefault="00306738" w:rsidP="0039438F">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(19)</w:t>
            </w:r>
          </w:p>
        </w:tc>
        <w:tc>
          <w:tcPr>
            <w:tcW w:w="1347" w:type="dxa"/>
            <w:tcBorders>
              <w:top w:val="nil"/>
              <w:left w:val="nil"/>
              <w:bottom w:val="nil"/>
              <w:right w:val="nil"/>
            </w:tcBorders>
            <w:shd w:val="clear" w:color="auto" w:fill="auto"/>
            <w:noWrap/>
            <w:vAlign w:val="center"/>
          </w:tcPr>
          <w:p w14:paraId="54B16170" w14:textId="77777777" w:rsidR="0039438F" w:rsidRPr="004479BF" w:rsidRDefault="00306738" w:rsidP="0039438F">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w:t>
            </w:r>
          </w:p>
        </w:tc>
        <w:tc>
          <w:tcPr>
            <w:tcW w:w="1111" w:type="dxa"/>
            <w:tcBorders>
              <w:top w:val="nil"/>
              <w:left w:val="nil"/>
              <w:bottom w:val="nil"/>
              <w:right w:val="nil"/>
            </w:tcBorders>
            <w:shd w:val="clear" w:color="auto" w:fill="auto"/>
            <w:noWrap/>
            <w:vAlign w:val="center"/>
          </w:tcPr>
          <w:p w14:paraId="33F3D5A3" w14:textId="77777777" w:rsidR="0039438F" w:rsidRPr="004479BF" w:rsidRDefault="00306738" w:rsidP="0039438F">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w:t>
            </w:r>
          </w:p>
        </w:tc>
        <w:tc>
          <w:tcPr>
            <w:tcW w:w="964" w:type="dxa"/>
            <w:gridSpan w:val="2"/>
            <w:tcBorders>
              <w:top w:val="nil"/>
              <w:left w:val="nil"/>
              <w:bottom w:val="nil"/>
              <w:right w:val="nil"/>
            </w:tcBorders>
            <w:shd w:val="clear" w:color="auto" w:fill="auto"/>
            <w:noWrap/>
            <w:vAlign w:val="center"/>
          </w:tcPr>
          <w:p w14:paraId="2C57A0CA" w14:textId="77777777" w:rsidR="0039438F" w:rsidRPr="00C85CAE" w:rsidRDefault="00306738" w:rsidP="006647C2">
            <w:pPr>
              <w:spacing w:after="0" w:line="240" w:lineRule="auto"/>
              <w:ind w:right="-79"/>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547</w:t>
            </w:r>
          </w:p>
        </w:tc>
      </w:tr>
      <w:tr w:rsidR="0039438F" w:rsidRPr="00C85CAE" w14:paraId="2ED1899A" w14:textId="77777777" w:rsidTr="00161381">
        <w:trPr>
          <w:trHeight w:val="402"/>
        </w:trPr>
        <w:tc>
          <w:tcPr>
            <w:tcW w:w="2409" w:type="dxa"/>
            <w:tcBorders>
              <w:top w:val="nil"/>
              <w:left w:val="nil"/>
              <w:bottom w:val="nil"/>
              <w:right w:val="nil"/>
            </w:tcBorders>
            <w:shd w:val="clear" w:color="auto" w:fill="auto"/>
            <w:noWrap/>
            <w:vAlign w:val="center"/>
            <w:hideMark/>
          </w:tcPr>
          <w:p w14:paraId="3D7DB679" w14:textId="77777777" w:rsidR="0039438F" w:rsidRPr="00C85CAE" w:rsidRDefault="0039438F" w:rsidP="0039438F">
            <w:pPr>
              <w:spacing w:after="0" w:line="240" w:lineRule="auto"/>
              <w:rPr>
                <w:rFonts w:ascii="Arial" w:eastAsia="Times New Roman" w:hAnsi="Arial" w:cs="Arial"/>
                <w:sz w:val="20"/>
                <w:szCs w:val="20"/>
                <w:lang w:eastAsia="en-GB"/>
              </w:rPr>
            </w:pPr>
            <w:r w:rsidRPr="00C85CAE">
              <w:rPr>
                <w:rFonts w:ascii="Arial" w:eastAsia="Times New Roman" w:hAnsi="Arial" w:cs="Arial"/>
                <w:sz w:val="20"/>
                <w:szCs w:val="20"/>
                <w:lang w:eastAsia="en-GB"/>
              </w:rPr>
              <w:t>Palmer Gardens Fund (Revenue)</w:t>
            </w:r>
          </w:p>
        </w:tc>
        <w:tc>
          <w:tcPr>
            <w:tcW w:w="1202" w:type="dxa"/>
            <w:tcBorders>
              <w:top w:val="nil"/>
              <w:left w:val="nil"/>
              <w:bottom w:val="nil"/>
              <w:right w:val="nil"/>
            </w:tcBorders>
            <w:shd w:val="clear" w:color="auto" w:fill="auto"/>
            <w:noWrap/>
            <w:vAlign w:val="center"/>
            <w:hideMark/>
          </w:tcPr>
          <w:p w14:paraId="1ACE1035" w14:textId="77777777" w:rsidR="0039438F" w:rsidRPr="0039438F" w:rsidRDefault="0039438F" w:rsidP="0039438F">
            <w:pPr>
              <w:spacing w:after="0" w:line="240" w:lineRule="auto"/>
              <w:jc w:val="right"/>
              <w:rPr>
                <w:rFonts w:ascii="Arial" w:eastAsia="Times New Roman" w:hAnsi="Arial" w:cs="Arial"/>
                <w:sz w:val="20"/>
                <w:szCs w:val="20"/>
                <w:lang w:eastAsia="en-GB"/>
              </w:rPr>
            </w:pPr>
            <w:r w:rsidRPr="0039438F">
              <w:rPr>
                <w:rFonts w:ascii="Arial" w:eastAsia="Times New Roman" w:hAnsi="Arial" w:cs="Arial"/>
                <w:bCs/>
                <w:sz w:val="20"/>
                <w:szCs w:val="20"/>
                <w:lang w:eastAsia="en-GB"/>
              </w:rPr>
              <w:t>-</w:t>
            </w:r>
          </w:p>
        </w:tc>
        <w:tc>
          <w:tcPr>
            <w:tcW w:w="1068" w:type="dxa"/>
            <w:tcBorders>
              <w:top w:val="nil"/>
              <w:left w:val="nil"/>
              <w:bottom w:val="nil"/>
              <w:right w:val="nil"/>
            </w:tcBorders>
            <w:shd w:val="clear" w:color="auto" w:fill="auto"/>
            <w:noWrap/>
            <w:vAlign w:val="center"/>
          </w:tcPr>
          <w:p w14:paraId="6E508955" w14:textId="77777777" w:rsidR="0039438F" w:rsidRPr="004479BF" w:rsidRDefault="00306738" w:rsidP="0069798A">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287</w:t>
            </w:r>
          </w:p>
        </w:tc>
        <w:tc>
          <w:tcPr>
            <w:tcW w:w="1202" w:type="dxa"/>
            <w:tcBorders>
              <w:top w:val="nil"/>
              <w:left w:val="nil"/>
              <w:bottom w:val="nil"/>
              <w:right w:val="nil"/>
            </w:tcBorders>
            <w:shd w:val="clear" w:color="auto" w:fill="auto"/>
            <w:noWrap/>
            <w:vAlign w:val="center"/>
          </w:tcPr>
          <w:p w14:paraId="22B1780B" w14:textId="77777777" w:rsidR="0039438F" w:rsidRPr="00543D10" w:rsidRDefault="00306738" w:rsidP="0039438F">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(640)</w:t>
            </w:r>
          </w:p>
        </w:tc>
        <w:tc>
          <w:tcPr>
            <w:tcW w:w="1347" w:type="dxa"/>
            <w:tcBorders>
              <w:top w:val="nil"/>
              <w:left w:val="nil"/>
              <w:bottom w:val="nil"/>
              <w:right w:val="nil"/>
            </w:tcBorders>
            <w:shd w:val="clear" w:color="auto" w:fill="auto"/>
            <w:noWrap/>
            <w:vAlign w:val="center"/>
          </w:tcPr>
          <w:p w14:paraId="0D5702B5" w14:textId="77777777" w:rsidR="0039438F" w:rsidRPr="004479BF" w:rsidRDefault="00306738" w:rsidP="0039438F">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w:t>
            </w:r>
          </w:p>
        </w:tc>
        <w:tc>
          <w:tcPr>
            <w:tcW w:w="1111" w:type="dxa"/>
            <w:tcBorders>
              <w:top w:val="nil"/>
              <w:left w:val="nil"/>
              <w:bottom w:val="nil"/>
              <w:right w:val="nil"/>
            </w:tcBorders>
            <w:shd w:val="clear" w:color="auto" w:fill="auto"/>
            <w:noWrap/>
            <w:vAlign w:val="center"/>
          </w:tcPr>
          <w:p w14:paraId="5E0FA2E2" w14:textId="77777777" w:rsidR="0039438F" w:rsidRPr="004479BF" w:rsidRDefault="00306738" w:rsidP="0069798A">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353</w:t>
            </w:r>
          </w:p>
        </w:tc>
        <w:tc>
          <w:tcPr>
            <w:tcW w:w="964" w:type="dxa"/>
            <w:gridSpan w:val="2"/>
            <w:tcBorders>
              <w:top w:val="nil"/>
              <w:left w:val="nil"/>
              <w:bottom w:val="nil"/>
              <w:right w:val="nil"/>
            </w:tcBorders>
            <w:shd w:val="clear" w:color="auto" w:fill="auto"/>
            <w:noWrap/>
            <w:vAlign w:val="center"/>
          </w:tcPr>
          <w:p w14:paraId="18E89CBC" w14:textId="77777777" w:rsidR="0039438F" w:rsidRPr="00C85CAE" w:rsidRDefault="00306738" w:rsidP="006647C2">
            <w:pPr>
              <w:spacing w:after="0" w:line="240" w:lineRule="auto"/>
              <w:ind w:right="-79"/>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w:t>
            </w:r>
          </w:p>
        </w:tc>
      </w:tr>
      <w:tr w:rsidR="0039438F" w:rsidRPr="00C85CAE" w14:paraId="03B38B2F" w14:textId="77777777" w:rsidTr="00161381">
        <w:trPr>
          <w:trHeight w:val="402"/>
        </w:trPr>
        <w:tc>
          <w:tcPr>
            <w:tcW w:w="2409" w:type="dxa"/>
            <w:tcBorders>
              <w:top w:val="nil"/>
              <w:left w:val="nil"/>
              <w:bottom w:val="nil"/>
              <w:right w:val="nil"/>
            </w:tcBorders>
            <w:shd w:val="clear" w:color="auto" w:fill="auto"/>
            <w:noWrap/>
            <w:vAlign w:val="center"/>
            <w:hideMark/>
          </w:tcPr>
          <w:p w14:paraId="3798A05A" w14:textId="77777777" w:rsidR="0039438F" w:rsidRPr="00C85CAE" w:rsidRDefault="0039438F" w:rsidP="0039438F">
            <w:pPr>
              <w:spacing w:after="0" w:line="240" w:lineRule="auto"/>
              <w:rPr>
                <w:rFonts w:ascii="Arial" w:eastAsia="Times New Roman" w:hAnsi="Arial" w:cs="Arial"/>
                <w:sz w:val="20"/>
                <w:szCs w:val="20"/>
                <w:lang w:eastAsia="en-GB"/>
              </w:rPr>
            </w:pPr>
            <w:r w:rsidRPr="00C85CAE">
              <w:rPr>
                <w:rFonts w:ascii="Arial" w:eastAsia="Times New Roman" w:hAnsi="Arial" w:cs="Arial"/>
                <w:sz w:val="20"/>
                <w:szCs w:val="20"/>
                <w:lang w:eastAsia="en-GB"/>
              </w:rPr>
              <w:t>Employment Action Centre (Capital)</w:t>
            </w:r>
          </w:p>
        </w:tc>
        <w:tc>
          <w:tcPr>
            <w:tcW w:w="1202" w:type="dxa"/>
            <w:tcBorders>
              <w:top w:val="nil"/>
              <w:left w:val="nil"/>
              <w:bottom w:val="nil"/>
              <w:right w:val="nil"/>
            </w:tcBorders>
            <w:shd w:val="clear" w:color="auto" w:fill="auto"/>
            <w:noWrap/>
            <w:vAlign w:val="center"/>
            <w:hideMark/>
          </w:tcPr>
          <w:p w14:paraId="754C7A81" w14:textId="77777777" w:rsidR="0039438F" w:rsidRPr="0039438F" w:rsidRDefault="0039438F" w:rsidP="0039438F">
            <w:pPr>
              <w:spacing w:after="0" w:line="240" w:lineRule="auto"/>
              <w:jc w:val="right"/>
              <w:rPr>
                <w:rFonts w:ascii="Arial" w:eastAsia="Times New Roman" w:hAnsi="Arial" w:cs="Arial"/>
                <w:sz w:val="20"/>
                <w:szCs w:val="20"/>
                <w:lang w:eastAsia="en-GB"/>
              </w:rPr>
            </w:pPr>
            <w:r w:rsidRPr="0039438F">
              <w:rPr>
                <w:rFonts w:ascii="Arial" w:eastAsia="Times New Roman" w:hAnsi="Arial" w:cs="Arial"/>
                <w:bCs/>
                <w:sz w:val="20"/>
                <w:szCs w:val="20"/>
                <w:lang w:eastAsia="en-GB"/>
              </w:rPr>
              <w:t>674</w:t>
            </w:r>
          </w:p>
        </w:tc>
        <w:tc>
          <w:tcPr>
            <w:tcW w:w="1068" w:type="dxa"/>
            <w:tcBorders>
              <w:top w:val="nil"/>
              <w:left w:val="nil"/>
              <w:bottom w:val="nil"/>
              <w:right w:val="nil"/>
            </w:tcBorders>
            <w:shd w:val="clear" w:color="auto" w:fill="auto"/>
            <w:noWrap/>
            <w:vAlign w:val="center"/>
          </w:tcPr>
          <w:p w14:paraId="12049097" w14:textId="77777777" w:rsidR="0039438F" w:rsidRPr="004479BF" w:rsidRDefault="00306738" w:rsidP="0039438F">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w:t>
            </w:r>
          </w:p>
        </w:tc>
        <w:tc>
          <w:tcPr>
            <w:tcW w:w="1202" w:type="dxa"/>
            <w:tcBorders>
              <w:top w:val="nil"/>
              <w:left w:val="nil"/>
              <w:bottom w:val="nil"/>
              <w:right w:val="nil"/>
            </w:tcBorders>
            <w:shd w:val="clear" w:color="auto" w:fill="auto"/>
            <w:noWrap/>
            <w:vAlign w:val="center"/>
          </w:tcPr>
          <w:p w14:paraId="542BAFB8" w14:textId="77777777" w:rsidR="0039438F" w:rsidRPr="00543D10" w:rsidRDefault="00306738" w:rsidP="0039438F">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w:t>
            </w:r>
          </w:p>
        </w:tc>
        <w:tc>
          <w:tcPr>
            <w:tcW w:w="1347" w:type="dxa"/>
            <w:tcBorders>
              <w:top w:val="nil"/>
              <w:left w:val="nil"/>
              <w:bottom w:val="nil"/>
              <w:right w:val="nil"/>
            </w:tcBorders>
            <w:shd w:val="clear" w:color="auto" w:fill="auto"/>
            <w:noWrap/>
            <w:vAlign w:val="center"/>
          </w:tcPr>
          <w:p w14:paraId="2B010EE5" w14:textId="77777777" w:rsidR="0039438F" w:rsidRPr="004479BF" w:rsidRDefault="00306738" w:rsidP="0039438F">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w:t>
            </w:r>
          </w:p>
        </w:tc>
        <w:tc>
          <w:tcPr>
            <w:tcW w:w="1111" w:type="dxa"/>
            <w:tcBorders>
              <w:top w:val="nil"/>
              <w:left w:val="nil"/>
              <w:bottom w:val="nil"/>
              <w:right w:val="nil"/>
            </w:tcBorders>
            <w:shd w:val="clear" w:color="auto" w:fill="auto"/>
            <w:noWrap/>
            <w:vAlign w:val="center"/>
          </w:tcPr>
          <w:p w14:paraId="62A533FE" w14:textId="77777777" w:rsidR="0039438F" w:rsidRPr="004479BF" w:rsidRDefault="00306738" w:rsidP="0039438F">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w:t>
            </w:r>
          </w:p>
        </w:tc>
        <w:tc>
          <w:tcPr>
            <w:tcW w:w="964" w:type="dxa"/>
            <w:gridSpan w:val="2"/>
            <w:tcBorders>
              <w:top w:val="nil"/>
              <w:left w:val="nil"/>
              <w:bottom w:val="nil"/>
              <w:right w:val="nil"/>
            </w:tcBorders>
            <w:shd w:val="clear" w:color="auto" w:fill="auto"/>
            <w:noWrap/>
            <w:vAlign w:val="center"/>
          </w:tcPr>
          <w:p w14:paraId="76C87814" w14:textId="77777777" w:rsidR="0039438F" w:rsidRPr="00C85CAE" w:rsidRDefault="00306738" w:rsidP="006647C2">
            <w:pPr>
              <w:spacing w:after="0" w:line="240" w:lineRule="auto"/>
              <w:ind w:right="-79"/>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674</w:t>
            </w:r>
          </w:p>
        </w:tc>
      </w:tr>
      <w:tr w:rsidR="0039438F" w:rsidRPr="00C85CAE" w14:paraId="434D457A" w14:textId="77777777" w:rsidTr="00161381">
        <w:trPr>
          <w:trHeight w:val="402"/>
        </w:trPr>
        <w:tc>
          <w:tcPr>
            <w:tcW w:w="2409" w:type="dxa"/>
            <w:tcBorders>
              <w:top w:val="nil"/>
              <w:left w:val="nil"/>
              <w:bottom w:val="nil"/>
              <w:right w:val="nil"/>
            </w:tcBorders>
            <w:shd w:val="clear" w:color="auto" w:fill="auto"/>
            <w:noWrap/>
            <w:vAlign w:val="center"/>
            <w:hideMark/>
          </w:tcPr>
          <w:p w14:paraId="19EF3D8D" w14:textId="77777777" w:rsidR="0039438F" w:rsidRPr="00C85CAE" w:rsidRDefault="0039438F" w:rsidP="0039438F">
            <w:pPr>
              <w:spacing w:after="0" w:line="240" w:lineRule="auto"/>
              <w:rPr>
                <w:rFonts w:ascii="Arial" w:eastAsia="Times New Roman" w:hAnsi="Arial" w:cs="Arial"/>
                <w:sz w:val="20"/>
                <w:szCs w:val="20"/>
                <w:lang w:eastAsia="en-GB"/>
              </w:rPr>
            </w:pPr>
            <w:r w:rsidRPr="00C85CAE">
              <w:rPr>
                <w:rFonts w:ascii="Arial" w:eastAsia="Times New Roman" w:hAnsi="Arial" w:cs="Arial"/>
                <w:sz w:val="20"/>
                <w:szCs w:val="20"/>
                <w:lang w:eastAsia="en-GB"/>
              </w:rPr>
              <w:t>Disability Action Centre (Capital)</w:t>
            </w:r>
          </w:p>
        </w:tc>
        <w:tc>
          <w:tcPr>
            <w:tcW w:w="1202" w:type="dxa"/>
            <w:tcBorders>
              <w:top w:val="nil"/>
              <w:left w:val="nil"/>
              <w:bottom w:val="nil"/>
              <w:right w:val="nil"/>
            </w:tcBorders>
            <w:shd w:val="clear" w:color="auto" w:fill="auto"/>
            <w:noWrap/>
            <w:vAlign w:val="center"/>
            <w:hideMark/>
          </w:tcPr>
          <w:p w14:paraId="0A191BE6" w14:textId="77777777" w:rsidR="0039438F" w:rsidRPr="0039438F" w:rsidRDefault="0039438F" w:rsidP="0039438F">
            <w:pPr>
              <w:spacing w:after="0" w:line="240" w:lineRule="auto"/>
              <w:jc w:val="right"/>
              <w:rPr>
                <w:rFonts w:ascii="Arial" w:eastAsia="Times New Roman" w:hAnsi="Arial" w:cs="Arial"/>
                <w:sz w:val="20"/>
                <w:szCs w:val="20"/>
                <w:lang w:eastAsia="en-GB"/>
              </w:rPr>
            </w:pPr>
            <w:r w:rsidRPr="0039438F">
              <w:rPr>
                <w:rFonts w:ascii="Arial" w:eastAsia="Times New Roman" w:hAnsi="Arial" w:cs="Arial"/>
                <w:bCs/>
                <w:sz w:val="20"/>
                <w:szCs w:val="20"/>
                <w:lang w:eastAsia="en-GB"/>
              </w:rPr>
              <w:t>519</w:t>
            </w:r>
          </w:p>
        </w:tc>
        <w:tc>
          <w:tcPr>
            <w:tcW w:w="1068" w:type="dxa"/>
            <w:tcBorders>
              <w:top w:val="nil"/>
              <w:left w:val="nil"/>
              <w:bottom w:val="nil"/>
              <w:right w:val="nil"/>
            </w:tcBorders>
            <w:shd w:val="clear" w:color="auto" w:fill="auto"/>
            <w:noWrap/>
            <w:vAlign w:val="center"/>
          </w:tcPr>
          <w:p w14:paraId="004FF996" w14:textId="77777777" w:rsidR="0039438F" w:rsidRPr="004479BF" w:rsidRDefault="00306738" w:rsidP="0039438F">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w:t>
            </w:r>
          </w:p>
        </w:tc>
        <w:tc>
          <w:tcPr>
            <w:tcW w:w="1202" w:type="dxa"/>
            <w:tcBorders>
              <w:top w:val="nil"/>
              <w:left w:val="nil"/>
              <w:bottom w:val="nil"/>
              <w:right w:val="nil"/>
            </w:tcBorders>
            <w:shd w:val="clear" w:color="auto" w:fill="auto"/>
            <w:noWrap/>
            <w:vAlign w:val="center"/>
          </w:tcPr>
          <w:p w14:paraId="1726975B" w14:textId="77777777" w:rsidR="0039438F" w:rsidRPr="00543D10" w:rsidRDefault="00306738" w:rsidP="0039438F">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w:t>
            </w:r>
          </w:p>
        </w:tc>
        <w:tc>
          <w:tcPr>
            <w:tcW w:w="1347" w:type="dxa"/>
            <w:tcBorders>
              <w:top w:val="nil"/>
              <w:left w:val="nil"/>
              <w:bottom w:val="nil"/>
              <w:right w:val="nil"/>
            </w:tcBorders>
            <w:shd w:val="clear" w:color="auto" w:fill="auto"/>
            <w:noWrap/>
            <w:vAlign w:val="center"/>
          </w:tcPr>
          <w:p w14:paraId="3E8949D0" w14:textId="77777777" w:rsidR="0039438F" w:rsidRPr="004479BF" w:rsidRDefault="00306738" w:rsidP="0039438F">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w:t>
            </w:r>
          </w:p>
        </w:tc>
        <w:tc>
          <w:tcPr>
            <w:tcW w:w="1111" w:type="dxa"/>
            <w:tcBorders>
              <w:top w:val="nil"/>
              <w:left w:val="nil"/>
              <w:bottom w:val="nil"/>
              <w:right w:val="nil"/>
            </w:tcBorders>
            <w:shd w:val="clear" w:color="auto" w:fill="auto"/>
            <w:noWrap/>
            <w:vAlign w:val="center"/>
          </w:tcPr>
          <w:p w14:paraId="33E18AE9" w14:textId="77777777" w:rsidR="0039438F" w:rsidRPr="004479BF" w:rsidRDefault="00306738" w:rsidP="0039438F">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w:t>
            </w:r>
          </w:p>
        </w:tc>
        <w:tc>
          <w:tcPr>
            <w:tcW w:w="964" w:type="dxa"/>
            <w:gridSpan w:val="2"/>
            <w:tcBorders>
              <w:top w:val="nil"/>
              <w:left w:val="nil"/>
              <w:bottom w:val="nil"/>
              <w:right w:val="nil"/>
            </w:tcBorders>
            <w:shd w:val="clear" w:color="auto" w:fill="auto"/>
            <w:noWrap/>
            <w:vAlign w:val="center"/>
          </w:tcPr>
          <w:p w14:paraId="6E9ACA3C" w14:textId="77777777" w:rsidR="0039438F" w:rsidRPr="00C85CAE" w:rsidRDefault="00306738" w:rsidP="006647C2">
            <w:pPr>
              <w:spacing w:after="0" w:line="240" w:lineRule="auto"/>
              <w:ind w:right="-79"/>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519</w:t>
            </w:r>
          </w:p>
        </w:tc>
      </w:tr>
      <w:tr w:rsidR="0039438F" w:rsidRPr="00C85CAE" w14:paraId="0BEEE44A" w14:textId="77777777" w:rsidTr="00161381">
        <w:trPr>
          <w:trHeight w:val="402"/>
        </w:trPr>
        <w:tc>
          <w:tcPr>
            <w:tcW w:w="2409" w:type="dxa"/>
            <w:tcBorders>
              <w:top w:val="nil"/>
              <w:left w:val="nil"/>
              <w:bottom w:val="nil"/>
              <w:right w:val="nil"/>
            </w:tcBorders>
            <w:shd w:val="clear" w:color="auto" w:fill="auto"/>
            <w:noWrap/>
            <w:vAlign w:val="center"/>
            <w:hideMark/>
          </w:tcPr>
          <w:p w14:paraId="066F1F88" w14:textId="77777777" w:rsidR="0039438F" w:rsidRPr="00C85CAE" w:rsidRDefault="0039438F" w:rsidP="0039438F">
            <w:pPr>
              <w:spacing w:after="0" w:line="240" w:lineRule="auto"/>
              <w:rPr>
                <w:rFonts w:ascii="Arial" w:eastAsia="Times New Roman" w:hAnsi="Arial" w:cs="Arial"/>
                <w:sz w:val="20"/>
                <w:szCs w:val="20"/>
                <w:lang w:eastAsia="en-GB"/>
              </w:rPr>
            </w:pPr>
            <w:r w:rsidRPr="00C85CAE">
              <w:rPr>
                <w:rFonts w:ascii="Arial" w:eastAsia="Times New Roman" w:hAnsi="Arial" w:cs="Arial"/>
                <w:sz w:val="20"/>
                <w:szCs w:val="20"/>
                <w:lang w:eastAsia="en-GB"/>
              </w:rPr>
              <w:t>Disability Action Centre (Revenue)</w:t>
            </w:r>
          </w:p>
        </w:tc>
        <w:tc>
          <w:tcPr>
            <w:tcW w:w="1202" w:type="dxa"/>
            <w:tcBorders>
              <w:top w:val="nil"/>
              <w:left w:val="nil"/>
              <w:bottom w:val="nil"/>
              <w:right w:val="nil"/>
            </w:tcBorders>
            <w:shd w:val="clear" w:color="auto" w:fill="auto"/>
            <w:noWrap/>
            <w:vAlign w:val="center"/>
            <w:hideMark/>
          </w:tcPr>
          <w:p w14:paraId="70195F72" w14:textId="77777777" w:rsidR="0039438F" w:rsidRPr="0039438F" w:rsidRDefault="0039438F" w:rsidP="0039438F">
            <w:pPr>
              <w:spacing w:after="0" w:line="240" w:lineRule="auto"/>
              <w:jc w:val="right"/>
              <w:rPr>
                <w:rFonts w:ascii="Arial" w:eastAsia="Times New Roman" w:hAnsi="Arial" w:cs="Arial"/>
                <w:sz w:val="20"/>
                <w:szCs w:val="20"/>
                <w:lang w:eastAsia="en-GB"/>
              </w:rPr>
            </w:pPr>
            <w:r w:rsidRPr="0039438F">
              <w:rPr>
                <w:rFonts w:ascii="Arial" w:eastAsia="Times New Roman" w:hAnsi="Arial" w:cs="Arial"/>
                <w:bCs/>
                <w:sz w:val="20"/>
                <w:szCs w:val="20"/>
                <w:lang w:eastAsia="en-GB"/>
              </w:rPr>
              <w:t>3</w:t>
            </w:r>
          </w:p>
        </w:tc>
        <w:tc>
          <w:tcPr>
            <w:tcW w:w="1068" w:type="dxa"/>
            <w:tcBorders>
              <w:top w:val="nil"/>
              <w:left w:val="nil"/>
              <w:bottom w:val="nil"/>
              <w:right w:val="nil"/>
            </w:tcBorders>
            <w:shd w:val="clear" w:color="auto" w:fill="auto"/>
            <w:noWrap/>
            <w:vAlign w:val="center"/>
          </w:tcPr>
          <w:p w14:paraId="186F9DB7" w14:textId="77777777" w:rsidR="0039438F" w:rsidRPr="004479BF" w:rsidRDefault="00306738" w:rsidP="0039438F">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w:t>
            </w:r>
          </w:p>
        </w:tc>
        <w:tc>
          <w:tcPr>
            <w:tcW w:w="1202" w:type="dxa"/>
            <w:tcBorders>
              <w:top w:val="nil"/>
              <w:left w:val="nil"/>
              <w:bottom w:val="nil"/>
              <w:right w:val="nil"/>
            </w:tcBorders>
            <w:shd w:val="clear" w:color="auto" w:fill="auto"/>
            <w:noWrap/>
            <w:vAlign w:val="center"/>
          </w:tcPr>
          <w:p w14:paraId="0D022E5B" w14:textId="77777777" w:rsidR="0039438F" w:rsidRPr="00543D10" w:rsidRDefault="00306738" w:rsidP="0039438F">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w:t>
            </w:r>
          </w:p>
        </w:tc>
        <w:tc>
          <w:tcPr>
            <w:tcW w:w="1347" w:type="dxa"/>
            <w:tcBorders>
              <w:top w:val="nil"/>
              <w:left w:val="nil"/>
              <w:bottom w:val="nil"/>
              <w:right w:val="nil"/>
            </w:tcBorders>
            <w:shd w:val="clear" w:color="auto" w:fill="auto"/>
            <w:noWrap/>
            <w:vAlign w:val="center"/>
          </w:tcPr>
          <w:p w14:paraId="27B9075E" w14:textId="77777777" w:rsidR="0039438F" w:rsidRPr="004479BF" w:rsidRDefault="00306738" w:rsidP="0039438F">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w:t>
            </w:r>
          </w:p>
        </w:tc>
        <w:tc>
          <w:tcPr>
            <w:tcW w:w="1111" w:type="dxa"/>
            <w:tcBorders>
              <w:top w:val="nil"/>
              <w:left w:val="nil"/>
              <w:bottom w:val="nil"/>
              <w:right w:val="nil"/>
            </w:tcBorders>
            <w:shd w:val="clear" w:color="auto" w:fill="auto"/>
            <w:noWrap/>
            <w:vAlign w:val="center"/>
          </w:tcPr>
          <w:p w14:paraId="005C5E5E" w14:textId="77777777" w:rsidR="0039438F" w:rsidRPr="004479BF" w:rsidRDefault="00306738" w:rsidP="0039438F">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w:t>
            </w:r>
          </w:p>
        </w:tc>
        <w:tc>
          <w:tcPr>
            <w:tcW w:w="964" w:type="dxa"/>
            <w:gridSpan w:val="2"/>
            <w:tcBorders>
              <w:top w:val="nil"/>
              <w:left w:val="nil"/>
              <w:bottom w:val="nil"/>
              <w:right w:val="nil"/>
            </w:tcBorders>
            <w:shd w:val="clear" w:color="auto" w:fill="auto"/>
            <w:noWrap/>
            <w:vAlign w:val="center"/>
          </w:tcPr>
          <w:p w14:paraId="729CFEFB" w14:textId="77777777" w:rsidR="0039438F" w:rsidRPr="00C85CAE" w:rsidRDefault="00306738" w:rsidP="006647C2">
            <w:pPr>
              <w:spacing w:after="0" w:line="240" w:lineRule="auto"/>
              <w:ind w:right="-79"/>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3</w:t>
            </w:r>
          </w:p>
        </w:tc>
      </w:tr>
      <w:tr w:rsidR="0039438F" w:rsidRPr="00543D10" w14:paraId="44C03129" w14:textId="77777777" w:rsidTr="00161381">
        <w:trPr>
          <w:trHeight w:val="402"/>
        </w:trPr>
        <w:tc>
          <w:tcPr>
            <w:tcW w:w="2409" w:type="dxa"/>
            <w:tcBorders>
              <w:top w:val="nil"/>
              <w:left w:val="nil"/>
              <w:bottom w:val="nil"/>
              <w:right w:val="nil"/>
            </w:tcBorders>
            <w:shd w:val="clear" w:color="auto" w:fill="auto"/>
            <w:noWrap/>
            <w:vAlign w:val="center"/>
            <w:hideMark/>
          </w:tcPr>
          <w:p w14:paraId="66B8AB8B" w14:textId="77777777" w:rsidR="0039438F" w:rsidRPr="00543D10" w:rsidRDefault="0039438F" w:rsidP="0039438F">
            <w:pPr>
              <w:spacing w:after="0" w:line="240" w:lineRule="auto"/>
              <w:rPr>
                <w:rFonts w:ascii="Arial" w:eastAsia="Times New Roman" w:hAnsi="Arial" w:cs="Arial"/>
                <w:sz w:val="20"/>
                <w:szCs w:val="20"/>
                <w:lang w:eastAsia="en-GB"/>
              </w:rPr>
            </w:pPr>
            <w:r w:rsidRPr="00543D10">
              <w:rPr>
                <w:rFonts w:ascii="Arial" w:eastAsia="Times New Roman" w:hAnsi="Arial" w:cs="Arial"/>
                <w:sz w:val="20"/>
                <w:szCs w:val="20"/>
                <w:lang w:eastAsia="en-GB"/>
              </w:rPr>
              <w:t>Shaw Trust Clamp Hill</w:t>
            </w:r>
          </w:p>
        </w:tc>
        <w:tc>
          <w:tcPr>
            <w:tcW w:w="1202" w:type="dxa"/>
            <w:tcBorders>
              <w:top w:val="nil"/>
              <w:left w:val="nil"/>
              <w:bottom w:val="nil"/>
              <w:right w:val="nil"/>
            </w:tcBorders>
            <w:shd w:val="clear" w:color="auto" w:fill="auto"/>
            <w:noWrap/>
            <w:vAlign w:val="center"/>
            <w:hideMark/>
          </w:tcPr>
          <w:p w14:paraId="5599EA55" w14:textId="77777777" w:rsidR="0039438F" w:rsidRPr="0039438F" w:rsidRDefault="0039438F" w:rsidP="0039438F">
            <w:pPr>
              <w:spacing w:after="0" w:line="240" w:lineRule="auto"/>
              <w:jc w:val="right"/>
              <w:rPr>
                <w:rFonts w:ascii="Arial" w:eastAsia="Times New Roman" w:hAnsi="Arial" w:cs="Arial"/>
                <w:sz w:val="20"/>
                <w:szCs w:val="20"/>
                <w:lang w:eastAsia="en-GB"/>
              </w:rPr>
            </w:pPr>
            <w:r w:rsidRPr="0039438F">
              <w:rPr>
                <w:rFonts w:ascii="Arial" w:eastAsia="Times New Roman" w:hAnsi="Arial" w:cs="Arial"/>
                <w:bCs/>
                <w:sz w:val="20"/>
                <w:szCs w:val="20"/>
                <w:lang w:eastAsia="en-GB"/>
              </w:rPr>
              <w:t>5</w:t>
            </w:r>
          </w:p>
        </w:tc>
        <w:tc>
          <w:tcPr>
            <w:tcW w:w="1068" w:type="dxa"/>
            <w:tcBorders>
              <w:top w:val="nil"/>
              <w:left w:val="nil"/>
              <w:bottom w:val="nil"/>
              <w:right w:val="nil"/>
            </w:tcBorders>
            <w:shd w:val="clear" w:color="auto" w:fill="auto"/>
            <w:noWrap/>
            <w:vAlign w:val="center"/>
          </w:tcPr>
          <w:p w14:paraId="0CBF9BDE" w14:textId="77777777" w:rsidR="0039438F" w:rsidRPr="00543D10" w:rsidRDefault="00306738" w:rsidP="0039438F">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w:t>
            </w:r>
          </w:p>
        </w:tc>
        <w:tc>
          <w:tcPr>
            <w:tcW w:w="1202" w:type="dxa"/>
            <w:tcBorders>
              <w:top w:val="nil"/>
              <w:left w:val="nil"/>
              <w:bottom w:val="nil"/>
              <w:right w:val="nil"/>
            </w:tcBorders>
            <w:shd w:val="clear" w:color="auto" w:fill="auto"/>
            <w:noWrap/>
            <w:vAlign w:val="center"/>
          </w:tcPr>
          <w:p w14:paraId="2DCB5716" w14:textId="77777777" w:rsidR="0039438F" w:rsidRPr="00543D10" w:rsidRDefault="00306738" w:rsidP="0039438F">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w:t>
            </w:r>
          </w:p>
        </w:tc>
        <w:tc>
          <w:tcPr>
            <w:tcW w:w="1347" w:type="dxa"/>
            <w:tcBorders>
              <w:top w:val="nil"/>
              <w:left w:val="nil"/>
              <w:bottom w:val="nil"/>
              <w:right w:val="nil"/>
            </w:tcBorders>
            <w:shd w:val="clear" w:color="auto" w:fill="auto"/>
            <w:noWrap/>
            <w:vAlign w:val="center"/>
          </w:tcPr>
          <w:p w14:paraId="6CD8ACBF" w14:textId="77777777" w:rsidR="0039438F" w:rsidRPr="00543D10" w:rsidRDefault="00306738" w:rsidP="0039438F">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w:t>
            </w:r>
          </w:p>
        </w:tc>
        <w:tc>
          <w:tcPr>
            <w:tcW w:w="1111" w:type="dxa"/>
            <w:tcBorders>
              <w:top w:val="nil"/>
              <w:left w:val="nil"/>
              <w:bottom w:val="nil"/>
              <w:right w:val="nil"/>
            </w:tcBorders>
            <w:shd w:val="clear" w:color="auto" w:fill="auto"/>
            <w:noWrap/>
            <w:vAlign w:val="center"/>
          </w:tcPr>
          <w:p w14:paraId="4F681FB6" w14:textId="77777777" w:rsidR="0039438F" w:rsidRPr="00543D10" w:rsidRDefault="00306738" w:rsidP="0039438F">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w:t>
            </w:r>
          </w:p>
        </w:tc>
        <w:tc>
          <w:tcPr>
            <w:tcW w:w="964" w:type="dxa"/>
            <w:gridSpan w:val="2"/>
            <w:tcBorders>
              <w:top w:val="nil"/>
              <w:left w:val="nil"/>
              <w:bottom w:val="nil"/>
              <w:right w:val="nil"/>
            </w:tcBorders>
            <w:shd w:val="clear" w:color="auto" w:fill="auto"/>
            <w:noWrap/>
            <w:vAlign w:val="center"/>
          </w:tcPr>
          <w:p w14:paraId="68955A90" w14:textId="77777777" w:rsidR="0039438F" w:rsidRPr="00543D10" w:rsidRDefault="00306738" w:rsidP="006647C2">
            <w:pPr>
              <w:spacing w:after="0" w:line="240" w:lineRule="auto"/>
              <w:ind w:right="-79"/>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5</w:t>
            </w:r>
          </w:p>
        </w:tc>
      </w:tr>
      <w:tr w:rsidR="0039438F" w:rsidRPr="00543D10" w14:paraId="46EEA90F" w14:textId="77777777" w:rsidTr="00161381">
        <w:trPr>
          <w:trHeight w:val="402"/>
        </w:trPr>
        <w:tc>
          <w:tcPr>
            <w:tcW w:w="2409" w:type="dxa"/>
            <w:tcBorders>
              <w:top w:val="nil"/>
              <w:left w:val="nil"/>
              <w:bottom w:val="nil"/>
              <w:right w:val="nil"/>
            </w:tcBorders>
            <w:shd w:val="clear" w:color="auto" w:fill="auto"/>
            <w:noWrap/>
            <w:vAlign w:val="center"/>
            <w:hideMark/>
          </w:tcPr>
          <w:p w14:paraId="1C2ACC7C" w14:textId="77777777" w:rsidR="0039438F" w:rsidRPr="00543D10" w:rsidRDefault="0039438F" w:rsidP="0039438F">
            <w:pPr>
              <w:spacing w:after="0" w:line="240" w:lineRule="auto"/>
              <w:rPr>
                <w:rFonts w:ascii="Arial" w:eastAsia="Times New Roman" w:hAnsi="Arial" w:cs="Arial"/>
                <w:sz w:val="20"/>
                <w:szCs w:val="20"/>
                <w:lang w:eastAsia="en-GB"/>
              </w:rPr>
            </w:pPr>
            <w:r w:rsidRPr="00543D10">
              <w:rPr>
                <w:rFonts w:ascii="Arial" w:eastAsia="Times New Roman" w:hAnsi="Arial" w:cs="Arial"/>
                <w:sz w:val="20"/>
                <w:szCs w:val="20"/>
                <w:lang w:eastAsia="en-GB"/>
              </w:rPr>
              <w:t>DLF</w:t>
            </w:r>
          </w:p>
        </w:tc>
        <w:tc>
          <w:tcPr>
            <w:tcW w:w="1202" w:type="dxa"/>
            <w:tcBorders>
              <w:top w:val="nil"/>
              <w:left w:val="nil"/>
              <w:bottom w:val="nil"/>
              <w:right w:val="nil"/>
            </w:tcBorders>
            <w:shd w:val="clear" w:color="auto" w:fill="auto"/>
            <w:noWrap/>
            <w:vAlign w:val="center"/>
            <w:hideMark/>
          </w:tcPr>
          <w:p w14:paraId="30F37BAD" w14:textId="77777777" w:rsidR="0039438F" w:rsidRPr="0039438F" w:rsidRDefault="0039438F" w:rsidP="0039438F">
            <w:pPr>
              <w:spacing w:after="0" w:line="240" w:lineRule="auto"/>
              <w:jc w:val="right"/>
              <w:rPr>
                <w:rFonts w:ascii="Arial" w:eastAsia="Times New Roman" w:hAnsi="Arial" w:cs="Arial"/>
                <w:sz w:val="20"/>
                <w:szCs w:val="20"/>
                <w:lang w:eastAsia="en-GB"/>
              </w:rPr>
            </w:pPr>
            <w:r w:rsidRPr="0039438F">
              <w:rPr>
                <w:rFonts w:ascii="Arial" w:eastAsia="Times New Roman" w:hAnsi="Arial" w:cs="Arial"/>
                <w:bCs/>
                <w:sz w:val="20"/>
                <w:szCs w:val="20"/>
                <w:lang w:eastAsia="en-GB"/>
              </w:rPr>
              <w:t>1,742</w:t>
            </w:r>
          </w:p>
        </w:tc>
        <w:tc>
          <w:tcPr>
            <w:tcW w:w="1068" w:type="dxa"/>
            <w:tcBorders>
              <w:top w:val="nil"/>
              <w:left w:val="nil"/>
              <w:bottom w:val="nil"/>
              <w:right w:val="nil"/>
            </w:tcBorders>
            <w:shd w:val="clear" w:color="auto" w:fill="auto"/>
            <w:noWrap/>
            <w:vAlign w:val="center"/>
          </w:tcPr>
          <w:p w14:paraId="07DC7265" w14:textId="77777777" w:rsidR="0039438F" w:rsidRPr="00543D10" w:rsidRDefault="00306738" w:rsidP="0039438F">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w:t>
            </w:r>
          </w:p>
        </w:tc>
        <w:tc>
          <w:tcPr>
            <w:tcW w:w="1202" w:type="dxa"/>
            <w:tcBorders>
              <w:top w:val="nil"/>
              <w:left w:val="nil"/>
              <w:bottom w:val="nil"/>
              <w:right w:val="nil"/>
            </w:tcBorders>
            <w:shd w:val="clear" w:color="auto" w:fill="auto"/>
            <w:noWrap/>
            <w:vAlign w:val="center"/>
          </w:tcPr>
          <w:p w14:paraId="2F1D384D" w14:textId="77777777" w:rsidR="0039438F" w:rsidRPr="00543D10" w:rsidRDefault="00306738" w:rsidP="0069798A">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(17)</w:t>
            </w:r>
          </w:p>
        </w:tc>
        <w:tc>
          <w:tcPr>
            <w:tcW w:w="1347" w:type="dxa"/>
            <w:tcBorders>
              <w:top w:val="nil"/>
              <w:left w:val="nil"/>
              <w:bottom w:val="nil"/>
              <w:right w:val="nil"/>
            </w:tcBorders>
            <w:shd w:val="clear" w:color="auto" w:fill="auto"/>
            <w:noWrap/>
            <w:vAlign w:val="center"/>
          </w:tcPr>
          <w:p w14:paraId="0F05B0E0" w14:textId="77777777" w:rsidR="0039438F" w:rsidRPr="00543D10" w:rsidRDefault="00306738" w:rsidP="0039438F">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w:t>
            </w:r>
          </w:p>
        </w:tc>
        <w:tc>
          <w:tcPr>
            <w:tcW w:w="1111" w:type="dxa"/>
            <w:tcBorders>
              <w:top w:val="nil"/>
              <w:left w:val="nil"/>
              <w:bottom w:val="nil"/>
              <w:right w:val="nil"/>
            </w:tcBorders>
            <w:shd w:val="clear" w:color="auto" w:fill="auto"/>
            <w:noWrap/>
            <w:vAlign w:val="center"/>
          </w:tcPr>
          <w:p w14:paraId="685F3F1D" w14:textId="77777777" w:rsidR="0039438F" w:rsidRPr="00543D10" w:rsidRDefault="00306738" w:rsidP="0039438F">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w:t>
            </w:r>
          </w:p>
        </w:tc>
        <w:tc>
          <w:tcPr>
            <w:tcW w:w="964" w:type="dxa"/>
            <w:gridSpan w:val="2"/>
            <w:tcBorders>
              <w:top w:val="nil"/>
              <w:left w:val="nil"/>
              <w:bottom w:val="nil"/>
              <w:right w:val="nil"/>
            </w:tcBorders>
            <w:shd w:val="clear" w:color="auto" w:fill="auto"/>
            <w:noWrap/>
            <w:vAlign w:val="center"/>
          </w:tcPr>
          <w:p w14:paraId="29052F27" w14:textId="77777777" w:rsidR="0039438F" w:rsidRPr="00543D10" w:rsidRDefault="00306738" w:rsidP="006647C2">
            <w:pPr>
              <w:spacing w:after="0" w:line="240" w:lineRule="auto"/>
              <w:ind w:right="-79"/>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1,72</w:t>
            </w:r>
            <w:r w:rsidR="00A562F9">
              <w:rPr>
                <w:rFonts w:ascii="Arial" w:eastAsia="Times New Roman" w:hAnsi="Arial" w:cs="Arial"/>
                <w:b/>
                <w:bCs/>
                <w:sz w:val="20"/>
                <w:szCs w:val="20"/>
                <w:lang w:eastAsia="en-GB"/>
              </w:rPr>
              <w:t>5</w:t>
            </w:r>
          </w:p>
        </w:tc>
      </w:tr>
      <w:tr w:rsidR="0039438F" w:rsidRPr="00543D10" w14:paraId="435E287F" w14:textId="77777777" w:rsidTr="00161381">
        <w:trPr>
          <w:trHeight w:val="402"/>
        </w:trPr>
        <w:tc>
          <w:tcPr>
            <w:tcW w:w="2409" w:type="dxa"/>
            <w:tcBorders>
              <w:top w:val="nil"/>
              <w:left w:val="nil"/>
              <w:bottom w:val="single" w:sz="4" w:space="0" w:color="auto"/>
              <w:right w:val="nil"/>
            </w:tcBorders>
            <w:shd w:val="clear" w:color="auto" w:fill="auto"/>
            <w:noWrap/>
            <w:vAlign w:val="center"/>
            <w:hideMark/>
          </w:tcPr>
          <w:p w14:paraId="4CD87FA3" w14:textId="77777777" w:rsidR="0039438F" w:rsidRPr="00543D10" w:rsidRDefault="0039438F" w:rsidP="0039438F">
            <w:pPr>
              <w:spacing w:after="0" w:line="240" w:lineRule="auto"/>
              <w:rPr>
                <w:rFonts w:ascii="Arial" w:eastAsia="Times New Roman" w:hAnsi="Arial" w:cs="Arial"/>
                <w:sz w:val="20"/>
                <w:szCs w:val="20"/>
                <w:lang w:eastAsia="en-GB"/>
              </w:rPr>
            </w:pPr>
            <w:r w:rsidRPr="00543D10">
              <w:rPr>
                <w:rFonts w:ascii="Arial" w:eastAsia="Times New Roman" w:hAnsi="Arial" w:cs="Arial"/>
                <w:sz w:val="20"/>
                <w:szCs w:val="20"/>
                <w:lang w:eastAsia="en-GB"/>
              </w:rPr>
              <w:t>Other</w:t>
            </w:r>
          </w:p>
        </w:tc>
        <w:tc>
          <w:tcPr>
            <w:tcW w:w="1202" w:type="dxa"/>
            <w:tcBorders>
              <w:top w:val="nil"/>
              <w:left w:val="nil"/>
              <w:bottom w:val="single" w:sz="4" w:space="0" w:color="auto"/>
              <w:right w:val="nil"/>
            </w:tcBorders>
            <w:shd w:val="clear" w:color="auto" w:fill="auto"/>
            <w:noWrap/>
            <w:vAlign w:val="center"/>
            <w:hideMark/>
          </w:tcPr>
          <w:p w14:paraId="28A56C3B" w14:textId="77777777" w:rsidR="0039438F" w:rsidRPr="0039438F" w:rsidRDefault="0039438F" w:rsidP="0039438F">
            <w:pPr>
              <w:spacing w:after="0" w:line="240" w:lineRule="auto"/>
              <w:jc w:val="right"/>
              <w:rPr>
                <w:rFonts w:ascii="Arial" w:eastAsia="Times New Roman" w:hAnsi="Arial" w:cs="Arial"/>
                <w:sz w:val="20"/>
                <w:szCs w:val="20"/>
                <w:lang w:eastAsia="en-GB"/>
              </w:rPr>
            </w:pPr>
            <w:r w:rsidRPr="0039438F">
              <w:rPr>
                <w:rFonts w:ascii="Arial" w:eastAsia="Times New Roman" w:hAnsi="Arial" w:cs="Arial"/>
                <w:bCs/>
                <w:sz w:val="20"/>
                <w:szCs w:val="20"/>
                <w:lang w:eastAsia="en-GB"/>
              </w:rPr>
              <w:t>10</w:t>
            </w:r>
          </w:p>
        </w:tc>
        <w:tc>
          <w:tcPr>
            <w:tcW w:w="1068" w:type="dxa"/>
            <w:tcBorders>
              <w:top w:val="nil"/>
              <w:left w:val="nil"/>
              <w:bottom w:val="single" w:sz="4" w:space="0" w:color="auto"/>
              <w:right w:val="nil"/>
            </w:tcBorders>
            <w:shd w:val="clear" w:color="auto" w:fill="auto"/>
            <w:noWrap/>
            <w:vAlign w:val="center"/>
          </w:tcPr>
          <w:p w14:paraId="6D35C901" w14:textId="77777777" w:rsidR="0039438F" w:rsidRPr="00543D10" w:rsidRDefault="00306738" w:rsidP="0039438F">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w:t>
            </w:r>
          </w:p>
        </w:tc>
        <w:tc>
          <w:tcPr>
            <w:tcW w:w="1202" w:type="dxa"/>
            <w:tcBorders>
              <w:top w:val="nil"/>
              <w:left w:val="nil"/>
              <w:bottom w:val="nil"/>
              <w:right w:val="nil"/>
            </w:tcBorders>
            <w:shd w:val="clear" w:color="auto" w:fill="auto"/>
            <w:noWrap/>
            <w:vAlign w:val="center"/>
          </w:tcPr>
          <w:p w14:paraId="436D26B2" w14:textId="77777777" w:rsidR="0039438F" w:rsidRPr="00543D10" w:rsidRDefault="00306738" w:rsidP="0039438F">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(7)</w:t>
            </w:r>
          </w:p>
        </w:tc>
        <w:tc>
          <w:tcPr>
            <w:tcW w:w="1347" w:type="dxa"/>
            <w:tcBorders>
              <w:top w:val="nil"/>
              <w:left w:val="nil"/>
              <w:bottom w:val="nil"/>
              <w:right w:val="nil"/>
            </w:tcBorders>
            <w:shd w:val="clear" w:color="auto" w:fill="auto"/>
            <w:noWrap/>
            <w:vAlign w:val="center"/>
          </w:tcPr>
          <w:p w14:paraId="4D7253E7" w14:textId="77777777" w:rsidR="0039438F" w:rsidRPr="00543D10" w:rsidRDefault="00306738" w:rsidP="0039438F">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w:t>
            </w:r>
          </w:p>
        </w:tc>
        <w:tc>
          <w:tcPr>
            <w:tcW w:w="1111" w:type="dxa"/>
            <w:tcBorders>
              <w:top w:val="nil"/>
              <w:left w:val="nil"/>
              <w:bottom w:val="nil"/>
              <w:right w:val="nil"/>
            </w:tcBorders>
            <w:shd w:val="clear" w:color="auto" w:fill="auto"/>
            <w:noWrap/>
            <w:vAlign w:val="center"/>
          </w:tcPr>
          <w:p w14:paraId="3609AB92" w14:textId="77777777" w:rsidR="0039438F" w:rsidRPr="00543D10" w:rsidRDefault="00306738" w:rsidP="0039438F">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w:t>
            </w:r>
          </w:p>
        </w:tc>
        <w:tc>
          <w:tcPr>
            <w:tcW w:w="964" w:type="dxa"/>
            <w:gridSpan w:val="2"/>
            <w:tcBorders>
              <w:top w:val="nil"/>
              <w:left w:val="nil"/>
              <w:bottom w:val="single" w:sz="4" w:space="0" w:color="auto"/>
              <w:right w:val="nil"/>
            </w:tcBorders>
            <w:shd w:val="clear" w:color="auto" w:fill="auto"/>
            <w:noWrap/>
            <w:vAlign w:val="center"/>
          </w:tcPr>
          <w:p w14:paraId="2C07D409" w14:textId="77777777" w:rsidR="0039438F" w:rsidRPr="00543D10" w:rsidRDefault="00306738" w:rsidP="006647C2">
            <w:pPr>
              <w:spacing w:after="0" w:line="240" w:lineRule="auto"/>
              <w:ind w:right="-79"/>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3</w:t>
            </w:r>
          </w:p>
        </w:tc>
      </w:tr>
      <w:tr w:rsidR="0039438F" w:rsidRPr="00543D10" w14:paraId="52B12A1A" w14:textId="77777777" w:rsidTr="00161381">
        <w:trPr>
          <w:trHeight w:val="402"/>
        </w:trPr>
        <w:tc>
          <w:tcPr>
            <w:tcW w:w="2409" w:type="dxa"/>
            <w:tcBorders>
              <w:top w:val="nil"/>
              <w:left w:val="nil"/>
              <w:bottom w:val="single" w:sz="4" w:space="0" w:color="auto"/>
              <w:right w:val="nil"/>
            </w:tcBorders>
            <w:shd w:val="clear" w:color="auto" w:fill="auto"/>
            <w:noWrap/>
            <w:vAlign w:val="center"/>
            <w:hideMark/>
          </w:tcPr>
          <w:p w14:paraId="0E447811" w14:textId="77777777" w:rsidR="0039438F" w:rsidRPr="00543D10" w:rsidRDefault="0039438F" w:rsidP="0039438F">
            <w:pPr>
              <w:spacing w:after="0" w:line="240" w:lineRule="auto"/>
              <w:rPr>
                <w:rFonts w:ascii="Arial" w:eastAsia="Times New Roman" w:hAnsi="Arial" w:cs="Arial"/>
                <w:b/>
                <w:bCs/>
                <w:sz w:val="20"/>
                <w:szCs w:val="20"/>
                <w:lang w:eastAsia="en-GB"/>
              </w:rPr>
            </w:pPr>
            <w:r w:rsidRPr="00543D10">
              <w:rPr>
                <w:rFonts w:ascii="Arial" w:eastAsia="Times New Roman" w:hAnsi="Arial" w:cs="Arial"/>
                <w:b/>
                <w:bCs/>
                <w:sz w:val="20"/>
                <w:szCs w:val="20"/>
                <w:lang w:eastAsia="en-GB"/>
              </w:rPr>
              <w:t>Total company</w:t>
            </w:r>
          </w:p>
        </w:tc>
        <w:tc>
          <w:tcPr>
            <w:tcW w:w="1202" w:type="dxa"/>
            <w:tcBorders>
              <w:top w:val="nil"/>
              <w:left w:val="nil"/>
              <w:bottom w:val="single" w:sz="4" w:space="0" w:color="auto"/>
              <w:right w:val="nil"/>
            </w:tcBorders>
            <w:shd w:val="clear" w:color="auto" w:fill="auto"/>
            <w:noWrap/>
            <w:vAlign w:val="center"/>
            <w:hideMark/>
          </w:tcPr>
          <w:p w14:paraId="73BED52D" w14:textId="77777777" w:rsidR="0039438F" w:rsidRPr="0039438F" w:rsidRDefault="0039438F" w:rsidP="0039438F">
            <w:pPr>
              <w:spacing w:after="0" w:line="240" w:lineRule="auto"/>
              <w:jc w:val="right"/>
              <w:rPr>
                <w:rFonts w:ascii="Arial" w:eastAsia="Times New Roman" w:hAnsi="Arial" w:cs="Arial"/>
                <w:bCs/>
                <w:sz w:val="20"/>
                <w:szCs w:val="20"/>
                <w:lang w:eastAsia="en-GB"/>
              </w:rPr>
            </w:pPr>
            <w:r w:rsidRPr="0039438F">
              <w:rPr>
                <w:rFonts w:ascii="Arial" w:eastAsia="Times New Roman" w:hAnsi="Arial" w:cs="Arial"/>
                <w:bCs/>
                <w:sz w:val="20"/>
                <w:szCs w:val="20"/>
                <w:lang w:eastAsia="en-GB"/>
              </w:rPr>
              <w:t>3,807</w:t>
            </w:r>
          </w:p>
        </w:tc>
        <w:tc>
          <w:tcPr>
            <w:tcW w:w="1068" w:type="dxa"/>
            <w:tcBorders>
              <w:top w:val="nil"/>
              <w:left w:val="nil"/>
              <w:bottom w:val="single" w:sz="4" w:space="0" w:color="auto"/>
              <w:right w:val="nil"/>
            </w:tcBorders>
            <w:shd w:val="clear" w:color="auto" w:fill="auto"/>
            <w:noWrap/>
            <w:vAlign w:val="center"/>
          </w:tcPr>
          <w:p w14:paraId="7B05179B" w14:textId="77777777" w:rsidR="0039438F" w:rsidRPr="006647C2" w:rsidRDefault="00306738" w:rsidP="0039438F">
            <w:pPr>
              <w:spacing w:after="0" w:line="240" w:lineRule="auto"/>
              <w:jc w:val="right"/>
              <w:rPr>
                <w:rFonts w:ascii="Arial" w:eastAsia="Times New Roman" w:hAnsi="Arial" w:cs="Arial"/>
                <w:bCs/>
                <w:sz w:val="20"/>
                <w:szCs w:val="20"/>
                <w:lang w:eastAsia="en-GB"/>
              </w:rPr>
            </w:pPr>
            <w:r w:rsidRPr="006647C2">
              <w:rPr>
                <w:rFonts w:ascii="Arial" w:eastAsia="Times New Roman" w:hAnsi="Arial" w:cs="Arial"/>
                <w:bCs/>
                <w:sz w:val="20"/>
                <w:szCs w:val="20"/>
                <w:lang w:eastAsia="en-GB"/>
              </w:rPr>
              <w:t>287</w:t>
            </w:r>
          </w:p>
        </w:tc>
        <w:tc>
          <w:tcPr>
            <w:tcW w:w="1202" w:type="dxa"/>
            <w:tcBorders>
              <w:top w:val="single" w:sz="4" w:space="0" w:color="auto"/>
              <w:left w:val="nil"/>
              <w:bottom w:val="single" w:sz="4" w:space="0" w:color="auto"/>
              <w:right w:val="nil"/>
            </w:tcBorders>
            <w:shd w:val="clear" w:color="auto" w:fill="auto"/>
            <w:noWrap/>
            <w:vAlign w:val="center"/>
          </w:tcPr>
          <w:p w14:paraId="0D6783AE" w14:textId="77777777" w:rsidR="0039438F" w:rsidRPr="006647C2" w:rsidRDefault="00306738" w:rsidP="0039438F">
            <w:pPr>
              <w:spacing w:after="0" w:line="240" w:lineRule="auto"/>
              <w:jc w:val="right"/>
              <w:rPr>
                <w:rFonts w:ascii="Arial" w:eastAsia="Times New Roman" w:hAnsi="Arial" w:cs="Arial"/>
                <w:bCs/>
                <w:sz w:val="20"/>
                <w:szCs w:val="20"/>
                <w:lang w:eastAsia="en-GB"/>
              </w:rPr>
            </w:pPr>
            <w:r w:rsidRPr="006647C2">
              <w:rPr>
                <w:rFonts w:ascii="Arial" w:eastAsia="Times New Roman" w:hAnsi="Arial" w:cs="Arial"/>
                <w:bCs/>
                <w:sz w:val="20"/>
                <w:szCs w:val="20"/>
                <w:lang w:eastAsia="en-GB"/>
              </w:rPr>
              <w:t>(683)</w:t>
            </w:r>
          </w:p>
        </w:tc>
        <w:tc>
          <w:tcPr>
            <w:tcW w:w="1347" w:type="dxa"/>
            <w:tcBorders>
              <w:top w:val="single" w:sz="4" w:space="0" w:color="auto"/>
              <w:left w:val="nil"/>
              <w:bottom w:val="single" w:sz="4" w:space="0" w:color="auto"/>
              <w:right w:val="nil"/>
            </w:tcBorders>
            <w:shd w:val="clear" w:color="auto" w:fill="auto"/>
            <w:noWrap/>
            <w:vAlign w:val="center"/>
          </w:tcPr>
          <w:p w14:paraId="5733731D" w14:textId="77777777" w:rsidR="0039438F" w:rsidRPr="006647C2" w:rsidRDefault="00306738" w:rsidP="0039438F">
            <w:pPr>
              <w:spacing w:after="0" w:line="240" w:lineRule="auto"/>
              <w:jc w:val="right"/>
              <w:rPr>
                <w:rFonts w:ascii="Arial" w:eastAsia="Times New Roman" w:hAnsi="Arial" w:cs="Arial"/>
                <w:bCs/>
                <w:sz w:val="20"/>
                <w:szCs w:val="20"/>
                <w:lang w:eastAsia="en-GB"/>
              </w:rPr>
            </w:pPr>
            <w:r w:rsidRPr="006647C2">
              <w:rPr>
                <w:rFonts w:ascii="Arial" w:eastAsia="Times New Roman" w:hAnsi="Arial" w:cs="Arial"/>
                <w:bCs/>
                <w:sz w:val="20"/>
                <w:szCs w:val="20"/>
                <w:lang w:eastAsia="en-GB"/>
              </w:rPr>
              <w:t>-</w:t>
            </w:r>
          </w:p>
        </w:tc>
        <w:tc>
          <w:tcPr>
            <w:tcW w:w="1111" w:type="dxa"/>
            <w:tcBorders>
              <w:top w:val="single" w:sz="4" w:space="0" w:color="auto"/>
              <w:left w:val="nil"/>
              <w:bottom w:val="single" w:sz="4" w:space="0" w:color="auto"/>
              <w:right w:val="nil"/>
            </w:tcBorders>
            <w:shd w:val="clear" w:color="auto" w:fill="auto"/>
            <w:noWrap/>
            <w:vAlign w:val="center"/>
          </w:tcPr>
          <w:p w14:paraId="6BD4159F" w14:textId="77777777" w:rsidR="0039438F" w:rsidRPr="006647C2" w:rsidRDefault="00306738" w:rsidP="0039438F">
            <w:pPr>
              <w:spacing w:after="0" w:line="240" w:lineRule="auto"/>
              <w:jc w:val="right"/>
              <w:rPr>
                <w:rFonts w:ascii="Arial" w:eastAsia="Times New Roman" w:hAnsi="Arial" w:cs="Arial"/>
                <w:bCs/>
                <w:sz w:val="20"/>
                <w:szCs w:val="20"/>
                <w:lang w:eastAsia="en-GB"/>
              </w:rPr>
            </w:pPr>
            <w:r w:rsidRPr="006647C2">
              <w:rPr>
                <w:rFonts w:ascii="Arial" w:eastAsia="Times New Roman" w:hAnsi="Arial" w:cs="Arial"/>
                <w:bCs/>
                <w:sz w:val="20"/>
                <w:szCs w:val="20"/>
                <w:lang w:eastAsia="en-GB"/>
              </w:rPr>
              <w:t>353</w:t>
            </w:r>
          </w:p>
        </w:tc>
        <w:tc>
          <w:tcPr>
            <w:tcW w:w="964" w:type="dxa"/>
            <w:gridSpan w:val="2"/>
            <w:tcBorders>
              <w:top w:val="nil"/>
              <w:left w:val="nil"/>
              <w:bottom w:val="single" w:sz="4" w:space="0" w:color="auto"/>
              <w:right w:val="nil"/>
            </w:tcBorders>
            <w:shd w:val="clear" w:color="auto" w:fill="auto"/>
            <w:noWrap/>
            <w:vAlign w:val="center"/>
          </w:tcPr>
          <w:p w14:paraId="424E58CB" w14:textId="77777777" w:rsidR="0039438F" w:rsidRPr="00543D10" w:rsidRDefault="00306738" w:rsidP="006647C2">
            <w:pPr>
              <w:spacing w:after="0" w:line="240" w:lineRule="auto"/>
              <w:ind w:right="-79"/>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3,764</w:t>
            </w:r>
          </w:p>
        </w:tc>
      </w:tr>
      <w:tr w:rsidR="0039438F" w:rsidRPr="00543D10" w14:paraId="1F4FA679" w14:textId="77777777" w:rsidTr="00161381">
        <w:trPr>
          <w:trHeight w:val="402"/>
        </w:trPr>
        <w:tc>
          <w:tcPr>
            <w:tcW w:w="2409" w:type="dxa"/>
            <w:tcBorders>
              <w:top w:val="nil"/>
              <w:left w:val="nil"/>
              <w:bottom w:val="nil"/>
              <w:right w:val="nil"/>
            </w:tcBorders>
            <w:shd w:val="clear" w:color="auto" w:fill="auto"/>
            <w:noWrap/>
            <w:vAlign w:val="center"/>
            <w:hideMark/>
          </w:tcPr>
          <w:p w14:paraId="71A916C9" w14:textId="77777777" w:rsidR="0039438F" w:rsidRPr="00543D10" w:rsidRDefault="0039438F" w:rsidP="0039438F">
            <w:pPr>
              <w:spacing w:after="0" w:line="240" w:lineRule="auto"/>
              <w:rPr>
                <w:rFonts w:ascii="Arial" w:eastAsia="Times New Roman" w:hAnsi="Arial" w:cs="Arial"/>
                <w:sz w:val="20"/>
                <w:szCs w:val="20"/>
                <w:lang w:eastAsia="en-GB"/>
              </w:rPr>
            </w:pPr>
            <w:r w:rsidRPr="00543D10">
              <w:rPr>
                <w:rFonts w:ascii="Arial" w:eastAsia="Times New Roman" w:hAnsi="Arial" w:cs="Arial"/>
                <w:sz w:val="20"/>
                <w:szCs w:val="20"/>
                <w:lang w:eastAsia="en-GB"/>
              </w:rPr>
              <w:t>Shaw Education Trust</w:t>
            </w:r>
          </w:p>
        </w:tc>
        <w:tc>
          <w:tcPr>
            <w:tcW w:w="1202" w:type="dxa"/>
            <w:tcBorders>
              <w:top w:val="nil"/>
              <w:left w:val="nil"/>
              <w:bottom w:val="nil"/>
              <w:right w:val="nil"/>
            </w:tcBorders>
            <w:shd w:val="clear" w:color="auto" w:fill="auto"/>
            <w:noWrap/>
            <w:vAlign w:val="center"/>
            <w:hideMark/>
          </w:tcPr>
          <w:p w14:paraId="7EDC1A12" w14:textId="77777777" w:rsidR="0039438F" w:rsidRPr="00175B62" w:rsidRDefault="0039438F" w:rsidP="0069798A">
            <w:pPr>
              <w:spacing w:after="0" w:line="240" w:lineRule="auto"/>
              <w:jc w:val="right"/>
              <w:rPr>
                <w:rFonts w:ascii="Arial" w:eastAsia="Times New Roman" w:hAnsi="Arial" w:cs="Arial"/>
                <w:sz w:val="20"/>
                <w:szCs w:val="20"/>
                <w:lang w:eastAsia="en-GB"/>
              </w:rPr>
            </w:pPr>
            <w:r w:rsidRPr="00175B62">
              <w:rPr>
                <w:rFonts w:ascii="Arial" w:eastAsia="Times New Roman" w:hAnsi="Arial" w:cs="Arial"/>
                <w:bCs/>
                <w:sz w:val="20"/>
                <w:szCs w:val="20"/>
                <w:lang w:eastAsia="en-GB"/>
              </w:rPr>
              <w:t>100,58</w:t>
            </w:r>
            <w:r w:rsidR="00175B62" w:rsidRPr="00175B62">
              <w:rPr>
                <w:rFonts w:ascii="Arial" w:eastAsia="Times New Roman" w:hAnsi="Arial" w:cs="Arial"/>
                <w:bCs/>
                <w:sz w:val="20"/>
                <w:szCs w:val="20"/>
                <w:lang w:eastAsia="en-GB"/>
              </w:rPr>
              <w:t>7</w:t>
            </w:r>
          </w:p>
        </w:tc>
        <w:tc>
          <w:tcPr>
            <w:tcW w:w="1068" w:type="dxa"/>
            <w:tcBorders>
              <w:top w:val="nil"/>
              <w:left w:val="nil"/>
              <w:bottom w:val="nil"/>
              <w:right w:val="nil"/>
            </w:tcBorders>
            <w:shd w:val="clear" w:color="auto" w:fill="auto"/>
            <w:noWrap/>
            <w:vAlign w:val="center"/>
          </w:tcPr>
          <w:p w14:paraId="5CE12AE2" w14:textId="77777777" w:rsidR="0039438F" w:rsidRPr="00543D10" w:rsidRDefault="002D1075" w:rsidP="0039438F">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102,897</w:t>
            </w:r>
          </w:p>
        </w:tc>
        <w:tc>
          <w:tcPr>
            <w:tcW w:w="1202" w:type="dxa"/>
            <w:tcBorders>
              <w:top w:val="nil"/>
              <w:left w:val="nil"/>
              <w:bottom w:val="nil"/>
              <w:right w:val="nil"/>
            </w:tcBorders>
            <w:shd w:val="clear" w:color="auto" w:fill="auto"/>
            <w:noWrap/>
            <w:vAlign w:val="center"/>
          </w:tcPr>
          <w:p w14:paraId="4537142A" w14:textId="77777777" w:rsidR="0039438F" w:rsidRPr="00543D10" w:rsidRDefault="00306738" w:rsidP="0039438F">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(84,815)</w:t>
            </w:r>
          </w:p>
        </w:tc>
        <w:tc>
          <w:tcPr>
            <w:tcW w:w="1347" w:type="dxa"/>
            <w:tcBorders>
              <w:top w:val="nil"/>
              <w:left w:val="nil"/>
              <w:bottom w:val="nil"/>
              <w:right w:val="nil"/>
            </w:tcBorders>
            <w:shd w:val="clear" w:color="auto" w:fill="auto"/>
            <w:noWrap/>
            <w:vAlign w:val="center"/>
          </w:tcPr>
          <w:p w14:paraId="6D0D76F5" w14:textId="77777777" w:rsidR="0039438F" w:rsidRPr="00543D10" w:rsidRDefault="00306738" w:rsidP="0039438F">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w:t>
            </w:r>
          </w:p>
        </w:tc>
        <w:tc>
          <w:tcPr>
            <w:tcW w:w="1111" w:type="dxa"/>
            <w:tcBorders>
              <w:top w:val="nil"/>
              <w:left w:val="nil"/>
              <w:bottom w:val="nil"/>
              <w:right w:val="nil"/>
            </w:tcBorders>
            <w:shd w:val="clear" w:color="auto" w:fill="auto"/>
            <w:noWrap/>
            <w:vAlign w:val="center"/>
          </w:tcPr>
          <w:p w14:paraId="38997DD4" w14:textId="77777777" w:rsidR="0039438F" w:rsidRPr="00543D10" w:rsidRDefault="00306738" w:rsidP="0039438F">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w:t>
            </w:r>
          </w:p>
        </w:tc>
        <w:tc>
          <w:tcPr>
            <w:tcW w:w="964" w:type="dxa"/>
            <w:gridSpan w:val="2"/>
            <w:tcBorders>
              <w:top w:val="nil"/>
              <w:left w:val="nil"/>
              <w:bottom w:val="nil"/>
              <w:right w:val="nil"/>
            </w:tcBorders>
            <w:shd w:val="clear" w:color="auto" w:fill="auto"/>
            <w:noWrap/>
            <w:vAlign w:val="center"/>
          </w:tcPr>
          <w:p w14:paraId="737D0C59" w14:textId="77777777" w:rsidR="0039438F" w:rsidRPr="00543D10" w:rsidRDefault="002D1075" w:rsidP="006647C2">
            <w:pPr>
              <w:spacing w:after="0" w:line="240" w:lineRule="auto"/>
              <w:ind w:right="-79"/>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118,669</w:t>
            </w:r>
          </w:p>
        </w:tc>
      </w:tr>
      <w:tr w:rsidR="0039438F" w:rsidRPr="00543D10" w14:paraId="4A2178FB" w14:textId="77777777" w:rsidTr="00161381">
        <w:trPr>
          <w:trHeight w:val="402"/>
        </w:trPr>
        <w:tc>
          <w:tcPr>
            <w:tcW w:w="2409" w:type="dxa"/>
            <w:tcBorders>
              <w:top w:val="nil"/>
              <w:left w:val="nil"/>
              <w:bottom w:val="nil"/>
              <w:right w:val="nil"/>
            </w:tcBorders>
            <w:shd w:val="clear" w:color="auto" w:fill="auto"/>
            <w:noWrap/>
            <w:vAlign w:val="center"/>
            <w:hideMark/>
          </w:tcPr>
          <w:p w14:paraId="4DB2386A" w14:textId="77777777" w:rsidR="0039438F" w:rsidRPr="00543D10" w:rsidRDefault="0039438F" w:rsidP="0039438F">
            <w:pPr>
              <w:spacing w:after="0" w:line="240" w:lineRule="auto"/>
              <w:rPr>
                <w:rFonts w:ascii="Arial" w:eastAsia="Times New Roman" w:hAnsi="Arial" w:cs="Arial"/>
                <w:sz w:val="20"/>
                <w:szCs w:val="20"/>
                <w:lang w:eastAsia="en-GB"/>
              </w:rPr>
            </w:pPr>
            <w:r w:rsidRPr="00543D10">
              <w:rPr>
                <w:rFonts w:ascii="Arial" w:eastAsia="Times New Roman" w:hAnsi="Arial" w:cs="Arial"/>
                <w:sz w:val="20"/>
                <w:szCs w:val="20"/>
                <w:lang w:eastAsia="en-GB"/>
              </w:rPr>
              <w:t xml:space="preserve">The </w:t>
            </w:r>
            <w:proofErr w:type="spellStart"/>
            <w:r w:rsidRPr="00543D10">
              <w:rPr>
                <w:rFonts w:ascii="Arial" w:eastAsia="Times New Roman" w:hAnsi="Arial" w:cs="Arial"/>
                <w:sz w:val="20"/>
                <w:szCs w:val="20"/>
                <w:lang w:eastAsia="en-GB"/>
              </w:rPr>
              <w:t>Integracja</w:t>
            </w:r>
            <w:proofErr w:type="spellEnd"/>
            <w:r w:rsidRPr="00543D10">
              <w:rPr>
                <w:rFonts w:ascii="Arial" w:eastAsia="Times New Roman" w:hAnsi="Arial" w:cs="Arial"/>
                <w:sz w:val="20"/>
                <w:szCs w:val="20"/>
                <w:lang w:eastAsia="en-GB"/>
              </w:rPr>
              <w:t xml:space="preserve"> Foundation</w:t>
            </w:r>
          </w:p>
        </w:tc>
        <w:tc>
          <w:tcPr>
            <w:tcW w:w="1202" w:type="dxa"/>
            <w:tcBorders>
              <w:top w:val="nil"/>
              <w:left w:val="nil"/>
              <w:bottom w:val="nil"/>
              <w:right w:val="nil"/>
            </w:tcBorders>
            <w:shd w:val="clear" w:color="auto" w:fill="auto"/>
            <w:noWrap/>
            <w:vAlign w:val="center"/>
            <w:hideMark/>
          </w:tcPr>
          <w:p w14:paraId="492B06C9" w14:textId="77777777" w:rsidR="0039438F" w:rsidRPr="00175B62" w:rsidRDefault="0039438F" w:rsidP="0039438F">
            <w:pPr>
              <w:spacing w:after="0" w:line="240" w:lineRule="auto"/>
              <w:jc w:val="right"/>
              <w:rPr>
                <w:rFonts w:ascii="Arial" w:eastAsia="Times New Roman" w:hAnsi="Arial" w:cs="Arial"/>
                <w:sz w:val="20"/>
                <w:szCs w:val="20"/>
                <w:lang w:eastAsia="en-GB"/>
              </w:rPr>
            </w:pPr>
            <w:r w:rsidRPr="00175B62">
              <w:rPr>
                <w:rFonts w:ascii="Arial" w:eastAsia="Times New Roman" w:hAnsi="Arial" w:cs="Arial"/>
                <w:bCs/>
                <w:sz w:val="20"/>
                <w:szCs w:val="20"/>
                <w:lang w:eastAsia="en-GB"/>
              </w:rPr>
              <w:t>64</w:t>
            </w:r>
          </w:p>
        </w:tc>
        <w:tc>
          <w:tcPr>
            <w:tcW w:w="1068" w:type="dxa"/>
            <w:tcBorders>
              <w:top w:val="nil"/>
              <w:left w:val="nil"/>
              <w:bottom w:val="nil"/>
              <w:right w:val="nil"/>
            </w:tcBorders>
            <w:shd w:val="clear" w:color="auto" w:fill="auto"/>
            <w:noWrap/>
            <w:vAlign w:val="center"/>
          </w:tcPr>
          <w:p w14:paraId="12B0236A" w14:textId="77777777" w:rsidR="0039438F" w:rsidRPr="00543D10" w:rsidRDefault="00A562F9" w:rsidP="0069798A">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119</w:t>
            </w:r>
          </w:p>
        </w:tc>
        <w:tc>
          <w:tcPr>
            <w:tcW w:w="1202" w:type="dxa"/>
            <w:tcBorders>
              <w:top w:val="nil"/>
              <w:left w:val="nil"/>
              <w:bottom w:val="nil"/>
              <w:right w:val="nil"/>
            </w:tcBorders>
            <w:shd w:val="clear" w:color="auto" w:fill="auto"/>
            <w:noWrap/>
            <w:vAlign w:val="center"/>
          </w:tcPr>
          <w:p w14:paraId="0A4B5D8C" w14:textId="77777777" w:rsidR="0039438F" w:rsidRPr="00543D10" w:rsidRDefault="00A562F9" w:rsidP="009C6571">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(13</w:t>
            </w:r>
            <w:r w:rsidR="009C6571">
              <w:rPr>
                <w:rFonts w:ascii="Arial" w:eastAsia="Times New Roman" w:hAnsi="Arial" w:cs="Arial"/>
                <w:sz w:val="20"/>
                <w:szCs w:val="20"/>
                <w:lang w:eastAsia="en-GB"/>
              </w:rPr>
              <w:t>5</w:t>
            </w:r>
            <w:r>
              <w:rPr>
                <w:rFonts w:ascii="Arial" w:eastAsia="Times New Roman" w:hAnsi="Arial" w:cs="Arial"/>
                <w:sz w:val="20"/>
                <w:szCs w:val="20"/>
                <w:lang w:eastAsia="en-GB"/>
              </w:rPr>
              <w:t>)</w:t>
            </w:r>
          </w:p>
        </w:tc>
        <w:tc>
          <w:tcPr>
            <w:tcW w:w="1347" w:type="dxa"/>
            <w:tcBorders>
              <w:top w:val="nil"/>
              <w:left w:val="nil"/>
              <w:bottom w:val="nil"/>
              <w:right w:val="nil"/>
            </w:tcBorders>
            <w:shd w:val="clear" w:color="auto" w:fill="auto"/>
            <w:noWrap/>
            <w:vAlign w:val="center"/>
          </w:tcPr>
          <w:p w14:paraId="085074A4" w14:textId="77777777" w:rsidR="0039438F" w:rsidRPr="00543D10" w:rsidRDefault="00A562F9" w:rsidP="0039438F">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(4)</w:t>
            </w:r>
          </w:p>
        </w:tc>
        <w:tc>
          <w:tcPr>
            <w:tcW w:w="1111" w:type="dxa"/>
            <w:tcBorders>
              <w:top w:val="nil"/>
              <w:left w:val="nil"/>
              <w:bottom w:val="nil"/>
              <w:right w:val="nil"/>
            </w:tcBorders>
            <w:shd w:val="clear" w:color="auto" w:fill="auto"/>
            <w:noWrap/>
            <w:vAlign w:val="center"/>
          </w:tcPr>
          <w:p w14:paraId="11977493" w14:textId="77777777" w:rsidR="0039438F" w:rsidRPr="00543D10" w:rsidRDefault="00A562F9" w:rsidP="0039438F">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w:t>
            </w:r>
          </w:p>
        </w:tc>
        <w:tc>
          <w:tcPr>
            <w:tcW w:w="964" w:type="dxa"/>
            <w:gridSpan w:val="2"/>
            <w:tcBorders>
              <w:top w:val="nil"/>
              <w:left w:val="nil"/>
              <w:bottom w:val="nil"/>
              <w:right w:val="nil"/>
            </w:tcBorders>
            <w:shd w:val="clear" w:color="auto" w:fill="auto"/>
            <w:noWrap/>
            <w:vAlign w:val="center"/>
          </w:tcPr>
          <w:p w14:paraId="7A5FD955" w14:textId="77777777" w:rsidR="0039438F" w:rsidRPr="00543D10" w:rsidRDefault="00A562F9" w:rsidP="009C6571">
            <w:pPr>
              <w:spacing w:after="0" w:line="240" w:lineRule="auto"/>
              <w:ind w:right="-79"/>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4</w:t>
            </w:r>
            <w:r w:rsidR="009C6571">
              <w:rPr>
                <w:rFonts w:ascii="Arial" w:eastAsia="Times New Roman" w:hAnsi="Arial" w:cs="Arial"/>
                <w:b/>
                <w:bCs/>
                <w:sz w:val="20"/>
                <w:szCs w:val="20"/>
                <w:lang w:eastAsia="en-GB"/>
              </w:rPr>
              <w:t>4</w:t>
            </w:r>
          </w:p>
        </w:tc>
      </w:tr>
      <w:tr w:rsidR="0039438F" w:rsidRPr="00543D10" w14:paraId="56880B8D" w14:textId="77777777" w:rsidTr="00161381">
        <w:trPr>
          <w:trHeight w:val="402"/>
        </w:trPr>
        <w:tc>
          <w:tcPr>
            <w:tcW w:w="2409" w:type="dxa"/>
            <w:tcBorders>
              <w:top w:val="nil"/>
              <w:left w:val="nil"/>
              <w:bottom w:val="nil"/>
              <w:right w:val="nil"/>
            </w:tcBorders>
            <w:shd w:val="clear" w:color="auto" w:fill="auto"/>
            <w:noWrap/>
            <w:vAlign w:val="center"/>
            <w:hideMark/>
          </w:tcPr>
          <w:p w14:paraId="012B0CA1" w14:textId="77777777" w:rsidR="0039438F" w:rsidRPr="00543D10" w:rsidRDefault="0039438F" w:rsidP="0039438F">
            <w:pPr>
              <w:spacing w:after="0" w:line="240" w:lineRule="auto"/>
              <w:rPr>
                <w:rFonts w:ascii="Arial" w:eastAsia="Times New Roman" w:hAnsi="Arial" w:cs="Arial"/>
                <w:sz w:val="20"/>
                <w:szCs w:val="20"/>
                <w:lang w:eastAsia="en-GB"/>
              </w:rPr>
            </w:pPr>
            <w:r w:rsidRPr="00543D10">
              <w:rPr>
                <w:rFonts w:ascii="Arial" w:eastAsia="Times New Roman" w:hAnsi="Arial" w:cs="Arial"/>
                <w:sz w:val="20"/>
                <w:szCs w:val="20"/>
                <w:lang w:eastAsia="en-GB"/>
              </w:rPr>
              <w:t>Motivation Romania Foundation</w:t>
            </w:r>
          </w:p>
        </w:tc>
        <w:tc>
          <w:tcPr>
            <w:tcW w:w="1202" w:type="dxa"/>
            <w:tcBorders>
              <w:top w:val="nil"/>
              <w:left w:val="nil"/>
              <w:bottom w:val="nil"/>
              <w:right w:val="nil"/>
            </w:tcBorders>
            <w:shd w:val="clear" w:color="auto" w:fill="auto"/>
            <w:noWrap/>
            <w:vAlign w:val="center"/>
            <w:hideMark/>
          </w:tcPr>
          <w:p w14:paraId="6B902EFD" w14:textId="77777777" w:rsidR="0039438F" w:rsidRPr="00175B62" w:rsidRDefault="0039438F" w:rsidP="0039438F">
            <w:pPr>
              <w:spacing w:after="0" w:line="240" w:lineRule="auto"/>
              <w:jc w:val="right"/>
              <w:rPr>
                <w:rFonts w:ascii="Arial" w:eastAsia="Times New Roman" w:hAnsi="Arial" w:cs="Arial"/>
                <w:sz w:val="20"/>
                <w:szCs w:val="20"/>
                <w:lang w:eastAsia="en-GB"/>
              </w:rPr>
            </w:pPr>
            <w:r w:rsidRPr="00175B62">
              <w:rPr>
                <w:rFonts w:ascii="Arial" w:eastAsia="Times New Roman" w:hAnsi="Arial" w:cs="Arial"/>
                <w:bCs/>
                <w:sz w:val="20"/>
                <w:szCs w:val="20"/>
                <w:lang w:eastAsia="en-GB"/>
              </w:rPr>
              <w:t>99</w:t>
            </w:r>
            <w:r w:rsidR="00175B62" w:rsidRPr="00175B62">
              <w:rPr>
                <w:rFonts w:ascii="Arial" w:eastAsia="Times New Roman" w:hAnsi="Arial" w:cs="Arial"/>
                <w:bCs/>
                <w:sz w:val="20"/>
                <w:szCs w:val="20"/>
                <w:lang w:eastAsia="en-GB"/>
              </w:rPr>
              <w:t>7</w:t>
            </w:r>
          </w:p>
        </w:tc>
        <w:tc>
          <w:tcPr>
            <w:tcW w:w="1068" w:type="dxa"/>
            <w:tcBorders>
              <w:top w:val="nil"/>
              <w:left w:val="nil"/>
              <w:bottom w:val="nil"/>
              <w:right w:val="nil"/>
            </w:tcBorders>
            <w:shd w:val="clear" w:color="auto" w:fill="auto"/>
            <w:noWrap/>
            <w:vAlign w:val="center"/>
          </w:tcPr>
          <w:p w14:paraId="15678A16" w14:textId="77777777" w:rsidR="0039438F" w:rsidRPr="00543D10" w:rsidRDefault="00A562F9" w:rsidP="0039438F">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w:t>
            </w:r>
          </w:p>
        </w:tc>
        <w:tc>
          <w:tcPr>
            <w:tcW w:w="1202" w:type="dxa"/>
            <w:tcBorders>
              <w:top w:val="nil"/>
              <w:left w:val="nil"/>
              <w:bottom w:val="nil"/>
              <w:right w:val="nil"/>
            </w:tcBorders>
            <w:shd w:val="clear" w:color="auto" w:fill="auto"/>
            <w:noWrap/>
            <w:vAlign w:val="center"/>
          </w:tcPr>
          <w:p w14:paraId="40293BD8" w14:textId="77777777" w:rsidR="0039438F" w:rsidRPr="00543D10" w:rsidRDefault="00A562F9" w:rsidP="009C6571">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(99</w:t>
            </w:r>
            <w:r w:rsidR="009C6571">
              <w:rPr>
                <w:rFonts w:ascii="Arial" w:eastAsia="Times New Roman" w:hAnsi="Arial" w:cs="Arial"/>
                <w:sz w:val="20"/>
                <w:szCs w:val="20"/>
                <w:lang w:eastAsia="en-GB"/>
              </w:rPr>
              <w:t>7</w:t>
            </w:r>
            <w:r>
              <w:rPr>
                <w:rFonts w:ascii="Arial" w:eastAsia="Times New Roman" w:hAnsi="Arial" w:cs="Arial"/>
                <w:sz w:val="20"/>
                <w:szCs w:val="20"/>
                <w:lang w:eastAsia="en-GB"/>
              </w:rPr>
              <w:t>)</w:t>
            </w:r>
          </w:p>
        </w:tc>
        <w:tc>
          <w:tcPr>
            <w:tcW w:w="1347" w:type="dxa"/>
            <w:tcBorders>
              <w:top w:val="nil"/>
              <w:left w:val="nil"/>
              <w:bottom w:val="nil"/>
              <w:right w:val="nil"/>
            </w:tcBorders>
            <w:shd w:val="clear" w:color="auto" w:fill="auto"/>
            <w:noWrap/>
            <w:vAlign w:val="center"/>
          </w:tcPr>
          <w:p w14:paraId="08E99CBF" w14:textId="77777777" w:rsidR="0039438F" w:rsidRPr="00543D10" w:rsidRDefault="00A562F9" w:rsidP="0039438F">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w:t>
            </w:r>
          </w:p>
        </w:tc>
        <w:tc>
          <w:tcPr>
            <w:tcW w:w="1111" w:type="dxa"/>
            <w:tcBorders>
              <w:top w:val="nil"/>
              <w:left w:val="nil"/>
              <w:bottom w:val="nil"/>
              <w:right w:val="nil"/>
            </w:tcBorders>
            <w:shd w:val="clear" w:color="auto" w:fill="auto"/>
            <w:noWrap/>
            <w:vAlign w:val="center"/>
          </w:tcPr>
          <w:p w14:paraId="052F059C" w14:textId="77777777" w:rsidR="0039438F" w:rsidRPr="00543D10" w:rsidRDefault="00A562F9" w:rsidP="0039438F">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w:t>
            </w:r>
          </w:p>
        </w:tc>
        <w:tc>
          <w:tcPr>
            <w:tcW w:w="964" w:type="dxa"/>
            <w:gridSpan w:val="2"/>
            <w:tcBorders>
              <w:top w:val="nil"/>
              <w:left w:val="nil"/>
              <w:bottom w:val="nil"/>
              <w:right w:val="nil"/>
            </w:tcBorders>
            <w:shd w:val="clear" w:color="auto" w:fill="auto"/>
            <w:noWrap/>
            <w:vAlign w:val="center"/>
          </w:tcPr>
          <w:p w14:paraId="77F6EA51" w14:textId="77777777" w:rsidR="0039438F" w:rsidRPr="00543D10" w:rsidRDefault="005A2948">
            <w:pPr>
              <w:spacing w:after="0" w:line="240" w:lineRule="auto"/>
              <w:ind w:right="-79"/>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w:t>
            </w:r>
          </w:p>
        </w:tc>
      </w:tr>
      <w:tr w:rsidR="0039438F" w:rsidRPr="00543D10" w14:paraId="7A2A91F4" w14:textId="77777777" w:rsidTr="00161381">
        <w:trPr>
          <w:trHeight w:val="402"/>
        </w:trPr>
        <w:tc>
          <w:tcPr>
            <w:tcW w:w="2409" w:type="dxa"/>
            <w:tcBorders>
              <w:top w:val="single" w:sz="4" w:space="0" w:color="auto"/>
              <w:left w:val="nil"/>
              <w:bottom w:val="single" w:sz="4" w:space="0" w:color="auto"/>
              <w:right w:val="nil"/>
            </w:tcBorders>
            <w:shd w:val="clear" w:color="auto" w:fill="auto"/>
            <w:noWrap/>
            <w:vAlign w:val="center"/>
            <w:hideMark/>
          </w:tcPr>
          <w:p w14:paraId="3C30103E" w14:textId="77777777" w:rsidR="0039438F" w:rsidRPr="00543D10" w:rsidRDefault="0039438F" w:rsidP="0039438F">
            <w:pPr>
              <w:spacing w:after="0" w:line="240" w:lineRule="auto"/>
              <w:rPr>
                <w:rFonts w:ascii="Arial" w:eastAsia="Times New Roman" w:hAnsi="Arial" w:cs="Arial"/>
                <w:b/>
                <w:bCs/>
                <w:sz w:val="20"/>
                <w:szCs w:val="20"/>
                <w:lang w:eastAsia="en-GB"/>
              </w:rPr>
            </w:pPr>
            <w:r w:rsidRPr="00543D10">
              <w:rPr>
                <w:rFonts w:ascii="Arial" w:eastAsia="Times New Roman" w:hAnsi="Arial" w:cs="Arial"/>
                <w:b/>
                <w:bCs/>
                <w:sz w:val="20"/>
                <w:szCs w:val="20"/>
                <w:lang w:eastAsia="en-GB"/>
              </w:rPr>
              <w:t>Total group</w:t>
            </w:r>
          </w:p>
        </w:tc>
        <w:tc>
          <w:tcPr>
            <w:tcW w:w="1202" w:type="dxa"/>
            <w:tcBorders>
              <w:top w:val="single" w:sz="4" w:space="0" w:color="auto"/>
              <w:left w:val="nil"/>
              <w:bottom w:val="single" w:sz="4" w:space="0" w:color="auto"/>
              <w:right w:val="nil"/>
            </w:tcBorders>
            <w:shd w:val="clear" w:color="auto" w:fill="auto"/>
            <w:noWrap/>
            <w:vAlign w:val="center"/>
            <w:hideMark/>
          </w:tcPr>
          <w:p w14:paraId="1AEBE335" w14:textId="77777777" w:rsidR="0039438F" w:rsidRPr="0039438F" w:rsidRDefault="0039438F" w:rsidP="0039438F">
            <w:pPr>
              <w:spacing w:after="0" w:line="240" w:lineRule="auto"/>
              <w:jc w:val="right"/>
              <w:rPr>
                <w:rFonts w:ascii="Arial" w:eastAsia="Times New Roman" w:hAnsi="Arial" w:cs="Arial"/>
                <w:bCs/>
                <w:sz w:val="20"/>
                <w:szCs w:val="20"/>
                <w:lang w:eastAsia="en-GB"/>
              </w:rPr>
            </w:pPr>
            <w:r w:rsidRPr="0039438F">
              <w:rPr>
                <w:rFonts w:ascii="Arial" w:eastAsia="Times New Roman" w:hAnsi="Arial" w:cs="Arial"/>
                <w:bCs/>
                <w:sz w:val="20"/>
                <w:szCs w:val="20"/>
                <w:lang w:eastAsia="en-GB"/>
              </w:rPr>
              <w:t>105,45</w:t>
            </w:r>
            <w:r w:rsidR="00A562F9">
              <w:rPr>
                <w:rFonts w:ascii="Arial" w:eastAsia="Times New Roman" w:hAnsi="Arial" w:cs="Arial"/>
                <w:bCs/>
                <w:sz w:val="20"/>
                <w:szCs w:val="20"/>
                <w:lang w:eastAsia="en-GB"/>
              </w:rPr>
              <w:t>5</w:t>
            </w:r>
          </w:p>
        </w:tc>
        <w:tc>
          <w:tcPr>
            <w:tcW w:w="1068" w:type="dxa"/>
            <w:tcBorders>
              <w:top w:val="single" w:sz="4" w:space="0" w:color="auto"/>
              <w:left w:val="nil"/>
              <w:bottom w:val="single" w:sz="4" w:space="0" w:color="auto"/>
              <w:right w:val="nil"/>
            </w:tcBorders>
            <w:shd w:val="clear" w:color="auto" w:fill="auto"/>
            <w:noWrap/>
            <w:vAlign w:val="center"/>
          </w:tcPr>
          <w:p w14:paraId="66782312" w14:textId="77777777" w:rsidR="0039438F" w:rsidRPr="00543D10" w:rsidRDefault="002D1075" w:rsidP="0039438F">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103,303</w:t>
            </w:r>
          </w:p>
        </w:tc>
        <w:tc>
          <w:tcPr>
            <w:tcW w:w="1202" w:type="dxa"/>
            <w:tcBorders>
              <w:top w:val="single" w:sz="4" w:space="0" w:color="auto"/>
              <w:left w:val="nil"/>
              <w:bottom w:val="single" w:sz="4" w:space="0" w:color="auto"/>
              <w:right w:val="nil"/>
            </w:tcBorders>
            <w:shd w:val="clear" w:color="auto" w:fill="auto"/>
            <w:noWrap/>
            <w:vAlign w:val="center"/>
          </w:tcPr>
          <w:p w14:paraId="29E659EF" w14:textId="77777777" w:rsidR="0039438F" w:rsidRPr="00543D10" w:rsidRDefault="00A562F9" w:rsidP="0039438F">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(86,630)</w:t>
            </w:r>
          </w:p>
        </w:tc>
        <w:tc>
          <w:tcPr>
            <w:tcW w:w="1347" w:type="dxa"/>
            <w:tcBorders>
              <w:top w:val="single" w:sz="4" w:space="0" w:color="auto"/>
              <w:left w:val="nil"/>
              <w:bottom w:val="single" w:sz="4" w:space="0" w:color="auto"/>
              <w:right w:val="nil"/>
            </w:tcBorders>
            <w:shd w:val="clear" w:color="auto" w:fill="auto"/>
            <w:noWrap/>
            <w:vAlign w:val="center"/>
          </w:tcPr>
          <w:p w14:paraId="0514EAFD" w14:textId="77777777" w:rsidR="0039438F" w:rsidRPr="00543D10" w:rsidRDefault="00A562F9" w:rsidP="0039438F">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(4)</w:t>
            </w:r>
          </w:p>
        </w:tc>
        <w:tc>
          <w:tcPr>
            <w:tcW w:w="1111" w:type="dxa"/>
            <w:tcBorders>
              <w:top w:val="single" w:sz="4" w:space="0" w:color="auto"/>
              <w:left w:val="nil"/>
              <w:bottom w:val="single" w:sz="4" w:space="0" w:color="auto"/>
              <w:right w:val="nil"/>
            </w:tcBorders>
            <w:shd w:val="clear" w:color="auto" w:fill="auto"/>
            <w:noWrap/>
            <w:vAlign w:val="center"/>
          </w:tcPr>
          <w:p w14:paraId="0E879220" w14:textId="77777777" w:rsidR="0039438F" w:rsidRPr="00543D10" w:rsidRDefault="00A562F9" w:rsidP="0039438F">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353</w:t>
            </w:r>
          </w:p>
        </w:tc>
        <w:tc>
          <w:tcPr>
            <w:tcW w:w="964" w:type="dxa"/>
            <w:gridSpan w:val="2"/>
            <w:tcBorders>
              <w:top w:val="single" w:sz="4" w:space="0" w:color="auto"/>
              <w:left w:val="nil"/>
              <w:bottom w:val="single" w:sz="4" w:space="0" w:color="auto"/>
              <w:right w:val="nil"/>
            </w:tcBorders>
            <w:shd w:val="clear" w:color="auto" w:fill="auto"/>
            <w:noWrap/>
            <w:vAlign w:val="center"/>
          </w:tcPr>
          <w:p w14:paraId="01FDA188" w14:textId="77777777" w:rsidR="0039438F" w:rsidRPr="00543D10" w:rsidRDefault="002D1075" w:rsidP="006647C2">
            <w:pPr>
              <w:spacing w:after="0" w:line="240" w:lineRule="auto"/>
              <w:ind w:right="-79"/>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122,477</w:t>
            </w:r>
          </w:p>
        </w:tc>
      </w:tr>
    </w:tbl>
    <w:p w14:paraId="4E2E3CA5" w14:textId="77777777" w:rsidR="00E70CD3" w:rsidRPr="00543D10" w:rsidRDefault="00E70CD3" w:rsidP="00E70CD3">
      <w:pPr>
        <w:autoSpaceDE w:val="0"/>
        <w:autoSpaceDN w:val="0"/>
        <w:adjustRightInd w:val="0"/>
        <w:spacing w:after="0" w:line="240" w:lineRule="auto"/>
        <w:rPr>
          <w:rFonts w:ascii="Arial" w:hAnsi="Arial" w:cs="Arial"/>
          <w:sz w:val="20"/>
          <w:szCs w:val="20"/>
        </w:rPr>
      </w:pPr>
    </w:p>
    <w:p w14:paraId="5ED97236" w14:textId="77777777" w:rsidR="00DD5595" w:rsidRDefault="00DD5595" w:rsidP="006C07DD">
      <w:pPr>
        <w:spacing w:after="0" w:line="240" w:lineRule="auto"/>
        <w:rPr>
          <w:rFonts w:ascii="Arial" w:hAnsi="Arial" w:cs="Arial"/>
          <w:b/>
          <w:i/>
          <w:sz w:val="24"/>
          <w:szCs w:val="24"/>
        </w:rPr>
      </w:pPr>
    </w:p>
    <w:p w14:paraId="56FF6D83" w14:textId="77777777" w:rsidR="00DD5595" w:rsidRDefault="00DD5595" w:rsidP="006C07DD">
      <w:pPr>
        <w:spacing w:after="0" w:line="240" w:lineRule="auto"/>
        <w:rPr>
          <w:rFonts w:ascii="Arial" w:hAnsi="Arial" w:cs="Arial"/>
          <w:b/>
          <w:i/>
          <w:sz w:val="24"/>
          <w:szCs w:val="24"/>
        </w:rPr>
      </w:pPr>
    </w:p>
    <w:p w14:paraId="20192A03" w14:textId="77777777" w:rsidR="00DD5595" w:rsidRDefault="00DD5595" w:rsidP="006C07DD">
      <w:pPr>
        <w:spacing w:after="0" w:line="240" w:lineRule="auto"/>
        <w:rPr>
          <w:rFonts w:ascii="Arial" w:hAnsi="Arial" w:cs="Arial"/>
          <w:b/>
          <w:i/>
          <w:sz w:val="24"/>
          <w:szCs w:val="24"/>
        </w:rPr>
      </w:pPr>
    </w:p>
    <w:p w14:paraId="006D6C64" w14:textId="77777777" w:rsidR="00DD5595" w:rsidRDefault="00DD5595" w:rsidP="006C07DD">
      <w:pPr>
        <w:spacing w:after="0" w:line="240" w:lineRule="auto"/>
        <w:rPr>
          <w:rFonts w:ascii="Arial" w:hAnsi="Arial" w:cs="Arial"/>
          <w:b/>
          <w:i/>
          <w:sz w:val="24"/>
          <w:szCs w:val="24"/>
        </w:rPr>
      </w:pPr>
    </w:p>
    <w:p w14:paraId="00E3EDC2" w14:textId="77777777" w:rsidR="00DD5595" w:rsidRDefault="00DD5595" w:rsidP="006C07DD">
      <w:pPr>
        <w:spacing w:after="0" w:line="240" w:lineRule="auto"/>
        <w:rPr>
          <w:rFonts w:ascii="Arial" w:hAnsi="Arial" w:cs="Arial"/>
          <w:b/>
          <w:i/>
          <w:sz w:val="24"/>
          <w:szCs w:val="24"/>
        </w:rPr>
      </w:pPr>
    </w:p>
    <w:p w14:paraId="4324CC26" w14:textId="77777777" w:rsidR="00DD5595" w:rsidRDefault="00DD5595" w:rsidP="006C07DD">
      <w:pPr>
        <w:spacing w:after="0" w:line="240" w:lineRule="auto"/>
        <w:rPr>
          <w:rFonts w:ascii="Arial" w:hAnsi="Arial" w:cs="Arial"/>
          <w:b/>
          <w:i/>
          <w:sz w:val="24"/>
          <w:szCs w:val="24"/>
        </w:rPr>
      </w:pPr>
    </w:p>
    <w:p w14:paraId="75B89445" w14:textId="77777777" w:rsidR="00381DC8" w:rsidRDefault="00381DC8" w:rsidP="006C07DD">
      <w:pPr>
        <w:spacing w:after="0" w:line="240" w:lineRule="auto"/>
        <w:rPr>
          <w:rFonts w:ascii="Arial" w:hAnsi="Arial" w:cs="Arial"/>
          <w:b/>
          <w:i/>
          <w:sz w:val="24"/>
          <w:szCs w:val="24"/>
        </w:rPr>
      </w:pPr>
    </w:p>
    <w:p w14:paraId="451D1114" w14:textId="77777777" w:rsidR="00DD5595" w:rsidRDefault="00DD5595" w:rsidP="006C07DD">
      <w:pPr>
        <w:spacing w:after="0" w:line="240" w:lineRule="auto"/>
        <w:rPr>
          <w:rFonts w:ascii="Arial" w:hAnsi="Arial" w:cs="Arial"/>
          <w:b/>
          <w:i/>
          <w:sz w:val="24"/>
          <w:szCs w:val="24"/>
        </w:rPr>
      </w:pPr>
    </w:p>
    <w:p w14:paraId="07250968" w14:textId="77777777" w:rsidR="00DD5595" w:rsidRDefault="00DD5595" w:rsidP="006C07DD">
      <w:pPr>
        <w:spacing w:after="0" w:line="240" w:lineRule="auto"/>
        <w:rPr>
          <w:rFonts w:ascii="Arial" w:hAnsi="Arial" w:cs="Arial"/>
          <w:b/>
          <w:i/>
          <w:sz w:val="24"/>
          <w:szCs w:val="24"/>
        </w:rPr>
      </w:pPr>
    </w:p>
    <w:p w14:paraId="32E685CB" w14:textId="77777777" w:rsidR="00DD5595" w:rsidRDefault="00DD5595" w:rsidP="006C07DD">
      <w:pPr>
        <w:spacing w:after="0" w:line="240" w:lineRule="auto"/>
        <w:rPr>
          <w:rFonts w:ascii="Arial" w:hAnsi="Arial" w:cs="Arial"/>
          <w:b/>
          <w:i/>
          <w:sz w:val="24"/>
          <w:szCs w:val="24"/>
        </w:rPr>
      </w:pPr>
    </w:p>
    <w:p w14:paraId="50A77A43" w14:textId="77777777" w:rsidR="00DD5595" w:rsidRDefault="00DD5595" w:rsidP="006C07DD">
      <w:pPr>
        <w:spacing w:after="0" w:line="240" w:lineRule="auto"/>
        <w:rPr>
          <w:rFonts w:ascii="Arial" w:hAnsi="Arial" w:cs="Arial"/>
          <w:b/>
          <w:i/>
          <w:sz w:val="24"/>
          <w:szCs w:val="24"/>
        </w:rPr>
      </w:pPr>
    </w:p>
    <w:p w14:paraId="440A3B0D" w14:textId="77777777" w:rsidR="00DD5595" w:rsidRDefault="00DD5595" w:rsidP="006C07DD">
      <w:pPr>
        <w:spacing w:after="0" w:line="240" w:lineRule="auto"/>
        <w:rPr>
          <w:rFonts w:ascii="Arial" w:hAnsi="Arial" w:cs="Arial"/>
          <w:b/>
          <w:i/>
          <w:sz w:val="24"/>
          <w:szCs w:val="24"/>
        </w:rPr>
      </w:pPr>
    </w:p>
    <w:p w14:paraId="57882BFA" w14:textId="11F37195" w:rsidR="00DD5595" w:rsidRDefault="00DD5595" w:rsidP="006C07DD">
      <w:pPr>
        <w:spacing w:after="0" w:line="240" w:lineRule="auto"/>
        <w:rPr>
          <w:rFonts w:ascii="Arial" w:hAnsi="Arial" w:cs="Arial"/>
          <w:b/>
          <w:i/>
          <w:sz w:val="24"/>
          <w:szCs w:val="24"/>
        </w:rPr>
      </w:pPr>
    </w:p>
    <w:p w14:paraId="43592E61" w14:textId="4F55237E" w:rsidR="00AD5E62" w:rsidRDefault="00AD5E62" w:rsidP="006C07DD">
      <w:pPr>
        <w:spacing w:after="0" w:line="240" w:lineRule="auto"/>
        <w:rPr>
          <w:rFonts w:ascii="Arial" w:hAnsi="Arial" w:cs="Arial"/>
          <w:b/>
          <w:i/>
          <w:sz w:val="24"/>
          <w:szCs w:val="24"/>
        </w:rPr>
      </w:pPr>
    </w:p>
    <w:p w14:paraId="103F73F7" w14:textId="77777777" w:rsidR="00AD5E62" w:rsidRDefault="00AD5E62" w:rsidP="006C07DD">
      <w:pPr>
        <w:spacing w:after="0" w:line="240" w:lineRule="auto"/>
        <w:rPr>
          <w:rFonts w:ascii="Arial" w:hAnsi="Arial" w:cs="Arial"/>
          <w:b/>
          <w:i/>
          <w:sz w:val="24"/>
          <w:szCs w:val="24"/>
        </w:rPr>
      </w:pPr>
    </w:p>
    <w:p w14:paraId="1E0BEFE3" w14:textId="77777777" w:rsidR="00DD5595" w:rsidRDefault="00DD5595" w:rsidP="006C07DD">
      <w:pPr>
        <w:spacing w:after="0" w:line="240" w:lineRule="auto"/>
        <w:rPr>
          <w:rFonts w:ascii="Arial" w:hAnsi="Arial" w:cs="Arial"/>
          <w:b/>
          <w:i/>
          <w:sz w:val="24"/>
          <w:szCs w:val="24"/>
        </w:rPr>
      </w:pPr>
    </w:p>
    <w:p w14:paraId="4AFE97AE" w14:textId="19791F49" w:rsidR="006C07DD" w:rsidRDefault="006C07DD" w:rsidP="00AD5E62">
      <w:pPr>
        <w:spacing w:after="0" w:line="240" w:lineRule="auto"/>
        <w:rPr>
          <w:rFonts w:ascii="Arial" w:hAnsi="Arial" w:cs="Arial"/>
          <w:b/>
          <w:i/>
          <w:sz w:val="24"/>
          <w:szCs w:val="24"/>
        </w:rPr>
      </w:pPr>
      <w:r w:rsidRPr="0088736E">
        <w:rPr>
          <w:rFonts w:ascii="Arial" w:hAnsi="Arial" w:cs="Arial"/>
          <w:b/>
          <w:i/>
          <w:sz w:val="24"/>
          <w:szCs w:val="24"/>
        </w:rPr>
        <w:lastRenderedPageBreak/>
        <w:t xml:space="preserve">Notes to the financial </w:t>
      </w:r>
      <w:r>
        <w:rPr>
          <w:rFonts w:ascii="Arial" w:hAnsi="Arial" w:cs="Arial"/>
          <w:b/>
          <w:i/>
          <w:sz w:val="24"/>
          <w:szCs w:val="24"/>
        </w:rPr>
        <w:t>statements</w:t>
      </w:r>
      <w:r w:rsidRPr="0088736E">
        <w:rPr>
          <w:rFonts w:ascii="Arial" w:hAnsi="Arial" w:cs="Arial"/>
          <w:b/>
          <w:i/>
          <w:sz w:val="24"/>
          <w:szCs w:val="24"/>
        </w:rPr>
        <w:t xml:space="preserve"> (continued)</w:t>
      </w:r>
    </w:p>
    <w:p w14:paraId="56B1E2B9" w14:textId="77777777" w:rsidR="00AD5E62" w:rsidRDefault="00AD5E62" w:rsidP="00AD5E62">
      <w:pPr>
        <w:spacing w:after="0" w:line="240" w:lineRule="auto"/>
        <w:rPr>
          <w:rFonts w:ascii="Arial" w:hAnsi="Arial" w:cs="Arial"/>
          <w:b/>
          <w:i/>
          <w:sz w:val="24"/>
          <w:szCs w:val="24"/>
        </w:rPr>
      </w:pPr>
    </w:p>
    <w:p w14:paraId="3DD4E282" w14:textId="0153BDAF" w:rsidR="009A1B07" w:rsidRDefault="009A1B07" w:rsidP="00AD5E62">
      <w:pPr>
        <w:autoSpaceDE w:val="0"/>
        <w:autoSpaceDN w:val="0"/>
        <w:adjustRightInd w:val="0"/>
        <w:spacing w:after="0" w:line="240" w:lineRule="auto"/>
        <w:rPr>
          <w:rFonts w:ascii="Arial" w:hAnsi="Arial" w:cs="Arial"/>
          <w:b/>
          <w:sz w:val="24"/>
          <w:szCs w:val="24"/>
        </w:rPr>
      </w:pPr>
      <w:r w:rsidRPr="003B791D">
        <w:rPr>
          <w:rFonts w:ascii="Arial" w:eastAsia="Times New Roman" w:hAnsi="Arial" w:cs="Arial"/>
          <w:b/>
          <w:bCs/>
          <w:sz w:val="24"/>
          <w:szCs w:val="24"/>
          <w:lang w:eastAsia="en-GB"/>
        </w:rPr>
        <w:t>19. Restricted Funds</w:t>
      </w:r>
      <w:r w:rsidRPr="00C322AE">
        <w:rPr>
          <w:rFonts w:ascii="Arial" w:hAnsi="Arial" w:cs="Arial"/>
          <w:sz w:val="24"/>
          <w:szCs w:val="24"/>
        </w:rPr>
        <w:t xml:space="preserve"> </w:t>
      </w:r>
      <w:r>
        <w:rPr>
          <w:rFonts w:ascii="Arial" w:hAnsi="Arial" w:cs="Arial"/>
          <w:b/>
          <w:sz w:val="24"/>
          <w:szCs w:val="24"/>
        </w:rPr>
        <w:t>(continued)</w:t>
      </w:r>
    </w:p>
    <w:p w14:paraId="04A09A53" w14:textId="77777777" w:rsidR="00AD5E62" w:rsidRPr="001F17DE" w:rsidRDefault="00AD5E62" w:rsidP="00AD5E62">
      <w:pPr>
        <w:autoSpaceDE w:val="0"/>
        <w:autoSpaceDN w:val="0"/>
        <w:adjustRightInd w:val="0"/>
        <w:spacing w:after="0" w:line="240" w:lineRule="auto"/>
        <w:rPr>
          <w:rFonts w:ascii="Arial" w:hAnsi="Arial" w:cs="Arial"/>
          <w:b/>
          <w:sz w:val="24"/>
          <w:szCs w:val="24"/>
        </w:rPr>
      </w:pPr>
    </w:p>
    <w:p w14:paraId="2B027CC7" w14:textId="77777777" w:rsidR="00E70CD3" w:rsidRPr="00C322AE" w:rsidRDefault="00E70CD3" w:rsidP="006647C2">
      <w:pPr>
        <w:autoSpaceDE w:val="0"/>
        <w:autoSpaceDN w:val="0"/>
        <w:adjustRightInd w:val="0"/>
        <w:spacing w:after="240" w:line="240" w:lineRule="auto"/>
        <w:ind w:right="119"/>
        <w:jc w:val="both"/>
        <w:rPr>
          <w:rFonts w:ascii="Arial" w:hAnsi="Arial" w:cs="Arial"/>
          <w:sz w:val="24"/>
          <w:szCs w:val="24"/>
        </w:rPr>
      </w:pPr>
      <w:r w:rsidRPr="00C322AE">
        <w:rPr>
          <w:rFonts w:ascii="Arial" w:hAnsi="Arial" w:cs="Arial"/>
          <w:sz w:val="24"/>
          <w:szCs w:val="24"/>
        </w:rPr>
        <w:t xml:space="preserve">The DIG for Dinner project aims to establish a sustainable community food growing initiative in a deprived area of County Durham by teaching people how to grow their own food, to produce food locally and to contribute to local food networks. The project provides practical and purposeful activities for people with learning disabilities and mental ill health as well as volunteering opportunities for local people, school children and community groups. Funding has also been received from </w:t>
      </w:r>
      <w:proofErr w:type="spellStart"/>
      <w:r w:rsidRPr="00C322AE">
        <w:rPr>
          <w:rFonts w:ascii="Arial" w:hAnsi="Arial" w:cs="Arial"/>
          <w:sz w:val="24"/>
          <w:szCs w:val="24"/>
        </w:rPr>
        <w:t>Rothley</w:t>
      </w:r>
      <w:proofErr w:type="spellEnd"/>
      <w:r w:rsidRPr="00C322AE">
        <w:rPr>
          <w:rFonts w:ascii="Arial" w:hAnsi="Arial" w:cs="Arial"/>
          <w:sz w:val="24"/>
          <w:szCs w:val="24"/>
        </w:rPr>
        <w:t xml:space="preserve"> Trust and Hadrian Trust.</w:t>
      </w:r>
    </w:p>
    <w:p w14:paraId="1979B92F" w14:textId="77777777" w:rsidR="004B18B9" w:rsidRDefault="00E70CD3" w:rsidP="006647C2">
      <w:pPr>
        <w:autoSpaceDE w:val="0"/>
        <w:autoSpaceDN w:val="0"/>
        <w:adjustRightInd w:val="0"/>
        <w:spacing w:after="240" w:line="240" w:lineRule="auto"/>
        <w:ind w:right="119"/>
        <w:jc w:val="both"/>
        <w:rPr>
          <w:rFonts w:ascii="Arial" w:hAnsi="Arial" w:cs="Arial"/>
          <w:sz w:val="24"/>
          <w:szCs w:val="24"/>
        </w:rPr>
      </w:pPr>
      <w:r w:rsidRPr="00C322AE">
        <w:rPr>
          <w:rFonts w:ascii="Arial" w:hAnsi="Arial" w:cs="Arial"/>
          <w:sz w:val="24"/>
          <w:szCs w:val="24"/>
        </w:rPr>
        <w:t>The £250k for the Doncaster Borough Council guarantee relates to a security that has been pledged as a guarantee provided by the Trust’s bankers to Doncaster Borough Council in respect of the Trust’s obligations to the South Yorkshire Pension Scheme.</w:t>
      </w:r>
    </w:p>
    <w:p w14:paraId="6DC20036" w14:textId="77777777" w:rsidR="00E70CD3" w:rsidRPr="00C322AE" w:rsidRDefault="00E70CD3" w:rsidP="006647C2">
      <w:pPr>
        <w:autoSpaceDE w:val="0"/>
        <w:autoSpaceDN w:val="0"/>
        <w:adjustRightInd w:val="0"/>
        <w:spacing w:after="240" w:line="240" w:lineRule="auto"/>
        <w:ind w:right="119"/>
        <w:jc w:val="both"/>
        <w:rPr>
          <w:rFonts w:ascii="Arial" w:hAnsi="Arial" w:cs="Arial"/>
          <w:sz w:val="24"/>
          <w:szCs w:val="24"/>
        </w:rPr>
      </w:pPr>
      <w:r w:rsidRPr="00C322AE">
        <w:rPr>
          <w:rFonts w:ascii="Arial" w:hAnsi="Arial" w:cs="Arial"/>
          <w:sz w:val="24"/>
          <w:szCs w:val="24"/>
        </w:rPr>
        <w:t xml:space="preserve">Palmer Gardens is a vocational training centre and the restricted capital fund comprises </w:t>
      </w:r>
      <w:r w:rsidR="00893575">
        <w:rPr>
          <w:rFonts w:ascii="Arial" w:hAnsi="Arial" w:cs="Arial"/>
          <w:sz w:val="24"/>
          <w:szCs w:val="24"/>
        </w:rPr>
        <w:t xml:space="preserve">£547,000 </w:t>
      </w:r>
      <w:r w:rsidRPr="00C322AE">
        <w:rPr>
          <w:rFonts w:ascii="Arial" w:hAnsi="Arial" w:cs="Arial"/>
          <w:sz w:val="24"/>
          <w:szCs w:val="24"/>
        </w:rPr>
        <w:t>(</w:t>
      </w:r>
      <w:r w:rsidR="0037645F">
        <w:rPr>
          <w:rFonts w:ascii="Arial" w:hAnsi="Arial" w:cs="Arial"/>
          <w:sz w:val="24"/>
          <w:szCs w:val="24"/>
        </w:rPr>
        <w:t>2019</w:t>
      </w:r>
      <w:r w:rsidRPr="00C322AE">
        <w:rPr>
          <w:rFonts w:ascii="Arial" w:hAnsi="Arial" w:cs="Arial"/>
          <w:sz w:val="24"/>
          <w:szCs w:val="24"/>
        </w:rPr>
        <w:t>:</w:t>
      </w:r>
      <w:r w:rsidR="00893575">
        <w:rPr>
          <w:rFonts w:ascii="Arial" w:hAnsi="Arial" w:cs="Arial"/>
          <w:sz w:val="24"/>
          <w:szCs w:val="24"/>
        </w:rPr>
        <w:t xml:space="preserve"> </w:t>
      </w:r>
      <w:r w:rsidRPr="00C322AE">
        <w:rPr>
          <w:rFonts w:ascii="Arial" w:hAnsi="Arial" w:cs="Arial"/>
          <w:sz w:val="24"/>
          <w:szCs w:val="24"/>
        </w:rPr>
        <w:t>£</w:t>
      </w:r>
      <w:r w:rsidR="0039438F" w:rsidRPr="00C322AE">
        <w:rPr>
          <w:rFonts w:ascii="Arial" w:hAnsi="Arial" w:cs="Arial"/>
          <w:sz w:val="24"/>
          <w:szCs w:val="24"/>
        </w:rPr>
        <w:t>566,000</w:t>
      </w:r>
      <w:r w:rsidRPr="00C322AE">
        <w:rPr>
          <w:rFonts w:ascii="Arial" w:hAnsi="Arial" w:cs="Arial"/>
          <w:sz w:val="24"/>
          <w:szCs w:val="24"/>
        </w:rPr>
        <w:t>) of re-valued tangible fixed assets relating to the construction of the original training centre and later expansion of the facilities. Palmer Gardens also has a restricted revenue fund of £nil (</w:t>
      </w:r>
      <w:r w:rsidR="0037645F">
        <w:rPr>
          <w:rFonts w:ascii="Arial" w:hAnsi="Arial" w:cs="Arial"/>
          <w:sz w:val="24"/>
          <w:szCs w:val="24"/>
        </w:rPr>
        <w:t>2019</w:t>
      </w:r>
      <w:r w:rsidRPr="00C322AE">
        <w:rPr>
          <w:rFonts w:ascii="Arial" w:hAnsi="Arial" w:cs="Arial"/>
          <w:sz w:val="24"/>
          <w:szCs w:val="24"/>
        </w:rPr>
        <w:t xml:space="preserve">: £nil). </w:t>
      </w:r>
    </w:p>
    <w:p w14:paraId="468F040A" w14:textId="77777777" w:rsidR="00E70CD3" w:rsidRPr="002B2F3F" w:rsidRDefault="00E70CD3" w:rsidP="006647C2">
      <w:pPr>
        <w:autoSpaceDE w:val="0"/>
        <w:autoSpaceDN w:val="0"/>
        <w:adjustRightInd w:val="0"/>
        <w:spacing w:after="240" w:line="240" w:lineRule="auto"/>
        <w:ind w:right="119"/>
        <w:jc w:val="both"/>
        <w:rPr>
          <w:rFonts w:ascii="Arial" w:hAnsi="Arial" w:cs="Arial"/>
          <w:sz w:val="24"/>
          <w:szCs w:val="24"/>
        </w:rPr>
      </w:pPr>
      <w:r w:rsidRPr="002B2F3F">
        <w:rPr>
          <w:rFonts w:ascii="Arial" w:hAnsi="Arial" w:cs="Arial"/>
          <w:sz w:val="24"/>
          <w:szCs w:val="24"/>
        </w:rPr>
        <w:t>The Employment Action Centre provides, within a multi-functional resource centre, a holistic approach to the employment needs of people living in Middlesbrough who are disabled and disadvantaged. The fund relates to the construction of the centre which was carried out with contributions from Big Lottery Fund, European Regional Development Fund, Middlesbrough Council and the West Middlesbrough Neighbourhood Trust.</w:t>
      </w:r>
    </w:p>
    <w:p w14:paraId="779AC72D" w14:textId="77777777" w:rsidR="00E70CD3" w:rsidRPr="002B2F3F" w:rsidRDefault="00E70CD3" w:rsidP="006647C2">
      <w:pPr>
        <w:autoSpaceDE w:val="0"/>
        <w:autoSpaceDN w:val="0"/>
        <w:adjustRightInd w:val="0"/>
        <w:spacing w:after="240" w:line="240" w:lineRule="auto"/>
        <w:ind w:right="119"/>
        <w:jc w:val="both"/>
        <w:rPr>
          <w:rFonts w:ascii="Arial" w:hAnsi="Arial" w:cs="Arial"/>
          <w:sz w:val="24"/>
          <w:szCs w:val="24"/>
        </w:rPr>
      </w:pPr>
      <w:r w:rsidRPr="002B2F3F">
        <w:rPr>
          <w:rFonts w:ascii="Arial" w:hAnsi="Arial" w:cs="Arial"/>
          <w:sz w:val="24"/>
          <w:szCs w:val="24"/>
        </w:rPr>
        <w:t>The Disability Action Centre is a highly innovative, multi-function centre, which integrates independent living services with training, employment, and disability consultancy services. The fund relates to the construction of the centre.</w:t>
      </w:r>
    </w:p>
    <w:p w14:paraId="07D7F77F" w14:textId="77777777" w:rsidR="00E70CD3" w:rsidRPr="002B2F3F" w:rsidRDefault="00E70CD3" w:rsidP="006647C2">
      <w:pPr>
        <w:autoSpaceDE w:val="0"/>
        <w:autoSpaceDN w:val="0"/>
        <w:adjustRightInd w:val="0"/>
        <w:spacing w:after="240" w:line="240" w:lineRule="auto"/>
        <w:ind w:right="119"/>
        <w:jc w:val="both"/>
        <w:rPr>
          <w:rFonts w:ascii="Arial" w:hAnsi="Arial" w:cs="Arial"/>
          <w:sz w:val="24"/>
          <w:szCs w:val="24"/>
        </w:rPr>
      </w:pPr>
      <w:r w:rsidRPr="002B2F3F">
        <w:rPr>
          <w:rFonts w:ascii="Arial" w:hAnsi="Arial" w:cs="Arial"/>
          <w:sz w:val="24"/>
          <w:szCs w:val="24"/>
        </w:rPr>
        <w:t>Shaw Trust Clamp Hill received donations to contribute towards client activities.</w:t>
      </w:r>
    </w:p>
    <w:p w14:paraId="033E7737" w14:textId="77777777" w:rsidR="00E70CD3" w:rsidRPr="002B2F3F" w:rsidRDefault="00E70CD3" w:rsidP="006647C2">
      <w:pPr>
        <w:autoSpaceDE w:val="0"/>
        <w:autoSpaceDN w:val="0"/>
        <w:adjustRightInd w:val="0"/>
        <w:spacing w:after="240" w:line="240" w:lineRule="auto"/>
        <w:ind w:right="119"/>
        <w:jc w:val="both"/>
        <w:rPr>
          <w:rFonts w:ascii="Arial" w:hAnsi="Arial" w:cs="Arial"/>
          <w:sz w:val="24"/>
          <w:szCs w:val="24"/>
        </w:rPr>
      </w:pPr>
      <w:r w:rsidRPr="002B2F3F">
        <w:rPr>
          <w:rFonts w:ascii="Arial" w:hAnsi="Arial" w:cs="Arial"/>
          <w:sz w:val="24"/>
          <w:szCs w:val="24"/>
        </w:rPr>
        <w:t>DLF restricted reserves were acquired on merger in November 2014 and are to be utilised for DLF related activity only.</w:t>
      </w:r>
    </w:p>
    <w:p w14:paraId="0E7035AD" w14:textId="77777777" w:rsidR="00E70CD3" w:rsidRPr="002B2F3F" w:rsidRDefault="00E70CD3" w:rsidP="006647C2">
      <w:pPr>
        <w:autoSpaceDE w:val="0"/>
        <w:autoSpaceDN w:val="0"/>
        <w:adjustRightInd w:val="0"/>
        <w:spacing w:after="240" w:line="240" w:lineRule="auto"/>
        <w:ind w:right="119"/>
        <w:jc w:val="both"/>
        <w:rPr>
          <w:rFonts w:ascii="Arial" w:hAnsi="Arial" w:cs="Arial"/>
          <w:sz w:val="24"/>
          <w:szCs w:val="24"/>
        </w:rPr>
      </w:pPr>
      <w:r w:rsidRPr="002B2F3F">
        <w:rPr>
          <w:rFonts w:ascii="Arial" w:hAnsi="Arial" w:cs="Arial"/>
          <w:sz w:val="24"/>
          <w:szCs w:val="24"/>
        </w:rPr>
        <w:t xml:space="preserve">The funds received by Shaw Education Trust from the Department of Education can only be used to run the organisation and the academies that form part of Shaw Education Trust. </w:t>
      </w:r>
    </w:p>
    <w:p w14:paraId="01C7E646" w14:textId="77777777" w:rsidR="00E70CD3" w:rsidRDefault="00E70CD3" w:rsidP="006647C2">
      <w:pPr>
        <w:autoSpaceDE w:val="0"/>
        <w:autoSpaceDN w:val="0"/>
        <w:adjustRightInd w:val="0"/>
        <w:spacing w:after="240" w:line="240" w:lineRule="auto"/>
        <w:ind w:right="119"/>
        <w:jc w:val="both"/>
        <w:rPr>
          <w:rFonts w:ascii="Arial" w:hAnsi="Arial" w:cs="Arial"/>
          <w:sz w:val="24"/>
          <w:szCs w:val="24"/>
        </w:rPr>
      </w:pPr>
      <w:r w:rsidRPr="002B2F3F">
        <w:rPr>
          <w:rFonts w:ascii="Arial" w:hAnsi="Arial" w:cs="Arial"/>
          <w:sz w:val="24"/>
          <w:szCs w:val="24"/>
        </w:rPr>
        <w:t xml:space="preserve">The funds held by The </w:t>
      </w:r>
      <w:proofErr w:type="spellStart"/>
      <w:r w:rsidRPr="002B2F3F">
        <w:rPr>
          <w:rFonts w:ascii="Arial" w:hAnsi="Arial" w:cs="Arial"/>
          <w:sz w:val="24"/>
          <w:szCs w:val="24"/>
        </w:rPr>
        <w:t>Integracja</w:t>
      </w:r>
      <w:proofErr w:type="spellEnd"/>
      <w:r w:rsidRPr="002B2F3F">
        <w:rPr>
          <w:rFonts w:ascii="Arial" w:hAnsi="Arial" w:cs="Arial"/>
          <w:sz w:val="24"/>
          <w:szCs w:val="24"/>
        </w:rPr>
        <w:t xml:space="preserve"> Foundation are treated as restricted funds because those funds can only be used for charitable purposes in those countries.</w:t>
      </w:r>
    </w:p>
    <w:p w14:paraId="6CD9CD4A" w14:textId="77777777" w:rsidR="00A22DAF" w:rsidRDefault="00A22DAF">
      <w:pPr>
        <w:rPr>
          <w:rFonts w:ascii="Arial" w:hAnsi="Arial" w:cs="Arial"/>
          <w:b/>
          <w:i/>
          <w:sz w:val="24"/>
          <w:szCs w:val="24"/>
        </w:rPr>
      </w:pPr>
      <w:r>
        <w:rPr>
          <w:rFonts w:ascii="Arial" w:hAnsi="Arial" w:cs="Arial"/>
          <w:b/>
          <w:i/>
          <w:sz w:val="24"/>
          <w:szCs w:val="24"/>
        </w:rPr>
        <w:br w:type="page"/>
      </w:r>
    </w:p>
    <w:p w14:paraId="7AA5831F" w14:textId="77777777" w:rsidR="006C07DD" w:rsidRDefault="006C07DD" w:rsidP="00AD5E62">
      <w:pPr>
        <w:spacing w:after="0" w:line="240" w:lineRule="auto"/>
        <w:rPr>
          <w:rFonts w:ascii="Arial" w:hAnsi="Arial" w:cs="Arial"/>
          <w:b/>
          <w:i/>
          <w:sz w:val="24"/>
          <w:szCs w:val="24"/>
        </w:rPr>
      </w:pPr>
      <w:r w:rsidRPr="0088736E">
        <w:rPr>
          <w:rFonts w:ascii="Arial" w:hAnsi="Arial" w:cs="Arial"/>
          <w:b/>
          <w:i/>
          <w:sz w:val="24"/>
          <w:szCs w:val="24"/>
        </w:rPr>
        <w:lastRenderedPageBreak/>
        <w:t xml:space="preserve">Notes to the financial </w:t>
      </w:r>
      <w:r>
        <w:rPr>
          <w:rFonts w:ascii="Arial" w:hAnsi="Arial" w:cs="Arial"/>
          <w:b/>
          <w:i/>
          <w:sz w:val="24"/>
          <w:szCs w:val="24"/>
        </w:rPr>
        <w:t>statements</w:t>
      </w:r>
      <w:r w:rsidRPr="0088736E">
        <w:rPr>
          <w:rFonts w:ascii="Arial" w:hAnsi="Arial" w:cs="Arial"/>
          <w:b/>
          <w:i/>
          <w:sz w:val="24"/>
          <w:szCs w:val="24"/>
        </w:rPr>
        <w:t xml:space="preserve"> (continued)</w:t>
      </w:r>
    </w:p>
    <w:p w14:paraId="3AA43B1E" w14:textId="77777777" w:rsidR="009A1B07" w:rsidRPr="0088736E" w:rsidRDefault="009A1B07" w:rsidP="00AD5E62">
      <w:pPr>
        <w:tabs>
          <w:tab w:val="left" w:pos="567"/>
        </w:tabs>
        <w:spacing w:after="0" w:line="240" w:lineRule="auto"/>
        <w:ind w:left="567" w:hanging="567"/>
        <w:rPr>
          <w:rFonts w:ascii="Arial" w:hAnsi="Arial" w:cs="Arial"/>
          <w:b/>
          <w:i/>
          <w:sz w:val="24"/>
          <w:szCs w:val="24"/>
        </w:rPr>
      </w:pPr>
    </w:p>
    <w:tbl>
      <w:tblPr>
        <w:tblW w:w="10065" w:type="dxa"/>
        <w:tblLayout w:type="fixed"/>
        <w:tblLook w:val="04A0" w:firstRow="1" w:lastRow="0" w:firstColumn="1" w:lastColumn="0" w:noHBand="0" w:noVBand="1"/>
      </w:tblPr>
      <w:tblGrid>
        <w:gridCol w:w="10065"/>
      </w:tblGrid>
      <w:tr w:rsidR="00E70CD3" w:rsidRPr="00C85CAE" w14:paraId="7407B343" w14:textId="77777777" w:rsidTr="007729E5">
        <w:trPr>
          <w:trHeight w:val="323"/>
        </w:trPr>
        <w:tc>
          <w:tcPr>
            <w:tcW w:w="10065" w:type="dxa"/>
            <w:tcBorders>
              <w:top w:val="nil"/>
              <w:left w:val="nil"/>
              <w:bottom w:val="nil"/>
            </w:tcBorders>
            <w:shd w:val="clear" w:color="auto" w:fill="auto"/>
            <w:noWrap/>
            <w:vAlign w:val="center"/>
            <w:hideMark/>
          </w:tcPr>
          <w:tbl>
            <w:tblPr>
              <w:tblpPr w:leftFromText="180" w:rightFromText="180" w:vertAnchor="text" w:horzAnchor="margin" w:tblpY="739"/>
              <w:tblOverlap w:val="never"/>
              <w:tblW w:w="9164" w:type="dxa"/>
              <w:tblLayout w:type="fixed"/>
              <w:tblLook w:val="04A0" w:firstRow="1" w:lastRow="0" w:firstColumn="1" w:lastColumn="0" w:noHBand="0" w:noVBand="1"/>
            </w:tblPr>
            <w:tblGrid>
              <w:gridCol w:w="3119"/>
              <w:gridCol w:w="1277"/>
              <w:gridCol w:w="1416"/>
              <w:gridCol w:w="1133"/>
              <w:gridCol w:w="1135"/>
              <w:gridCol w:w="1084"/>
            </w:tblGrid>
            <w:tr w:rsidR="008E6A48" w:rsidRPr="00543D10" w14:paraId="568C73B5" w14:textId="77777777" w:rsidTr="006647C2">
              <w:trPr>
                <w:trHeight w:val="1020"/>
              </w:trPr>
              <w:tc>
                <w:tcPr>
                  <w:tcW w:w="3119" w:type="dxa"/>
                  <w:tcBorders>
                    <w:top w:val="nil"/>
                    <w:left w:val="nil"/>
                    <w:bottom w:val="nil"/>
                    <w:right w:val="nil"/>
                  </w:tcBorders>
                  <w:shd w:val="clear" w:color="auto" w:fill="auto"/>
                  <w:vAlign w:val="center"/>
                  <w:hideMark/>
                </w:tcPr>
                <w:p w14:paraId="497CB54E" w14:textId="77777777" w:rsidR="008E6A48" w:rsidRPr="00543D10" w:rsidRDefault="008E6A48" w:rsidP="008E6A48">
                  <w:pPr>
                    <w:spacing w:after="0" w:line="240" w:lineRule="auto"/>
                    <w:rPr>
                      <w:rFonts w:ascii="Times New Roman" w:eastAsia="Times New Roman" w:hAnsi="Times New Roman" w:cs="Times New Roman"/>
                      <w:sz w:val="20"/>
                      <w:szCs w:val="20"/>
                      <w:lang w:eastAsia="en-GB"/>
                    </w:rPr>
                  </w:pPr>
                </w:p>
              </w:tc>
              <w:tc>
                <w:tcPr>
                  <w:tcW w:w="1277" w:type="dxa"/>
                  <w:tcBorders>
                    <w:top w:val="nil"/>
                    <w:left w:val="nil"/>
                    <w:bottom w:val="nil"/>
                    <w:right w:val="nil"/>
                  </w:tcBorders>
                  <w:shd w:val="clear" w:color="auto" w:fill="auto"/>
                  <w:hideMark/>
                </w:tcPr>
                <w:p w14:paraId="50444F25" w14:textId="77777777" w:rsidR="008E6A48" w:rsidRPr="00543D10" w:rsidRDefault="008E6A48" w:rsidP="008E6A48">
                  <w:pPr>
                    <w:spacing w:after="0" w:line="240" w:lineRule="auto"/>
                    <w:jc w:val="right"/>
                    <w:rPr>
                      <w:rFonts w:ascii="Arial" w:eastAsia="Times New Roman" w:hAnsi="Arial" w:cs="Arial"/>
                      <w:sz w:val="20"/>
                      <w:szCs w:val="20"/>
                      <w:lang w:eastAsia="en-GB"/>
                    </w:rPr>
                  </w:pPr>
                  <w:r w:rsidRPr="00543D10">
                    <w:rPr>
                      <w:rFonts w:ascii="Arial" w:eastAsia="Times New Roman" w:hAnsi="Arial" w:cs="Arial"/>
                      <w:sz w:val="20"/>
                      <w:szCs w:val="20"/>
                      <w:lang w:eastAsia="en-GB"/>
                    </w:rPr>
                    <w:t>Designated</w:t>
                  </w:r>
                </w:p>
              </w:tc>
              <w:tc>
                <w:tcPr>
                  <w:tcW w:w="1416" w:type="dxa"/>
                  <w:tcBorders>
                    <w:top w:val="nil"/>
                    <w:left w:val="nil"/>
                    <w:bottom w:val="nil"/>
                    <w:right w:val="nil"/>
                  </w:tcBorders>
                  <w:shd w:val="clear" w:color="auto" w:fill="auto"/>
                  <w:hideMark/>
                </w:tcPr>
                <w:p w14:paraId="679D282A" w14:textId="77777777" w:rsidR="008E6A48" w:rsidRPr="00543D10" w:rsidRDefault="008E6A48" w:rsidP="008E6A48">
                  <w:pPr>
                    <w:spacing w:after="0" w:line="240" w:lineRule="auto"/>
                    <w:jc w:val="right"/>
                    <w:rPr>
                      <w:rFonts w:ascii="Arial" w:eastAsia="Times New Roman" w:hAnsi="Arial" w:cs="Arial"/>
                      <w:sz w:val="20"/>
                      <w:szCs w:val="20"/>
                      <w:lang w:eastAsia="en-GB"/>
                    </w:rPr>
                  </w:pPr>
                  <w:r w:rsidRPr="00543D10">
                    <w:rPr>
                      <w:rFonts w:ascii="Arial" w:eastAsia="Times New Roman" w:hAnsi="Arial" w:cs="Arial"/>
                      <w:sz w:val="20"/>
                      <w:szCs w:val="20"/>
                      <w:lang w:eastAsia="en-GB"/>
                    </w:rPr>
                    <w:t>Unrestricted (including pension deficit)</w:t>
                  </w:r>
                </w:p>
              </w:tc>
              <w:tc>
                <w:tcPr>
                  <w:tcW w:w="1133" w:type="dxa"/>
                  <w:tcBorders>
                    <w:top w:val="nil"/>
                    <w:left w:val="nil"/>
                    <w:bottom w:val="nil"/>
                    <w:right w:val="nil"/>
                  </w:tcBorders>
                  <w:shd w:val="clear" w:color="auto" w:fill="auto"/>
                  <w:hideMark/>
                </w:tcPr>
                <w:p w14:paraId="131AB86A" w14:textId="77777777" w:rsidR="008E6A48" w:rsidRPr="00543D10" w:rsidRDefault="008E6A48" w:rsidP="008E6A48">
                  <w:pPr>
                    <w:spacing w:after="0" w:line="240" w:lineRule="auto"/>
                    <w:jc w:val="right"/>
                    <w:rPr>
                      <w:rFonts w:ascii="Arial" w:eastAsia="Times New Roman" w:hAnsi="Arial" w:cs="Arial"/>
                      <w:sz w:val="20"/>
                      <w:szCs w:val="20"/>
                      <w:lang w:eastAsia="en-GB"/>
                    </w:rPr>
                  </w:pPr>
                  <w:r w:rsidRPr="00543D10">
                    <w:rPr>
                      <w:rFonts w:ascii="Arial" w:eastAsia="Times New Roman" w:hAnsi="Arial" w:cs="Arial"/>
                      <w:sz w:val="20"/>
                      <w:szCs w:val="20"/>
                      <w:lang w:eastAsia="en-GB"/>
                    </w:rPr>
                    <w:t>Restricted</w:t>
                  </w:r>
                </w:p>
              </w:tc>
              <w:tc>
                <w:tcPr>
                  <w:tcW w:w="1135" w:type="dxa"/>
                  <w:tcBorders>
                    <w:top w:val="nil"/>
                    <w:left w:val="nil"/>
                    <w:bottom w:val="nil"/>
                    <w:right w:val="nil"/>
                  </w:tcBorders>
                  <w:shd w:val="clear" w:color="auto" w:fill="auto"/>
                  <w:hideMark/>
                </w:tcPr>
                <w:p w14:paraId="0321763B" w14:textId="77777777" w:rsidR="008E6A48" w:rsidRPr="00543D10" w:rsidRDefault="008E6A48" w:rsidP="008E6A48">
                  <w:pPr>
                    <w:spacing w:after="0" w:line="240" w:lineRule="auto"/>
                    <w:jc w:val="right"/>
                    <w:rPr>
                      <w:rFonts w:ascii="Arial" w:eastAsia="Times New Roman" w:hAnsi="Arial" w:cs="Arial"/>
                      <w:b/>
                      <w:bCs/>
                      <w:sz w:val="20"/>
                      <w:szCs w:val="20"/>
                      <w:lang w:eastAsia="en-GB"/>
                    </w:rPr>
                  </w:pPr>
                  <w:r w:rsidRPr="00543D10">
                    <w:rPr>
                      <w:rFonts w:ascii="Arial" w:eastAsia="Times New Roman" w:hAnsi="Arial" w:cs="Arial"/>
                      <w:b/>
                      <w:bCs/>
                      <w:sz w:val="20"/>
                      <w:szCs w:val="20"/>
                      <w:lang w:eastAsia="en-GB"/>
                    </w:rPr>
                    <w:t xml:space="preserve">Total funds </w:t>
                  </w:r>
                  <w:r>
                    <w:rPr>
                      <w:rFonts w:ascii="Arial" w:eastAsia="Times New Roman" w:hAnsi="Arial" w:cs="Arial"/>
                      <w:b/>
                      <w:bCs/>
                      <w:sz w:val="20"/>
                      <w:szCs w:val="20"/>
                      <w:lang w:eastAsia="en-GB"/>
                    </w:rPr>
                    <w:t>2020</w:t>
                  </w:r>
                </w:p>
              </w:tc>
              <w:tc>
                <w:tcPr>
                  <w:tcW w:w="1084" w:type="dxa"/>
                  <w:tcBorders>
                    <w:top w:val="nil"/>
                    <w:left w:val="nil"/>
                    <w:bottom w:val="nil"/>
                    <w:right w:val="nil"/>
                  </w:tcBorders>
                  <w:shd w:val="clear" w:color="auto" w:fill="auto"/>
                  <w:hideMark/>
                </w:tcPr>
                <w:p w14:paraId="35C15FFE" w14:textId="77777777" w:rsidR="008E6A48" w:rsidRPr="00543D10" w:rsidRDefault="008E6A48" w:rsidP="008E6A48">
                  <w:pPr>
                    <w:spacing w:after="0" w:line="240" w:lineRule="auto"/>
                    <w:jc w:val="right"/>
                    <w:rPr>
                      <w:rFonts w:ascii="Arial" w:eastAsia="Times New Roman" w:hAnsi="Arial" w:cs="Arial"/>
                      <w:sz w:val="20"/>
                      <w:szCs w:val="20"/>
                      <w:lang w:eastAsia="en-GB"/>
                    </w:rPr>
                  </w:pPr>
                  <w:r w:rsidRPr="00543D10">
                    <w:rPr>
                      <w:rFonts w:ascii="Arial" w:eastAsia="Times New Roman" w:hAnsi="Arial" w:cs="Arial"/>
                      <w:sz w:val="20"/>
                      <w:szCs w:val="20"/>
                      <w:lang w:eastAsia="en-GB"/>
                    </w:rPr>
                    <w:t xml:space="preserve">Total funds </w:t>
                  </w:r>
                  <w:r>
                    <w:rPr>
                      <w:rFonts w:ascii="Arial" w:eastAsia="Times New Roman" w:hAnsi="Arial" w:cs="Arial"/>
                      <w:sz w:val="20"/>
                      <w:szCs w:val="20"/>
                      <w:lang w:eastAsia="en-GB"/>
                    </w:rPr>
                    <w:t>2019</w:t>
                  </w:r>
                </w:p>
              </w:tc>
            </w:tr>
            <w:tr w:rsidR="008E6A48" w:rsidRPr="00543D10" w14:paraId="63E9D461" w14:textId="77777777" w:rsidTr="006647C2">
              <w:trPr>
                <w:trHeight w:val="323"/>
              </w:trPr>
              <w:tc>
                <w:tcPr>
                  <w:tcW w:w="3119" w:type="dxa"/>
                  <w:tcBorders>
                    <w:top w:val="nil"/>
                    <w:left w:val="nil"/>
                    <w:bottom w:val="single" w:sz="4" w:space="0" w:color="auto"/>
                    <w:right w:val="nil"/>
                  </w:tcBorders>
                  <w:shd w:val="clear" w:color="auto" w:fill="auto"/>
                  <w:noWrap/>
                  <w:vAlign w:val="center"/>
                  <w:hideMark/>
                </w:tcPr>
                <w:p w14:paraId="653FCED4" w14:textId="77777777" w:rsidR="008E6A48" w:rsidRPr="00543D10" w:rsidRDefault="008E6A48" w:rsidP="008E6A48">
                  <w:pPr>
                    <w:spacing w:after="0" w:line="240" w:lineRule="auto"/>
                    <w:rPr>
                      <w:rFonts w:ascii="Arial" w:eastAsia="Times New Roman" w:hAnsi="Arial" w:cs="Arial"/>
                      <w:b/>
                      <w:bCs/>
                      <w:sz w:val="20"/>
                      <w:szCs w:val="20"/>
                      <w:lang w:eastAsia="en-GB"/>
                    </w:rPr>
                  </w:pPr>
                  <w:r w:rsidRPr="00543D10">
                    <w:rPr>
                      <w:rFonts w:ascii="Arial" w:eastAsia="Times New Roman" w:hAnsi="Arial" w:cs="Arial"/>
                      <w:b/>
                      <w:bCs/>
                      <w:sz w:val="20"/>
                      <w:szCs w:val="20"/>
                      <w:lang w:eastAsia="en-GB"/>
                    </w:rPr>
                    <w:t>Group</w:t>
                  </w:r>
                </w:p>
              </w:tc>
              <w:tc>
                <w:tcPr>
                  <w:tcW w:w="1277" w:type="dxa"/>
                  <w:tcBorders>
                    <w:top w:val="nil"/>
                    <w:left w:val="nil"/>
                    <w:bottom w:val="single" w:sz="4" w:space="0" w:color="auto"/>
                    <w:right w:val="nil"/>
                  </w:tcBorders>
                  <w:shd w:val="clear" w:color="auto" w:fill="auto"/>
                  <w:noWrap/>
                  <w:vAlign w:val="center"/>
                  <w:hideMark/>
                </w:tcPr>
                <w:p w14:paraId="5BEE8051" w14:textId="77777777" w:rsidR="008E6A48" w:rsidRPr="00543D10" w:rsidRDefault="008E6A48" w:rsidP="008E6A48">
                  <w:pPr>
                    <w:spacing w:after="0" w:line="240" w:lineRule="auto"/>
                    <w:jc w:val="right"/>
                    <w:rPr>
                      <w:rFonts w:ascii="Arial" w:eastAsia="Times New Roman" w:hAnsi="Arial" w:cs="Arial"/>
                      <w:sz w:val="20"/>
                      <w:szCs w:val="20"/>
                      <w:lang w:eastAsia="en-GB"/>
                    </w:rPr>
                  </w:pPr>
                  <w:r w:rsidRPr="00543D10">
                    <w:rPr>
                      <w:rFonts w:ascii="Arial" w:eastAsia="Times New Roman" w:hAnsi="Arial" w:cs="Arial"/>
                      <w:sz w:val="20"/>
                      <w:szCs w:val="20"/>
                      <w:lang w:eastAsia="en-GB"/>
                    </w:rPr>
                    <w:t>£'000</w:t>
                  </w:r>
                </w:p>
              </w:tc>
              <w:tc>
                <w:tcPr>
                  <w:tcW w:w="1416" w:type="dxa"/>
                  <w:tcBorders>
                    <w:top w:val="nil"/>
                    <w:left w:val="nil"/>
                    <w:bottom w:val="single" w:sz="4" w:space="0" w:color="auto"/>
                    <w:right w:val="nil"/>
                  </w:tcBorders>
                  <w:shd w:val="clear" w:color="auto" w:fill="auto"/>
                  <w:noWrap/>
                  <w:vAlign w:val="center"/>
                  <w:hideMark/>
                </w:tcPr>
                <w:p w14:paraId="67BD9371" w14:textId="77777777" w:rsidR="008E6A48" w:rsidRPr="00543D10" w:rsidRDefault="008E6A48" w:rsidP="008E6A48">
                  <w:pPr>
                    <w:spacing w:after="0" w:line="240" w:lineRule="auto"/>
                    <w:jc w:val="right"/>
                    <w:rPr>
                      <w:rFonts w:ascii="Arial" w:eastAsia="Times New Roman" w:hAnsi="Arial" w:cs="Arial"/>
                      <w:sz w:val="20"/>
                      <w:szCs w:val="20"/>
                      <w:lang w:eastAsia="en-GB"/>
                    </w:rPr>
                  </w:pPr>
                  <w:r w:rsidRPr="00543D10">
                    <w:rPr>
                      <w:rFonts w:ascii="Arial" w:eastAsia="Times New Roman" w:hAnsi="Arial" w:cs="Arial"/>
                      <w:sz w:val="20"/>
                      <w:szCs w:val="20"/>
                      <w:lang w:eastAsia="en-GB"/>
                    </w:rPr>
                    <w:t>£'000</w:t>
                  </w:r>
                </w:p>
              </w:tc>
              <w:tc>
                <w:tcPr>
                  <w:tcW w:w="1133" w:type="dxa"/>
                  <w:tcBorders>
                    <w:top w:val="nil"/>
                    <w:left w:val="nil"/>
                    <w:bottom w:val="single" w:sz="4" w:space="0" w:color="auto"/>
                    <w:right w:val="nil"/>
                  </w:tcBorders>
                  <w:shd w:val="clear" w:color="auto" w:fill="auto"/>
                  <w:noWrap/>
                  <w:vAlign w:val="center"/>
                  <w:hideMark/>
                </w:tcPr>
                <w:p w14:paraId="6ECE4518" w14:textId="77777777" w:rsidR="008E6A48" w:rsidRPr="00543D10" w:rsidRDefault="008E6A48" w:rsidP="008E6A48">
                  <w:pPr>
                    <w:spacing w:after="0" w:line="240" w:lineRule="auto"/>
                    <w:jc w:val="right"/>
                    <w:rPr>
                      <w:rFonts w:ascii="Arial" w:eastAsia="Times New Roman" w:hAnsi="Arial" w:cs="Arial"/>
                      <w:sz w:val="20"/>
                      <w:szCs w:val="20"/>
                      <w:lang w:eastAsia="en-GB"/>
                    </w:rPr>
                  </w:pPr>
                  <w:r w:rsidRPr="00543D10">
                    <w:rPr>
                      <w:rFonts w:ascii="Arial" w:eastAsia="Times New Roman" w:hAnsi="Arial" w:cs="Arial"/>
                      <w:sz w:val="20"/>
                      <w:szCs w:val="20"/>
                      <w:lang w:eastAsia="en-GB"/>
                    </w:rPr>
                    <w:t>£'000</w:t>
                  </w:r>
                </w:p>
              </w:tc>
              <w:tc>
                <w:tcPr>
                  <w:tcW w:w="1135" w:type="dxa"/>
                  <w:tcBorders>
                    <w:top w:val="nil"/>
                    <w:left w:val="nil"/>
                    <w:bottom w:val="single" w:sz="4" w:space="0" w:color="auto"/>
                    <w:right w:val="nil"/>
                  </w:tcBorders>
                  <w:shd w:val="clear" w:color="auto" w:fill="auto"/>
                  <w:noWrap/>
                  <w:vAlign w:val="center"/>
                  <w:hideMark/>
                </w:tcPr>
                <w:p w14:paraId="7A3D8AE6" w14:textId="77777777" w:rsidR="008E6A48" w:rsidRPr="00543D10" w:rsidRDefault="008E6A48" w:rsidP="008E6A48">
                  <w:pPr>
                    <w:spacing w:after="0" w:line="240" w:lineRule="auto"/>
                    <w:jc w:val="right"/>
                    <w:rPr>
                      <w:rFonts w:ascii="Arial" w:eastAsia="Times New Roman" w:hAnsi="Arial" w:cs="Arial"/>
                      <w:b/>
                      <w:bCs/>
                      <w:sz w:val="20"/>
                      <w:szCs w:val="20"/>
                      <w:lang w:eastAsia="en-GB"/>
                    </w:rPr>
                  </w:pPr>
                  <w:r w:rsidRPr="00543D10">
                    <w:rPr>
                      <w:rFonts w:ascii="Arial" w:eastAsia="Times New Roman" w:hAnsi="Arial" w:cs="Arial"/>
                      <w:b/>
                      <w:bCs/>
                      <w:sz w:val="20"/>
                      <w:szCs w:val="20"/>
                      <w:lang w:eastAsia="en-GB"/>
                    </w:rPr>
                    <w:t>£'000</w:t>
                  </w:r>
                </w:p>
              </w:tc>
              <w:tc>
                <w:tcPr>
                  <w:tcW w:w="1084" w:type="dxa"/>
                  <w:tcBorders>
                    <w:top w:val="nil"/>
                    <w:left w:val="nil"/>
                    <w:bottom w:val="single" w:sz="4" w:space="0" w:color="auto"/>
                    <w:right w:val="nil"/>
                  </w:tcBorders>
                  <w:shd w:val="clear" w:color="auto" w:fill="auto"/>
                  <w:noWrap/>
                  <w:vAlign w:val="center"/>
                  <w:hideMark/>
                </w:tcPr>
                <w:p w14:paraId="26068A06" w14:textId="77777777" w:rsidR="008E6A48" w:rsidRPr="00543D10" w:rsidRDefault="008E6A48" w:rsidP="008E6A48">
                  <w:pPr>
                    <w:spacing w:after="0" w:line="240" w:lineRule="auto"/>
                    <w:jc w:val="right"/>
                    <w:rPr>
                      <w:rFonts w:ascii="Arial" w:eastAsia="Times New Roman" w:hAnsi="Arial" w:cs="Arial"/>
                      <w:sz w:val="20"/>
                      <w:szCs w:val="20"/>
                      <w:lang w:eastAsia="en-GB"/>
                    </w:rPr>
                  </w:pPr>
                  <w:r w:rsidRPr="00543D10">
                    <w:rPr>
                      <w:rFonts w:ascii="Arial" w:eastAsia="Times New Roman" w:hAnsi="Arial" w:cs="Arial"/>
                      <w:sz w:val="20"/>
                      <w:szCs w:val="20"/>
                      <w:lang w:eastAsia="en-GB"/>
                    </w:rPr>
                    <w:t>£'000</w:t>
                  </w:r>
                </w:p>
              </w:tc>
            </w:tr>
            <w:tr w:rsidR="008E6A48" w:rsidRPr="00543D10" w14:paraId="5D268E9F" w14:textId="77777777" w:rsidTr="006647C2">
              <w:trPr>
                <w:trHeight w:val="323"/>
              </w:trPr>
              <w:tc>
                <w:tcPr>
                  <w:tcW w:w="4396" w:type="dxa"/>
                  <w:gridSpan w:val="2"/>
                  <w:tcBorders>
                    <w:top w:val="nil"/>
                    <w:left w:val="nil"/>
                    <w:bottom w:val="nil"/>
                    <w:right w:val="nil"/>
                  </w:tcBorders>
                  <w:shd w:val="clear" w:color="auto" w:fill="auto"/>
                  <w:noWrap/>
                  <w:vAlign w:val="center"/>
                  <w:hideMark/>
                </w:tcPr>
                <w:p w14:paraId="1C858307" w14:textId="77777777" w:rsidR="008E6A48" w:rsidRPr="00543D10" w:rsidRDefault="008E6A48" w:rsidP="008E6A48">
                  <w:pPr>
                    <w:spacing w:after="0" w:line="240" w:lineRule="auto"/>
                    <w:rPr>
                      <w:rFonts w:ascii="Arial" w:eastAsia="Times New Roman" w:hAnsi="Arial" w:cs="Arial"/>
                      <w:b/>
                      <w:bCs/>
                      <w:sz w:val="20"/>
                      <w:szCs w:val="20"/>
                      <w:lang w:eastAsia="en-GB"/>
                    </w:rPr>
                  </w:pPr>
                  <w:r w:rsidRPr="00543D10">
                    <w:rPr>
                      <w:rFonts w:ascii="Arial" w:eastAsia="Times New Roman" w:hAnsi="Arial" w:cs="Arial"/>
                      <w:b/>
                      <w:bCs/>
                      <w:sz w:val="20"/>
                      <w:szCs w:val="20"/>
                      <w:lang w:eastAsia="en-GB"/>
                    </w:rPr>
                    <w:t>Fund balances at 1 September</w:t>
                  </w:r>
                  <w:r w:rsidRPr="00543D10">
                    <w:rPr>
                      <w:rFonts w:ascii="Arial" w:eastAsia="Times New Roman" w:hAnsi="Arial" w:cs="Arial"/>
                      <w:b/>
                      <w:bCs/>
                      <w:sz w:val="20"/>
                      <w:szCs w:val="20"/>
                      <w:lang w:eastAsia="en-GB"/>
                    </w:rPr>
                    <w:br/>
                    <w:t>are represented by:</w:t>
                  </w:r>
                </w:p>
              </w:tc>
              <w:tc>
                <w:tcPr>
                  <w:tcW w:w="1416" w:type="dxa"/>
                  <w:tcBorders>
                    <w:top w:val="nil"/>
                    <w:left w:val="nil"/>
                    <w:bottom w:val="nil"/>
                    <w:right w:val="nil"/>
                  </w:tcBorders>
                  <w:shd w:val="clear" w:color="auto" w:fill="auto"/>
                  <w:noWrap/>
                  <w:vAlign w:val="center"/>
                  <w:hideMark/>
                </w:tcPr>
                <w:p w14:paraId="49006BB3" w14:textId="77777777" w:rsidR="008E6A48" w:rsidRPr="00543D10" w:rsidRDefault="008E6A48" w:rsidP="008E6A48">
                  <w:pPr>
                    <w:spacing w:after="0" w:line="240" w:lineRule="auto"/>
                    <w:jc w:val="right"/>
                    <w:rPr>
                      <w:rFonts w:ascii="Arial" w:eastAsia="Times New Roman" w:hAnsi="Arial" w:cs="Arial"/>
                      <w:b/>
                      <w:bCs/>
                      <w:sz w:val="20"/>
                      <w:szCs w:val="20"/>
                      <w:lang w:eastAsia="en-GB"/>
                    </w:rPr>
                  </w:pPr>
                </w:p>
              </w:tc>
              <w:tc>
                <w:tcPr>
                  <w:tcW w:w="1133" w:type="dxa"/>
                  <w:tcBorders>
                    <w:top w:val="nil"/>
                    <w:left w:val="nil"/>
                    <w:bottom w:val="nil"/>
                    <w:right w:val="nil"/>
                  </w:tcBorders>
                  <w:shd w:val="clear" w:color="auto" w:fill="auto"/>
                  <w:noWrap/>
                  <w:vAlign w:val="center"/>
                  <w:hideMark/>
                </w:tcPr>
                <w:p w14:paraId="303088CC" w14:textId="77777777" w:rsidR="008E6A48" w:rsidRPr="00543D10" w:rsidRDefault="008E6A48" w:rsidP="008E6A48">
                  <w:pPr>
                    <w:spacing w:after="0" w:line="240" w:lineRule="auto"/>
                    <w:jc w:val="right"/>
                    <w:rPr>
                      <w:rFonts w:ascii="Times New Roman" w:eastAsia="Times New Roman" w:hAnsi="Times New Roman" w:cs="Times New Roman"/>
                      <w:sz w:val="20"/>
                      <w:szCs w:val="20"/>
                      <w:lang w:eastAsia="en-GB"/>
                    </w:rPr>
                  </w:pPr>
                </w:p>
              </w:tc>
              <w:tc>
                <w:tcPr>
                  <w:tcW w:w="1135" w:type="dxa"/>
                  <w:tcBorders>
                    <w:top w:val="nil"/>
                    <w:left w:val="nil"/>
                    <w:bottom w:val="nil"/>
                    <w:right w:val="nil"/>
                  </w:tcBorders>
                  <w:shd w:val="clear" w:color="auto" w:fill="auto"/>
                  <w:noWrap/>
                  <w:vAlign w:val="center"/>
                  <w:hideMark/>
                </w:tcPr>
                <w:p w14:paraId="50FCBA9F" w14:textId="77777777" w:rsidR="008E6A48" w:rsidRPr="00543D10" w:rsidRDefault="008E6A48" w:rsidP="008E6A48">
                  <w:pPr>
                    <w:spacing w:after="0" w:line="240" w:lineRule="auto"/>
                    <w:jc w:val="right"/>
                    <w:rPr>
                      <w:rFonts w:ascii="Times New Roman" w:eastAsia="Times New Roman" w:hAnsi="Times New Roman" w:cs="Times New Roman"/>
                      <w:sz w:val="20"/>
                      <w:szCs w:val="20"/>
                      <w:lang w:eastAsia="en-GB"/>
                    </w:rPr>
                  </w:pPr>
                </w:p>
              </w:tc>
              <w:tc>
                <w:tcPr>
                  <w:tcW w:w="1084" w:type="dxa"/>
                  <w:tcBorders>
                    <w:top w:val="nil"/>
                    <w:left w:val="nil"/>
                    <w:bottom w:val="nil"/>
                    <w:right w:val="nil"/>
                  </w:tcBorders>
                  <w:shd w:val="clear" w:color="auto" w:fill="auto"/>
                  <w:noWrap/>
                  <w:vAlign w:val="center"/>
                  <w:hideMark/>
                </w:tcPr>
                <w:p w14:paraId="0A904EAA" w14:textId="77777777" w:rsidR="008E6A48" w:rsidRPr="00543D10" w:rsidRDefault="008E6A48" w:rsidP="008E6A48">
                  <w:pPr>
                    <w:spacing w:after="0" w:line="240" w:lineRule="auto"/>
                    <w:jc w:val="right"/>
                    <w:rPr>
                      <w:rFonts w:ascii="Times New Roman" w:eastAsia="Times New Roman" w:hAnsi="Times New Roman" w:cs="Times New Roman"/>
                      <w:sz w:val="20"/>
                      <w:szCs w:val="20"/>
                      <w:lang w:eastAsia="en-GB"/>
                    </w:rPr>
                  </w:pPr>
                </w:p>
              </w:tc>
            </w:tr>
            <w:tr w:rsidR="008E6A48" w:rsidRPr="00543D10" w14:paraId="2BE721A4" w14:textId="77777777" w:rsidTr="006647C2">
              <w:trPr>
                <w:trHeight w:val="323"/>
              </w:trPr>
              <w:tc>
                <w:tcPr>
                  <w:tcW w:w="3119" w:type="dxa"/>
                  <w:tcBorders>
                    <w:top w:val="nil"/>
                    <w:left w:val="nil"/>
                    <w:bottom w:val="nil"/>
                    <w:right w:val="nil"/>
                  </w:tcBorders>
                  <w:shd w:val="clear" w:color="auto" w:fill="auto"/>
                  <w:noWrap/>
                  <w:vAlign w:val="center"/>
                  <w:hideMark/>
                </w:tcPr>
                <w:p w14:paraId="2B3A52D0" w14:textId="77777777" w:rsidR="008E6A48" w:rsidRPr="00543D10" w:rsidRDefault="008E6A48" w:rsidP="008E6A48">
                  <w:pPr>
                    <w:spacing w:after="0" w:line="240" w:lineRule="auto"/>
                    <w:rPr>
                      <w:rFonts w:ascii="Arial" w:eastAsia="Times New Roman" w:hAnsi="Arial" w:cs="Arial"/>
                      <w:sz w:val="20"/>
                      <w:szCs w:val="20"/>
                      <w:lang w:eastAsia="en-GB"/>
                    </w:rPr>
                  </w:pPr>
                  <w:r w:rsidRPr="00543D10">
                    <w:rPr>
                      <w:rFonts w:ascii="Arial" w:eastAsia="Times New Roman" w:hAnsi="Arial" w:cs="Arial"/>
                      <w:sz w:val="20"/>
                      <w:szCs w:val="20"/>
                      <w:lang w:eastAsia="en-GB"/>
                    </w:rPr>
                    <w:t>Intangible fixed assets</w:t>
                  </w:r>
                </w:p>
              </w:tc>
              <w:tc>
                <w:tcPr>
                  <w:tcW w:w="1277" w:type="dxa"/>
                  <w:tcBorders>
                    <w:top w:val="nil"/>
                    <w:left w:val="nil"/>
                    <w:bottom w:val="nil"/>
                    <w:right w:val="nil"/>
                  </w:tcBorders>
                  <w:shd w:val="clear" w:color="auto" w:fill="auto"/>
                  <w:noWrap/>
                  <w:vAlign w:val="center"/>
                </w:tcPr>
                <w:p w14:paraId="7787C25C" w14:textId="77777777" w:rsidR="008E6A48" w:rsidRPr="00543D10" w:rsidRDefault="008E7FE9" w:rsidP="008E6A48">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w:t>
                  </w:r>
                </w:p>
              </w:tc>
              <w:tc>
                <w:tcPr>
                  <w:tcW w:w="1416" w:type="dxa"/>
                  <w:tcBorders>
                    <w:top w:val="nil"/>
                    <w:left w:val="nil"/>
                    <w:bottom w:val="nil"/>
                    <w:right w:val="nil"/>
                  </w:tcBorders>
                  <w:shd w:val="clear" w:color="auto" w:fill="auto"/>
                  <w:noWrap/>
                  <w:vAlign w:val="center"/>
                </w:tcPr>
                <w:p w14:paraId="2E384A98" w14:textId="77777777" w:rsidR="008E6A48" w:rsidRPr="00543D10" w:rsidRDefault="008E7FE9" w:rsidP="008E6A48">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14,277</w:t>
                  </w:r>
                </w:p>
              </w:tc>
              <w:tc>
                <w:tcPr>
                  <w:tcW w:w="1133" w:type="dxa"/>
                  <w:tcBorders>
                    <w:top w:val="nil"/>
                    <w:left w:val="nil"/>
                    <w:bottom w:val="nil"/>
                    <w:right w:val="nil"/>
                  </w:tcBorders>
                  <w:shd w:val="clear" w:color="auto" w:fill="auto"/>
                  <w:noWrap/>
                  <w:vAlign w:val="center"/>
                </w:tcPr>
                <w:p w14:paraId="409276C5" w14:textId="77777777" w:rsidR="008E6A48" w:rsidRPr="00543D10" w:rsidRDefault="006031ED" w:rsidP="008E6A48">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15</w:t>
                  </w:r>
                </w:p>
              </w:tc>
              <w:tc>
                <w:tcPr>
                  <w:tcW w:w="1135" w:type="dxa"/>
                  <w:tcBorders>
                    <w:top w:val="nil"/>
                    <w:left w:val="nil"/>
                    <w:bottom w:val="nil"/>
                    <w:right w:val="nil"/>
                  </w:tcBorders>
                  <w:shd w:val="clear" w:color="auto" w:fill="auto"/>
                  <w:noWrap/>
                  <w:vAlign w:val="center"/>
                </w:tcPr>
                <w:p w14:paraId="4DE33D54" w14:textId="77777777" w:rsidR="008E6A48" w:rsidRPr="00543D10" w:rsidRDefault="006031ED" w:rsidP="008E6A48">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14,292</w:t>
                  </w:r>
                </w:p>
              </w:tc>
              <w:tc>
                <w:tcPr>
                  <w:tcW w:w="1084" w:type="dxa"/>
                  <w:tcBorders>
                    <w:top w:val="nil"/>
                    <w:left w:val="nil"/>
                    <w:bottom w:val="nil"/>
                    <w:right w:val="nil"/>
                  </w:tcBorders>
                  <w:shd w:val="clear" w:color="auto" w:fill="auto"/>
                  <w:noWrap/>
                  <w:vAlign w:val="center"/>
                  <w:hideMark/>
                </w:tcPr>
                <w:p w14:paraId="21B4B096" w14:textId="77777777" w:rsidR="008E6A48" w:rsidRPr="0039438F" w:rsidRDefault="008E6A48" w:rsidP="008E6A48">
                  <w:pPr>
                    <w:spacing w:after="0" w:line="240" w:lineRule="auto"/>
                    <w:jc w:val="right"/>
                    <w:rPr>
                      <w:rFonts w:ascii="Arial" w:eastAsia="Times New Roman" w:hAnsi="Arial" w:cs="Arial"/>
                      <w:sz w:val="20"/>
                      <w:szCs w:val="20"/>
                      <w:lang w:eastAsia="en-GB"/>
                    </w:rPr>
                  </w:pPr>
                  <w:r w:rsidRPr="0039438F">
                    <w:rPr>
                      <w:rFonts w:ascii="Arial" w:eastAsia="Times New Roman" w:hAnsi="Arial" w:cs="Arial"/>
                      <w:bCs/>
                      <w:sz w:val="20"/>
                      <w:szCs w:val="20"/>
                      <w:lang w:eastAsia="en-GB"/>
                    </w:rPr>
                    <w:t>22,372</w:t>
                  </w:r>
                </w:p>
              </w:tc>
            </w:tr>
            <w:tr w:rsidR="008E6A48" w:rsidRPr="00543D10" w14:paraId="58254421" w14:textId="77777777" w:rsidTr="006647C2">
              <w:trPr>
                <w:trHeight w:val="323"/>
              </w:trPr>
              <w:tc>
                <w:tcPr>
                  <w:tcW w:w="3119" w:type="dxa"/>
                  <w:tcBorders>
                    <w:top w:val="nil"/>
                    <w:left w:val="nil"/>
                    <w:bottom w:val="nil"/>
                    <w:right w:val="nil"/>
                  </w:tcBorders>
                  <w:shd w:val="clear" w:color="auto" w:fill="auto"/>
                  <w:noWrap/>
                  <w:vAlign w:val="center"/>
                  <w:hideMark/>
                </w:tcPr>
                <w:p w14:paraId="5D025E6D" w14:textId="77777777" w:rsidR="008E6A48" w:rsidRPr="00543D10" w:rsidRDefault="008E6A48" w:rsidP="008E6A48">
                  <w:pPr>
                    <w:spacing w:after="0" w:line="240" w:lineRule="auto"/>
                    <w:rPr>
                      <w:rFonts w:ascii="Arial" w:eastAsia="Times New Roman" w:hAnsi="Arial" w:cs="Arial"/>
                      <w:sz w:val="20"/>
                      <w:szCs w:val="20"/>
                      <w:lang w:eastAsia="en-GB"/>
                    </w:rPr>
                  </w:pPr>
                  <w:r w:rsidRPr="00543D10">
                    <w:rPr>
                      <w:rFonts w:ascii="Arial" w:eastAsia="Times New Roman" w:hAnsi="Arial" w:cs="Arial"/>
                      <w:sz w:val="20"/>
                      <w:szCs w:val="20"/>
                      <w:lang w:eastAsia="en-GB"/>
                    </w:rPr>
                    <w:t>Tangible fixed assets</w:t>
                  </w:r>
                </w:p>
              </w:tc>
              <w:tc>
                <w:tcPr>
                  <w:tcW w:w="1277" w:type="dxa"/>
                  <w:tcBorders>
                    <w:top w:val="nil"/>
                    <w:left w:val="nil"/>
                    <w:bottom w:val="nil"/>
                    <w:right w:val="nil"/>
                  </w:tcBorders>
                  <w:shd w:val="clear" w:color="auto" w:fill="auto"/>
                  <w:noWrap/>
                  <w:vAlign w:val="center"/>
                </w:tcPr>
                <w:p w14:paraId="3EED713C" w14:textId="77777777" w:rsidR="008E6A48" w:rsidRPr="00543D10" w:rsidRDefault="00304D34" w:rsidP="008E6A48">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1,51</w:t>
                  </w:r>
                  <w:r w:rsidR="008E7FE9">
                    <w:rPr>
                      <w:rFonts w:ascii="Arial" w:eastAsia="Times New Roman" w:hAnsi="Arial" w:cs="Arial"/>
                      <w:sz w:val="20"/>
                      <w:szCs w:val="20"/>
                      <w:lang w:eastAsia="en-GB"/>
                    </w:rPr>
                    <w:t>1</w:t>
                  </w:r>
                </w:p>
              </w:tc>
              <w:tc>
                <w:tcPr>
                  <w:tcW w:w="1416" w:type="dxa"/>
                  <w:tcBorders>
                    <w:top w:val="nil"/>
                    <w:left w:val="nil"/>
                    <w:bottom w:val="nil"/>
                    <w:right w:val="nil"/>
                  </w:tcBorders>
                  <w:shd w:val="clear" w:color="auto" w:fill="auto"/>
                  <w:noWrap/>
                  <w:vAlign w:val="center"/>
                </w:tcPr>
                <w:p w14:paraId="361DEB61" w14:textId="77777777" w:rsidR="008E6A48" w:rsidRPr="00543D10" w:rsidRDefault="00304D34" w:rsidP="008E6A48">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4,33</w:t>
                  </w:r>
                  <w:r w:rsidR="008E7FE9">
                    <w:rPr>
                      <w:rFonts w:ascii="Arial" w:eastAsia="Times New Roman" w:hAnsi="Arial" w:cs="Arial"/>
                      <w:sz w:val="20"/>
                      <w:szCs w:val="20"/>
                      <w:lang w:eastAsia="en-GB"/>
                    </w:rPr>
                    <w:t>4</w:t>
                  </w:r>
                </w:p>
              </w:tc>
              <w:tc>
                <w:tcPr>
                  <w:tcW w:w="1133" w:type="dxa"/>
                  <w:tcBorders>
                    <w:top w:val="nil"/>
                    <w:left w:val="nil"/>
                    <w:bottom w:val="nil"/>
                    <w:right w:val="nil"/>
                  </w:tcBorders>
                  <w:shd w:val="clear" w:color="auto" w:fill="auto"/>
                  <w:noWrap/>
                  <w:vAlign w:val="center"/>
                </w:tcPr>
                <w:p w14:paraId="34DBC740" w14:textId="77777777" w:rsidR="008E6A48" w:rsidRPr="00543D10" w:rsidRDefault="002D1075" w:rsidP="008E6A48">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161,841</w:t>
                  </w:r>
                </w:p>
              </w:tc>
              <w:tc>
                <w:tcPr>
                  <w:tcW w:w="1135" w:type="dxa"/>
                  <w:tcBorders>
                    <w:top w:val="nil"/>
                    <w:left w:val="nil"/>
                    <w:bottom w:val="nil"/>
                    <w:right w:val="nil"/>
                  </w:tcBorders>
                  <w:shd w:val="clear" w:color="auto" w:fill="auto"/>
                  <w:noWrap/>
                  <w:vAlign w:val="center"/>
                </w:tcPr>
                <w:p w14:paraId="6E77A203" w14:textId="77777777" w:rsidR="008E6A48" w:rsidRPr="00543D10" w:rsidRDefault="002D1075" w:rsidP="008E6A48">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167,686</w:t>
                  </w:r>
                </w:p>
              </w:tc>
              <w:tc>
                <w:tcPr>
                  <w:tcW w:w="1084" w:type="dxa"/>
                  <w:tcBorders>
                    <w:top w:val="nil"/>
                    <w:left w:val="nil"/>
                    <w:bottom w:val="nil"/>
                    <w:right w:val="nil"/>
                  </w:tcBorders>
                  <w:shd w:val="clear" w:color="auto" w:fill="auto"/>
                  <w:noWrap/>
                  <w:vAlign w:val="center"/>
                  <w:hideMark/>
                </w:tcPr>
                <w:p w14:paraId="7E8F3D07" w14:textId="77777777" w:rsidR="008E6A48" w:rsidRPr="0039438F" w:rsidRDefault="008E6A48" w:rsidP="008E6A48">
                  <w:pPr>
                    <w:spacing w:after="0" w:line="240" w:lineRule="auto"/>
                    <w:jc w:val="right"/>
                    <w:rPr>
                      <w:rFonts w:ascii="Arial" w:eastAsia="Times New Roman" w:hAnsi="Arial" w:cs="Arial"/>
                      <w:sz w:val="20"/>
                      <w:szCs w:val="20"/>
                      <w:lang w:eastAsia="en-GB"/>
                    </w:rPr>
                  </w:pPr>
                  <w:r w:rsidRPr="0039438F">
                    <w:rPr>
                      <w:rFonts w:ascii="Arial" w:eastAsia="Times New Roman" w:hAnsi="Arial" w:cs="Arial"/>
                      <w:bCs/>
                      <w:sz w:val="20"/>
                      <w:szCs w:val="20"/>
                      <w:lang w:eastAsia="en-GB"/>
                    </w:rPr>
                    <w:t>142,824</w:t>
                  </w:r>
                </w:p>
              </w:tc>
            </w:tr>
            <w:tr w:rsidR="008E6A48" w:rsidRPr="00543D10" w14:paraId="4DE9F877" w14:textId="77777777" w:rsidTr="006647C2">
              <w:trPr>
                <w:trHeight w:val="323"/>
              </w:trPr>
              <w:tc>
                <w:tcPr>
                  <w:tcW w:w="3119" w:type="dxa"/>
                  <w:tcBorders>
                    <w:top w:val="nil"/>
                    <w:left w:val="nil"/>
                    <w:bottom w:val="nil"/>
                    <w:right w:val="nil"/>
                  </w:tcBorders>
                  <w:shd w:val="clear" w:color="auto" w:fill="auto"/>
                  <w:noWrap/>
                  <w:vAlign w:val="center"/>
                  <w:hideMark/>
                </w:tcPr>
                <w:p w14:paraId="28B3994E" w14:textId="77777777" w:rsidR="008E6A48" w:rsidRPr="00543D10" w:rsidRDefault="008E6A48" w:rsidP="008E6A48">
                  <w:pPr>
                    <w:spacing w:after="0" w:line="240" w:lineRule="auto"/>
                    <w:rPr>
                      <w:rFonts w:ascii="Arial" w:eastAsia="Times New Roman" w:hAnsi="Arial" w:cs="Arial"/>
                      <w:sz w:val="20"/>
                      <w:szCs w:val="20"/>
                      <w:lang w:eastAsia="en-GB"/>
                    </w:rPr>
                  </w:pPr>
                  <w:r w:rsidRPr="00543D10">
                    <w:rPr>
                      <w:rFonts w:ascii="Arial" w:eastAsia="Times New Roman" w:hAnsi="Arial" w:cs="Arial"/>
                      <w:sz w:val="20"/>
                      <w:szCs w:val="20"/>
                      <w:lang w:eastAsia="en-GB"/>
                    </w:rPr>
                    <w:t>Share of net assets of joint ventures</w:t>
                  </w:r>
                </w:p>
              </w:tc>
              <w:tc>
                <w:tcPr>
                  <w:tcW w:w="1277" w:type="dxa"/>
                  <w:tcBorders>
                    <w:top w:val="nil"/>
                    <w:left w:val="nil"/>
                    <w:bottom w:val="nil"/>
                    <w:right w:val="nil"/>
                  </w:tcBorders>
                  <w:shd w:val="clear" w:color="auto" w:fill="auto"/>
                  <w:noWrap/>
                  <w:vAlign w:val="center"/>
                </w:tcPr>
                <w:p w14:paraId="0D0D0DB8" w14:textId="77777777" w:rsidR="008E6A48" w:rsidRPr="00543D10" w:rsidRDefault="008E7FE9" w:rsidP="008E6A48">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w:t>
                  </w:r>
                </w:p>
              </w:tc>
              <w:tc>
                <w:tcPr>
                  <w:tcW w:w="1416" w:type="dxa"/>
                  <w:tcBorders>
                    <w:top w:val="nil"/>
                    <w:left w:val="nil"/>
                    <w:bottom w:val="nil"/>
                    <w:right w:val="nil"/>
                  </w:tcBorders>
                  <w:shd w:val="clear" w:color="auto" w:fill="auto"/>
                  <w:noWrap/>
                  <w:vAlign w:val="center"/>
                </w:tcPr>
                <w:p w14:paraId="48D41127" w14:textId="77777777" w:rsidR="008E6A48" w:rsidRPr="00543D10" w:rsidRDefault="008E7FE9" w:rsidP="008E6A48">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w:t>
                  </w:r>
                </w:p>
              </w:tc>
              <w:tc>
                <w:tcPr>
                  <w:tcW w:w="1133" w:type="dxa"/>
                  <w:tcBorders>
                    <w:top w:val="nil"/>
                    <w:left w:val="nil"/>
                    <w:bottom w:val="nil"/>
                    <w:right w:val="nil"/>
                  </w:tcBorders>
                  <w:shd w:val="clear" w:color="auto" w:fill="auto"/>
                  <w:noWrap/>
                  <w:vAlign w:val="center"/>
                </w:tcPr>
                <w:p w14:paraId="0AA2DFAF" w14:textId="77777777" w:rsidR="008E6A48" w:rsidRPr="00543D10" w:rsidRDefault="008E7FE9" w:rsidP="008E6A48">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47</w:t>
                  </w:r>
                </w:p>
              </w:tc>
              <w:tc>
                <w:tcPr>
                  <w:tcW w:w="1135" w:type="dxa"/>
                  <w:tcBorders>
                    <w:top w:val="nil"/>
                    <w:left w:val="nil"/>
                    <w:bottom w:val="nil"/>
                    <w:right w:val="nil"/>
                  </w:tcBorders>
                  <w:shd w:val="clear" w:color="auto" w:fill="auto"/>
                  <w:noWrap/>
                  <w:vAlign w:val="center"/>
                </w:tcPr>
                <w:p w14:paraId="256C003D" w14:textId="77777777" w:rsidR="008E6A48" w:rsidRPr="00543D10" w:rsidRDefault="008E7FE9" w:rsidP="008E6A48">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47</w:t>
                  </w:r>
                </w:p>
              </w:tc>
              <w:tc>
                <w:tcPr>
                  <w:tcW w:w="1084" w:type="dxa"/>
                  <w:tcBorders>
                    <w:top w:val="nil"/>
                    <w:left w:val="nil"/>
                    <w:bottom w:val="nil"/>
                    <w:right w:val="nil"/>
                  </w:tcBorders>
                  <w:shd w:val="clear" w:color="auto" w:fill="auto"/>
                  <w:noWrap/>
                  <w:vAlign w:val="center"/>
                  <w:hideMark/>
                </w:tcPr>
                <w:p w14:paraId="3B51D876" w14:textId="77777777" w:rsidR="008E6A48" w:rsidRPr="0039438F" w:rsidRDefault="008E6A48" w:rsidP="008E6A48">
                  <w:pPr>
                    <w:spacing w:after="0" w:line="240" w:lineRule="auto"/>
                    <w:jc w:val="right"/>
                    <w:rPr>
                      <w:rFonts w:ascii="Arial" w:eastAsia="Times New Roman" w:hAnsi="Arial" w:cs="Arial"/>
                      <w:sz w:val="20"/>
                      <w:szCs w:val="20"/>
                      <w:lang w:eastAsia="en-GB"/>
                    </w:rPr>
                  </w:pPr>
                  <w:r w:rsidRPr="0039438F">
                    <w:rPr>
                      <w:rFonts w:ascii="Arial" w:eastAsia="Times New Roman" w:hAnsi="Arial" w:cs="Arial"/>
                      <w:bCs/>
                      <w:sz w:val="20"/>
                      <w:szCs w:val="20"/>
                      <w:lang w:eastAsia="en-GB"/>
                    </w:rPr>
                    <w:t>1,063</w:t>
                  </w:r>
                </w:p>
              </w:tc>
            </w:tr>
            <w:tr w:rsidR="008E6A48" w:rsidRPr="00543D10" w14:paraId="11BC29DD" w14:textId="77777777" w:rsidTr="006647C2">
              <w:trPr>
                <w:trHeight w:val="323"/>
              </w:trPr>
              <w:tc>
                <w:tcPr>
                  <w:tcW w:w="3119" w:type="dxa"/>
                  <w:tcBorders>
                    <w:top w:val="nil"/>
                    <w:left w:val="nil"/>
                    <w:bottom w:val="nil"/>
                    <w:right w:val="nil"/>
                  </w:tcBorders>
                  <w:shd w:val="clear" w:color="auto" w:fill="auto"/>
                  <w:noWrap/>
                  <w:vAlign w:val="center"/>
                  <w:hideMark/>
                </w:tcPr>
                <w:p w14:paraId="23EDBFA7" w14:textId="77777777" w:rsidR="008E6A48" w:rsidRPr="00543D10" w:rsidRDefault="008E6A48" w:rsidP="008E6A48">
                  <w:pPr>
                    <w:spacing w:after="0" w:line="240" w:lineRule="auto"/>
                    <w:rPr>
                      <w:rFonts w:ascii="Arial" w:eastAsia="Times New Roman" w:hAnsi="Arial" w:cs="Arial"/>
                      <w:sz w:val="20"/>
                      <w:szCs w:val="20"/>
                      <w:lang w:eastAsia="en-GB"/>
                    </w:rPr>
                  </w:pPr>
                  <w:r w:rsidRPr="00543D10">
                    <w:rPr>
                      <w:rFonts w:ascii="Arial" w:eastAsia="Times New Roman" w:hAnsi="Arial" w:cs="Arial"/>
                      <w:sz w:val="20"/>
                      <w:szCs w:val="20"/>
                      <w:lang w:eastAsia="en-GB"/>
                    </w:rPr>
                    <w:t>Current assets</w:t>
                  </w:r>
                </w:p>
              </w:tc>
              <w:tc>
                <w:tcPr>
                  <w:tcW w:w="1277" w:type="dxa"/>
                  <w:tcBorders>
                    <w:top w:val="nil"/>
                    <w:left w:val="nil"/>
                    <w:bottom w:val="nil"/>
                    <w:right w:val="nil"/>
                  </w:tcBorders>
                  <w:shd w:val="clear" w:color="auto" w:fill="auto"/>
                  <w:noWrap/>
                  <w:vAlign w:val="center"/>
                </w:tcPr>
                <w:p w14:paraId="72DE3C03" w14:textId="77777777" w:rsidR="008E6A48" w:rsidRPr="00543D10" w:rsidRDefault="008E7FE9" w:rsidP="008E6A48">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w:t>
                  </w:r>
                </w:p>
              </w:tc>
              <w:tc>
                <w:tcPr>
                  <w:tcW w:w="1416" w:type="dxa"/>
                  <w:tcBorders>
                    <w:top w:val="nil"/>
                    <w:left w:val="nil"/>
                    <w:bottom w:val="nil"/>
                    <w:right w:val="nil"/>
                  </w:tcBorders>
                  <w:shd w:val="clear" w:color="auto" w:fill="auto"/>
                  <w:noWrap/>
                  <w:vAlign w:val="center"/>
                </w:tcPr>
                <w:p w14:paraId="52B130D5" w14:textId="77777777" w:rsidR="008E6A48" w:rsidRPr="00543D10" w:rsidRDefault="006031ED" w:rsidP="008E6A48">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60,475</w:t>
                  </w:r>
                </w:p>
              </w:tc>
              <w:tc>
                <w:tcPr>
                  <w:tcW w:w="1133" w:type="dxa"/>
                  <w:tcBorders>
                    <w:top w:val="nil"/>
                    <w:left w:val="nil"/>
                    <w:bottom w:val="nil"/>
                    <w:right w:val="nil"/>
                  </w:tcBorders>
                  <w:shd w:val="clear" w:color="auto" w:fill="auto"/>
                  <w:noWrap/>
                  <w:vAlign w:val="center"/>
                </w:tcPr>
                <w:p w14:paraId="72AB2B06" w14:textId="77777777" w:rsidR="008E6A48" w:rsidRPr="00543D10" w:rsidRDefault="006031ED" w:rsidP="008E6A48">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16,744</w:t>
                  </w:r>
                </w:p>
              </w:tc>
              <w:tc>
                <w:tcPr>
                  <w:tcW w:w="1135" w:type="dxa"/>
                  <w:tcBorders>
                    <w:top w:val="nil"/>
                    <w:left w:val="nil"/>
                    <w:bottom w:val="nil"/>
                    <w:right w:val="nil"/>
                  </w:tcBorders>
                  <w:shd w:val="clear" w:color="auto" w:fill="auto"/>
                  <w:noWrap/>
                  <w:vAlign w:val="center"/>
                </w:tcPr>
                <w:p w14:paraId="2B9E889B" w14:textId="77777777" w:rsidR="008E6A48" w:rsidRPr="00543D10" w:rsidRDefault="006031ED">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77,219</w:t>
                  </w:r>
                </w:p>
              </w:tc>
              <w:tc>
                <w:tcPr>
                  <w:tcW w:w="1084" w:type="dxa"/>
                  <w:tcBorders>
                    <w:top w:val="nil"/>
                    <w:left w:val="nil"/>
                    <w:bottom w:val="nil"/>
                    <w:right w:val="nil"/>
                  </w:tcBorders>
                  <w:shd w:val="clear" w:color="auto" w:fill="auto"/>
                  <w:noWrap/>
                  <w:vAlign w:val="center"/>
                  <w:hideMark/>
                </w:tcPr>
                <w:p w14:paraId="7BEB6CDC" w14:textId="77777777" w:rsidR="008E6A48" w:rsidRPr="0039438F" w:rsidRDefault="008E6A48" w:rsidP="008E6A48">
                  <w:pPr>
                    <w:spacing w:after="0" w:line="240" w:lineRule="auto"/>
                    <w:jc w:val="right"/>
                    <w:rPr>
                      <w:rFonts w:ascii="Arial" w:eastAsia="Times New Roman" w:hAnsi="Arial" w:cs="Arial"/>
                      <w:sz w:val="20"/>
                      <w:szCs w:val="20"/>
                      <w:lang w:eastAsia="en-GB"/>
                    </w:rPr>
                  </w:pPr>
                  <w:r w:rsidRPr="0039438F">
                    <w:rPr>
                      <w:rFonts w:ascii="Arial" w:eastAsia="Times New Roman" w:hAnsi="Arial" w:cs="Arial"/>
                      <w:bCs/>
                      <w:sz w:val="20"/>
                      <w:szCs w:val="20"/>
                      <w:lang w:eastAsia="en-GB"/>
                    </w:rPr>
                    <w:t>54,846</w:t>
                  </w:r>
                </w:p>
              </w:tc>
            </w:tr>
            <w:tr w:rsidR="008E6A48" w:rsidRPr="00543D10" w14:paraId="6A7DF89C" w14:textId="77777777" w:rsidTr="006647C2">
              <w:trPr>
                <w:trHeight w:val="323"/>
              </w:trPr>
              <w:tc>
                <w:tcPr>
                  <w:tcW w:w="3119" w:type="dxa"/>
                  <w:tcBorders>
                    <w:top w:val="nil"/>
                    <w:left w:val="nil"/>
                    <w:bottom w:val="nil"/>
                    <w:right w:val="nil"/>
                  </w:tcBorders>
                  <w:shd w:val="clear" w:color="auto" w:fill="auto"/>
                  <w:noWrap/>
                  <w:vAlign w:val="center"/>
                  <w:hideMark/>
                </w:tcPr>
                <w:p w14:paraId="7A9EB329" w14:textId="77777777" w:rsidR="008E6A48" w:rsidRPr="00543D10" w:rsidRDefault="008E6A48" w:rsidP="008E6A48">
                  <w:pPr>
                    <w:spacing w:after="0" w:line="240" w:lineRule="auto"/>
                    <w:rPr>
                      <w:rFonts w:ascii="Arial" w:eastAsia="Times New Roman" w:hAnsi="Arial" w:cs="Arial"/>
                      <w:sz w:val="20"/>
                      <w:szCs w:val="20"/>
                      <w:lang w:eastAsia="en-GB"/>
                    </w:rPr>
                  </w:pPr>
                  <w:r w:rsidRPr="00543D10">
                    <w:rPr>
                      <w:rFonts w:ascii="Arial" w:eastAsia="Times New Roman" w:hAnsi="Arial" w:cs="Arial"/>
                      <w:sz w:val="20"/>
                      <w:szCs w:val="20"/>
                      <w:lang w:eastAsia="en-GB"/>
                    </w:rPr>
                    <w:t>Current liabilities</w:t>
                  </w:r>
                </w:p>
              </w:tc>
              <w:tc>
                <w:tcPr>
                  <w:tcW w:w="1277" w:type="dxa"/>
                  <w:tcBorders>
                    <w:top w:val="nil"/>
                    <w:left w:val="nil"/>
                    <w:bottom w:val="nil"/>
                    <w:right w:val="nil"/>
                  </w:tcBorders>
                  <w:shd w:val="clear" w:color="auto" w:fill="auto"/>
                  <w:noWrap/>
                  <w:vAlign w:val="center"/>
                </w:tcPr>
                <w:p w14:paraId="354C2EB8" w14:textId="77777777" w:rsidR="008E6A48" w:rsidRPr="00543D10" w:rsidRDefault="008E7FE9" w:rsidP="008E6A48">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w:t>
                  </w:r>
                </w:p>
              </w:tc>
              <w:tc>
                <w:tcPr>
                  <w:tcW w:w="1416" w:type="dxa"/>
                  <w:tcBorders>
                    <w:top w:val="nil"/>
                    <w:left w:val="nil"/>
                    <w:bottom w:val="nil"/>
                    <w:right w:val="nil"/>
                  </w:tcBorders>
                  <w:shd w:val="clear" w:color="auto" w:fill="auto"/>
                  <w:noWrap/>
                  <w:vAlign w:val="center"/>
                </w:tcPr>
                <w:p w14:paraId="46A92861" w14:textId="77777777" w:rsidR="008E6A48" w:rsidRPr="00543D10" w:rsidRDefault="00B65A67">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(50,</w:t>
                  </w:r>
                  <w:r w:rsidR="00304D34">
                    <w:rPr>
                      <w:rFonts w:ascii="Arial" w:eastAsia="Times New Roman" w:hAnsi="Arial" w:cs="Arial"/>
                      <w:sz w:val="20"/>
                      <w:szCs w:val="20"/>
                      <w:lang w:eastAsia="en-GB"/>
                    </w:rPr>
                    <w:t>807</w:t>
                  </w:r>
                  <w:r w:rsidR="008E7FE9">
                    <w:rPr>
                      <w:rFonts w:ascii="Arial" w:eastAsia="Times New Roman" w:hAnsi="Arial" w:cs="Arial"/>
                      <w:sz w:val="20"/>
                      <w:szCs w:val="20"/>
                      <w:lang w:eastAsia="en-GB"/>
                    </w:rPr>
                    <w:t>)</w:t>
                  </w:r>
                </w:p>
              </w:tc>
              <w:tc>
                <w:tcPr>
                  <w:tcW w:w="1133" w:type="dxa"/>
                  <w:tcBorders>
                    <w:top w:val="nil"/>
                    <w:left w:val="nil"/>
                    <w:bottom w:val="nil"/>
                    <w:right w:val="nil"/>
                  </w:tcBorders>
                  <w:shd w:val="clear" w:color="auto" w:fill="auto"/>
                  <w:noWrap/>
                  <w:vAlign w:val="center"/>
                </w:tcPr>
                <w:p w14:paraId="627EDB6A" w14:textId="77777777" w:rsidR="008E6A48" w:rsidRPr="00543D10" w:rsidRDefault="008E7FE9" w:rsidP="008E6A48">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(6,850)</w:t>
                  </w:r>
                </w:p>
              </w:tc>
              <w:tc>
                <w:tcPr>
                  <w:tcW w:w="1135" w:type="dxa"/>
                  <w:tcBorders>
                    <w:top w:val="nil"/>
                    <w:left w:val="nil"/>
                    <w:bottom w:val="nil"/>
                    <w:right w:val="nil"/>
                  </w:tcBorders>
                  <w:shd w:val="clear" w:color="auto" w:fill="auto"/>
                  <w:noWrap/>
                  <w:vAlign w:val="center"/>
                </w:tcPr>
                <w:p w14:paraId="37B46AF8" w14:textId="77777777" w:rsidR="008E6A48" w:rsidRPr="00543D10" w:rsidRDefault="00B65A67" w:rsidP="008E6A48">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(5</w:t>
                  </w:r>
                  <w:r w:rsidR="005E1A30">
                    <w:rPr>
                      <w:rFonts w:ascii="Arial" w:eastAsia="Times New Roman" w:hAnsi="Arial" w:cs="Arial"/>
                      <w:b/>
                      <w:bCs/>
                      <w:sz w:val="20"/>
                      <w:szCs w:val="20"/>
                      <w:lang w:eastAsia="en-GB"/>
                    </w:rPr>
                    <w:t>7,</w:t>
                  </w:r>
                  <w:r w:rsidR="006E5740">
                    <w:rPr>
                      <w:rFonts w:ascii="Arial" w:eastAsia="Times New Roman" w:hAnsi="Arial" w:cs="Arial"/>
                      <w:b/>
                      <w:bCs/>
                      <w:sz w:val="20"/>
                      <w:szCs w:val="20"/>
                      <w:lang w:eastAsia="en-GB"/>
                    </w:rPr>
                    <w:t>6</w:t>
                  </w:r>
                  <w:r w:rsidR="00304D34">
                    <w:rPr>
                      <w:rFonts w:ascii="Arial" w:eastAsia="Times New Roman" w:hAnsi="Arial" w:cs="Arial"/>
                      <w:b/>
                      <w:bCs/>
                      <w:sz w:val="20"/>
                      <w:szCs w:val="20"/>
                      <w:lang w:eastAsia="en-GB"/>
                    </w:rPr>
                    <w:t>57</w:t>
                  </w:r>
                  <w:r w:rsidR="008E7FE9">
                    <w:rPr>
                      <w:rFonts w:ascii="Arial" w:eastAsia="Times New Roman" w:hAnsi="Arial" w:cs="Arial"/>
                      <w:b/>
                      <w:bCs/>
                      <w:sz w:val="20"/>
                      <w:szCs w:val="20"/>
                      <w:lang w:eastAsia="en-GB"/>
                    </w:rPr>
                    <w:t>)</w:t>
                  </w:r>
                </w:p>
              </w:tc>
              <w:tc>
                <w:tcPr>
                  <w:tcW w:w="1084" w:type="dxa"/>
                  <w:tcBorders>
                    <w:top w:val="nil"/>
                    <w:left w:val="nil"/>
                    <w:bottom w:val="nil"/>
                    <w:right w:val="nil"/>
                  </w:tcBorders>
                  <w:shd w:val="clear" w:color="auto" w:fill="auto"/>
                  <w:noWrap/>
                  <w:vAlign w:val="center"/>
                  <w:hideMark/>
                </w:tcPr>
                <w:p w14:paraId="1F78706E" w14:textId="77777777" w:rsidR="008E6A48" w:rsidRPr="0039438F" w:rsidRDefault="008E6A48" w:rsidP="008E6A48">
                  <w:pPr>
                    <w:spacing w:after="0" w:line="240" w:lineRule="auto"/>
                    <w:jc w:val="right"/>
                    <w:rPr>
                      <w:rFonts w:ascii="Arial" w:eastAsia="Times New Roman" w:hAnsi="Arial" w:cs="Arial"/>
                      <w:sz w:val="20"/>
                      <w:szCs w:val="20"/>
                      <w:lang w:eastAsia="en-GB"/>
                    </w:rPr>
                  </w:pPr>
                  <w:r w:rsidRPr="0039438F">
                    <w:rPr>
                      <w:rFonts w:ascii="Arial" w:eastAsia="Times New Roman" w:hAnsi="Arial" w:cs="Arial"/>
                      <w:bCs/>
                      <w:sz w:val="20"/>
                      <w:szCs w:val="20"/>
                      <w:lang w:eastAsia="en-GB"/>
                    </w:rPr>
                    <w:t>(36,425)</w:t>
                  </w:r>
                </w:p>
              </w:tc>
            </w:tr>
            <w:tr w:rsidR="008E6A48" w:rsidRPr="00543D10" w14:paraId="77C69249" w14:textId="77777777" w:rsidTr="006647C2">
              <w:trPr>
                <w:trHeight w:val="323"/>
              </w:trPr>
              <w:tc>
                <w:tcPr>
                  <w:tcW w:w="3119" w:type="dxa"/>
                  <w:tcBorders>
                    <w:top w:val="nil"/>
                    <w:left w:val="nil"/>
                    <w:bottom w:val="nil"/>
                    <w:right w:val="nil"/>
                  </w:tcBorders>
                  <w:shd w:val="clear" w:color="auto" w:fill="auto"/>
                  <w:noWrap/>
                  <w:vAlign w:val="center"/>
                  <w:hideMark/>
                </w:tcPr>
                <w:p w14:paraId="7DB771E7" w14:textId="77777777" w:rsidR="008E6A48" w:rsidRPr="00543D10" w:rsidRDefault="008E6A48" w:rsidP="008E6A48">
                  <w:pPr>
                    <w:spacing w:after="0" w:line="240" w:lineRule="auto"/>
                    <w:outlineLvl w:val="0"/>
                    <w:rPr>
                      <w:rFonts w:ascii="Arial" w:eastAsia="Times New Roman" w:hAnsi="Arial" w:cs="Arial"/>
                      <w:sz w:val="20"/>
                      <w:szCs w:val="20"/>
                      <w:lang w:eastAsia="en-GB"/>
                    </w:rPr>
                  </w:pPr>
                  <w:r w:rsidRPr="00543D10">
                    <w:rPr>
                      <w:rFonts w:ascii="Arial" w:eastAsia="Times New Roman" w:hAnsi="Arial" w:cs="Arial"/>
                      <w:sz w:val="20"/>
                      <w:szCs w:val="20"/>
                      <w:lang w:eastAsia="en-GB"/>
                    </w:rPr>
                    <w:t>Long-term liabilities</w:t>
                  </w:r>
                </w:p>
              </w:tc>
              <w:tc>
                <w:tcPr>
                  <w:tcW w:w="1277" w:type="dxa"/>
                  <w:tcBorders>
                    <w:top w:val="nil"/>
                    <w:left w:val="nil"/>
                    <w:bottom w:val="nil"/>
                    <w:right w:val="nil"/>
                  </w:tcBorders>
                  <w:shd w:val="clear" w:color="auto" w:fill="auto"/>
                  <w:noWrap/>
                  <w:vAlign w:val="center"/>
                </w:tcPr>
                <w:p w14:paraId="0199A714" w14:textId="77777777" w:rsidR="008E6A48" w:rsidRPr="00543D10" w:rsidRDefault="008E7FE9" w:rsidP="008E6A48">
                  <w:pPr>
                    <w:spacing w:after="0" w:line="240" w:lineRule="auto"/>
                    <w:jc w:val="right"/>
                    <w:outlineLvl w:val="0"/>
                    <w:rPr>
                      <w:rFonts w:ascii="Arial" w:eastAsia="Times New Roman" w:hAnsi="Arial" w:cs="Arial"/>
                      <w:sz w:val="20"/>
                      <w:szCs w:val="20"/>
                      <w:lang w:eastAsia="en-GB"/>
                    </w:rPr>
                  </w:pPr>
                  <w:r>
                    <w:rPr>
                      <w:rFonts w:ascii="Arial" w:eastAsia="Times New Roman" w:hAnsi="Arial" w:cs="Arial"/>
                      <w:sz w:val="20"/>
                      <w:szCs w:val="20"/>
                      <w:lang w:eastAsia="en-GB"/>
                    </w:rPr>
                    <w:t>-</w:t>
                  </w:r>
                </w:p>
              </w:tc>
              <w:tc>
                <w:tcPr>
                  <w:tcW w:w="1416" w:type="dxa"/>
                  <w:tcBorders>
                    <w:top w:val="nil"/>
                    <w:left w:val="nil"/>
                    <w:bottom w:val="nil"/>
                    <w:right w:val="nil"/>
                  </w:tcBorders>
                  <w:shd w:val="clear" w:color="auto" w:fill="auto"/>
                  <w:noWrap/>
                  <w:vAlign w:val="center"/>
                </w:tcPr>
                <w:p w14:paraId="7EAB5CFD" w14:textId="77777777" w:rsidR="008E6A48" w:rsidRPr="00543D10" w:rsidRDefault="006E5740" w:rsidP="008E6A48">
                  <w:pPr>
                    <w:spacing w:after="0" w:line="240" w:lineRule="auto"/>
                    <w:jc w:val="right"/>
                    <w:outlineLvl w:val="0"/>
                    <w:rPr>
                      <w:rFonts w:ascii="Arial" w:eastAsia="Times New Roman" w:hAnsi="Arial" w:cs="Arial"/>
                      <w:sz w:val="20"/>
                      <w:szCs w:val="20"/>
                      <w:lang w:eastAsia="en-GB"/>
                    </w:rPr>
                  </w:pPr>
                  <w:r>
                    <w:rPr>
                      <w:rFonts w:ascii="Arial" w:eastAsia="Times New Roman" w:hAnsi="Arial" w:cs="Arial"/>
                      <w:sz w:val="20"/>
                      <w:szCs w:val="20"/>
                      <w:lang w:eastAsia="en-GB"/>
                    </w:rPr>
                    <w:t>(2</w:t>
                  </w:r>
                  <w:r w:rsidR="008E7FE9">
                    <w:rPr>
                      <w:rFonts w:ascii="Arial" w:eastAsia="Times New Roman" w:hAnsi="Arial" w:cs="Arial"/>
                      <w:sz w:val="20"/>
                      <w:szCs w:val="20"/>
                      <w:lang w:eastAsia="en-GB"/>
                    </w:rPr>
                    <w:t>,627)</w:t>
                  </w:r>
                </w:p>
              </w:tc>
              <w:tc>
                <w:tcPr>
                  <w:tcW w:w="1133" w:type="dxa"/>
                  <w:tcBorders>
                    <w:top w:val="nil"/>
                    <w:left w:val="nil"/>
                    <w:bottom w:val="nil"/>
                    <w:right w:val="nil"/>
                  </w:tcBorders>
                  <w:shd w:val="clear" w:color="auto" w:fill="auto"/>
                  <w:noWrap/>
                  <w:vAlign w:val="center"/>
                </w:tcPr>
                <w:p w14:paraId="0F1B54FE" w14:textId="77777777" w:rsidR="008E6A48" w:rsidRPr="00543D10" w:rsidRDefault="008E7FE9" w:rsidP="008E6A48">
                  <w:pPr>
                    <w:spacing w:after="0" w:line="240" w:lineRule="auto"/>
                    <w:jc w:val="right"/>
                    <w:outlineLvl w:val="0"/>
                    <w:rPr>
                      <w:rFonts w:ascii="Arial" w:eastAsia="Times New Roman" w:hAnsi="Arial" w:cs="Arial"/>
                      <w:sz w:val="20"/>
                      <w:szCs w:val="20"/>
                      <w:lang w:eastAsia="en-GB"/>
                    </w:rPr>
                  </w:pPr>
                  <w:r>
                    <w:rPr>
                      <w:rFonts w:ascii="Arial" w:eastAsia="Times New Roman" w:hAnsi="Arial" w:cs="Arial"/>
                      <w:sz w:val="20"/>
                      <w:szCs w:val="20"/>
                      <w:lang w:eastAsia="en-GB"/>
                    </w:rPr>
                    <w:t>(866)</w:t>
                  </w:r>
                </w:p>
              </w:tc>
              <w:tc>
                <w:tcPr>
                  <w:tcW w:w="1135" w:type="dxa"/>
                  <w:tcBorders>
                    <w:top w:val="nil"/>
                    <w:left w:val="nil"/>
                    <w:bottom w:val="nil"/>
                    <w:right w:val="nil"/>
                  </w:tcBorders>
                  <w:shd w:val="clear" w:color="auto" w:fill="auto"/>
                  <w:noWrap/>
                  <w:vAlign w:val="center"/>
                </w:tcPr>
                <w:p w14:paraId="269855B0" w14:textId="77777777" w:rsidR="008E6A48" w:rsidRPr="00543D10" w:rsidRDefault="005E1A30" w:rsidP="008E6A48">
                  <w:pPr>
                    <w:spacing w:after="0" w:line="240" w:lineRule="auto"/>
                    <w:jc w:val="right"/>
                    <w:outlineLvl w:val="0"/>
                    <w:rPr>
                      <w:rFonts w:ascii="Arial" w:eastAsia="Times New Roman" w:hAnsi="Arial" w:cs="Arial"/>
                      <w:b/>
                      <w:bCs/>
                      <w:sz w:val="20"/>
                      <w:szCs w:val="20"/>
                      <w:lang w:eastAsia="en-GB"/>
                    </w:rPr>
                  </w:pPr>
                  <w:r>
                    <w:rPr>
                      <w:rFonts w:ascii="Arial" w:eastAsia="Times New Roman" w:hAnsi="Arial" w:cs="Arial"/>
                      <w:b/>
                      <w:bCs/>
                      <w:sz w:val="20"/>
                      <w:szCs w:val="20"/>
                      <w:lang w:eastAsia="en-GB"/>
                    </w:rPr>
                    <w:t>(3,493</w:t>
                  </w:r>
                  <w:r w:rsidR="008E7FE9">
                    <w:rPr>
                      <w:rFonts w:ascii="Arial" w:eastAsia="Times New Roman" w:hAnsi="Arial" w:cs="Arial"/>
                      <w:b/>
                      <w:bCs/>
                      <w:sz w:val="20"/>
                      <w:szCs w:val="20"/>
                      <w:lang w:eastAsia="en-GB"/>
                    </w:rPr>
                    <w:t>)</w:t>
                  </w:r>
                </w:p>
              </w:tc>
              <w:tc>
                <w:tcPr>
                  <w:tcW w:w="1084" w:type="dxa"/>
                  <w:tcBorders>
                    <w:top w:val="nil"/>
                    <w:left w:val="nil"/>
                    <w:bottom w:val="nil"/>
                    <w:right w:val="nil"/>
                  </w:tcBorders>
                  <w:shd w:val="clear" w:color="auto" w:fill="auto"/>
                  <w:noWrap/>
                  <w:vAlign w:val="center"/>
                  <w:hideMark/>
                </w:tcPr>
                <w:p w14:paraId="3D1C0A5E" w14:textId="77777777" w:rsidR="008E6A48" w:rsidRPr="0039438F" w:rsidRDefault="008E6A48" w:rsidP="008E6A48">
                  <w:pPr>
                    <w:spacing w:after="0" w:line="240" w:lineRule="auto"/>
                    <w:jc w:val="right"/>
                    <w:outlineLvl w:val="0"/>
                    <w:rPr>
                      <w:rFonts w:ascii="Arial" w:eastAsia="Times New Roman" w:hAnsi="Arial" w:cs="Arial"/>
                      <w:sz w:val="20"/>
                      <w:szCs w:val="20"/>
                      <w:lang w:eastAsia="en-GB"/>
                    </w:rPr>
                  </w:pPr>
                  <w:r w:rsidRPr="0039438F">
                    <w:rPr>
                      <w:rFonts w:ascii="Arial" w:eastAsia="Times New Roman" w:hAnsi="Arial" w:cs="Arial"/>
                      <w:bCs/>
                      <w:sz w:val="20"/>
                      <w:szCs w:val="20"/>
                      <w:lang w:eastAsia="en-GB"/>
                    </w:rPr>
                    <w:t>(6,888)</w:t>
                  </w:r>
                </w:p>
              </w:tc>
            </w:tr>
            <w:tr w:rsidR="008E6A48" w:rsidRPr="00543D10" w14:paraId="34D273AB" w14:textId="77777777" w:rsidTr="006647C2">
              <w:trPr>
                <w:trHeight w:val="323"/>
              </w:trPr>
              <w:tc>
                <w:tcPr>
                  <w:tcW w:w="3119" w:type="dxa"/>
                  <w:tcBorders>
                    <w:top w:val="nil"/>
                    <w:left w:val="nil"/>
                    <w:bottom w:val="nil"/>
                    <w:right w:val="nil"/>
                  </w:tcBorders>
                  <w:shd w:val="clear" w:color="auto" w:fill="auto"/>
                  <w:noWrap/>
                  <w:vAlign w:val="center"/>
                  <w:hideMark/>
                </w:tcPr>
                <w:p w14:paraId="17E6E811" w14:textId="77777777" w:rsidR="008E6A48" w:rsidRPr="00543D10" w:rsidRDefault="008E6A48" w:rsidP="008E6A48">
                  <w:pPr>
                    <w:spacing w:after="0" w:line="240" w:lineRule="auto"/>
                    <w:rPr>
                      <w:rFonts w:ascii="Arial" w:eastAsia="Times New Roman" w:hAnsi="Arial" w:cs="Arial"/>
                      <w:sz w:val="20"/>
                      <w:szCs w:val="20"/>
                      <w:lang w:eastAsia="en-GB"/>
                    </w:rPr>
                  </w:pPr>
                  <w:r w:rsidRPr="00543D10">
                    <w:rPr>
                      <w:rFonts w:ascii="Arial" w:eastAsia="Times New Roman" w:hAnsi="Arial" w:cs="Arial"/>
                      <w:sz w:val="20"/>
                      <w:szCs w:val="20"/>
                      <w:lang w:eastAsia="en-GB"/>
                    </w:rPr>
                    <w:t>Provisions for liabilities and charges</w:t>
                  </w:r>
                </w:p>
              </w:tc>
              <w:tc>
                <w:tcPr>
                  <w:tcW w:w="1277" w:type="dxa"/>
                  <w:tcBorders>
                    <w:top w:val="nil"/>
                    <w:left w:val="nil"/>
                    <w:bottom w:val="nil"/>
                    <w:right w:val="nil"/>
                  </w:tcBorders>
                  <w:shd w:val="clear" w:color="auto" w:fill="auto"/>
                  <w:noWrap/>
                  <w:vAlign w:val="center"/>
                </w:tcPr>
                <w:p w14:paraId="10619D3C" w14:textId="77777777" w:rsidR="008E6A48" w:rsidRPr="00543D10" w:rsidRDefault="008E7FE9" w:rsidP="008E6A48">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w:t>
                  </w:r>
                </w:p>
              </w:tc>
              <w:tc>
                <w:tcPr>
                  <w:tcW w:w="1416" w:type="dxa"/>
                  <w:tcBorders>
                    <w:top w:val="nil"/>
                    <w:left w:val="nil"/>
                    <w:bottom w:val="nil"/>
                    <w:right w:val="nil"/>
                  </w:tcBorders>
                  <w:shd w:val="clear" w:color="auto" w:fill="auto"/>
                  <w:noWrap/>
                  <w:vAlign w:val="center"/>
                </w:tcPr>
                <w:p w14:paraId="0BD9BE19" w14:textId="77777777" w:rsidR="008E6A48" w:rsidRPr="00543D10" w:rsidRDefault="008E7FE9" w:rsidP="008E6A48">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(2,124)</w:t>
                  </w:r>
                </w:p>
              </w:tc>
              <w:tc>
                <w:tcPr>
                  <w:tcW w:w="1133" w:type="dxa"/>
                  <w:tcBorders>
                    <w:top w:val="nil"/>
                    <w:left w:val="nil"/>
                    <w:bottom w:val="nil"/>
                    <w:right w:val="nil"/>
                  </w:tcBorders>
                  <w:shd w:val="clear" w:color="auto" w:fill="auto"/>
                  <w:noWrap/>
                  <w:vAlign w:val="center"/>
                </w:tcPr>
                <w:p w14:paraId="3B5E7A82" w14:textId="77777777" w:rsidR="008E6A48" w:rsidRPr="00543D10" w:rsidRDefault="008E7FE9" w:rsidP="008E6A48">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w:t>
                  </w:r>
                </w:p>
              </w:tc>
              <w:tc>
                <w:tcPr>
                  <w:tcW w:w="1135" w:type="dxa"/>
                  <w:tcBorders>
                    <w:top w:val="nil"/>
                    <w:left w:val="nil"/>
                    <w:bottom w:val="nil"/>
                    <w:right w:val="nil"/>
                  </w:tcBorders>
                  <w:shd w:val="clear" w:color="auto" w:fill="auto"/>
                  <w:noWrap/>
                  <w:vAlign w:val="center"/>
                </w:tcPr>
                <w:p w14:paraId="328E9442" w14:textId="77777777" w:rsidR="008E6A48" w:rsidRPr="00543D10" w:rsidRDefault="008E7FE9" w:rsidP="008E6A48">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(2,124)</w:t>
                  </w:r>
                </w:p>
              </w:tc>
              <w:tc>
                <w:tcPr>
                  <w:tcW w:w="1084" w:type="dxa"/>
                  <w:tcBorders>
                    <w:top w:val="nil"/>
                    <w:left w:val="nil"/>
                    <w:bottom w:val="nil"/>
                    <w:right w:val="nil"/>
                  </w:tcBorders>
                  <w:shd w:val="clear" w:color="auto" w:fill="auto"/>
                  <w:noWrap/>
                  <w:vAlign w:val="center"/>
                  <w:hideMark/>
                </w:tcPr>
                <w:p w14:paraId="22DA894F" w14:textId="77777777" w:rsidR="008E6A48" w:rsidRPr="0039438F" w:rsidRDefault="008E6A48" w:rsidP="008E6A48">
                  <w:pPr>
                    <w:spacing w:after="0" w:line="240" w:lineRule="auto"/>
                    <w:jc w:val="right"/>
                    <w:rPr>
                      <w:rFonts w:ascii="Arial" w:eastAsia="Times New Roman" w:hAnsi="Arial" w:cs="Arial"/>
                      <w:sz w:val="20"/>
                      <w:szCs w:val="20"/>
                      <w:lang w:eastAsia="en-GB"/>
                    </w:rPr>
                  </w:pPr>
                  <w:r w:rsidRPr="0039438F">
                    <w:rPr>
                      <w:rFonts w:ascii="Arial" w:eastAsia="Times New Roman" w:hAnsi="Arial" w:cs="Arial"/>
                      <w:bCs/>
                      <w:sz w:val="20"/>
                      <w:szCs w:val="20"/>
                      <w:lang w:eastAsia="en-GB"/>
                    </w:rPr>
                    <w:t>(2,112)</w:t>
                  </w:r>
                </w:p>
              </w:tc>
            </w:tr>
            <w:tr w:rsidR="008E6A48" w:rsidRPr="00543D10" w14:paraId="2BF184A6" w14:textId="77777777" w:rsidTr="006647C2">
              <w:trPr>
                <w:trHeight w:val="323"/>
              </w:trPr>
              <w:tc>
                <w:tcPr>
                  <w:tcW w:w="3119" w:type="dxa"/>
                  <w:tcBorders>
                    <w:top w:val="nil"/>
                    <w:left w:val="nil"/>
                    <w:bottom w:val="nil"/>
                    <w:right w:val="nil"/>
                  </w:tcBorders>
                  <w:shd w:val="clear" w:color="auto" w:fill="auto"/>
                  <w:noWrap/>
                  <w:vAlign w:val="center"/>
                  <w:hideMark/>
                </w:tcPr>
                <w:p w14:paraId="08AC240B" w14:textId="77777777" w:rsidR="008E6A48" w:rsidRPr="00543D10" w:rsidRDefault="008E6A48" w:rsidP="008E6A48">
                  <w:pPr>
                    <w:spacing w:after="0" w:line="240" w:lineRule="auto"/>
                    <w:rPr>
                      <w:rFonts w:ascii="Arial" w:eastAsia="Times New Roman" w:hAnsi="Arial" w:cs="Arial"/>
                      <w:sz w:val="20"/>
                      <w:szCs w:val="20"/>
                      <w:lang w:eastAsia="en-GB"/>
                    </w:rPr>
                  </w:pPr>
                  <w:r w:rsidRPr="00543D10">
                    <w:rPr>
                      <w:rFonts w:ascii="Arial" w:eastAsia="Times New Roman" w:hAnsi="Arial" w:cs="Arial"/>
                      <w:sz w:val="20"/>
                      <w:szCs w:val="20"/>
                      <w:lang w:eastAsia="en-GB"/>
                    </w:rPr>
                    <w:t>Pension deficit</w:t>
                  </w:r>
                </w:p>
              </w:tc>
              <w:tc>
                <w:tcPr>
                  <w:tcW w:w="1277" w:type="dxa"/>
                  <w:tcBorders>
                    <w:top w:val="nil"/>
                    <w:left w:val="nil"/>
                    <w:bottom w:val="nil"/>
                    <w:right w:val="nil"/>
                  </w:tcBorders>
                  <w:shd w:val="clear" w:color="auto" w:fill="auto"/>
                  <w:noWrap/>
                  <w:vAlign w:val="center"/>
                </w:tcPr>
                <w:p w14:paraId="4EEF60F5" w14:textId="77777777" w:rsidR="008E6A48" w:rsidRPr="00543D10" w:rsidRDefault="008E7FE9" w:rsidP="008E6A48">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w:t>
                  </w:r>
                </w:p>
              </w:tc>
              <w:tc>
                <w:tcPr>
                  <w:tcW w:w="1416" w:type="dxa"/>
                  <w:tcBorders>
                    <w:top w:val="nil"/>
                    <w:left w:val="nil"/>
                    <w:bottom w:val="nil"/>
                    <w:right w:val="nil"/>
                  </w:tcBorders>
                  <w:shd w:val="clear" w:color="auto" w:fill="auto"/>
                  <w:noWrap/>
                  <w:vAlign w:val="center"/>
                </w:tcPr>
                <w:p w14:paraId="5067823A" w14:textId="77777777" w:rsidR="008E6A48" w:rsidRPr="00543D10" w:rsidRDefault="008E7FE9" w:rsidP="008E6A48">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(64,655)</w:t>
                  </w:r>
                </w:p>
              </w:tc>
              <w:tc>
                <w:tcPr>
                  <w:tcW w:w="1133" w:type="dxa"/>
                  <w:tcBorders>
                    <w:top w:val="nil"/>
                    <w:left w:val="nil"/>
                    <w:bottom w:val="nil"/>
                    <w:right w:val="nil"/>
                  </w:tcBorders>
                  <w:shd w:val="clear" w:color="auto" w:fill="auto"/>
                  <w:noWrap/>
                  <w:vAlign w:val="center"/>
                </w:tcPr>
                <w:p w14:paraId="2DFBC223" w14:textId="77777777" w:rsidR="008E6A48" w:rsidRPr="00543D10" w:rsidRDefault="008E7FE9" w:rsidP="008E6A48">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(48,426)</w:t>
                  </w:r>
                </w:p>
              </w:tc>
              <w:tc>
                <w:tcPr>
                  <w:tcW w:w="1135" w:type="dxa"/>
                  <w:tcBorders>
                    <w:top w:val="nil"/>
                    <w:left w:val="nil"/>
                    <w:bottom w:val="nil"/>
                    <w:right w:val="nil"/>
                  </w:tcBorders>
                  <w:shd w:val="clear" w:color="auto" w:fill="auto"/>
                  <w:noWrap/>
                  <w:vAlign w:val="center"/>
                </w:tcPr>
                <w:p w14:paraId="2E53951A" w14:textId="77777777" w:rsidR="008E6A48" w:rsidRPr="00543D10" w:rsidRDefault="008E7FE9" w:rsidP="008E6A48">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(113,081)</w:t>
                  </w:r>
                </w:p>
              </w:tc>
              <w:tc>
                <w:tcPr>
                  <w:tcW w:w="1084" w:type="dxa"/>
                  <w:tcBorders>
                    <w:top w:val="nil"/>
                    <w:left w:val="nil"/>
                    <w:bottom w:val="nil"/>
                    <w:right w:val="nil"/>
                  </w:tcBorders>
                  <w:shd w:val="clear" w:color="auto" w:fill="auto"/>
                  <w:noWrap/>
                  <w:vAlign w:val="center"/>
                  <w:hideMark/>
                </w:tcPr>
                <w:p w14:paraId="578BDEDC" w14:textId="77777777" w:rsidR="008E6A48" w:rsidRPr="0039438F" w:rsidRDefault="008E6A48" w:rsidP="008E6A48">
                  <w:pPr>
                    <w:spacing w:after="0" w:line="240" w:lineRule="auto"/>
                    <w:jc w:val="right"/>
                    <w:rPr>
                      <w:rFonts w:ascii="Arial" w:eastAsia="Times New Roman" w:hAnsi="Arial" w:cs="Arial"/>
                      <w:sz w:val="20"/>
                      <w:szCs w:val="20"/>
                      <w:lang w:eastAsia="en-GB"/>
                    </w:rPr>
                  </w:pPr>
                  <w:r w:rsidRPr="0039438F">
                    <w:rPr>
                      <w:rFonts w:ascii="Arial" w:eastAsia="Times New Roman" w:hAnsi="Arial" w:cs="Arial"/>
                      <w:bCs/>
                      <w:sz w:val="20"/>
                      <w:szCs w:val="20"/>
                      <w:lang w:eastAsia="en-GB"/>
                    </w:rPr>
                    <w:t>(93,599)</w:t>
                  </w:r>
                </w:p>
              </w:tc>
            </w:tr>
            <w:tr w:rsidR="008E6A48" w:rsidRPr="00543D10" w14:paraId="0A5D338C" w14:textId="77777777" w:rsidTr="006647C2">
              <w:trPr>
                <w:trHeight w:val="323"/>
              </w:trPr>
              <w:tc>
                <w:tcPr>
                  <w:tcW w:w="3119" w:type="dxa"/>
                  <w:tcBorders>
                    <w:top w:val="single" w:sz="4" w:space="0" w:color="auto"/>
                    <w:left w:val="nil"/>
                    <w:bottom w:val="single" w:sz="4" w:space="0" w:color="auto"/>
                    <w:right w:val="nil"/>
                  </w:tcBorders>
                  <w:shd w:val="clear" w:color="auto" w:fill="auto"/>
                  <w:noWrap/>
                  <w:vAlign w:val="center"/>
                  <w:hideMark/>
                </w:tcPr>
                <w:p w14:paraId="6B7AAF44" w14:textId="77777777" w:rsidR="008E6A48" w:rsidRPr="00543D10" w:rsidRDefault="008E6A48" w:rsidP="008E6A48">
                  <w:pPr>
                    <w:spacing w:after="0" w:line="240" w:lineRule="auto"/>
                    <w:rPr>
                      <w:rFonts w:ascii="Arial" w:eastAsia="Times New Roman" w:hAnsi="Arial" w:cs="Arial"/>
                      <w:b/>
                      <w:bCs/>
                      <w:sz w:val="20"/>
                      <w:szCs w:val="20"/>
                      <w:lang w:eastAsia="en-GB"/>
                    </w:rPr>
                  </w:pPr>
                  <w:r w:rsidRPr="00543D10">
                    <w:rPr>
                      <w:rFonts w:ascii="Arial" w:eastAsia="Times New Roman" w:hAnsi="Arial" w:cs="Arial"/>
                      <w:b/>
                      <w:bCs/>
                      <w:sz w:val="20"/>
                      <w:szCs w:val="20"/>
                      <w:lang w:eastAsia="en-GB"/>
                    </w:rPr>
                    <w:t xml:space="preserve">Total net assets at 31 August </w:t>
                  </w:r>
                  <w:r>
                    <w:rPr>
                      <w:rFonts w:ascii="Arial" w:eastAsia="Times New Roman" w:hAnsi="Arial" w:cs="Arial"/>
                      <w:b/>
                      <w:bCs/>
                      <w:sz w:val="20"/>
                      <w:szCs w:val="20"/>
                      <w:lang w:eastAsia="en-GB"/>
                    </w:rPr>
                    <w:t>2020</w:t>
                  </w:r>
                </w:p>
              </w:tc>
              <w:tc>
                <w:tcPr>
                  <w:tcW w:w="1277" w:type="dxa"/>
                  <w:tcBorders>
                    <w:top w:val="single" w:sz="4" w:space="0" w:color="auto"/>
                    <w:left w:val="nil"/>
                    <w:bottom w:val="single" w:sz="4" w:space="0" w:color="auto"/>
                    <w:right w:val="nil"/>
                  </w:tcBorders>
                  <w:shd w:val="clear" w:color="auto" w:fill="auto"/>
                  <w:noWrap/>
                  <w:vAlign w:val="center"/>
                </w:tcPr>
                <w:p w14:paraId="5CA2B12C" w14:textId="77777777" w:rsidR="008E6A48" w:rsidRPr="00543D10" w:rsidRDefault="006031ED" w:rsidP="008E6A48">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1,511</w:t>
                  </w:r>
                </w:p>
              </w:tc>
              <w:tc>
                <w:tcPr>
                  <w:tcW w:w="1416" w:type="dxa"/>
                  <w:tcBorders>
                    <w:top w:val="single" w:sz="4" w:space="0" w:color="auto"/>
                    <w:left w:val="nil"/>
                    <w:bottom w:val="single" w:sz="4" w:space="0" w:color="auto"/>
                    <w:right w:val="nil"/>
                  </w:tcBorders>
                  <w:shd w:val="clear" w:color="auto" w:fill="auto"/>
                  <w:noWrap/>
                  <w:vAlign w:val="center"/>
                </w:tcPr>
                <w:p w14:paraId="6873CD5B" w14:textId="77777777" w:rsidR="008E6A48" w:rsidRPr="00543D10" w:rsidRDefault="00B65A67" w:rsidP="0069798A">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w:t>
                  </w:r>
                  <w:r w:rsidR="00304D34">
                    <w:rPr>
                      <w:rFonts w:ascii="Arial" w:eastAsia="Times New Roman" w:hAnsi="Arial" w:cs="Arial"/>
                      <w:b/>
                      <w:bCs/>
                      <w:sz w:val="20"/>
                      <w:szCs w:val="20"/>
                      <w:lang w:eastAsia="en-GB"/>
                    </w:rPr>
                    <w:t>41,127</w:t>
                  </w:r>
                  <w:r w:rsidR="008E7FE9">
                    <w:rPr>
                      <w:rFonts w:ascii="Arial" w:eastAsia="Times New Roman" w:hAnsi="Arial" w:cs="Arial"/>
                      <w:b/>
                      <w:bCs/>
                      <w:sz w:val="20"/>
                      <w:szCs w:val="20"/>
                      <w:lang w:eastAsia="en-GB"/>
                    </w:rPr>
                    <w:t>)</w:t>
                  </w:r>
                </w:p>
              </w:tc>
              <w:tc>
                <w:tcPr>
                  <w:tcW w:w="1133" w:type="dxa"/>
                  <w:tcBorders>
                    <w:top w:val="single" w:sz="4" w:space="0" w:color="auto"/>
                    <w:left w:val="nil"/>
                    <w:bottom w:val="single" w:sz="4" w:space="0" w:color="auto"/>
                    <w:right w:val="nil"/>
                  </w:tcBorders>
                  <w:shd w:val="clear" w:color="auto" w:fill="auto"/>
                  <w:noWrap/>
                  <w:vAlign w:val="center"/>
                </w:tcPr>
                <w:p w14:paraId="3D9A1D3C" w14:textId="77777777" w:rsidR="008E6A48" w:rsidRPr="00543D10" w:rsidRDefault="008E7FE9" w:rsidP="008E6A48">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12</w:t>
                  </w:r>
                  <w:r w:rsidR="006031ED">
                    <w:rPr>
                      <w:rFonts w:ascii="Arial" w:eastAsia="Times New Roman" w:hAnsi="Arial" w:cs="Arial"/>
                      <w:b/>
                      <w:bCs/>
                      <w:sz w:val="20"/>
                      <w:szCs w:val="20"/>
                      <w:lang w:eastAsia="en-GB"/>
                    </w:rPr>
                    <w:t>2,505</w:t>
                  </w:r>
                </w:p>
              </w:tc>
              <w:tc>
                <w:tcPr>
                  <w:tcW w:w="1135" w:type="dxa"/>
                  <w:tcBorders>
                    <w:top w:val="single" w:sz="4" w:space="0" w:color="auto"/>
                    <w:left w:val="nil"/>
                    <w:bottom w:val="single" w:sz="4" w:space="0" w:color="auto"/>
                    <w:right w:val="nil"/>
                  </w:tcBorders>
                  <w:shd w:val="clear" w:color="auto" w:fill="auto"/>
                  <w:noWrap/>
                  <w:vAlign w:val="center"/>
                </w:tcPr>
                <w:p w14:paraId="5C606654" w14:textId="77777777" w:rsidR="008E6A48" w:rsidRPr="00543D10" w:rsidRDefault="006031ED" w:rsidP="008E6A48">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82,889</w:t>
                  </w:r>
                </w:p>
              </w:tc>
              <w:tc>
                <w:tcPr>
                  <w:tcW w:w="1084" w:type="dxa"/>
                  <w:tcBorders>
                    <w:top w:val="single" w:sz="4" w:space="0" w:color="auto"/>
                    <w:left w:val="nil"/>
                    <w:bottom w:val="single" w:sz="4" w:space="0" w:color="auto"/>
                    <w:right w:val="nil"/>
                  </w:tcBorders>
                  <w:shd w:val="clear" w:color="auto" w:fill="auto"/>
                  <w:noWrap/>
                  <w:vAlign w:val="center"/>
                  <w:hideMark/>
                </w:tcPr>
                <w:p w14:paraId="7942950E" w14:textId="77777777" w:rsidR="008E6A48" w:rsidRPr="00543D10" w:rsidRDefault="00C51D9C" w:rsidP="008E6A48">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w:t>
                  </w:r>
                </w:p>
              </w:tc>
            </w:tr>
            <w:tr w:rsidR="008E6A48" w:rsidRPr="00543D10" w14:paraId="127110C2" w14:textId="77777777" w:rsidTr="006647C2">
              <w:trPr>
                <w:trHeight w:val="323"/>
              </w:trPr>
              <w:tc>
                <w:tcPr>
                  <w:tcW w:w="3119" w:type="dxa"/>
                  <w:tcBorders>
                    <w:top w:val="nil"/>
                    <w:left w:val="nil"/>
                    <w:bottom w:val="single" w:sz="4" w:space="0" w:color="auto"/>
                    <w:right w:val="nil"/>
                  </w:tcBorders>
                  <w:shd w:val="clear" w:color="auto" w:fill="auto"/>
                  <w:noWrap/>
                  <w:vAlign w:val="center"/>
                  <w:hideMark/>
                </w:tcPr>
                <w:p w14:paraId="348F4645" w14:textId="77777777" w:rsidR="008E6A48" w:rsidRPr="00543D10" w:rsidRDefault="008E6A48" w:rsidP="008E6A48">
                  <w:pPr>
                    <w:spacing w:after="0" w:line="240" w:lineRule="auto"/>
                    <w:rPr>
                      <w:rFonts w:ascii="Arial" w:eastAsia="Times New Roman" w:hAnsi="Arial" w:cs="Arial"/>
                      <w:sz w:val="20"/>
                      <w:szCs w:val="20"/>
                      <w:lang w:eastAsia="en-GB"/>
                    </w:rPr>
                  </w:pPr>
                  <w:r w:rsidRPr="00543D10">
                    <w:rPr>
                      <w:rFonts w:ascii="Arial" w:eastAsia="Times New Roman" w:hAnsi="Arial" w:cs="Arial"/>
                      <w:sz w:val="20"/>
                      <w:szCs w:val="20"/>
                      <w:lang w:eastAsia="en-GB"/>
                    </w:rPr>
                    <w:t xml:space="preserve">Total net assets at 1 September </w:t>
                  </w:r>
                  <w:r>
                    <w:rPr>
                      <w:rFonts w:ascii="Arial" w:eastAsia="Times New Roman" w:hAnsi="Arial" w:cs="Arial"/>
                      <w:sz w:val="20"/>
                      <w:szCs w:val="20"/>
                      <w:lang w:eastAsia="en-GB"/>
                    </w:rPr>
                    <w:t>2019</w:t>
                  </w:r>
                </w:p>
              </w:tc>
              <w:tc>
                <w:tcPr>
                  <w:tcW w:w="1277" w:type="dxa"/>
                  <w:tcBorders>
                    <w:top w:val="single" w:sz="4" w:space="0" w:color="auto"/>
                    <w:left w:val="nil"/>
                    <w:bottom w:val="single" w:sz="4" w:space="0" w:color="auto"/>
                    <w:right w:val="nil"/>
                  </w:tcBorders>
                  <w:shd w:val="clear" w:color="auto" w:fill="auto"/>
                  <w:noWrap/>
                  <w:vAlign w:val="center"/>
                </w:tcPr>
                <w:p w14:paraId="778798AF" w14:textId="77777777" w:rsidR="008E6A48" w:rsidRPr="0039438F" w:rsidRDefault="008E6A48" w:rsidP="008E6A48">
                  <w:pPr>
                    <w:spacing w:after="0" w:line="240" w:lineRule="auto"/>
                    <w:jc w:val="right"/>
                    <w:rPr>
                      <w:rFonts w:ascii="Arial" w:eastAsia="Times New Roman" w:hAnsi="Arial" w:cs="Arial"/>
                      <w:sz w:val="20"/>
                      <w:szCs w:val="20"/>
                      <w:lang w:eastAsia="en-GB"/>
                    </w:rPr>
                  </w:pPr>
                  <w:r w:rsidRPr="0039438F">
                    <w:rPr>
                      <w:rFonts w:ascii="Arial" w:eastAsia="Times New Roman" w:hAnsi="Arial" w:cs="Arial"/>
                      <w:bCs/>
                      <w:sz w:val="20"/>
                      <w:szCs w:val="20"/>
                      <w:lang w:eastAsia="en-GB"/>
                    </w:rPr>
                    <w:t>1,733</w:t>
                  </w:r>
                </w:p>
              </w:tc>
              <w:tc>
                <w:tcPr>
                  <w:tcW w:w="1416" w:type="dxa"/>
                  <w:tcBorders>
                    <w:top w:val="single" w:sz="4" w:space="0" w:color="auto"/>
                    <w:left w:val="nil"/>
                    <w:bottom w:val="single" w:sz="4" w:space="0" w:color="auto"/>
                    <w:right w:val="nil"/>
                  </w:tcBorders>
                  <w:shd w:val="clear" w:color="auto" w:fill="auto"/>
                  <w:noWrap/>
                  <w:vAlign w:val="center"/>
                </w:tcPr>
                <w:p w14:paraId="27F966B0" w14:textId="77777777" w:rsidR="008E6A48" w:rsidRPr="0039438F" w:rsidRDefault="008E6A48" w:rsidP="008E6A48">
                  <w:pPr>
                    <w:spacing w:after="0" w:line="240" w:lineRule="auto"/>
                    <w:jc w:val="right"/>
                    <w:rPr>
                      <w:rFonts w:ascii="Arial" w:eastAsia="Times New Roman" w:hAnsi="Arial" w:cs="Arial"/>
                      <w:sz w:val="20"/>
                      <w:szCs w:val="20"/>
                      <w:lang w:eastAsia="en-GB"/>
                    </w:rPr>
                  </w:pPr>
                  <w:r w:rsidRPr="0039438F">
                    <w:rPr>
                      <w:rFonts w:ascii="Arial" w:eastAsia="Times New Roman" w:hAnsi="Arial" w:cs="Arial"/>
                      <w:bCs/>
                      <w:sz w:val="20"/>
                      <w:szCs w:val="20"/>
                      <w:lang w:eastAsia="en-GB"/>
                    </w:rPr>
                    <w:t>(25,118)</w:t>
                  </w:r>
                </w:p>
              </w:tc>
              <w:tc>
                <w:tcPr>
                  <w:tcW w:w="1133" w:type="dxa"/>
                  <w:tcBorders>
                    <w:top w:val="single" w:sz="4" w:space="0" w:color="auto"/>
                    <w:left w:val="nil"/>
                    <w:bottom w:val="single" w:sz="4" w:space="0" w:color="auto"/>
                    <w:right w:val="nil"/>
                  </w:tcBorders>
                  <w:shd w:val="clear" w:color="auto" w:fill="auto"/>
                  <w:noWrap/>
                  <w:vAlign w:val="center"/>
                </w:tcPr>
                <w:p w14:paraId="25E5442F" w14:textId="77777777" w:rsidR="008E6A48" w:rsidRPr="0039438F" w:rsidRDefault="008E6A48" w:rsidP="008E6A48">
                  <w:pPr>
                    <w:spacing w:after="0" w:line="240" w:lineRule="auto"/>
                    <w:jc w:val="right"/>
                    <w:rPr>
                      <w:rFonts w:ascii="Arial" w:eastAsia="Times New Roman" w:hAnsi="Arial" w:cs="Arial"/>
                      <w:sz w:val="20"/>
                      <w:szCs w:val="20"/>
                      <w:lang w:eastAsia="en-GB"/>
                    </w:rPr>
                  </w:pPr>
                  <w:r w:rsidRPr="0039438F">
                    <w:rPr>
                      <w:rFonts w:ascii="Arial" w:eastAsia="Times New Roman" w:hAnsi="Arial" w:cs="Arial"/>
                      <w:bCs/>
                      <w:sz w:val="20"/>
                      <w:szCs w:val="20"/>
                      <w:lang w:eastAsia="en-GB"/>
                    </w:rPr>
                    <w:t>105,466</w:t>
                  </w:r>
                </w:p>
              </w:tc>
              <w:tc>
                <w:tcPr>
                  <w:tcW w:w="1135" w:type="dxa"/>
                  <w:tcBorders>
                    <w:top w:val="nil"/>
                    <w:left w:val="nil"/>
                    <w:bottom w:val="single" w:sz="4" w:space="0" w:color="auto"/>
                    <w:right w:val="nil"/>
                  </w:tcBorders>
                  <w:shd w:val="clear" w:color="auto" w:fill="auto"/>
                  <w:noWrap/>
                  <w:vAlign w:val="center"/>
                  <w:hideMark/>
                </w:tcPr>
                <w:p w14:paraId="6775752C" w14:textId="77777777" w:rsidR="008E6A48" w:rsidRPr="00543D10" w:rsidRDefault="00C51D9C" w:rsidP="0069798A">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w:t>
                  </w:r>
                </w:p>
              </w:tc>
              <w:tc>
                <w:tcPr>
                  <w:tcW w:w="1084" w:type="dxa"/>
                  <w:tcBorders>
                    <w:top w:val="nil"/>
                    <w:left w:val="nil"/>
                    <w:bottom w:val="single" w:sz="4" w:space="0" w:color="auto"/>
                    <w:right w:val="nil"/>
                  </w:tcBorders>
                  <w:shd w:val="clear" w:color="auto" w:fill="auto"/>
                  <w:noWrap/>
                  <w:vAlign w:val="center"/>
                  <w:hideMark/>
                </w:tcPr>
                <w:p w14:paraId="201CF85F" w14:textId="77777777" w:rsidR="008E6A48" w:rsidRPr="0039438F" w:rsidRDefault="00ED7E03" w:rsidP="00C9032F">
                  <w:pPr>
                    <w:spacing w:after="0" w:line="240" w:lineRule="auto"/>
                    <w:jc w:val="right"/>
                    <w:rPr>
                      <w:rFonts w:ascii="Arial" w:eastAsia="Times New Roman" w:hAnsi="Arial" w:cs="Arial"/>
                      <w:bCs/>
                      <w:sz w:val="20"/>
                      <w:szCs w:val="20"/>
                      <w:lang w:eastAsia="en-GB"/>
                    </w:rPr>
                  </w:pPr>
                  <w:r>
                    <w:rPr>
                      <w:rFonts w:ascii="Arial" w:eastAsia="Times New Roman" w:hAnsi="Arial" w:cs="Arial"/>
                      <w:bCs/>
                      <w:sz w:val="20"/>
                      <w:szCs w:val="20"/>
                      <w:lang w:eastAsia="en-GB"/>
                    </w:rPr>
                    <w:t>82,</w:t>
                  </w:r>
                  <w:r w:rsidR="00C9032F">
                    <w:rPr>
                      <w:rFonts w:ascii="Arial" w:eastAsia="Times New Roman" w:hAnsi="Arial" w:cs="Arial"/>
                      <w:bCs/>
                      <w:sz w:val="20"/>
                      <w:szCs w:val="20"/>
                      <w:lang w:eastAsia="en-GB"/>
                    </w:rPr>
                    <w:t>081</w:t>
                  </w:r>
                </w:p>
              </w:tc>
            </w:tr>
          </w:tbl>
          <w:p w14:paraId="169C9774" w14:textId="77777777" w:rsidR="00E70CD3" w:rsidRPr="00543D10" w:rsidRDefault="002B2F3F" w:rsidP="00665BC7">
            <w:pPr>
              <w:spacing w:after="0" w:line="240" w:lineRule="auto"/>
              <w:rPr>
                <w:rFonts w:ascii="Times New Roman" w:eastAsia="Times New Roman" w:hAnsi="Times New Roman" w:cs="Times New Roman"/>
                <w:sz w:val="20"/>
                <w:szCs w:val="20"/>
                <w:lang w:eastAsia="en-GB"/>
              </w:rPr>
            </w:pPr>
            <w:r w:rsidRPr="00543D10">
              <w:rPr>
                <w:rFonts w:ascii="Arial" w:eastAsia="Times New Roman" w:hAnsi="Arial" w:cs="Arial"/>
                <w:b/>
                <w:bCs/>
                <w:sz w:val="24"/>
                <w:szCs w:val="24"/>
                <w:lang w:eastAsia="en-GB"/>
              </w:rPr>
              <w:t>20. Analysis of net assets between funds</w:t>
            </w:r>
          </w:p>
          <w:p w14:paraId="106B00BB" w14:textId="77777777" w:rsidR="00581924" w:rsidRPr="00543D10" w:rsidRDefault="00581924" w:rsidP="007729E5">
            <w:pPr>
              <w:spacing w:after="0" w:line="240" w:lineRule="auto"/>
              <w:rPr>
                <w:rFonts w:ascii="Times New Roman" w:eastAsia="Times New Roman" w:hAnsi="Times New Roman" w:cs="Times New Roman"/>
                <w:sz w:val="20"/>
                <w:szCs w:val="20"/>
                <w:lang w:eastAsia="en-GB"/>
              </w:rPr>
            </w:pPr>
          </w:p>
        </w:tc>
      </w:tr>
      <w:tr w:rsidR="00E70CD3" w:rsidRPr="00C85CAE" w14:paraId="1C838114" w14:textId="77777777" w:rsidTr="007729E5">
        <w:trPr>
          <w:trHeight w:val="615"/>
        </w:trPr>
        <w:tc>
          <w:tcPr>
            <w:tcW w:w="10065" w:type="dxa"/>
            <w:tcBorders>
              <w:top w:val="nil"/>
              <w:left w:val="nil"/>
              <w:bottom w:val="nil"/>
              <w:right w:val="nil"/>
            </w:tcBorders>
            <w:shd w:val="clear" w:color="auto" w:fill="auto"/>
            <w:hideMark/>
          </w:tcPr>
          <w:p w14:paraId="66750D6B" w14:textId="77777777" w:rsidR="00E70CD3" w:rsidRPr="00543D10" w:rsidRDefault="00C36CB2" w:rsidP="002B2F3F">
            <w:pPr>
              <w:spacing w:after="240" w:line="240" w:lineRule="auto"/>
              <w:rPr>
                <w:rFonts w:ascii="Arial" w:hAnsi="Arial" w:cs="Arial"/>
                <w:sz w:val="24"/>
                <w:szCs w:val="24"/>
              </w:rPr>
            </w:pPr>
            <w:r w:rsidRPr="00543D10">
              <w:rPr>
                <w:rFonts w:ascii="Arial" w:hAnsi="Arial" w:cs="Arial"/>
                <w:sz w:val="24"/>
                <w:szCs w:val="24"/>
              </w:rPr>
              <w:br/>
            </w:r>
          </w:p>
          <w:tbl>
            <w:tblPr>
              <w:tblW w:w="9147" w:type="dxa"/>
              <w:tblLayout w:type="fixed"/>
              <w:tblLook w:val="04A0" w:firstRow="1" w:lastRow="0" w:firstColumn="1" w:lastColumn="0" w:noHBand="0" w:noVBand="1"/>
            </w:tblPr>
            <w:tblGrid>
              <w:gridCol w:w="2738"/>
              <w:gridCol w:w="1427"/>
              <w:gridCol w:w="1707"/>
              <w:gridCol w:w="1139"/>
              <w:gridCol w:w="996"/>
              <w:gridCol w:w="1140"/>
            </w:tblGrid>
            <w:tr w:rsidR="00543D10" w:rsidRPr="00543D10" w14:paraId="4A193BE8" w14:textId="77777777" w:rsidTr="00697C96">
              <w:trPr>
                <w:trHeight w:val="853"/>
              </w:trPr>
              <w:tc>
                <w:tcPr>
                  <w:tcW w:w="2738" w:type="dxa"/>
                  <w:tcBorders>
                    <w:top w:val="nil"/>
                    <w:left w:val="nil"/>
                    <w:bottom w:val="nil"/>
                    <w:right w:val="nil"/>
                  </w:tcBorders>
                  <w:shd w:val="clear" w:color="auto" w:fill="auto"/>
                  <w:vAlign w:val="center"/>
                  <w:hideMark/>
                </w:tcPr>
                <w:p w14:paraId="3390BA48" w14:textId="77777777" w:rsidR="00C36CB2" w:rsidRPr="00543D10" w:rsidRDefault="00C36CB2" w:rsidP="00C36CB2">
                  <w:pPr>
                    <w:spacing w:after="0" w:line="240" w:lineRule="auto"/>
                    <w:rPr>
                      <w:rFonts w:ascii="Times New Roman" w:eastAsia="Times New Roman" w:hAnsi="Times New Roman" w:cs="Times New Roman"/>
                      <w:sz w:val="20"/>
                      <w:szCs w:val="20"/>
                      <w:lang w:eastAsia="en-GB"/>
                    </w:rPr>
                  </w:pPr>
                </w:p>
              </w:tc>
              <w:tc>
                <w:tcPr>
                  <w:tcW w:w="1426" w:type="dxa"/>
                  <w:tcBorders>
                    <w:top w:val="nil"/>
                    <w:left w:val="nil"/>
                    <w:bottom w:val="nil"/>
                    <w:right w:val="nil"/>
                  </w:tcBorders>
                  <w:shd w:val="clear" w:color="auto" w:fill="auto"/>
                  <w:hideMark/>
                </w:tcPr>
                <w:p w14:paraId="52473206" w14:textId="77777777" w:rsidR="00C36CB2" w:rsidRPr="00543D10" w:rsidRDefault="00C36CB2" w:rsidP="005229F1">
                  <w:pPr>
                    <w:spacing w:after="0" w:line="240" w:lineRule="auto"/>
                    <w:jc w:val="right"/>
                    <w:rPr>
                      <w:rFonts w:ascii="Arial" w:eastAsia="Times New Roman" w:hAnsi="Arial" w:cs="Arial"/>
                      <w:sz w:val="20"/>
                      <w:szCs w:val="20"/>
                      <w:lang w:eastAsia="en-GB"/>
                    </w:rPr>
                  </w:pPr>
                  <w:r w:rsidRPr="00543D10">
                    <w:rPr>
                      <w:rFonts w:ascii="Arial" w:eastAsia="Times New Roman" w:hAnsi="Arial" w:cs="Arial"/>
                      <w:sz w:val="20"/>
                      <w:szCs w:val="20"/>
                      <w:lang w:eastAsia="en-GB"/>
                    </w:rPr>
                    <w:t>Designated</w:t>
                  </w:r>
                </w:p>
              </w:tc>
              <w:tc>
                <w:tcPr>
                  <w:tcW w:w="1707" w:type="dxa"/>
                  <w:tcBorders>
                    <w:top w:val="nil"/>
                    <w:left w:val="nil"/>
                    <w:bottom w:val="nil"/>
                    <w:right w:val="nil"/>
                  </w:tcBorders>
                  <w:shd w:val="clear" w:color="auto" w:fill="auto"/>
                  <w:hideMark/>
                </w:tcPr>
                <w:p w14:paraId="1056F02B" w14:textId="77777777" w:rsidR="00C36CB2" w:rsidRPr="00543D10" w:rsidRDefault="00C36CB2" w:rsidP="009D2F22">
                  <w:pPr>
                    <w:spacing w:after="0" w:line="240" w:lineRule="auto"/>
                    <w:jc w:val="right"/>
                    <w:rPr>
                      <w:rFonts w:ascii="Arial" w:eastAsia="Times New Roman" w:hAnsi="Arial" w:cs="Arial"/>
                      <w:sz w:val="20"/>
                      <w:szCs w:val="20"/>
                      <w:lang w:eastAsia="en-GB"/>
                    </w:rPr>
                  </w:pPr>
                  <w:r w:rsidRPr="00543D10">
                    <w:rPr>
                      <w:rFonts w:ascii="Arial" w:eastAsia="Times New Roman" w:hAnsi="Arial" w:cs="Arial"/>
                      <w:sz w:val="20"/>
                      <w:szCs w:val="20"/>
                      <w:lang w:eastAsia="en-GB"/>
                    </w:rPr>
                    <w:t xml:space="preserve">Unrestricted (including pension </w:t>
                  </w:r>
                  <w:r w:rsidR="009D2F22" w:rsidRPr="00543D10">
                    <w:rPr>
                      <w:rFonts w:ascii="Arial" w:eastAsia="Times New Roman" w:hAnsi="Arial" w:cs="Arial"/>
                      <w:sz w:val="20"/>
                      <w:szCs w:val="20"/>
                      <w:lang w:eastAsia="en-GB"/>
                    </w:rPr>
                    <w:t>surplus</w:t>
                  </w:r>
                  <w:r w:rsidRPr="00543D10">
                    <w:rPr>
                      <w:rFonts w:ascii="Arial" w:eastAsia="Times New Roman" w:hAnsi="Arial" w:cs="Arial"/>
                      <w:sz w:val="20"/>
                      <w:szCs w:val="20"/>
                      <w:lang w:eastAsia="en-GB"/>
                    </w:rPr>
                    <w:t>)</w:t>
                  </w:r>
                </w:p>
              </w:tc>
              <w:tc>
                <w:tcPr>
                  <w:tcW w:w="1139" w:type="dxa"/>
                  <w:tcBorders>
                    <w:top w:val="nil"/>
                    <w:left w:val="nil"/>
                    <w:bottom w:val="nil"/>
                    <w:right w:val="nil"/>
                  </w:tcBorders>
                  <w:shd w:val="clear" w:color="auto" w:fill="auto"/>
                  <w:hideMark/>
                </w:tcPr>
                <w:p w14:paraId="724848E1" w14:textId="77777777" w:rsidR="00C36CB2" w:rsidRPr="00543D10" w:rsidRDefault="00C36CB2" w:rsidP="005229F1">
                  <w:pPr>
                    <w:spacing w:after="0" w:line="240" w:lineRule="auto"/>
                    <w:jc w:val="right"/>
                    <w:rPr>
                      <w:rFonts w:ascii="Arial" w:eastAsia="Times New Roman" w:hAnsi="Arial" w:cs="Arial"/>
                      <w:sz w:val="20"/>
                      <w:szCs w:val="20"/>
                      <w:lang w:eastAsia="en-GB"/>
                    </w:rPr>
                  </w:pPr>
                  <w:r w:rsidRPr="00543D10">
                    <w:rPr>
                      <w:rFonts w:ascii="Arial" w:eastAsia="Times New Roman" w:hAnsi="Arial" w:cs="Arial"/>
                      <w:sz w:val="20"/>
                      <w:szCs w:val="20"/>
                      <w:lang w:eastAsia="en-GB"/>
                    </w:rPr>
                    <w:t>Restricted</w:t>
                  </w:r>
                </w:p>
              </w:tc>
              <w:tc>
                <w:tcPr>
                  <w:tcW w:w="996" w:type="dxa"/>
                  <w:tcBorders>
                    <w:top w:val="nil"/>
                    <w:left w:val="nil"/>
                    <w:bottom w:val="nil"/>
                    <w:right w:val="nil"/>
                  </w:tcBorders>
                  <w:shd w:val="clear" w:color="auto" w:fill="auto"/>
                  <w:hideMark/>
                </w:tcPr>
                <w:p w14:paraId="5A20E6D5" w14:textId="77777777" w:rsidR="00C36CB2" w:rsidRPr="00543D10" w:rsidRDefault="00C36CB2" w:rsidP="005229F1">
                  <w:pPr>
                    <w:spacing w:after="0" w:line="240" w:lineRule="auto"/>
                    <w:jc w:val="right"/>
                    <w:rPr>
                      <w:rFonts w:ascii="Arial" w:eastAsia="Times New Roman" w:hAnsi="Arial" w:cs="Arial"/>
                      <w:b/>
                      <w:bCs/>
                      <w:sz w:val="20"/>
                      <w:szCs w:val="20"/>
                      <w:lang w:eastAsia="en-GB"/>
                    </w:rPr>
                  </w:pPr>
                  <w:r w:rsidRPr="00543D10">
                    <w:rPr>
                      <w:rFonts w:ascii="Arial" w:eastAsia="Times New Roman" w:hAnsi="Arial" w:cs="Arial"/>
                      <w:b/>
                      <w:bCs/>
                      <w:sz w:val="20"/>
                      <w:szCs w:val="20"/>
                      <w:lang w:eastAsia="en-GB"/>
                    </w:rPr>
                    <w:t xml:space="preserve">Total funds </w:t>
                  </w:r>
                  <w:r w:rsidR="0037645F">
                    <w:rPr>
                      <w:rFonts w:ascii="Arial" w:eastAsia="Times New Roman" w:hAnsi="Arial" w:cs="Arial"/>
                      <w:b/>
                      <w:bCs/>
                      <w:sz w:val="20"/>
                      <w:szCs w:val="20"/>
                      <w:lang w:eastAsia="en-GB"/>
                    </w:rPr>
                    <w:t>2020</w:t>
                  </w:r>
                </w:p>
              </w:tc>
              <w:tc>
                <w:tcPr>
                  <w:tcW w:w="1140" w:type="dxa"/>
                  <w:tcBorders>
                    <w:top w:val="nil"/>
                    <w:left w:val="nil"/>
                    <w:bottom w:val="nil"/>
                    <w:right w:val="nil"/>
                  </w:tcBorders>
                  <w:shd w:val="clear" w:color="auto" w:fill="auto"/>
                  <w:hideMark/>
                </w:tcPr>
                <w:p w14:paraId="3B446666" w14:textId="77777777" w:rsidR="00C36CB2" w:rsidRPr="00543D10" w:rsidRDefault="00C36CB2" w:rsidP="005229F1">
                  <w:pPr>
                    <w:spacing w:after="0" w:line="240" w:lineRule="auto"/>
                    <w:jc w:val="right"/>
                    <w:rPr>
                      <w:rFonts w:ascii="Arial" w:eastAsia="Times New Roman" w:hAnsi="Arial" w:cs="Arial"/>
                      <w:sz w:val="20"/>
                      <w:szCs w:val="20"/>
                      <w:lang w:eastAsia="en-GB"/>
                    </w:rPr>
                  </w:pPr>
                  <w:r w:rsidRPr="00543D10">
                    <w:rPr>
                      <w:rFonts w:ascii="Arial" w:eastAsia="Times New Roman" w:hAnsi="Arial" w:cs="Arial"/>
                      <w:sz w:val="20"/>
                      <w:szCs w:val="20"/>
                      <w:lang w:eastAsia="en-GB"/>
                    </w:rPr>
                    <w:t xml:space="preserve">Total funds </w:t>
                  </w:r>
                  <w:r w:rsidR="0037645F">
                    <w:rPr>
                      <w:rFonts w:ascii="Arial" w:eastAsia="Times New Roman" w:hAnsi="Arial" w:cs="Arial"/>
                      <w:sz w:val="20"/>
                      <w:szCs w:val="20"/>
                      <w:lang w:eastAsia="en-GB"/>
                    </w:rPr>
                    <w:t>2019</w:t>
                  </w:r>
                </w:p>
              </w:tc>
            </w:tr>
            <w:tr w:rsidR="00543D10" w:rsidRPr="00543D10" w14:paraId="6D9826E2" w14:textId="77777777" w:rsidTr="00697C96">
              <w:trPr>
                <w:trHeight w:val="322"/>
              </w:trPr>
              <w:tc>
                <w:tcPr>
                  <w:tcW w:w="2738" w:type="dxa"/>
                  <w:tcBorders>
                    <w:top w:val="nil"/>
                    <w:left w:val="nil"/>
                    <w:bottom w:val="single" w:sz="4" w:space="0" w:color="auto"/>
                    <w:right w:val="nil"/>
                  </w:tcBorders>
                  <w:shd w:val="clear" w:color="auto" w:fill="auto"/>
                  <w:noWrap/>
                  <w:vAlign w:val="center"/>
                  <w:hideMark/>
                </w:tcPr>
                <w:p w14:paraId="451C1FDA" w14:textId="77777777" w:rsidR="00C36CB2" w:rsidRPr="00543D10" w:rsidRDefault="00C36CB2" w:rsidP="00C36CB2">
                  <w:pPr>
                    <w:spacing w:after="0" w:line="240" w:lineRule="auto"/>
                    <w:rPr>
                      <w:rFonts w:ascii="Arial" w:eastAsia="Times New Roman" w:hAnsi="Arial" w:cs="Arial"/>
                      <w:b/>
                      <w:bCs/>
                      <w:sz w:val="20"/>
                      <w:szCs w:val="20"/>
                      <w:lang w:eastAsia="en-GB"/>
                    </w:rPr>
                  </w:pPr>
                  <w:r w:rsidRPr="00543D10">
                    <w:rPr>
                      <w:rFonts w:ascii="Arial" w:eastAsia="Times New Roman" w:hAnsi="Arial" w:cs="Arial"/>
                      <w:b/>
                      <w:bCs/>
                      <w:sz w:val="20"/>
                      <w:szCs w:val="20"/>
                      <w:lang w:eastAsia="en-GB"/>
                    </w:rPr>
                    <w:t>Company</w:t>
                  </w:r>
                </w:p>
              </w:tc>
              <w:tc>
                <w:tcPr>
                  <w:tcW w:w="1426" w:type="dxa"/>
                  <w:tcBorders>
                    <w:top w:val="nil"/>
                    <w:left w:val="nil"/>
                    <w:bottom w:val="single" w:sz="4" w:space="0" w:color="auto"/>
                    <w:right w:val="nil"/>
                  </w:tcBorders>
                  <w:shd w:val="clear" w:color="auto" w:fill="auto"/>
                  <w:noWrap/>
                  <w:vAlign w:val="center"/>
                  <w:hideMark/>
                </w:tcPr>
                <w:p w14:paraId="62FECF9A" w14:textId="77777777" w:rsidR="00C36CB2" w:rsidRPr="00543D10" w:rsidRDefault="00C36CB2" w:rsidP="005229F1">
                  <w:pPr>
                    <w:spacing w:after="0" w:line="240" w:lineRule="auto"/>
                    <w:jc w:val="right"/>
                    <w:rPr>
                      <w:rFonts w:ascii="Arial" w:eastAsia="Times New Roman" w:hAnsi="Arial" w:cs="Arial"/>
                      <w:sz w:val="20"/>
                      <w:szCs w:val="20"/>
                      <w:lang w:eastAsia="en-GB"/>
                    </w:rPr>
                  </w:pPr>
                  <w:r w:rsidRPr="00543D10">
                    <w:rPr>
                      <w:rFonts w:ascii="Arial" w:eastAsia="Times New Roman" w:hAnsi="Arial" w:cs="Arial"/>
                      <w:sz w:val="20"/>
                      <w:szCs w:val="20"/>
                      <w:lang w:eastAsia="en-GB"/>
                    </w:rPr>
                    <w:t>£'000</w:t>
                  </w:r>
                </w:p>
              </w:tc>
              <w:tc>
                <w:tcPr>
                  <w:tcW w:w="1707" w:type="dxa"/>
                  <w:tcBorders>
                    <w:top w:val="nil"/>
                    <w:left w:val="nil"/>
                    <w:bottom w:val="single" w:sz="4" w:space="0" w:color="auto"/>
                    <w:right w:val="nil"/>
                  </w:tcBorders>
                  <w:shd w:val="clear" w:color="auto" w:fill="auto"/>
                  <w:noWrap/>
                  <w:vAlign w:val="center"/>
                  <w:hideMark/>
                </w:tcPr>
                <w:p w14:paraId="646F25E1" w14:textId="77777777" w:rsidR="00C36CB2" w:rsidRPr="00543D10" w:rsidRDefault="00C36CB2" w:rsidP="005229F1">
                  <w:pPr>
                    <w:spacing w:after="0" w:line="240" w:lineRule="auto"/>
                    <w:jc w:val="right"/>
                    <w:rPr>
                      <w:rFonts w:ascii="Arial" w:eastAsia="Times New Roman" w:hAnsi="Arial" w:cs="Arial"/>
                      <w:sz w:val="20"/>
                      <w:szCs w:val="20"/>
                      <w:lang w:eastAsia="en-GB"/>
                    </w:rPr>
                  </w:pPr>
                  <w:r w:rsidRPr="00543D10">
                    <w:rPr>
                      <w:rFonts w:ascii="Arial" w:eastAsia="Times New Roman" w:hAnsi="Arial" w:cs="Arial"/>
                      <w:sz w:val="20"/>
                      <w:szCs w:val="20"/>
                      <w:lang w:eastAsia="en-GB"/>
                    </w:rPr>
                    <w:t>£'000</w:t>
                  </w:r>
                </w:p>
              </w:tc>
              <w:tc>
                <w:tcPr>
                  <w:tcW w:w="1139" w:type="dxa"/>
                  <w:tcBorders>
                    <w:top w:val="nil"/>
                    <w:left w:val="nil"/>
                    <w:bottom w:val="single" w:sz="4" w:space="0" w:color="auto"/>
                    <w:right w:val="nil"/>
                  </w:tcBorders>
                  <w:shd w:val="clear" w:color="auto" w:fill="auto"/>
                  <w:noWrap/>
                  <w:vAlign w:val="center"/>
                  <w:hideMark/>
                </w:tcPr>
                <w:p w14:paraId="170D07E6" w14:textId="77777777" w:rsidR="00C36CB2" w:rsidRPr="00543D10" w:rsidRDefault="00C36CB2" w:rsidP="005229F1">
                  <w:pPr>
                    <w:spacing w:after="0" w:line="240" w:lineRule="auto"/>
                    <w:jc w:val="right"/>
                    <w:rPr>
                      <w:rFonts w:ascii="Arial" w:eastAsia="Times New Roman" w:hAnsi="Arial" w:cs="Arial"/>
                      <w:sz w:val="20"/>
                      <w:szCs w:val="20"/>
                      <w:lang w:eastAsia="en-GB"/>
                    </w:rPr>
                  </w:pPr>
                  <w:r w:rsidRPr="00543D10">
                    <w:rPr>
                      <w:rFonts w:ascii="Arial" w:eastAsia="Times New Roman" w:hAnsi="Arial" w:cs="Arial"/>
                      <w:sz w:val="20"/>
                      <w:szCs w:val="20"/>
                      <w:lang w:eastAsia="en-GB"/>
                    </w:rPr>
                    <w:t>£'000</w:t>
                  </w:r>
                </w:p>
              </w:tc>
              <w:tc>
                <w:tcPr>
                  <w:tcW w:w="996" w:type="dxa"/>
                  <w:tcBorders>
                    <w:top w:val="nil"/>
                    <w:left w:val="nil"/>
                    <w:bottom w:val="single" w:sz="4" w:space="0" w:color="auto"/>
                    <w:right w:val="nil"/>
                  </w:tcBorders>
                  <w:shd w:val="clear" w:color="auto" w:fill="auto"/>
                  <w:noWrap/>
                  <w:vAlign w:val="center"/>
                  <w:hideMark/>
                </w:tcPr>
                <w:p w14:paraId="69F4D041" w14:textId="77777777" w:rsidR="00C36CB2" w:rsidRPr="00543D10" w:rsidRDefault="00C36CB2" w:rsidP="005229F1">
                  <w:pPr>
                    <w:spacing w:after="0" w:line="240" w:lineRule="auto"/>
                    <w:jc w:val="right"/>
                    <w:rPr>
                      <w:rFonts w:ascii="Arial" w:eastAsia="Times New Roman" w:hAnsi="Arial" w:cs="Arial"/>
                      <w:b/>
                      <w:bCs/>
                      <w:sz w:val="20"/>
                      <w:szCs w:val="20"/>
                      <w:lang w:eastAsia="en-GB"/>
                    </w:rPr>
                  </w:pPr>
                  <w:r w:rsidRPr="00543D10">
                    <w:rPr>
                      <w:rFonts w:ascii="Arial" w:eastAsia="Times New Roman" w:hAnsi="Arial" w:cs="Arial"/>
                      <w:b/>
                      <w:bCs/>
                      <w:sz w:val="20"/>
                      <w:szCs w:val="20"/>
                      <w:lang w:eastAsia="en-GB"/>
                    </w:rPr>
                    <w:t>£'000</w:t>
                  </w:r>
                </w:p>
              </w:tc>
              <w:tc>
                <w:tcPr>
                  <w:tcW w:w="1140" w:type="dxa"/>
                  <w:tcBorders>
                    <w:top w:val="nil"/>
                    <w:left w:val="nil"/>
                    <w:bottom w:val="single" w:sz="4" w:space="0" w:color="auto"/>
                    <w:right w:val="nil"/>
                  </w:tcBorders>
                  <w:shd w:val="clear" w:color="auto" w:fill="auto"/>
                  <w:noWrap/>
                  <w:vAlign w:val="center"/>
                  <w:hideMark/>
                </w:tcPr>
                <w:p w14:paraId="6FE63550" w14:textId="77777777" w:rsidR="00C36CB2" w:rsidRPr="00543D10" w:rsidRDefault="00C36CB2" w:rsidP="005229F1">
                  <w:pPr>
                    <w:spacing w:after="0" w:line="240" w:lineRule="auto"/>
                    <w:jc w:val="right"/>
                    <w:rPr>
                      <w:rFonts w:ascii="Arial" w:eastAsia="Times New Roman" w:hAnsi="Arial" w:cs="Arial"/>
                      <w:sz w:val="20"/>
                      <w:szCs w:val="20"/>
                      <w:lang w:eastAsia="en-GB"/>
                    </w:rPr>
                  </w:pPr>
                  <w:r w:rsidRPr="00543D10">
                    <w:rPr>
                      <w:rFonts w:ascii="Arial" w:eastAsia="Times New Roman" w:hAnsi="Arial" w:cs="Arial"/>
                      <w:sz w:val="20"/>
                      <w:szCs w:val="20"/>
                      <w:lang w:eastAsia="en-GB"/>
                    </w:rPr>
                    <w:t>£'000</w:t>
                  </w:r>
                </w:p>
              </w:tc>
            </w:tr>
            <w:tr w:rsidR="00543D10" w:rsidRPr="00543D10" w14:paraId="08933521" w14:textId="77777777" w:rsidTr="00697C96">
              <w:trPr>
                <w:trHeight w:val="322"/>
              </w:trPr>
              <w:tc>
                <w:tcPr>
                  <w:tcW w:w="4165" w:type="dxa"/>
                  <w:gridSpan w:val="2"/>
                  <w:tcBorders>
                    <w:top w:val="nil"/>
                    <w:left w:val="nil"/>
                    <w:bottom w:val="nil"/>
                    <w:right w:val="nil"/>
                  </w:tcBorders>
                  <w:shd w:val="clear" w:color="auto" w:fill="auto"/>
                  <w:noWrap/>
                  <w:vAlign w:val="center"/>
                  <w:hideMark/>
                </w:tcPr>
                <w:p w14:paraId="0118B0CE" w14:textId="77777777" w:rsidR="00C36CB2" w:rsidRPr="00543D10" w:rsidRDefault="00C36CB2" w:rsidP="005229F1">
                  <w:pPr>
                    <w:spacing w:after="0" w:line="240" w:lineRule="auto"/>
                    <w:rPr>
                      <w:rFonts w:ascii="Arial" w:eastAsia="Times New Roman" w:hAnsi="Arial" w:cs="Arial"/>
                      <w:b/>
                      <w:bCs/>
                      <w:sz w:val="20"/>
                      <w:szCs w:val="20"/>
                      <w:lang w:eastAsia="en-GB"/>
                    </w:rPr>
                  </w:pPr>
                  <w:r w:rsidRPr="00543D10">
                    <w:rPr>
                      <w:rFonts w:ascii="Arial" w:eastAsia="Times New Roman" w:hAnsi="Arial" w:cs="Arial"/>
                      <w:b/>
                      <w:bCs/>
                      <w:sz w:val="20"/>
                      <w:szCs w:val="20"/>
                      <w:lang w:eastAsia="en-GB"/>
                    </w:rPr>
                    <w:t xml:space="preserve">Fund balances at 1 September </w:t>
                  </w:r>
                  <w:r w:rsidRPr="00543D10">
                    <w:rPr>
                      <w:rFonts w:ascii="Arial" w:eastAsia="Times New Roman" w:hAnsi="Arial" w:cs="Arial"/>
                      <w:b/>
                      <w:bCs/>
                      <w:sz w:val="20"/>
                      <w:szCs w:val="20"/>
                      <w:lang w:eastAsia="en-GB"/>
                    </w:rPr>
                    <w:br/>
                    <w:t>are represented by:</w:t>
                  </w:r>
                </w:p>
              </w:tc>
              <w:tc>
                <w:tcPr>
                  <w:tcW w:w="1707" w:type="dxa"/>
                  <w:tcBorders>
                    <w:top w:val="nil"/>
                    <w:left w:val="nil"/>
                    <w:bottom w:val="nil"/>
                    <w:right w:val="nil"/>
                  </w:tcBorders>
                  <w:shd w:val="clear" w:color="auto" w:fill="auto"/>
                  <w:noWrap/>
                  <w:vAlign w:val="center"/>
                  <w:hideMark/>
                </w:tcPr>
                <w:p w14:paraId="2B437653" w14:textId="77777777" w:rsidR="00C36CB2" w:rsidRPr="00543D10" w:rsidRDefault="00C36CB2" w:rsidP="005229F1">
                  <w:pPr>
                    <w:spacing w:after="0" w:line="240" w:lineRule="auto"/>
                    <w:jc w:val="right"/>
                    <w:rPr>
                      <w:rFonts w:ascii="Arial" w:eastAsia="Times New Roman" w:hAnsi="Arial" w:cs="Arial"/>
                      <w:b/>
                      <w:bCs/>
                      <w:sz w:val="20"/>
                      <w:szCs w:val="20"/>
                      <w:lang w:eastAsia="en-GB"/>
                    </w:rPr>
                  </w:pPr>
                </w:p>
              </w:tc>
              <w:tc>
                <w:tcPr>
                  <w:tcW w:w="1139" w:type="dxa"/>
                  <w:tcBorders>
                    <w:top w:val="nil"/>
                    <w:left w:val="nil"/>
                    <w:bottom w:val="nil"/>
                    <w:right w:val="nil"/>
                  </w:tcBorders>
                  <w:shd w:val="clear" w:color="auto" w:fill="auto"/>
                  <w:noWrap/>
                  <w:vAlign w:val="center"/>
                  <w:hideMark/>
                </w:tcPr>
                <w:p w14:paraId="561F1D6D" w14:textId="77777777" w:rsidR="00C36CB2" w:rsidRPr="00543D10" w:rsidRDefault="00C36CB2" w:rsidP="005229F1">
                  <w:pPr>
                    <w:spacing w:after="0" w:line="240" w:lineRule="auto"/>
                    <w:jc w:val="right"/>
                    <w:rPr>
                      <w:rFonts w:ascii="Times New Roman" w:eastAsia="Times New Roman" w:hAnsi="Times New Roman" w:cs="Times New Roman"/>
                      <w:sz w:val="20"/>
                      <w:szCs w:val="20"/>
                      <w:lang w:eastAsia="en-GB"/>
                    </w:rPr>
                  </w:pPr>
                </w:p>
              </w:tc>
              <w:tc>
                <w:tcPr>
                  <w:tcW w:w="996" w:type="dxa"/>
                  <w:tcBorders>
                    <w:top w:val="nil"/>
                    <w:left w:val="nil"/>
                    <w:bottom w:val="nil"/>
                    <w:right w:val="nil"/>
                  </w:tcBorders>
                  <w:shd w:val="clear" w:color="auto" w:fill="auto"/>
                  <w:noWrap/>
                  <w:vAlign w:val="center"/>
                  <w:hideMark/>
                </w:tcPr>
                <w:p w14:paraId="02B8CAB0" w14:textId="77777777" w:rsidR="00C36CB2" w:rsidRPr="00543D10" w:rsidRDefault="00C36CB2" w:rsidP="005229F1">
                  <w:pPr>
                    <w:spacing w:after="0" w:line="240" w:lineRule="auto"/>
                    <w:jc w:val="right"/>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center"/>
                  <w:hideMark/>
                </w:tcPr>
                <w:p w14:paraId="064462E9" w14:textId="77777777" w:rsidR="00C36CB2" w:rsidRPr="00543D10" w:rsidRDefault="00C36CB2" w:rsidP="005229F1">
                  <w:pPr>
                    <w:spacing w:after="0" w:line="240" w:lineRule="auto"/>
                    <w:jc w:val="right"/>
                    <w:rPr>
                      <w:rFonts w:ascii="Times New Roman" w:eastAsia="Times New Roman" w:hAnsi="Times New Roman" w:cs="Times New Roman"/>
                      <w:sz w:val="20"/>
                      <w:szCs w:val="20"/>
                      <w:lang w:eastAsia="en-GB"/>
                    </w:rPr>
                  </w:pPr>
                </w:p>
              </w:tc>
            </w:tr>
            <w:tr w:rsidR="0039438F" w:rsidRPr="00543D10" w14:paraId="73B64658" w14:textId="77777777" w:rsidTr="00697C96">
              <w:trPr>
                <w:trHeight w:val="322"/>
              </w:trPr>
              <w:tc>
                <w:tcPr>
                  <w:tcW w:w="2738" w:type="dxa"/>
                  <w:tcBorders>
                    <w:top w:val="nil"/>
                    <w:left w:val="nil"/>
                    <w:bottom w:val="nil"/>
                    <w:right w:val="nil"/>
                  </w:tcBorders>
                  <w:shd w:val="clear" w:color="auto" w:fill="auto"/>
                  <w:noWrap/>
                  <w:vAlign w:val="center"/>
                  <w:hideMark/>
                </w:tcPr>
                <w:p w14:paraId="1269EB1A" w14:textId="77777777" w:rsidR="0039438F" w:rsidRPr="00543D10" w:rsidRDefault="0039438F" w:rsidP="0039438F">
                  <w:pPr>
                    <w:spacing w:after="0" w:line="240" w:lineRule="auto"/>
                    <w:rPr>
                      <w:rFonts w:ascii="Arial" w:eastAsia="Times New Roman" w:hAnsi="Arial" w:cs="Arial"/>
                      <w:sz w:val="20"/>
                      <w:szCs w:val="20"/>
                      <w:lang w:eastAsia="en-GB"/>
                    </w:rPr>
                  </w:pPr>
                  <w:r w:rsidRPr="00543D10">
                    <w:rPr>
                      <w:rFonts w:ascii="Arial" w:eastAsia="Times New Roman" w:hAnsi="Arial" w:cs="Arial"/>
                      <w:sz w:val="20"/>
                      <w:szCs w:val="20"/>
                      <w:lang w:eastAsia="en-GB"/>
                    </w:rPr>
                    <w:t>Intangible fixed assets</w:t>
                  </w:r>
                </w:p>
              </w:tc>
              <w:tc>
                <w:tcPr>
                  <w:tcW w:w="1426" w:type="dxa"/>
                  <w:tcBorders>
                    <w:top w:val="nil"/>
                    <w:left w:val="nil"/>
                    <w:bottom w:val="nil"/>
                    <w:right w:val="nil"/>
                  </w:tcBorders>
                  <w:shd w:val="clear" w:color="auto" w:fill="auto"/>
                  <w:noWrap/>
                  <w:vAlign w:val="center"/>
                </w:tcPr>
                <w:p w14:paraId="046D10E7" w14:textId="77777777" w:rsidR="0039438F" w:rsidRPr="00543D10" w:rsidRDefault="00E25CBD" w:rsidP="0039438F">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w:t>
                  </w:r>
                </w:p>
              </w:tc>
              <w:tc>
                <w:tcPr>
                  <w:tcW w:w="1707" w:type="dxa"/>
                  <w:tcBorders>
                    <w:top w:val="nil"/>
                    <w:left w:val="nil"/>
                    <w:bottom w:val="nil"/>
                    <w:right w:val="nil"/>
                  </w:tcBorders>
                  <w:shd w:val="clear" w:color="auto" w:fill="auto"/>
                  <w:noWrap/>
                  <w:vAlign w:val="center"/>
                </w:tcPr>
                <w:p w14:paraId="672E334D" w14:textId="77777777" w:rsidR="0039438F" w:rsidRPr="00543D10" w:rsidRDefault="00E25CBD" w:rsidP="0039438F">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488</w:t>
                  </w:r>
                </w:p>
              </w:tc>
              <w:tc>
                <w:tcPr>
                  <w:tcW w:w="1139" w:type="dxa"/>
                  <w:tcBorders>
                    <w:top w:val="nil"/>
                    <w:left w:val="nil"/>
                    <w:bottom w:val="nil"/>
                    <w:right w:val="nil"/>
                  </w:tcBorders>
                  <w:shd w:val="clear" w:color="auto" w:fill="auto"/>
                  <w:noWrap/>
                  <w:vAlign w:val="center"/>
                </w:tcPr>
                <w:p w14:paraId="7272F274" w14:textId="77777777" w:rsidR="0039438F" w:rsidRPr="00543D10" w:rsidRDefault="00E25CBD" w:rsidP="0039438F">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w:t>
                  </w:r>
                </w:p>
              </w:tc>
              <w:tc>
                <w:tcPr>
                  <w:tcW w:w="996" w:type="dxa"/>
                  <w:tcBorders>
                    <w:top w:val="nil"/>
                    <w:left w:val="nil"/>
                    <w:bottom w:val="nil"/>
                    <w:right w:val="nil"/>
                  </w:tcBorders>
                  <w:shd w:val="clear" w:color="auto" w:fill="auto"/>
                  <w:noWrap/>
                  <w:vAlign w:val="center"/>
                </w:tcPr>
                <w:p w14:paraId="3ECC320B" w14:textId="77777777" w:rsidR="0039438F" w:rsidRPr="00543D10" w:rsidRDefault="00E25CBD" w:rsidP="0039438F">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488</w:t>
                  </w:r>
                </w:p>
              </w:tc>
              <w:tc>
                <w:tcPr>
                  <w:tcW w:w="1140" w:type="dxa"/>
                  <w:tcBorders>
                    <w:top w:val="nil"/>
                    <w:left w:val="nil"/>
                    <w:bottom w:val="nil"/>
                    <w:right w:val="nil"/>
                  </w:tcBorders>
                  <w:shd w:val="clear" w:color="auto" w:fill="auto"/>
                  <w:noWrap/>
                  <w:vAlign w:val="center"/>
                  <w:hideMark/>
                </w:tcPr>
                <w:p w14:paraId="3AA8AB09" w14:textId="77777777" w:rsidR="0039438F" w:rsidRPr="0039438F" w:rsidRDefault="0039438F" w:rsidP="0039438F">
                  <w:pPr>
                    <w:spacing w:after="0" w:line="240" w:lineRule="auto"/>
                    <w:jc w:val="right"/>
                    <w:rPr>
                      <w:rFonts w:ascii="Arial" w:eastAsia="Times New Roman" w:hAnsi="Arial" w:cs="Arial"/>
                      <w:sz w:val="20"/>
                      <w:szCs w:val="20"/>
                      <w:lang w:eastAsia="en-GB"/>
                    </w:rPr>
                  </w:pPr>
                  <w:r w:rsidRPr="0039438F">
                    <w:rPr>
                      <w:rFonts w:ascii="Arial" w:eastAsia="Times New Roman" w:hAnsi="Arial" w:cs="Arial"/>
                      <w:bCs/>
                      <w:sz w:val="20"/>
                      <w:szCs w:val="20"/>
                      <w:lang w:eastAsia="en-GB"/>
                    </w:rPr>
                    <w:t>702</w:t>
                  </w:r>
                </w:p>
              </w:tc>
            </w:tr>
            <w:tr w:rsidR="0039438F" w:rsidRPr="00543D10" w14:paraId="672CAAD9" w14:textId="77777777" w:rsidTr="00697C96">
              <w:trPr>
                <w:trHeight w:val="322"/>
              </w:trPr>
              <w:tc>
                <w:tcPr>
                  <w:tcW w:w="2738" w:type="dxa"/>
                  <w:tcBorders>
                    <w:top w:val="nil"/>
                    <w:left w:val="nil"/>
                    <w:bottom w:val="nil"/>
                    <w:right w:val="nil"/>
                  </w:tcBorders>
                  <w:shd w:val="clear" w:color="auto" w:fill="auto"/>
                  <w:noWrap/>
                  <w:vAlign w:val="center"/>
                  <w:hideMark/>
                </w:tcPr>
                <w:p w14:paraId="32B58226" w14:textId="77777777" w:rsidR="0039438F" w:rsidRPr="00543D10" w:rsidRDefault="0039438F" w:rsidP="0039438F">
                  <w:pPr>
                    <w:spacing w:after="0" w:line="240" w:lineRule="auto"/>
                    <w:rPr>
                      <w:rFonts w:ascii="Arial" w:eastAsia="Times New Roman" w:hAnsi="Arial" w:cs="Arial"/>
                      <w:sz w:val="20"/>
                      <w:szCs w:val="20"/>
                      <w:lang w:eastAsia="en-GB"/>
                    </w:rPr>
                  </w:pPr>
                  <w:r w:rsidRPr="00543D10">
                    <w:rPr>
                      <w:rFonts w:ascii="Arial" w:eastAsia="Times New Roman" w:hAnsi="Arial" w:cs="Arial"/>
                      <w:sz w:val="20"/>
                      <w:szCs w:val="20"/>
                      <w:lang w:eastAsia="en-GB"/>
                    </w:rPr>
                    <w:t>Tangible fixed assets</w:t>
                  </w:r>
                </w:p>
              </w:tc>
              <w:tc>
                <w:tcPr>
                  <w:tcW w:w="1426" w:type="dxa"/>
                  <w:tcBorders>
                    <w:top w:val="nil"/>
                    <w:left w:val="nil"/>
                    <w:bottom w:val="nil"/>
                    <w:right w:val="nil"/>
                  </w:tcBorders>
                  <w:shd w:val="clear" w:color="auto" w:fill="auto"/>
                  <w:noWrap/>
                  <w:vAlign w:val="center"/>
                </w:tcPr>
                <w:p w14:paraId="784EC019" w14:textId="77777777" w:rsidR="0039438F" w:rsidRPr="00543D10" w:rsidRDefault="00E25CBD" w:rsidP="0039438F">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1,306</w:t>
                  </w:r>
                </w:p>
              </w:tc>
              <w:tc>
                <w:tcPr>
                  <w:tcW w:w="1707" w:type="dxa"/>
                  <w:tcBorders>
                    <w:top w:val="nil"/>
                    <w:left w:val="nil"/>
                    <w:bottom w:val="nil"/>
                    <w:right w:val="nil"/>
                  </w:tcBorders>
                  <w:shd w:val="clear" w:color="auto" w:fill="auto"/>
                  <w:noWrap/>
                  <w:vAlign w:val="center"/>
                </w:tcPr>
                <w:p w14:paraId="002C6630" w14:textId="77777777" w:rsidR="0039438F" w:rsidRPr="00543D10" w:rsidRDefault="00E25CBD" w:rsidP="0039438F">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(22)</w:t>
                  </w:r>
                </w:p>
              </w:tc>
              <w:tc>
                <w:tcPr>
                  <w:tcW w:w="1139" w:type="dxa"/>
                  <w:tcBorders>
                    <w:top w:val="nil"/>
                    <w:left w:val="nil"/>
                    <w:bottom w:val="nil"/>
                    <w:right w:val="nil"/>
                  </w:tcBorders>
                  <w:shd w:val="clear" w:color="auto" w:fill="auto"/>
                  <w:noWrap/>
                  <w:vAlign w:val="center"/>
                </w:tcPr>
                <w:p w14:paraId="4258F084" w14:textId="77777777" w:rsidR="0039438F" w:rsidRPr="00543D10" w:rsidRDefault="00E25CBD" w:rsidP="0039438F">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1,740</w:t>
                  </w:r>
                </w:p>
              </w:tc>
              <w:tc>
                <w:tcPr>
                  <w:tcW w:w="996" w:type="dxa"/>
                  <w:tcBorders>
                    <w:top w:val="nil"/>
                    <w:left w:val="nil"/>
                    <w:bottom w:val="nil"/>
                    <w:right w:val="nil"/>
                  </w:tcBorders>
                  <w:shd w:val="clear" w:color="auto" w:fill="auto"/>
                  <w:noWrap/>
                  <w:vAlign w:val="center"/>
                </w:tcPr>
                <w:p w14:paraId="690FD0D1" w14:textId="77777777" w:rsidR="0039438F" w:rsidRPr="00543D10" w:rsidRDefault="00E25CBD" w:rsidP="0039438F">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3,024</w:t>
                  </w:r>
                </w:p>
              </w:tc>
              <w:tc>
                <w:tcPr>
                  <w:tcW w:w="1140" w:type="dxa"/>
                  <w:tcBorders>
                    <w:top w:val="nil"/>
                    <w:left w:val="nil"/>
                    <w:bottom w:val="nil"/>
                    <w:right w:val="nil"/>
                  </w:tcBorders>
                  <w:shd w:val="clear" w:color="auto" w:fill="auto"/>
                  <w:noWrap/>
                  <w:vAlign w:val="center"/>
                  <w:hideMark/>
                </w:tcPr>
                <w:p w14:paraId="1ECADA7D" w14:textId="77777777" w:rsidR="0039438F" w:rsidRPr="0039438F" w:rsidRDefault="00C9032F" w:rsidP="0039438F">
                  <w:pPr>
                    <w:spacing w:after="0" w:line="240" w:lineRule="auto"/>
                    <w:jc w:val="right"/>
                    <w:rPr>
                      <w:rFonts w:ascii="Arial" w:eastAsia="Times New Roman" w:hAnsi="Arial" w:cs="Arial"/>
                      <w:sz w:val="20"/>
                      <w:szCs w:val="20"/>
                      <w:lang w:eastAsia="en-GB"/>
                    </w:rPr>
                  </w:pPr>
                  <w:r>
                    <w:rPr>
                      <w:rFonts w:ascii="Arial" w:eastAsia="Times New Roman" w:hAnsi="Arial" w:cs="Arial"/>
                      <w:bCs/>
                      <w:sz w:val="20"/>
                      <w:szCs w:val="20"/>
                      <w:lang w:eastAsia="en-GB"/>
                    </w:rPr>
                    <w:t>3,483</w:t>
                  </w:r>
                </w:p>
              </w:tc>
            </w:tr>
            <w:tr w:rsidR="0039438F" w:rsidRPr="00543D10" w14:paraId="61E443CC" w14:textId="77777777" w:rsidTr="00697C96">
              <w:trPr>
                <w:trHeight w:val="322"/>
              </w:trPr>
              <w:tc>
                <w:tcPr>
                  <w:tcW w:w="2738" w:type="dxa"/>
                  <w:tcBorders>
                    <w:top w:val="nil"/>
                    <w:left w:val="nil"/>
                    <w:bottom w:val="nil"/>
                    <w:right w:val="nil"/>
                  </w:tcBorders>
                  <w:shd w:val="clear" w:color="auto" w:fill="auto"/>
                  <w:noWrap/>
                  <w:vAlign w:val="center"/>
                </w:tcPr>
                <w:p w14:paraId="37A344F0" w14:textId="77777777" w:rsidR="0039438F" w:rsidRPr="00543D10" w:rsidRDefault="0039438F" w:rsidP="0039438F">
                  <w:pPr>
                    <w:spacing w:after="0" w:line="240" w:lineRule="auto"/>
                    <w:rPr>
                      <w:rFonts w:ascii="Arial" w:eastAsia="Times New Roman" w:hAnsi="Arial" w:cs="Arial"/>
                      <w:sz w:val="20"/>
                      <w:szCs w:val="20"/>
                      <w:lang w:eastAsia="en-GB"/>
                    </w:rPr>
                  </w:pPr>
                  <w:r w:rsidRPr="00543D10">
                    <w:rPr>
                      <w:rFonts w:ascii="Arial" w:eastAsia="Times New Roman" w:hAnsi="Arial" w:cs="Arial"/>
                      <w:sz w:val="20"/>
                      <w:szCs w:val="20"/>
                      <w:lang w:eastAsia="en-GB"/>
                    </w:rPr>
                    <w:t>Investment in Joint Ventures</w:t>
                  </w:r>
                </w:p>
              </w:tc>
              <w:tc>
                <w:tcPr>
                  <w:tcW w:w="1426" w:type="dxa"/>
                  <w:tcBorders>
                    <w:top w:val="nil"/>
                    <w:left w:val="nil"/>
                    <w:bottom w:val="nil"/>
                    <w:right w:val="nil"/>
                  </w:tcBorders>
                  <w:shd w:val="clear" w:color="auto" w:fill="auto"/>
                  <w:noWrap/>
                  <w:vAlign w:val="center"/>
                </w:tcPr>
                <w:p w14:paraId="0D987991" w14:textId="77777777" w:rsidR="0039438F" w:rsidRPr="00543D10" w:rsidRDefault="00E25CBD" w:rsidP="0039438F">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w:t>
                  </w:r>
                </w:p>
              </w:tc>
              <w:tc>
                <w:tcPr>
                  <w:tcW w:w="1707" w:type="dxa"/>
                  <w:tcBorders>
                    <w:top w:val="nil"/>
                    <w:left w:val="nil"/>
                    <w:bottom w:val="nil"/>
                    <w:right w:val="nil"/>
                  </w:tcBorders>
                  <w:shd w:val="clear" w:color="auto" w:fill="auto"/>
                  <w:noWrap/>
                  <w:vAlign w:val="center"/>
                </w:tcPr>
                <w:p w14:paraId="2D7C6301" w14:textId="77777777" w:rsidR="0039438F" w:rsidRPr="00543D10" w:rsidRDefault="00E25CBD" w:rsidP="0039438F">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19,355</w:t>
                  </w:r>
                </w:p>
              </w:tc>
              <w:tc>
                <w:tcPr>
                  <w:tcW w:w="1139" w:type="dxa"/>
                  <w:tcBorders>
                    <w:top w:val="nil"/>
                    <w:left w:val="nil"/>
                    <w:bottom w:val="nil"/>
                    <w:right w:val="nil"/>
                  </w:tcBorders>
                  <w:shd w:val="clear" w:color="auto" w:fill="auto"/>
                  <w:noWrap/>
                  <w:vAlign w:val="center"/>
                </w:tcPr>
                <w:p w14:paraId="17EEE11A" w14:textId="77777777" w:rsidR="0039438F" w:rsidRPr="00543D10" w:rsidRDefault="00E25CBD" w:rsidP="0039438F">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w:t>
                  </w:r>
                </w:p>
              </w:tc>
              <w:tc>
                <w:tcPr>
                  <w:tcW w:w="996" w:type="dxa"/>
                  <w:tcBorders>
                    <w:top w:val="nil"/>
                    <w:left w:val="nil"/>
                    <w:bottom w:val="nil"/>
                    <w:right w:val="nil"/>
                  </w:tcBorders>
                  <w:shd w:val="clear" w:color="auto" w:fill="auto"/>
                  <w:noWrap/>
                  <w:vAlign w:val="center"/>
                </w:tcPr>
                <w:p w14:paraId="423E5DB7" w14:textId="77777777" w:rsidR="0039438F" w:rsidRPr="00543D10" w:rsidRDefault="00E25CBD" w:rsidP="0039438F">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19,355</w:t>
                  </w:r>
                </w:p>
              </w:tc>
              <w:tc>
                <w:tcPr>
                  <w:tcW w:w="1140" w:type="dxa"/>
                  <w:tcBorders>
                    <w:top w:val="nil"/>
                    <w:left w:val="nil"/>
                    <w:bottom w:val="nil"/>
                    <w:right w:val="nil"/>
                  </w:tcBorders>
                  <w:shd w:val="clear" w:color="auto" w:fill="auto"/>
                  <w:noWrap/>
                  <w:vAlign w:val="center"/>
                </w:tcPr>
                <w:p w14:paraId="6D9E02F4" w14:textId="77777777" w:rsidR="0039438F" w:rsidRPr="0039438F" w:rsidRDefault="0039438F" w:rsidP="0039438F">
                  <w:pPr>
                    <w:spacing w:after="0" w:line="240" w:lineRule="auto"/>
                    <w:jc w:val="right"/>
                    <w:rPr>
                      <w:rFonts w:ascii="Arial" w:eastAsia="Times New Roman" w:hAnsi="Arial" w:cs="Arial"/>
                      <w:sz w:val="20"/>
                      <w:szCs w:val="20"/>
                      <w:lang w:eastAsia="en-GB"/>
                    </w:rPr>
                  </w:pPr>
                  <w:r w:rsidRPr="0039438F">
                    <w:rPr>
                      <w:rFonts w:ascii="Arial" w:eastAsia="Times New Roman" w:hAnsi="Arial" w:cs="Arial"/>
                      <w:bCs/>
                      <w:sz w:val="20"/>
                      <w:szCs w:val="20"/>
                      <w:lang w:eastAsia="en-GB"/>
                    </w:rPr>
                    <w:t>19,355</w:t>
                  </w:r>
                </w:p>
              </w:tc>
            </w:tr>
            <w:tr w:rsidR="0039438F" w:rsidRPr="00543D10" w14:paraId="441645F9" w14:textId="77777777" w:rsidTr="00697C96">
              <w:trPr>
                <w:trHeight w:val="322"/>
              </w:trPr>
              <w:tc>
                <w:tcPr>
                  <w:tcW w:w="2738" w:type="dxa"/>
                  <w:tcBorders>
                    <w:top w:val="nil"/>
                    <w:left w:val="nil"/>
                    <w:bottom w:val="nil"/>
                    <w:right w:val="nil"/>
                  </w:tcBorders>
                  <w:shd w:val="clear" w:color="auto" w:fill="auto"/>
                  <w:noWrap/>
                  <w:vAlign w:val="center"/>
                  <w:hideMark/>
                </w:tcPr>
                <w:p w14:paraId="0D09DE60" w14:textId="77777777" w:rsidR="0039438F" w:rsidRPr="00543D10" w:rsidRDefault="0039438F" w:rsidP="0039438F">
                  <w:pPr>
                    <w:spacing w:after="0" w:line="240" w:lineRule="auto"/>
                    <w:rPr>
                      <w:rFonts w:ascii="Arial" w:eastAsia="Times New Roman" w:hAnsi="Arial" w:cs="Arial"/>
                      <w:sz w:val="20"/>
                      <w:szCs w:val="20"/>
                      <w:lang w:eastAsia="en-GB"/>
                    </w:rPr>
                  </w:pPr>
                  <w:r w:rsidRPr="00543D10">
                    <w:rPr>
                      <w:rFonts w:ascii="Arial" w:eastAsia="Times New Roman" w:hAnsi="Arial" w:cs="Arial"/>
                      <w:sz w:val="20"/>
                      <w:szCs w:val="20"/>
                      <w:lang w:eastAsia="en-GB"/>
                    </w:rPr>
                    <w:t>Current assets</w:t>
                  </w:r>
                </w:p>
              </w:tc>
              <w:tc>
                <w:tcPr>
                  <w:tcW w:w="1426" w:type="dxa"/>
                  <w:tcBorders>
                    <w:top w:val="nil"/>
                    <w:left w:val="nil"/>
                    <w:bottom w:val="nil"/>
                    <w:right w:val="nil"/>
                  </w:tcBorders>
                  <w:shd w:val="clear" w:color="auto" w:fill="auto"/>
                  <w:noWrap/>
                  <w:vAlign w:val="center"/>
                </w:tcPr>
                <w:p w14:paraId="4EA4C69E" w14:textId="77777777" w:rsidR="0039438F" w:rsidRPr="00543D10" w:rsidRDefault="00E25CBD" w:rsidP="0039438F">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w:t>
                  </w:r>
                </w:p>
              </w:tc>
              <w:tc>
                <w:tcPr>
                  <w:tcW w:w="1707" w:type="dxa"/>
                  <w:tcBorders>
                    <w:top w:val="nil"/>
                    <w:left w:val="nil"/>
                    <w:bottom w:val="nil"/>
                    <w:right w:val="nil"/>
                  </w:tcBorders>
                  <w:shd w:val="clear" w:color="auto" w:fill="auto"/>
                  <w:noWrap/>
                  <w:vAlign w:val="center"/>
                </w:tcPr>
                <w:p w14:paraId="226468A7" w14:textId="77777777" w:rsidR="0039438F" w:rsidRPr="00543D10" w:rsidRDefault="00723D1F" w:rsidP="0039438F">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17,930</w:t>
                  </w:r>
                </w:p>
              </w:tc>
              <w:tc>
                <w:tcPr>
                  <w:tcW w:w="1139" w:type="dxa"/>
                  <w:tcBorders>
                    <w:top w:val="nil"/>
                    <w:left w:val="nil"/>
                    <w:bottom w:val="nil"/>
                    <w:right w:val="nil"/>
                  </w:tcBorders>
                  <w:shd w:val="clear" w:color="auto" w:fill="auto"/>
                  <w:noWrap/>
                  <w:vAlign w:val="center"/>
                </w:tcPr>
                <w:p w14:paraId="010F8C90" w14:textId="77777777" w:rsidR="0039438F" w:rsidRPr="00543D10" w:rsidRDefault="00E25CBD" w:rsidP="0069798A">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2,024</w:t>
                  </w:r>
                </w:p>
              </w:tc>
              <w:tc>
                <w:tcPr>
                  <w:tcW w:w="996" w:type="dxa"/>
                  <w:tcBorders>
                    <w:top w:val="nil"/>
                    <w:left w:val="nil"/>
                    <w:bottom w:val="nil"/>
                    <w:right w:val="nil"/>
                  </w:tcBorders>
                  <w:shd w:val="clear" w:color="auto" w:fill="auto"/>
                  <w:noWrap/>
                  <w:vAlign w:val="center"/>
                </w:tcPr>
                <w:p w14:paraId="4C902523" w14:textId="77777777" w:rsidR="0039438F" w:rsidRPr="00543D10" w:rsidRDefault="00723D1F" w:rsidP="0039438F">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19,954</w:t>
                  </w:r>
                </w:p>
              </w:tc>
              <w:tc>
                <w:tcPr>
                  <w:tcW w:w="1140" w:type="dxa"/>
                  <w:tcBorders>
                    <w:top w:val="nil"/>
                    <w:left w:val="nil"/>
                    <w:bottom w:val="nil"/>
                    <w:right w:val="nil"/>
                  </w:tcBorders>
                  <w:shd w:val="clear" w:color="auto" w:fill="auto"/>
                  <w:noWrap/>
                  <w:vAlign w:val="center"/>
                  <w:hideMark/>
                </w:tcPr>
                <w:p w14:paraId="50ED8BBA" w14:textId="77777777" w:rsidR="0039438F" w:rsidRPr="0039438F" w:rsidRDefault="0039438F" w:rsidP="0039438F">
                  <w:pPr>
                    <w:spacing w:after="0" w:line="240" w:lineRule="auto"/>
                    <w:jc w:val="right"/>
                    <w:rPr>
                      <w:rFonts w:ascii="Arial" w:eastAsia="Times New Roman" w:hAnsi="Arial" w:cs="Arial"/>
                      <w:sz w:val="20"/>
                      <w:szCs w:val="20"/>
                      <w:lang w:eastAsia="en-GB"/>
                    </w:rPr>
                  </w:pPr>
                  <w:r w:rsidRPr="0039438F">
                    <w:rPr>
                      <w:rFonts w:ascii="Arial" w:eastAsia="Times New Roman" w:hAnsi="Arial" w:cs="Arial"/>
                      <w:bCs/>
                      <w:sz w:val="20"/>
                      <w:szCs w:val="20"/>
                      <w:lang w:eastAsia="en-GB"/>
                    </w:rPr>
                    <w:t>21,718</w:t>
                  </w:r>
                </w:p>
              </w:tc>
            </w:tr>
            <w:tr w:rsidR="0039438F" w:rsidRPr="00543D10" w14:paraId="62C357F8" w14:textId="77777777" w:rsidTr="00697C96">
              <w:trPr>
                <w:trHeight w:val="322"/>
              </w:trPr>
              <w:tc>
                <w:tcPr>
                  <w:tcW w:w="2738" w:type="dxa"/>
                  <w:tcBorders>
                    <w:top w:val="nil"/>
                    <w:left w:val="nil"/>
                    <w:bottom w:val="nil"/>
                    <w:right w:val="nil"/>
                  </w:tcBorders>
                  <w:shd w:val="clear" w:color="auto" w:fill="auto"/>
                  <w:noWrap/>
                  <w:vAlign w:val="center"/>
                  <w:hideMark/>
                </w:tcPr>
                <w:p w14:paraId="25872E69" w14:textId="77777777" w:rsidR="0039438F" w:rsidRPr="00543D10" w:rsidRDefault="0039438F" w:rsidP="0039438F">
                  <w:pPr>
                    <w:spacing w:after="0" w:line="240" w:lineRule="auto"/>
                    <w:rPr>
                      <w:rFonts w:ascii="Arial" w:eastAsia="Times New Roman" w:hAnsi="Arial" w:cs="Arial"/>
                      <w:sz w:val="20"/>
                      <w:szCs w:val="20"/>
                      <w:lang w:eastAsia="en-GB"/>
                    </w:rPr>
                  </w:pPr>
                  <w:r w:rsidRPr="00543D10">
                    <w:rPr>
                      <w:rFonts w:ascii="Arial" w:eastAsia="Times New Roman" w:hAnsi="Arial" w:cs="Arial"/>
                      <w:sz w:val="20"/>
                      <w:szCs w:val="20"/>
                      <w:lang w:eastAsia="en-GB"/>
                    </w:rPr>
                    <w:t>Current liabilities</w:t>
                  </w:r>
                </w:p>
              </w:tc>
              <w:tc>
                <w:tcPr>
                  <w:tcW w:w="1426" w:type="dxa"/>
                  <w:tcBorders>
                    <w:top w:val="nil"/>
                    <w:left w:val="nil"/>
                    <w:bottom w:val="nil"/>
                    <w:right w:val="nil"/>
                  </w:tcBorders>
                  <w:shd w:val="clear" w:color="auto" w:fill="auto"/>
                  <w:noWrap/>
                  <w:vAlign w:val="center"/>
                </w:tcPr>
                <w:p w14:paraId="4E0C3A86" w14:textId="77777777" w:rsidR="0039438F" w:rsidRPr="00543D10" w:rsidRDefault="00E25CBD" w:rsidP="0039438F">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w:t>
                  </w:r>
                </w:p>
              </w:tc>
              <w:tc>
                <w:tcPr>
                  <w:tcW w:w="1707" w:type="dxa"/>
                  <w:tcBorders>
                    <w:top w:val="nil"/>
                    <w:left w:val="nil"/>
                    <w:bottom w:val="nil"/>
                    <w:right w:val="nil"/>
                  </w:tcBorders>
                  <w:shd w:val="clear" w:color="auto" w:fill="auto"/>
                  <w:noWrap/>
                  <w:vAlign w:val="center"/>
                </w:tcPr>
                <w:p w14:paraId="462E125A" w14:textId="77777777" w:rsidR="0039438F" w:rsidRPr="00543D10" w:rsidRDefault="00FE78BD" w:rsidP="0039438F">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(19,387</w:t>
                  </w:r>
                  <w:r w:rsidR="00E25CBD">
                    <w:rPr>
                      <w:rFonts w:ascii="Arial" w:eastAsia="Times New Roman" w:hAnsi="Arial" w:cs="Arial"/>
                      <w:sz w:val="20"/>
                      <w:szCs w:val="20"/>
                      <w:lang w:eastAsia="en-GB"/>
                    </w:rPr>
                    <w:t>)</w:t>
                  </w:r>
                </w:p>
              </w:tc>
              <w:tc>
                <w:tcPr>
                  <w:tcW w:w="1139" w:type="dxa"/>
                  <w:tcBorders>
                    <w:top w:val="nil"/>
                    <w:left w:val="nil"/>
                    <w:bottom w:val="nil"/>
                    <w:right w:val="nil"/>
                  </w:tcBorders>
                  <w:shd w:val="clear" w:color="auto" w:fill="auto"/>
                  <w:noWrap/>
                  <w:vAlign w:val="center"/>
                </w:tcPr>
                <w:p w14:paraId="7082E135" w14:textId="77777777" w:rsidR="0039438F" w:rsidRPr="00543D10" w:rsidRDefault="00E25CBD" w:rsidP="0039438F">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w:t>
                  </w:r>
                </w:p>
              </w:tc>
              <w:tc>
                <w:tcPr>
                  <w:tcW w:w="996" w:type="dxa"/>
                  <w:tcBorders>
                    <w:top w:val="nil"/>
                    <w:left w:val="nil"/>
                    <w:bottom w:val="nil"/>
                    <w:right w:val="nil"/>
                  </w:tcBorders>
                  <w:shd w:val="clear" w:color="auto" w:fill="auto"/>
                  <w:noWrap/>
                  <w:vAlign w:val="center"/>
                </w:tcPr>
                <w:p w14:paraId="68069846" w14:textId="77777777" w:rsidR="0039438F" w:rsidRPr="00543D10" w:rsidRDefault="00B65A67" w:rsidP="0039438F">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(1</w:t>
                  </w:r>
                  <w:r w:rsidR="0024634C">
                    <w:rPr>
                      <w:rFonts w:ascii="Arial" w:eastAsia="Times New Roman" w:hAnsi="Arial" w:cs="Arial"/>
                      <w:b/>
                      <w:bCs/>
                      <w:sz w:val="20"/>
                      <w:szCs w:val="20"/>
                      <w:lang w:eastAsia="en-GB"/>
                    </w:rPr>
                    <w:t>9,387</w:t>
                  </w:r>
                  <w:r w:rsidR="00E25CBD">
                    <w:rPr>
                      <w:rFonts w:ascii="Arial" w:eastAsia="Times New Roman" w:hAnsi="Arial" w:cs="Arial"/>
                      <w:b/>
                      <w:bCs/>
                      <w:sz w:val="20"/>
                      <w:szCs w:val="20"/>
                      <w:lang w:eastAsia="en-GB"/>
                    </w:rPr>
                    <w:t>)</w:t>
                  </w:r>
                </w:p>
              </w:tc>
              <w:tc>
                <w:tcPr>
                  <w:tcW w:w="1140" w:type="dxa"/>
                  <w:tcBorders>
                    <w:top w:val="nil"/>
                    <w:left w:val="nil"/>
                    <w:bottom w:val="nil"/>
                    <w:right w:val="nil"/>
                  </w:tcBorders>
                  <w:shd w:val="clear" w:color="auto" w:fill="auto"/>
                  <w:noWrap/>
                  <w:vAlign w:val="center"/>
                  <w:hideMark/>
                </w:tcPr>
                <w:p w14:paraId="600CB688" w14:textId="77777777" w:rsidR="0039438F" w:rsidRPr="0039438F" w:rsidRDefault="0039438F" w:rsidP="0039438F">
                  <w:pPr>
                    <w:spacing w:after="0" w:line="240" w:lineRule="auto"/>
                    <w:jc w:val="right"/>
                    <w:rPr>
                      <w:rFonts w:ascii="Arial" w:eastAsia="Times New Roman" w:hAnsi="Arial" w:cs="Arial"/>
                      <w:sz w:val="20"/>
                      <w:szCs w:val="20"/>
                      <w:lang w:eastAsia="en-GB"/>
                    </w:rPr>
                  </w:pPr>
                  <w:r w:rsidRPr="0039438F">
                    <w:rPr>
                      <w:rFonts w:ascii="Arial" w:eastAsia="Times New Roman" w:hAnsi="Arial" w:cs="Arial"/>
                      <w:bCs/>
                      <w:sz w:val="20"/>
                      <w:szCs w:val="20"/>
                      <w:lang w:eastAsia="en-GB"/>
                    </w:rPr>
                    <w:t>(11,700)</w:t>
                  </w:r>
                </w:p>
              </w:tc>
            </w:tr>
            <w:tr w:rsidR="0039438F" w:rsidRPr="00543D10" w14:paraId="76F674E1" w14:textId="77777777" w:rsidTr="00697C96">
              <w:trPr>
                <w:trHeight w:val="322"/>
              </w:trPr>
              <w:tc>
                <w:tcPr>
                  <w:tcW w:w="2738" w:type="dxa"/>
                  <w:tcBorders>
                    <w:top w:val="nil"/>
                    <w:left w:val="nil"/>
                    <w:bottom w:val="nil"/>
                    <w:right w:val="nil"/>
                  </w:tcBorders>
                  <w:shd w:val="clear" w:color="auto" w:fill="auto"/>
                  <w:noWrap/>
                  <w:vAlign w:val="center"/>
                  <w:hideMark/>
                </w:tcPr>
                <w:p w14:paraId="7B12B9C1" w14:textId="77777777" w:rsidR="0039438F" w:rsidRPr="00543D10" w:rsidRDefault="0039438F" w:rsidP="0039438F">
                  <w:pPr>
                    <w:spacing w:after="0" w:line="240" w:lineRule="auto"/>
                    <w:outlineLvl w:val="0"/>
                    <w:rPr>
                      <w:rFonts w:ascii="Arial" w:eastAsia="Times New Roman" w:hAnsi="Arial" w:cs="Arial"/>
                      <w:sz w:val="20"/>
                      <w:szCs w:val="20"/>
                      <w:lang w:eastAsia="en-GB"/>
                    </w:rPr>
                  </w:pPr>
                  <w:r w:rsidRPr="00543D10">
                    <w:rPr>
                      <w:rFonts w:ascii="Arial" w:eastAsia="Times New Roman" w:hAnsi="Arial" w:cs="Arial"/>
                      <w:sz w:val="20"/>
                      <w:szCs w:val="20"/>
                      <w:lang w:eastAsia="en-GB"/>
                    </w:rPr>
                    <w:t>Long-term liabilities</w:t>
                  </w:r>
                </w:p>
              </w:tc>
              <w:tc>
                <w:tcPr>
                  <w:tcW w:w="1426" w:type="dxa"/>
                  <w:tcBorders>
                    <w:top w:val="nil"/>
                    <w:left w:val="nil"/>
                    <w:bottom w:val="nil"/>
                    <w:right w:val="nil"/>
                  </w:tcBorders>
                  <w:shd w:val="clear" w:color="auto" w:fill="auto"/>
                  <w:noWrap/>
                  <w:vAlign w:val="center"/>
                </w:tcPr>
                <w:p w14:paraId="186D1A33" w14:textId="77777777" w:rsidR="0039438F" w:rsidRPr="00543D10" w:rsidRDefault="00E25CBD" w:rsidP="0039438F">
                  <w:pPr>
                    <w:spacing w:after="0" w:line="240" w:lineRule="auto"/>
                    <w:jc w:val="right"/>
                    <w:outlineLvl w:val="0"/>
                    <w:rPr>
                      <w:rFonts w:ascii="Arial" w:eastAsia="Times New Roman" w:hAnsi="Arial" w:cs="Arial"/>
                      <w:sz w:val="20"/>
                      <w:szCs w:val="20"/>
                      <w:lang w:eastAsia="en-GB"/>
                    </w:rPr>
                  </w:pPr>
                  <w:r>
                    <w:rPr>
                      <w:rFonts w:ascii="Arial" w:eastAsia="Times New Roman" w:hAnsi="Arial" w:cs="Arial"/>
                      <w:sz w:val="20"/>
                      <w:szCs w:val="20"/>
                      <w:lang w:eastAsia="en-GB"/>
                    </w:rPr>
                    <w:t>-</w:t>
                  </w:r>
                </w:p>
              </w:tc>
              <w:tc>
                <w:tcPr>
                  <w:tcW w:w="1707" w:type="dxa"/>
                  <w:tcBorders>
                    <w:top w:val="nil"/>
                    <w:left w:val="nil"/>
                    <w:bottom w:val="nil"/>
                    <w:right w:val="nil"/>
                  </w:tcBorders>
                  <w:shd w:val="clear" w:color="auto" w:fill="auto"/>
                  <w:noWrap/>
                  <w:vAlign w:val="center"/>
                </w:tcPr>
                <w:p w14:paraId="2C92DE63" w14:textId="77777777" w:rsidR="0039438F" w:rsidRPr="00543D10" w:rsidRDefault="00FE78BD" w:rsidP="0039438F">
                  <w:pPr>
                    <w:spacing w:after="0" w:line="240" w:lineRule="auto"/>
                    <w:jc w:val="right"/>
                    <w:outlineLvl w:val="0"/>
                    <w:rPr>
                      <w:rFonts w:ascii="Arial" w:eastAsia="Times New Roman" w:hAnsi="Arial" w:cs="Arial"/>
                      <w:sz w:val="20"/>
                      <w:szCs w:val="20"/>
                      <w:lang w:eastAsia="en-GB"/>
                    </w:rPr>
                  </w:pPr>
                  <w:r>
                    <w:rPr>
                      <w:rFonts w:ascii="Arial" w:eastAsia="Times New Roman" w:hAnsi="Arial" w:cs="Arial"/>
                      <w:sz w:val="20"/>
                      <w:szCs w:val="20"/>
                      <w:lang w:eastAsia="en-GB"/>
                    </w:rPr>
                    <w:t>(1</w:t>
                  </w:r>
                  <w:r w:rsidR="00E25CBD">
                    <w:rPr>
                      <w:rFonts w:ascii="Arial" w:eastAsia="Times New Roman" w:hAnsi="Arial" w:cs="Arial"/>
                      <w:sz w:val="20"/>
                      <w:szCs w:val="20"/>
                      <w:lang w:eastAsia="en-GB"/>
                    </w:rPr>
                    <w:t>,961)</w:t>
                  </w:r>
                </w:p>
              </w:tc>
              <w:tc>
                <w:tcPr>
                  <w:tcW w:w="1139" w:type="dxa"/>
                  <w:tcBorders>
                    <w:top w:val="nil"/>
                    <w:left w:val="nil"/>
                    <w:bottom w:val="nil"/>
                    <w:right w:val="nil"/>
                  </w:tcBorders>
                  <w:shd w:val="clear" w:color="auto" w:fill="auto"/>
                  <w:noWrap/>
                  <w:vAlign w:val="center"/>
                </w:tcPr>
                <w:p w14:paraId="196A36DC" w14:textId="77777777" w:rsidR="0039438F" w:rsidRPr="00543D10" w:rsidRDefault="00E25CBD" w:rsidP="0039438F">
                  <w:pPr>
                    <w:spacing w:after="0" w:line="240" w:lineRule="auto"/>
                    <w:jc w:val="right"/>
                    <w:outlineLvl w:val="0"/>
                    <w:rPr>
                      <w:rFonts w:ascii="Arial" w:eastAsia="Times New Roman" w:hAnsi="Arial" w:cs="Arial"/>
                      <w:sz w:val="20"/>
                      <w:szCs w:val="20"/>
                      <w:lang w:eastAsia="en-GB"/>
                    </w:rPr>
                  </w:pPr>
                  <w:r>
                    <w:rPr>
                      <w:rFonts w:ascii="Arial" w:eastAsia="Times New Roman" w:hAnsi="Arial" w:cs="Arial"/>
                      <w:sz w:val="20"/>
                      <w:szCs w:val="20"/>
                      <w:lang w:eastAsia="en-GB"/>
                    </w:rPr>
                    <w:t>-</w:t>
                  </w:r>
                </w:p>
              </w:tc>
              <w:tc>
                <w:tcPr>
                  <w:tcW w:w="996" w:type="dxa"/>
                  <w:tcBorders>
                    <w:top w:val="nil"/>
                    <w:left w:val="nil"/>
                    <w:bottom w:val="nil"/>
                    <w:right w:val="nil"/>
                  </w:tcBorders>
                  <w:shd w:val="clear" w:color="auto" w:fill="auto"/>
                  <w:noWrap/>
                  <w:vAlign w:val="center"/>
                </w:tcPr>
                <w:p w14:paraId="1AC766EC" w14:textId="77777777" w:rsidR="0039438F" w:rsidRPr="00543D10" w:rsidRDefault="00FE78BD" w:rsidP="0039438F">
                  <w:pPr>
                    <w:spacing w:after="0" w:line="240" w:lineRule="auto"/>
                    <w:jc w:val="right"/>
                    <w:outlineLvl w:val="0"/>
                    <w:rPr>
                      <w:rFonts w:ascii="Arial" w:eastAsia="Times New Roman" w:hAnsi="Arial" w:cs="Arial"/>
                      <w:b/>
                      <w:bCs/>
                      <w:sz w:val="20"/>
                      <w:szCs w:val="20"/>
                      <w:lang w:eastAsia="en-GB"/>
                    </w:rPr>
                  </w:pPr>
                  <w:r>
                    <w:rPr>
                      <w:rFonts w:ascii="Arial" w:eastAsia="Times New Roman" w:hAnsi="Arial" w:cs="Arial"/>
                      <w:b/>
                      <w:bCs/>
                      <w:sz w:val="20"/>
                      <w:szCs w:val="20"/>
                      <w:lang w:eastAsia="en-GB"/>
                    </w:rPr>
                    <w:t>(1</w:t>
                  </w:r>
                  <w:r w:rsidR="00E25CBD">
                    <w:rPr>
                      <w:rFonts w:ascii="Arial" w:eastAsia="Times New Roman" w:hAnsi="Arial" w:cs="Arial"/>
                      <w:b/>
                      <w:bCs/>
                      <w:sz w:val="20"/>
                      <w:szCs w:val="20"/>
                      <w:lang w:eastAsia="en-GB"/>
                    </w:rPr>
                    <w:t>,961)</w:t>
                  </w:r>
                </w:p>
              </w:tc>
              <w:tc>
                <w:tcPr>
                  <w:tcW w:w="1140" w:type="dxa"/>
                  <w:tcBorders>
                    <w:top w:val="nil"/>
                    <w:left w:val="nil"/>
                    <w:bottom w:val="nil"/>
                    <w:right w:val="nil"/>
                  </w:tcBorders>
                  <w:shd w:val="clear" w:color="auto" w:fill="auto"/>
                  <w:noWrap/>
                  <w:vAlign w:val="center"/>
                  <w:hideMark/>
                </w:tcPr>
                <w:p w14:paraId="6EC42CC5" w14:textId="77777777" w:rsidR="0039438F" w:rsidRPr="0039438F" w:rsidRDefault="0039438F" w:rsidP="0039438F">
                  <w:pPr>
                    <w:spacing w:after="0" w:line="240" w:lineRule="auto"/>
                    <w:jc w:val="right"/>
                    <w:outlineLvl w:val="0"/>
                    <w:rPr>
                      <w:rFonts w:ascii="Arial" w:eastAsia="Times New Roman" w:hAnsi="Arial" w:cs="Arial"/>
                      <w:sz w:val="20"/>
                      <w:szCs w:val="20"/>
                      <w:lang w:eastAsia="en-GB"/>
                    </w:rPr>
                  </w:pPr>
                  <w:r w:rsidRPr="0039438F">
                    <w:rPr>
                      <w:rFonts w:ascii="Arial" w:eastAsia="Times New Roman" w:hAnsi="Arial" w:cs="Arial"/>
                      <w:bCs/>
                      <w:sz w:val="20"/>
                      <w:szCs w:val="20"/>
                      <w:lang w:eastAsia="en-GB"/>
                    </w:rPr>
                    <w:t>(5,499)</w:t>
                  </w:r>
                </w:p>
              </w:tc>
            </w:tr>
            <w:tr w:rsidR="0039438F" w:rsidRPr="00543D10" w14:paraId="72A771DA" w14:textId="77777777" w:rsidTr="00697C96">
              <w:trPr>
                <w:trHeight w:val="322"/>
              </w:trPr>
              <w:tc>
                <w:tcPr>
                  <w:tcW w:w="2738" w:type="dxa"/>
                  <w:tcBorders>
                    <w:top w:val="nil"/>
                    <w:left w:val="nil"/>
                    <w:bottom w:val="nil"/>
                    <w:right w:val="nil"/>
                  </w:tcBorders>
                  <w:shd w:val="clear" w:color="auto" w:fill="auto"/>
                  <w:noWrap/>
                  <w:vAlign w:val="center"/>
                  <w:hideMark/>
                </w:tcPr>
                <w:p w14:paraId="67EECA8E" w14:textId="77777777" w:rsidR="0039438F" w:rsidRPr="00543D10" w:rsidRDefault="0039438F" w:rsidP="0039438F">
                  <w:pPr>
                    <w:spacing w:after="0" w:line="240" w:lineRule="auto"/>
                    <w:rPr>
                      <w:rFonts w:ascii="Arial" w:eastAsia="Times New Roman" w:hAnsi="Arial" w:cs="Arial"/>
                      <w:sz w:val="20"/>
                      <w:szCs w:val="20"/>
                      <w:lang w:eastAsia="en-GB"/>
                    </w:rPr>
                  </w:pPr>
                  <w:r w:rsidRPr="00543D10">
                    <w:rPr>
                      <w:rFonts w:ascii="Arial" w:eastAsia="Times New Roman" w:hAnsi="Arial" w:cs="Arial"/>
                      <w:sz w:val="20"/>
                      <w:szCs w:val="20"/>
                      <w:lang w:eastAsia="en-GB"/>
                    </w:rPr>
                    <w:t>Provisions for liabilities and charges</w:t>
                  </w:r>
                </w:p>
              </w:tc>
              <w:tc>
                <w:tcPr>
                  <w:tcW w:w="1426" w:type="dxa"/>
                  <w:tcBorders>
                    <w:top w:val="nil"/>
                    <w:left w:val="nil"/>
                    <w:bottom w:val="nil"/>
                    <w:right w:val="nil"/>
                  </w:tcBorders>
                  <w:shd w:val="clear" w:color="auto" w:fill="auto"/>
                  <w:noWrap/>
                  <w:vAlign w:val="center"/>
                </w:tcPr>
                <w:p w14:paraId="4EDD9C4D" w14:textId="77777777" w:rsidR="0039438F" w:rsidRPr="00543D10" w:rsidRDefault="00E25CBD" w:rsidP="0039438F">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w:t>
                  </w:r>
                </w:p>
              </w:tc>
              <w:tc>
                <w:tcPr>
                  <w:tcW w:w="1707" w:type="dxa"/>
                  <w:tcBorders>
                    <w:top w:val="nil"/>
                    <w:left w:val="nil"/>
                    <w:bottom w:val="nil"/>
                    <w:right w:val="nil"/>
                  </w:tcBorders>
                  <w:shd w:val="clear" w:color="auto" w:fill="auto"/>
                  <w:noWrap/>
                  <w:vAlign w:val="center"/>
                </w:tcPr>
                <w:p w14:paraId="26C21356" w14:textId="77777777" w:rsidR="0039438F" w:rsidRPr="00543D10" w:rsidRDefault="00E25CBD" w:rsidP="0039438F">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(1,978)</w:t>
                  </w:r>
                </w:p>
              </w:tc>
              <w:tc>
                <w:tcPr>
                  <w:tcW w:w="1139" w:type="dxa"/>
                  <w:tcBorders>
                    <w:top w:val="nil"/>
                    <w:left w:val="nil"/>
                    <w:bottom w:val="nil"/>
                    <w:right w:val="nil"/>
                  </w:tcBorders>
                  <w:shd w:val="clear" w:color="auto" w:fill="auto"/>
                  <w:noWrap/>
                  <w:vAlign w:val="center"/>
                </w:tcPr>
                <w:p w14:paraId="7E6C8A27" w14:textId="77777777" w:rsidR="0039438F" w:rsidRPr="00543D10" w:rsidRDefault="00E25CBD" w:rsidP="0039438F">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w:t>
                  </w:r>
                </w:p>
              </w:tc>
              <w:tc>
                <w:tcPr>
                  <w:tcW w:w="996" w:type="dxa"/>
                  <w:tcBorders>
                    <w:top w:val="nil"/>
                    <w:left w:val="nil"/>
                    <w:bottom w:val="nil"/>
                    <w:right w:val="nil"/>
                  </w:tcBorders>
                  <w:shd w:val="clear" w:color="auto" w:fill="auto"/>
                  <w:noWrap/>
                  <w:vAlign w:val="center"/>
                </w:tcPr>
                <w:p w14:paraId="24FCF80D" w14:textId="77777777" w:rsidR="0039438F" w:rsidRPr="00543D10" w:rsidRDefault="00E25CBD" w:rsidP="0039438F">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(1,978)</w:t>
                  </w:r>
                </w:p>
              </w:tc>
              <w:tc>
                <w:tcPr>
                  <w:tcW w:w="1140" w:type="dxa"/>
                  <w:tcBorders>
                    <w:top w:val="nil"/>
                    <w:left w:val="nil"/>
                    <w:bottom w:val="nil"/>
                    <w:right w:val="nil"/>
                  </w:tcBorders>
                  <w:shd w:val="clear" w:color="auto" w:fill="auto"/>
                  <w:noWrap/>
                  <w:vAlign w:val="center"/>
                  <w:hideMark/>
                </w:tcPr>
                <w:p w14:paraId="17C4C432" w14:textId="77777777" w:rsidR="0039438F" w:rsidRPr="0039438F" w:rsidRDefault="0039438F" w:rsidP="0039438F">
                  <w:pPr>
                    <w:spacing w:after="0" w:line="240" w:lineRule="auto"/>
                    <w:jc w:val="right"/>
                    <w:rPr>
                      <w:rFonts w:ascii="Arial" w:eastAsia="Times New Roman" w:hAnsi="Arial" w:cs="Arial"/>
                      <w:sz w:val="20"/>
                      <w:szCs w:val="20"/>
                      <w:lang w:eastAsia="en-GB"/>
                    </w:rPr>
                  </w:pPr>
                  <w:r w:rsidRPr="0039438F">
                    <w:rPr>
                      <w:rFonts w:ascii="Arial" w:eastAsia="Times New Roman" w:hAnsi="Arial" w:cs="Arial"/>
                      <w:bCs/>
                      <w:sz w:val="20"/>
                      <w:szCs w:val="20"/>
                      <w:lang w:eastAsia="en-GB"/>
                    </w:rPr>
                    <w:t>(2,112)</w:t>
                  </w:r>
                </w:p>
              </w:tc>
            </w:tr>
            <w:tr w:rsidR="0039438F" w:rsidRPr="00543D10" w14:paraId="136A7D3C" w14:textId="77777777" w:rsidTr="00697C96">
              <w:trPr>
                <w:trHeight w:val="322"/>
              </w:trPr>
              <w:tc>
                <w:tcPr>
                  <w:tcW w:w="2738" w:type="dxa"/>
                  <w:tcBorders>
                    <w:top w:val="nil"/>
                    <w:left w:val="nil"/>
                    <w:bottom w:val="nil"/>
                    <w:right w:val="nil"/>
                  </w:tcBorders>
                  <w:shd w:val="clear" w:color="auto" w:fill="auto"/>
                  <w:noWrap/>
                  <w:vAlign w:val="center"/>
                  <w:hideMark/>
                </w:tcPr>
                <w:p w14:paraId="1CC7A12C" w14:textId="77777777" w:rsidR="0039438F" w:rsidRPr="00543D10" w:rsidRDefault="0039438F" w:rsidP="0039438F">
                  <w:pPr>
                    <w:spacing w:after="0" w:line="240" w:lineRule="auto"/>
                    <w:rPr>
                      <w:rFonts w:ascii="Arial" w:eastAsia="Times New Roman" w:hAnsi="Arial" w:cs="Arial"/>
                      <w:sz w:val="20"/>
                      <w:szCs w:val="20"/>
                      <w:lang w:eastAsia="en-GB"/>
                    </w:rPr>
                  </w:pPr>
                  <w:r w:rsidRPr="00543D10">
                    <w:rPr>
                      <w:rFonts w:ascii="Arial" w:eastAsia="Times New Roman" w:hAnsi="Arial" w:cs="Arial"/>
                      <w:sz w:val="20"/>
                      <w:szCs w:val="20"/>
                      <w:lang w:eastAsia="en-GB"/>
                    </w:rPr>
                    <w:t>Pension deficit</w:t>
                  </w:r>
                </w:p>
              </w:tc>
              <w:tc>
                <w:tcPr>
                  <w:tcW w:w="1426" w:type="dxa"/>
                  <w:tcBorders>
                    <w:top w:val="nil"/>
                    <w:left w:val="nil"/>
                    <w:bottom w:val="nil"/>
                    <w:right w:val="nil"/>
                  </w:tcBorders>
                  <w:shd w:val="clear" w:color="auto" w:fill="auto"/>
                  <w:noWrap/>
                  <w:vAlign w:val="center"/>
                </w:tcPr>
                <w:p w14:paraId="317EDAE5" w14:textId="77777777" w:rsidR="0039438F" w:rsidRPr="00543D10" w:rsidRDefault="00E25CBD" w:rsidP="0039438F">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w:t>
                  </w:r>
                </w:p>
              </w:tc>
              <w:tc>
                <w:tcPr>
                  <w:tcW w:w="1707" w:type="dxa"/>
                  <w:tcBorders>
                    <w:top w:val="nil"/>
                    <w:left w:val="nil"/>
                    <w:bottom w:val="nil"/>
                    <w:right w:val="nil"/>
                  </w:tcBorders>
                  <w:shd w:val="clear" w:color="auto" w:fill="auto"/>
                  <w:noWrap/>
                  <w:vAlign w:val="center"/>
                </w:tcPr>
                <w:p w14:paraId="6AA048B9" w14:textId="77777777" w:rsidR="0039438F" w:rsidRPr="00543D10" w:rsidRDefault="00E25CBD" w:rsidP="0039438F">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(15)</w:t>
                  </w:r>
                </w:p>
              </w:tc>
              <w:tc>
                <w:tcPr>
                  <w:tcW w:w="1139" w:type="dxa"/>
                  <w:tcBorders>
                    <w:top w:val="nil"/>
                    <w:left w:val="nil"/>
                    <w:bottom w:val="nil"/>
                    <w:right w:val="nil"/>
                  </w:tcBorders>
                  <w:shd w:val="clear" w:color="auto" w:fill="auto"/>
                  <w:noWrap/>
                  <w:vAlign w:val="center"/>
                </w:tcPr>
                <w:p w14:paraId="2212D0A1" w14:textId="77777777" w:rsidR="0039438F" w:rsidRPr="00543D10" w:rsidRDefault="00E25CBD" w:rsidP="0039438F">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w:t>
                  </w:r>
                </w:p>
              </w:tc>
              <w:tc>
                <w:tcPr>
                  <w:tcW w:w="996" w:type="dxa"/>
                  <w:tcBorders>
                    <w:top w:val="nil"/>
                    <w:left w:val="nil"/>
                    <w:bottom w:val="nil"/>
                    <w:right w:val="nil"/>
                  </w:tcBorders>
                  <w:shd w:val="clear" w:color="auto" w:fill="auto"/>
                  <w:noWrap/>
                  <w:vAlign w:val="center"/>
                </w:tcPr>
                <w:p w14:paraId="46DA67C9" w14:textId="77777777" w:rsidR="0039438F" w:rsidRPr="00543D10" w:rsidRDefault="00E25CBD" w:rsidP="0039438F">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(15)</w:t>
                  </w:r>
                </w:p>
              </w:tc>
              <w:tc>
                <w:tcPr>
                  <w:tcW w:w="1140" w:type="dxa"/>
                  <w:tcBorders>
                    <w:top w:val="nil"/>
                    <w:left w:val="nil"/>
                    <w:bottom w:val="nil"/>
                    <w:right w:val="nil"/>
                  </w:tcBorders>
                  <w:shd w:val="clear" w:color="auto" w:fill="auto"/>
                  <w:noWrap/>
                  <w:vAlign w:val="center"/>
                  <w:hideMark/>
                </w:tcPr>
                <w:p w14:paraId="43CC65CF" w14:textId="77777777" w:rsidR="0039438F" w:rsidRPr="0039438F" w:rsidRDefault="0039438F" w:rsidP="0039438F">
                  <w:pPr>
                    <w:spacing w:after="0" w:line="240" w:lineRule="auto"/>
                    <w:jc w:val="right"/>
                    <w:rPr>
                      <w:rFonts w:ascii="Arial" w:eastAsia="Times New Roman" w:hAnsi="Arial" w:cs="Arial"/>
                      <w:sz w:val="20"/>
                      <w:szCs w:val="20"/>
                      <w:lang w:eastAsia="en-GB"/>
                    </w:rPr>
                  </w:pPr>
                  <w:r w:rsidRPr="0039438F">
                    <w:rPr>
                      <w:rFonts w:ascii="Arial" w:eastAsia="Times New Roman" w:hAnsi="Arial" w:cs="Arial"/>
                      <w:bCs/>
                      <w:sz w:val="20"/>
                      <w:szCs w:val="20"/>
                      <w:lang w:eastAsia="en-GB"/>
                    </w:rPr>
                    <w:t>14</w:t>
                  </w:r>
                </w:p>
              </w:tc>
            </w:tr>
            <w:tr w:rsidR="00543D10" w:rsidRPr="00543D10" w14:paraId="44910B0C" w14:textId="77777777" w:rsidTr="00697C96">
              <w:trPr>
                <w:trHeight w:val="322"/>
              </w:trPr>
              <w:tc>
                <w:tcPr>
                  <w:tcW w:w="2738" w:type="dxa"/>
                  <w:tcBorders>
                    <w:top w:val="single" w:sz="4" w:space="0" w:color="auto"/>
                    <w:left w:val="nil"/>
                    <w:bottom w:val="single" w:sz="4" w:space="0" w:color="auto"/>
                    <w:right w:val="nil"/>
                  </w:tcBorders>
                  <w:shd w:val="clear" w:color="auto" w:fill="auto"/>
                  <w:noWrap/>
                  <w:vAlign w:val="center"/>
                  <w:hideMark/>
                </w:tcPr>
                <w:p w14:paraId="775321C3" w14:textId="77777777" w:rsidR="001A2160" w:rsidRPr="00543D10" w:rsidRDefault="001A2160" w:rsidP="001A2160">
                  <w:pPr>
                    <w:spacing w:after="0" w:line="240" w:lineRule="auto"/>
                    <w:rPr>
                      <w:rFonts w:ascii="Arial" w:eastAsia="Times New Roman" w:hAnsi="Arial" w:cs="Arial"/>
                      <w:b/>
                      <w:bCs/>
                      <w:sz w:val="20"/>
                      <w:szCs w:val="20"/>
                      <w:lang w:eastAsia="en-GB"/>
                    </w:rPr>
                  </w:pPr>
                  <w:r w:rsidRPr="00543D10">
                    <w:rPr>
                      <w:rFonts w:ascii="Arial" w:eastAsia="Times New Roman" w:hAnsi="Arial" w:cs="Arial"/>
                      <w:b/>
                      <w:bCs/>
                      <w:sz w:val="20"/>
                      <w:szCs w:val="20"/>
                      <w:lang w:eastAsia="en-GB"/>
                    </w:rPr>
                    <w:t>Total net assets at 3</w:t>
                  </w:r>
                  <w:r w:rsidRPr="00543D10">
                    <w:rPr>
                      <w:rFonts w:ascii="Arial" w:eastAsia="Times New Roman" w:hAnsi="Arial" w:cs="Arial"/>
                      <w:b/>
                      <w:sz w:val="20"/>
                      <w:szCs w:val="20"/>
                      <w:lang w:eastAsia="en-GB"/>
                    </w:rPr>
                    <w:t xml:space="preserve">1 August </w:t>
                  </w:r>
                  <w:r w:rsidR="0037645F">
                    <w:rPr>
                      <w:rFonts w:ascii="Arial" w:eastAsia="Times New Roman" w:hAnsi="Arial" w:cs="Arial"/>
                      <w:b/>
                      <w:sz w:val="20"/>
                      <w:szCs w:val="20"/>
                      <w:lang w:eastAsia="en-GB"/>
                    </w:rPr>
                    <w:t>2020</w:t>
                  </w:r>
                </w:p>
              </w:tc>
              <w:tc>
                <w:tcPr>
                  <w:tcW w:w="1426" w:type="dxa"/>
                  <w:tcBorders>
                    <w:top w:val="single" w:sz="4" w:space="0" w:color="auto"/>
                    <w:left w:val="nil"/>
                    <w:bottom w:val="single" w:sz="4" w:space="0" w:color="auto"/>
                    <w:right w:val="nil"/>
                  </w:tcBorders>
                  <w:shd w:val="clear" w:color="auto" w:fill="auto"/>
                  <w:noWrap/>
                  <w:vAlign w:val="center"/>
                </w:tcPr>
                <w:p w14:paraId="4B43342B" w14:textId="77777777" w:rsidR="001A2160" w:rsidRPr="00543D10" w:rsidRDefault="00E25CBD" w:rsidP="001A2160">
                  <w:pPr>
                    <w:spacing w:after="0" w:line="240" w:lineRule="auto"/>
                    <w:jc w:val="right"/>
                    <w:rPr>
                      <w:rFonts w:ascii="Arial" w:eastAsia="Times New Roman" w:hAnsi="Arial" w:cs="Arial"/>
                      <w:b/>
                      <w:bCs/>
                      <w:sz w:val="20"/>
                      <w:szCs w:val="20"/>
                      <w:highlight w:val="green"/>
                      <w:lang w:eastAsia="en-GB"/>
                    </w:rPr>
                  </w:pPr>
                  <w:r w:rsidRPr="006647C2">
                    <w:rPr>
                      <w:rFonts w:ascii="Arial" w:eastAsia="Times New Roman" w:hAnsi="Arial" w:cs="Arial"/>
                      <w:b/>
                      <w:bCs/>
                      <w:sz w:val="20"/>
                      <w:szCs w:val="20"/>
                      <w:lang w:eastAsia="en-GB"/>
                    </w:rPr>
                    <w:t>1,306</w:t>
                  </w:r>
                </w:p>
              </w:tc>
              <w:tc>
                <w:tcPr>
                  <w:tcW w:w="1707" w:type="dxa"/>
                  <w:tcBorders>
                    <w:top w:val="single" w:sz="4" w:space="0" w:color="auto"/>
                    <w:left w:val="nil"/>
                    <w:bottom w:val="single" w:sz="4" w:space="0" w:color="auto"/>
                    <w:right w:val="nil"/>
                  </w:tcBorders>
                  <w:shd w:val="clear" w:color="auto" w:fill="auto"/>
                  <w:noWrap/>
                  <w:vAlign w:val="center"/>
                </w:tcPr>
                <w:p w14:paraId="6C35390C" w14:textId="77777777" w:rsidR="001A2160" w:rsidRPr="00543D10" w:rsidRDefault="00E25CBD" w:rsidP="003D59C0">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1</w:t>
                  </w:r>
                  <w:r w:rsidR="00723D1F">
                    <w:rPr>
                      <w:rFonts w:ascii="Arial" w:eastAsia="Times New Roman" w:hAnsi="Arial" w:cs="Arial"/>
                      <w:b/>
                      <w:bCs/>
                      <w:sz w:val="20"/>
                      <w:szCs w:val="20"/>
                      <w:lang w:eastAsia="en-GB"/>
                    </w:rPr>
                    <w:t>4,410</w:t>
                  </w:r>
                </w:p>
              </w:tc>
              <w:tc>
                <w:tcPr>
                  <w:tcW w:w="1139" w:type="dxa"/>
                  <w:tcBorders>
                    <w:top w:val="single" w:sz="4" w:space="0" w:color="auto"/>
                    <w:left w:val="nil"/>
                    <w:bottom w:val="single" w:sz="4" w:space="0" w:color="auto"/>
                    <w:right w:val="nil"/>
                  </w:tcBorders>
                  <w:shd w:val="clear" w:color="auto" w:fill="auto"/>
                  <w:noWrap/>
                  <w:vAlign w:val="center"/>
                </w:tcPr>
                <w:p w14:paraId="50DA82FC" w14:textId="77777777" w:rsidR="001A2160" w:rsidRPr="00543D10" w:rsidRDefault="00E25CBD" w:rsidP="001A2160">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3,764</w:t>
                  </w:r>
                </w:p>
              </w:tc>
              <w:tc>
                <w:tcPr>
                  <w:tcW w:w="996" w:type="dxa"/>
                  <w:tcBorders>
                    <w:top w:val="single" w:sz="4" w:space="0" w:color="auto"/>
                    <w:left w:val="nil"/>
                    <w:bottom w:val="single" w:sz="4" w:space="0" w:color="auto"/>
                    <w:right w:val="nil"/>
                  </w:tcBorders>
                  <w:shd w:val="clear" w:color="auto" w:fill="auto"/>
                  <w:noWrap/>
                  <w:vAlign w:val="center"/>
                </w:tcPr>
                <w:p w14:paraId="69DFE0AD" w14:textId="77777777" w:rsidR="001A2160" w:rsidRPr="00543D10" w:rsidRDefault="00723D1F" w:rsidP="003D59C0">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19,480</w:t>
                  </w:r>
                </w:p>
              </w:tc>
              <w:tc>
                <w:tcPr>
                  <w:tcW w:w="1140" w:type="dxa"/>
                  <w:tcBorders>
                    <w:top w:val="single" w:sz="4" w:space="0" w:color="auto"/>
                    <w:left w:val="nil"/>
                    <w:bottom w:val="single" w:sz="4" w:space="0" w:color="auto"/>
                    <w:right w:val="nil"/>
                  </w:tcBorders>
                  <w:shd w:val="clear" w:color="auto" w:fill="auto"/>
                  <w:noWrap/>
                  <w:vAlign w:val="center"/>
                  <w:hideMark/>
                </w:tcPr>
                <w:p w14:paraId="4CBB329A" w14:textId="77777777" w:rsidR="001A2160" w:rsidRPr="00543D10" w:rsidRDefault="00C51D9C" w:rsidP="001A2160">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w:t>
                  </w:r>
                </w:p>
              </w:tc>
            </w:tr>
            <w:tr w:rsidR="0039438F" w:rsidRPr="00543D10" w14:paraId="7D4552F7" w14:textId="77777777" w:rsidTr="00697C96">
              <w:trPr>
                <w:trHeight w:val="322"/>
              </w:trPr>
              <w:tc>
                <w:tcPr>
                  <w:tcW w:w="2738" w:type="dxa"/>
                  <w:tcBorders>
                    <w:top w:val="nil"/>
                    <w:left w:val="nil"/>
                    <w:bottom w:val="single" w:sz="4" w:space="0" w:color="auto"/>
                    <w:right w:val="nil"/>
                  </w:tcBorders>
                  <w:shd w:val="clear" w:color="auto" w:fill="auto"/>
                  <w:noWrap/>
                  <w:vAlign w:val="center"/>
                  <w:hideMark/>
                </w:tcPr>
                <w:p w14:paraId="0B61A1AE" w14:textId="77777777" w:rsidR="0039438F" w:rsidRPr="00543D10" w:rsidRDefault="0039438F" w:rsidP="0039438F">
                  <w:pPr>
                    <w:spacing w:after="0" w:line="240" w:lineRule="auto"/>
                    <w:rPr>
                      <w:rFonts w:ascii="Arial" w:eastAsia="Times New Roman" w:hAnsi="Arial" w:cs="Arial"/>
                      <w:sz w:val="20"/>
                      <w:szCs w:val="20"/>
                      <w:lang w:eastAsia="en-GB"/>
                    </w:rPr>
                  </w:pPr>
                  <w:r w:rsidRPr="00543D10">
                    <w:rPr>
                      <w:rFonts w:ascii="Arial" w:eastAsia="Times New Roman" w:hAnsi="Arial" w:cs="Arial"/>
                      <w:sz w:val="20"/>
                      <w:szCs w:val="20"/>
                      <w:lang w:eastAsia="en-GB"/>
                    </w:rPr>
                    <w:t xml:space="preserve">Total net assets at 1 September </w:t>
                  </w:r>
                  <w:r>
                    <w:rPr>
                      <w:rFonts w:ascii="Arial" w:eastAsia="Times New Roman" w:hAnsi="Arial" w:cs="Arial"/>
                      <w:sz w:val="20"/>
                      <w:szCs w:val="20"/>
                      <w:lang w:eastAsia="en-GB"/>
                    </w:rPr>
                    <w:t>2019</w:t>
                  </w:r>
                </w:p>
              </w:tc>
              <w:tc>
                <w:tcPr>
                  <w:tcW w:w="1426" w:type="dxa"/>
                  <w:tcBorders>
                    <w:top w:val="single" w:sz="4" w:space="0" w:color="auto"/>
                    <w:left w:val="nil"/>
                    <w:bottom w:val="single" w:sz="4" w:space="0" w:color="auto"/>
                    <w:right w:val="nil"/>
                  </w:tcBorders>
                  <w:shd w:val="clear" w:color="auto" w:fill="auto"/>
                  <w:noWrap/>
                  <w:vAlign w:val="center"/>
                </w:tcPr>
                <w:p w14:paraId="3B844D47" w14:textId="77777777" w:rsidR="0039438F" w:rsidRPr="0039438F" w:rsidRDefault="0039438F" w:rsidP="0039438F">
                  <w:pPr>
                    <w:spacing w:after="0" w:line="240" w:lineRule="auto"/>
                    <w:jc w:val="right"/>
                    <w:rPr>
                      <w:rFonts w:ascii="Arial" w:eastAsia="Times New Roman" w:hAnsi="Arial" w:cs="Arial"/>
                      <w:sz w:val="20"/>
                      <w:szCs w:val="20"/>
                      <w:lang w:eastAsia="en-GB"/>
                    </w:rPr>
                  </w:pPr>
                  <w:r w:rsidRPr="0039438F">
                    <w:rPr>
                      <w:rFonts w:ascii="Arial" w:eastAsia="Times New Roman" w:hAnsi="Arial" w:cs="Arial"/>
                      <w:bCs/>
                      <w:sz w:val="20"/>
                      <w:szCs w:val="20"/>
                      <w:lang w:eastAsia="en-GB"/>
                    </w:rPr>
                    <w:t>1,528</w:t>
                  </w:r>
                </w:p>
              </w:tc>
              <w:tc>
                <w:tcPr>
                  <w:tcW w:w="1707" w:type="dxa"/>
                  <w:tcBorders>
                    <w:top w:val="single" w:sz="4" w:space="0" w:color="auto"/>
                    <w:left w:val="nil"/>
                    <w:bottom w:val="single" w:sz="4" w:space="0" w:color="auto"/>
                    <w:right w:val="nil"/>
                  </w:tcBorders>
                  <w:shd w:val="clear" w:color="auto" w:fill="auto"/>
                  <w:noWrap/>
                  <w:vAlign w:val="center"/>
                </w:tcPr>
                <w:p w14:paraId="5D95780E" w14:textId="77777777" w:rsidR="0039438F" w:rsidRPr="0039438F" w:rsidRDefault="0039438F" w:rsidP="0039438F">
                  <w:pPr>
                    <w:spacing w:after="0" w:line="240" w:lineRule="auto"/>
                    <w:jc w:val="right"/>
                    <w:rPr>
                      <w:rFonts w:ascii="Arial" w:eastAsia="Times New Roman" w:hAnsi="Arial" w:cs="Arial"/>
                      <w:sz w:val="20"/>
                      <w:szCs w:val="20"/>
                      <w:lang w:eastAsia="en-GB"/>
                    </w:rPr>
                  </w:pPr>
                  <w:r w:rsidRPr="0039438F">
                    <w:rPr>
                      <w:rFonts w:ascii="Arial" w:eastAsia="Times New Roman" w:hAnsi="Arial" w:cs="Arial"/>
                      <w:bCs/>
                      <w:sz w:val="20"/>
                      <w:szCs w:val="20"/>
                      <w:lang w:eastAsia="en-GB"/>
                    </w:rPr>
                    <w:t>20,626</w:t>
                  </w:r>
                </w:p>
              </w:tc>
              <w:tc>
                <w:tcPr>
                  <w:tcW w:w="1139" w:type="dxa"/>
                  <w:tcBorders>
                    <w:top w:val="single" w:sz="4" w:space="0" w:color="auto"/>
                    <w:left w:val="nil"/>
                    <w:bottom w:val="single" w:sz="4" w:space="0" w:color="auto"/>
                    <w:right w:val="nil"/>
                  </w:tcBorders>
                  <w:shd w:val="clear" w:color="auto" w:fill="auto"/>
                  <w:noWrap/>
                  <w:vAlign w:val="center"/>
                </w:tcPr>
                <w:p w14:paraId="4A2B9411" w14:textId="77777777" w:rsidR="0039438F" w:rsidRPr="0039438F" w:rsidRDefault="0039438F" w:rsidP="0039438F">
                  <w:pPr>
                    <w:spacing w:after="0" w:line="240" w:lineRule="auto"/>
                    <w:jc w:val="right"/>
                    <w:rPr>
                      <w:rFonts w:ascii="Arial" w:eastAsia="Times New Roman" w:hAnsi="Arial" w:cs="Arial"/>
                      <w:sz w:val="20"/>
                      <w:szCs w:val="20"/>
                      <w:lang w:eastAsia="en-GB"/>
                    </w:rPr>
                  </w:pPr>
                  <w:r w:rsidRPr="0039438F">
                    <w:rPr>
                      <w:rFonts w:ascii="Arial" w:eastAsia="Times New Roman" w:hAnsi="Arial" w:cs="Arial"/>
                      <w:bCs/>
                      <w:sz w:val="20"/>
                      <w:szCs w:val="20"/>
                      <w:lang w:eastAsia="en-GB"/>
                    </w:rPr>
                    <w:t>3,807</w:t>
                  </w:r>
                </w:p>
              </w:tc>
              <w:tc>
                <w:tcPr>
                  <w:tcW w:w="996" w:type="dxa"/>
                  <w:tcBorders>
                    <w:top w:val="nil"/>
                    <w:left w:val="nil"/>
                    <w:bottom w:val="single" w:sz="4" w:space="0" w:color="auto"/>
                    <w:right w:val="nil"/>
                  </w:tcBorders>
                  <w:shd w:val="clear" w:color="auto" w:fill="auto"/>
                  <w:noWrap/>
                  <w:vAlign w:val="center"/>
                  <w:hideMark/>
                </w:tcPr>
                <w:p w14:paraId="04DC27FF" w14:textId="77777777" w:rsidR="0039438F" w:rsidRPr="00543D10" w:rsidRDefault="00C51D9C" w:rsidP="0039438F">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w:t>
                  </w:r>
                </w:p>
              </w:tc>
              <w:tc>
                <w:tcPr>
                  <w:tcW w:w="1140" w:type="dxa"/>
                  <w:tcBorders>
                    <w:top w:val="nil"/>
                    <w:left w:val="nil"/>
                    <w:bottom w:val="single" w:sz="4" w:space="0" w:color="auto"/>
                    <w:right w:val="nil"/>
                  </w:tcBorders>
                  <w:shd w:val="clear" w:color="auto" w:fill="auto"/>
                  <w:noWrap/>
                  <w:vAlign w:val="center"/>
                  <w:hideMark/>
                </w:tcPr>
                <w:p w14:paraId="0CF7109F" w14:textId="77777777" w:rsidR="0039438F" w:rsidRPr="0039438F" w:rsidRDefault="00C9032F" w:rsidP="0039438F">
                  <w:pPr>
                    <w:spacing w:after="0" w:line="240" w:lineRule="auto"/>
                    <w:jc w:val="right"/>
                    <w:rPr>
                      <w:rFonts w:ascii="Arial" w:eastAsia="Times New Roman" w:hAnsi="Arial" w:cs="Arial"/>
                      <w:bCs/>
                      <w:sz w:val="20"/>
                      <w:szCs w:val="20"/>
                      <w:lang w:eastAsia="en-GB"/>
                    </w:rPr>
                  </w:pPr>
                  <w:r>
                    <w:rPr>
                      <w:rFonts w:ascii="Arial" w:eastAsia="Times New Roman" w:hAnsi="Arial" w:cs="Arial"/>
                      <w:bCs/>
                      <w:sz w:val="20"/>
                      <w:szCs w:val="20"/>
                      <w:lang w:eastAsia="en-GB"/>
                    </w:rPr>
                    <w:t>25,961</w:t>
                  </w:r>
                </w:p>
              </w:tc>
            </w:tr>
          </w:tbl>
          <w:p w14:paraId="678CB834" w14:textId="77777777" w:rsidR="00C36CB2" w:rsidRPr="00543D10" w:rsidRDefault="00C36CB2" w:rsidP="002B2F3F">
            <w:pPr>
              <w:spacing w:after="240" w:line="240" w:lineRule="auto"/>
              <w:rPr>
                <w:rFonts w:ascii="Arial" w:eastAsia="Times New Roman" w:hAnsi="Arial" w:cs="Arial"/>
                <w:sz w:val="24"/>
                <w:szCs w:val="24"/>
                <w:lang w:eastAsia="en-GB"/>
              </w:rPr>
            </w:pPr>
          </w:p>
        </w:tc>
      </w:tr>
    </w:tbl>
    <w:p w14:paraId="7BFB9C1A" w14:textId="77777777" w:rsidR="006104D2" w:rsidRDefault="006104D2" w:rsidP="00665BC7">
      <w:pPr>
        <w:tabs>
          <w:tab w:val="left" w:pos="567"/>
        </w:tabs>
        <w:ind w:left="567" w:hanging="567"/>
        <w:rPr>
          <w:rFonts w:ascii="Arial" w:hAnsi="Arial" w:cs="Arial"/>
          <w:b/>
          <w:i/>
          <w:sz w:val="24"/>
          <w:szCs w:val="24"/>
        </w:rPr>
      </w:pPr>
    </w:p>
    <w:p w14:paraId="7EA0885A" w14:textId="73D5CEE2" w:rsidR="006104D2" w:rsidRDefault="006104D2" w:rsidP="00665BC7">
      <w:pPr>
        <w:tabs>
          <w:tab w:val="left" w:pos="567"/>
        </w:tabs>
        <w:ind w:left="567" w:hanging="567"/>
        <w:rPr>
          <w:rFonts w:ascii="Arial" w:hAnsi="Arial" w:cs="Arial"/>
          <w:b/>
          <w:i/>
          <w:sz w:val="24"/>
          <w:szCs w:val="24"/>
        </w:rPr>
      </w:pPr>
    </w:p>
    <w:p w14:paraId="6C6E9AE7" w14:textId="77777777" w:rsidR="00AD5E62" w:rsidRDefault="00AD5E62" w:rsidP="00665BC7">
      <w:pPr>
        <w:tabs>
          <w:tab w:val="left" w:pos="567"/>
        </w:tabs>
        <w:ind w:left="567" w:hanging="567"/>
        <w:rPr>
          <w:rFonts w:ascii="Arial" w:hAnsi="Arial" w:cs="Arial"/>
          <w:b/>
          <w:i/>
          <w:sz w:val="24"/>
          <w:szCs w:val="24"/>
        </w:rPr>
      </w:pPr>
    </w:p>
    <w:p w14:paraId="6F9BEF16" w14:textId="77777777" w:rsidR="006C07DD" w:rsidRDefault="006C07DD" w:rsidP="007E6118">
      <w:pPr>
        <w:spacing w:after="0" w:line="240" w:lineRule="auto"/>
        <w:rPr>
          <w:rFonts w:ascii="Arial" w:hAnsi="Arial" w:cs="Arial"/>
          <w:b/>
          <w:i/>
          <w:sz w:val="24"/>
          <w:szCs w:val="24"/>
        </w:rPr>
      </w:pPr>
      <w:r w:rsidRPr="0088736E">
        <w:rPr>
          <w:rFonts w:ascii="Arial" w:hAnsi="Arial" w:cs="Arial"/>
          <w:b/>
          <w:i/>
          <w:sz w:val="24"/>
          <w:szCs w:val="24"/>
        </w:rPr>
        <w:lastRenderedPageBreak/>
        <w:t xml:space="preserve">Notes to the financial </w:t>
      </w:r>
      <w:r>
        <w:rPr>
          <w:rFonts w:ascii="Arial" w:hAnsi="Arial" w:cs="Arial"/>
          <w:b/>
          <w:i/>
          <w:sz w:val="24"/>
          <w:szCs w:val="24"/>
        </w:rPr>
        <w:t>statements</w:t>
      </w:r>
      <w:r w:rsidRPr="0088736E">
        <w:rPr>
          <w:rFonts w:ascii="Arial" w:hAnsi="Arial" w:cs="Arial"/>
          <w:b/>
          <w:i/>
          <w:sz w:val="24"/>
          <w:szCs w:val="24"/>
        </w:rPr>
        <w:t xml:space="preserve"> (continued)</w:t>
      </w:r>
    </w:p>
    <w:p w14:paraId="4C300BB6" w14:textId="77777777" w:rsidR="006C07DD" w:rsidRDefault="006C07DD" w:rsidP="007E6118">
      <w:pPr>
        <w:autoSpaceDE w:val="0"/>
        <w:autoSpaceDN w:val="0"/>
        <w:adjustRightInd w:val="0"/>
        <w:spacing w:after="0" w:line="240" w:lineRule="auto"/>
        <w:rPr>
          <w:rFonts w:ascii="Arial" w:hAnsi="Arial" w:cs="Arial"/>
          <w:b/>
          <w:i/>
          <w:sz w:val="24"/>
          <w:szCs w:val="24"/>
        </w:rPr>
      </w:pPr>
    </w:p>
    <w:p w14:paraId="6A3E3489" w14:textId="77777777" w:rsidR="00C1301D" w:rsidRPr="002B2F3F" w:rsidRDefault="00C1301D" w:rsidP="00665BC7">
      <w:pPr>
        <w:autoSpaceDE w:val="0"/>
        <w:autoSpaceDN w:val="0"/>
        <w:adjustRightInd w:val="0"/>
        <w:spacing w:after="240" w:line="240" w:lineRule="auto"/>
        <w:rPr>
          <w:rFonts w:ascii="Arial" w:hAnsi="Arial" w:cs="Arial"/>
          <w:b/>
          <w:sz w:val="24"/>
          <w:szCs w:val="24"/>
        </w:rPr>
      </w:pPr>
      <w:r>
        <w:rPr>
          <w:rFonts w:ascii="Arial" w:hAnsi="Arial" w:cs="Arial"/>
          <w:b/>
          <w:sz w:val="24"/>
          <w:szCs w:val="24"/>
        </w:rPr>
        <w:t>21</w:t>
      </w:r>
      <w:r w:rsidRPr="002B2F3F">
        <w:rPr>
          <w:rFonts w:ascii="Arial" w:hAnsi="Arial" w:cs="Arial"/>
          <w:b/>
          <w:sz w:val="24"/>
          <w:szCs w:val="24"/>
        </w:rPr>
        <w:t xml:space="preserve">. </w:t>
      </w:r>
      <w:r>
        <w:rPr>
          <w:rFonts w:ascii="Arial" w:hAnsi="Arial" w:cs="Arial"/>
          <w:b/>
          <w:sz w:val="24"/>
          <w:szCs w:val="24"/>
        </w:rPr>
        <w:t>Taxation</w:t>
      </w:r>
    </w:p>
    <w:p w14:paraId="6F72496D" w14:textId="77777777" w:rsidR="00E70CD3" w:rsidRPr="002B2F3F" w:rsidRDefault="00E70CD3" w:rsidP="006647C2">
      <w:pPr>
        <w:autoSpaceDE w:val="0"/>
        <w:autoSpaceDN w:val="0"/>
        <w:adjustRightInd w:val="0"/>
        <w:spacing w:after="240" w:line="240" w:lineRule="auto"/>
        <w:jc w:val="both"/>
        <w:rPr>
          <w:rFonts w:ascii="Arial" w:hAnsi="Arial" w:cs="Arial"/>
          <w:sz w:val="24"/>
          <w:szCs w:val="24"/>
        </w:rPr>
      </w:pPr>
      <w:r w:rsidRPr="002B2F3F">
        <w:rPr>
          <w:rFonts w:ascii="Arial" w:hAnsi="Arial" w:cs="Arial"/>
          <w:sz w:val="24"/>
          <w:szCs w:val="24"/>
        </w:rPr>
        <w:t>The Trust has no liability to corporation tax as it satisfies the criteria for its income and gains to be exempt from corporation tax/corporate taxation. There is no similar exemption for VAT.</w:t>
      </w:r>
    </w:p>
    <w:p w14:paraId="0E77DCC0" w14:textId="77777777" w:rsidR="00E70CD3" w:rsidRPr="002B2F3F" w:rsidRDefault="00E70CD3" w:rsidP="006647C2">
      <w:pPr>
        <w:autoSpaceDE w:val="0"/>
        <w:autoSpaceDN w:val="0"/>
        <w:adjustRightInd w:val="0"/>
        <w:spacing w:after="240" w:line="240" w:lineRule="auto"/>
        <w:jc w:val="both"/>
        <w:rPr>
          <w:rFonts w:ascii="Arial" w:hAnsi="Arial" w:cs="Arial"/>
          <w:sz w:val="24"/>
          <w:szCs w:val="24"/>
        </w:rPr>
      </w:pPr>
      <w:r w:rsidRPr="002B2F3F">
        <w:rPr>
          <w:rFonts w:ascii="Arial" w:hAnsi="Arial" w:cs="Arial"/>
          <w:sz w:val="24"/>
          <w:szCs w:val="24"/>
        </w:rPr>
        <w:t>Members of the group without charitable status are charged corporation tax on their income and gains.</w:t>
      </w:r>
    </w:p>
    <w:p w14:paraId="275C78DC" w14:textId="77777777" w:rsidR="00E70CD3" w:rsidRDefault="00E70CD3" w:rsidP="006647C2">
      <w:pPr>
        <w:autoSpaceDE w:val="0"/>
        <w:autoSpaceDN w:val="0"/>
        <w:adjustRightInd w:val="0"/>
        <w:spacing w:after="240" w:line="240" w:lineRule="auto"/>
        <w:jc w:val="both"/>
        <w:rPr>
          <w:rFonts w:ascii="Arial" w:hAnsi="Arial" w:cs="Arial"/>
          <w:sz w:val="24"/>
          <w:szCs w:val="24"/>
        </w:rPr>
      </w:pPr>
      <w:r w:rsidRPr="002B2F3F">
        <w:rPr>
          <w:rFonts w:ascii="Arial" w:hAnsi="Arial" w:cs="Arial"/>
          <w:sz w:val="24"/>
          <w:szCs w:val="24"/>
        </w:rPr>
        <w:t>Deferred tax assets recognised by group companies are shown in note 14.</w:t>
      </w:r>
    </w:p>
    <w:p w14:paraId="219551DC" w14:textId="77777777" w:rsidR="006E7C43" w:rsidRDefault="006E7C43" w:rsidP="006647C2">
      <w:pPr>
        <w:autoSpaceDE w:val="0"/>
        <w:autoSpaceDN w:val="0"/>
        <w:adjustRightInd w:val="0"/>
        <w:spacing w:after="240" w:line="240" w:lineRule="auto"/>
        <w:jc w:val="both"/>
        <w:rPr>
          <w:rFonts w:ascii="Arial" w:hAnsi="Arial" w:cs="Arial"/>
          <w:sz w:val="24"/>
          <w:szCs w:val="24"/>
        </w:rPr>
      </w:pPr>
      <w:r>
        <w:rPr>
          <w:rFonts w:ascii="Arial" w:hAnsi="Arial" w:cs="Arial"/>
          <w:sz w:val="24"/>
          <w:szCs w:val="24"/>
        </w:rPr>
        <w:t>Tax charge for the year is:</w:t>
      </w:r>
    </w:p>
    <w:tbl>
      <w:tblPr>
        <w:tblW w:w="8900" w:type="dxa"/>
        <w:tblLook w:val="04A0" w:firstRow="1" w:lastRow="0" w:firstColumn="1" w:lastColumn="0" w:noHBand="0" w:noVBand="1"/>
      </w:tblPr>
      <w:tblGrid>
        <w:gridCol w:w="2540"/>
        <w:gridCol w:w="2200"/>
        <w:gridCol w:w="960"/>
        <w:gridCol w:w="1120"/>
        <w:gridCol w:w="960"/>
        <w:gridCol w:w="1120"/>
      </w:tblGrid>
      <w:tr w:rsidR="006E7C43" w:rsidRPr="00022375" w14:paraId="349B0F74" w14:textId="77777777" w:rsidTr="006E7C43">
        <w:trPr>
          <w:trHeight w:val="300"/>
        </w:trPr>
        <w:tc>
          <w:tcPr>
            <w:tcW w:w="2540" w:type="dxa"/>
            <w:tcBorders>
              <w:top w:val="nil"/>
              <w:left w:val="nil"/>
              <w:bottom w:val="nil"/>
              <w:right w:val="nil"/>
            </w:tcBorders>
            <w:shd w:val="clear" w:color="auto" w:fill="auto"/>
            <w:noWrap/>
            <w:vAlign w:val="bottom"/>
            <w:hideMark/>
          </w:tcPr>
          <w:p w14:paraId="787238C3" w14:textId="77777777" w:rsidR="006E7C43" w:rsidRPr="00161381" w:rsidRDefault="006E7C43" w:rsidP="006E7C43">
            <w:pPr>
              <w:spacing w:after="0" w:line="240" w:lineRule="auto"/>
              <w:rPr>
                <w:rFonts w:ascii="Arial" w:eastAsia="Times New Roman" w:hAnsi="Arial" w:cs="Arial"/>
                <w:sz w:val="20"/>
                <w:szCs w:val="20"/>
                <w:lang w:eastAsia="en-GB"/>
              </w:rPr>
            </w:pPr>
          </w:p>
        </w:tc>
        <w:tc>
          <w:tcPr>
            <w:tcW w:w="2200" w:type="dxa"/>
            <w:tcBorders>
              <w:top w:val="nil"/>
              <w:left w:val="nil"/>
              <w:bottom w:val="nil"/>
              <w:right w:val="nil"/>
            </w:tcBorders>
            <w:shd w:val="clear" w:color="auto" w:fill="auto"/>
            <w:noWrap/>
            <w:vAlign w:val="bottom"/>
            <w:hideMark/>
          </w:tcPr>
          <w:p w14:paraId="50F89ADB" w14:textId="77777777" w:rsidR="006E7C43" w:rsidRPr="00161381" w:rsidRDefault="006E7C43" w:rsidP="006E7C43">
            <w:pPr>
              <w:spacing w:after="0" w:line="240" w:lineRule="auto"/>
              <w:rPr>
                <w:rFonts w:ascii="Arial" w:eastAsia="Times New Roman" w:hAnsi="Arial" w:cs="Arial"/>
                <w:sz w:val="20"/>
                <w:szCs w:val="20"/>
                <w:lang w:eastAsia="en-GB"/>
              </w:rPr>
            </w:pPr>
          </w:p>
        </w:tc>
        <w:tc>
          <w:tcPr>
            <w:tcW w:w="960" w:type="dxa"/>
            <w:tcBorders>
              <w:top w:val="nil"/>
              <w:left w:val="nil"/>
              <w:bottom w:val="nil"/>
              <w:right w:val="nil"/>
            </w:tcBorders>
            <w:shd w:val="clear" w:color="auto" w:fill="auto"/>
            <w:noWrap/>
            <w:vAlign w:val="bottom"/>
            <w:hideMark/>
          </w:tcPr>
          <w:p w14:paraId="6C59B3E0" w14:textId="77777777" w:rsidR="006E7C43" w:rsidRPr="00161381" w:rsidRDefault="006E7C43" w:rsidP="006E7C43">
            <w:pPr>
              <w:spacing w:after="0" w:line="240" w:lineRule="auto"/>
              <w:rPr>
                <w:rFonts w:ascii="Arial" w:eastAsia="Times New Roman" w:hAnsi="Arial" w:cs="Arial"/>
                <w:sz w:val="20"/>
                <w:szCs w:val="20"/>
                <w:lang w:eastAsia="en-GB"/>
              </w:rPr>
            </w:pPr>
          </w:p>
        </w:tc>
        <w:tc>
          <w:tcPr>
            <w:tcW w:w="1120" w:type="dxa"/>
            <w:tcBorders>
              <w:top w:val="nil"/>
              <w:left w:val="nil"/>
              <w:bottom w:val="nil"/>
              <w:right w:val="nil"/>
            </w:tcBorders>
            <w:shd w:val="clear" w:color="auto" w:fill="auto"/>
            <w:noWrap/>
            <w:vAlign w:val="bottom"/>
            <w:hideMark/>
          </w:tcPr>
          <w:p w14:paraId="48567CEE" w14:textId="77777777" w:rsidR="006E7C43" w:rsidRPr="00161381" w:rsidRDefault="006E7C43" w:rsidP="006E7C43">
            <w:pPr>
              <w:spacing w:after="0" w:line="240" w:lineRule="auto"/>
              <w:jc w:val="right"/>
              <w:rPr>
                <w:rFonts w:ascii="Arial" w:eastAsia="Times New Roman" w:hAnsi="Arial" w:cs="Arial"/>
                <w:b/>
                <w:bCs/>
                <w:color w:val="000000"/>
                <w:sz w:val="20"/>
                <w:szCs w:val="20"/>
                <w:lang w:eastAsia="en-GB"/>
              </w:rPr>
            </w:pPr>
            <w:r w:rsidRPr="00161381">
              <w:rPr>
                <w:rFonts w:ascii="Arial" w:eastAsia="Times New Roman" w:hAnsi="Arial" w:cs="Arial"/>
                <w:b/>
                <w:bCs/>
                <w:color w:val="000000"/>
                <w:sz w:val="20"/>
                <w:szCs w:val="20"/>
                <w:lang w:eastAsia="en-GB"/>
              </w:rPr>
              <w:t>2020</w:t>
            </w:r>
          </w:p>
        </w:tc>
        <w:tc>
          <w:tcPr>
            <w:tcW w:w="960" w:type="dxa"/>
            <w:tcBorders>
              <w:top w:val="nil"/>
              <w:left w:val="nil"/>
              <w:bottom w:val="nil"/>
              <w:right w:val="nil"/>
            </w:tcBorders>
            <w:shd w:val="clear" w:color="auto" w:fill="auto"/>
            <w:noWrap/>
            <w:vAlign w:val="bottom"/>
            <w:hideMark/>
          </w:tcPr>
          <w:p w14:paraId="3903874F" w14:textId="77777777" w:rsidR="006E7C43" w:rsidRPr="00161381" w:rsidRDefault="006E7C43" w:rsidP="006E7C43">
            <w:pPr>
              <w:spacing w:after="0" w:line="240" w:lineRule="auto"/>
              <w:jc w:val="right"/>
              <w:rPr>
                <w:rFonts w:ascii="Arial" w:eastAsia="Times New Roman" w:hAnsi="Arial" w:cs="Arial"/>
                <w:b/>
                <w:bCs/>
                <w:color w:val="000000"/>
                <w:sz w:val="20"/>
                <w:szCs w:val="20"/>
                <w:lang w:eastAsia="en-GB"/>
              </w:rPr>
            </w:pPr>
          </w:p>
        </w:tc>
        <w:tc>
          <w:tcPr>
            <w:tcW w:w="1120" w:type="dxa"/>
            <w:tcBorders>
              <w:top w:val="nil"/>
              <w:left w:val="nil"/>
              <w:bottom w:val="nil"/>
              <w:right w:val="nil"/>
            </w:tcBorders>
            <w:shd w:val="clear" w:color="auto" w:fill="auto"/>
            <w:noWrap/>
            <w:vAlign w:val="bottom"/>
            <w:hideMark/>
          </w:tcPr>
          <w:p w14:paraId="576ABB2A" w14:textId="77777777" w:rsidR="006E7C43" w:rsidRPr="00161381" w:rsidRDefault="006E7C43" w:rsidP="006E7C43">
            <w:pPr>
              <w:spacing w:after="0" w:line="240" w:lineRule="auto"/>
              <w:jc w:val="right"/>
              <w:rPr>
                <w:rFonts w:ascii="Arial" w:eastAsia="Times New Roman" w:hAnsi="Arial" w:cs="Arial"/>
                <w:color w:val="000000"/>
                <w:sz w:val="20"/>
                <w:szCs w:val="20"/>
                <w:lang w:eastAsia="en-GB"/>
              </w:rPr>
            </w:pPr>
            <w:r w:rsidRPr="00161381">
              <w:rPr>
                <w:rFonts w:ascii="Arial" w:eastAsia="Times New Roman" w:hAnsi="Arial" w:cs="Arial"/>
                <w:color w:val="000000"/>
                <w:sz w:val="20"/>
                <w:szCs w:val="20"/>
                <w:lang w:eastAsia="en-GB"/>
              </w:rPr>
              <w:t>2019</w:t>
            </w:r>
          </w:p>
        </w:tc>
      </w:tr>
      <w:tr w:rsidR="006E7C43" w:rsidRPr="00022375" w14:paraId="53D7131D" w14:textId="77777777" w:rsidTr="006E7C43">
        <w:trPr>
          <w:trHeight w:val="300"/>
        </w:trPr>
        <w:tc>
          <w:tcPr>
            <w:tcW w:w="2540" w:type="dxa"/>
            <w:tcBorders>
              <w:top w:val="nil"/>
              <w:left w:val="nil"/>
              <w:bottom w:val="nil"/>
              <w:right w:val="nil"/>
            </w:tcBorders>
            <w:shd w:val="clear" w:color="auto" w:fill="auto"/>
            <w:noWrap/>
            <w:vAlign w:val="bottom"/>
            <w:hideMark/>
          </w:tcPr>
          <w:p w14:paraId="3BAC9CC6" w14:textId="77777777" w:rsidR="006E7C43" w:rsidRPr="00161381" w:rsidRDefault="006E7C43" w:rsidP="006E7C43">
            <w:pPr>
              <w:spacing w:after="0" w:line="240" w:lineRule="auto"/>
              <w:jc w:val="right"/>
              <w:rPr>
                <w:rFonts w:ascii="Arial" w:eastAsia="Times New Roman" w:hAnsi="Arial" w:cs="Arial"/>
                <w:color w:val="000000"/>
                <w:sz w:val="20"/>
                <w:szCs w:val="20"/>
                <w:lang w:eastAsia="en-GB"/>
              </w:rPr>
            </w:pPr>
          </w:p>
        </w:tc>
        <w:tc>
          <w:tcPr>
            <w:tcW w:w="2200" w:type="dxa"/>
            <w:tcBorders>
              <w:top w:val="nil"/>
              <w:left w:val="nil"/>
              <w:bottom w:val="nil"/>
              <w:right w:val="nil"/>
            </w:tcBorders>
            <w:shd w:val="clear" w:color="auto" w:fill="auto"/>
            <w:noWrap/>
            <w:vAlign w:val="bottom"/>
            <w:hideMark/>
          </w:tcPr>
          <w:p w14:paraId="68072448" w14:textId="77777777" w:rsidR="006E7C43" w:rsidRPr="00161381" w:rsidRDefault="006E7C43" w:rsidP="006E7C43">
            <w:pPr>
              <w:spacing w:after="0" w:line="240" w:lineRule="auto"/>
              <w:rPr>
                <w:rFonts w:ascii="Arial" w:eastAsia="Times New Roman" w:hAnsi="Arial" w:cs="Arial"/>
                <w:sz w:val="20"/>
                <w:szCs w:val="20"/>
                <w:lang w:eastAsia="en-GB"/>
              </w:rPr>
            </w:pPr>
          </w:p>
        </w:tc>
        <w:tc>
          <w:tcPr>
            <w:tcW w:w="960" w:type="dxa"/>
            <w:tcBorders>
              <w:top w:val="nil"/>
              <w:left w:val="nil"/>
              <w:bottom w:val="nil"/>
              <w:right w:val="nil"/>
            </w:tcBorders>
            <w:shd w:val="clear" w:color="auto" w:fill="auto"/>
            <w:noWrap/>
            <w:vAlign w:val="bottom"/>
            <w:hideMark/>
          </w:tcPr>
          <w:p w14:paraId="7507BB84" w14:textId="77777777" w:rsidR="006E7C43" w:rsidRPr="00161381" w:rsidRDefault="006E7C43" w:rsidP="006E7C43">
            <w:pPr>
              <w:spacing w:after="0" w:line="240" w:lineRule="auto"/>
              <w:rPr>
                <w:rFonts w:ascii="Arial" w:eastAsia="Times New Roman" w:hAnsi="Arial" w:cs="Arial"/>
                <w:sz w:val="20"/>
                <w:szCs w:val="20"/>
                <w:lang w:eastAsia="en-GB"/>
              </w:rPr>
            </w:pPr>
          </w:p>
        </w:tc>
        <w:tc>
          <w:tcPr>
            <w:tcW w:w="1120" w:type="dxa"/>
            <w:tcBorders>
              <w:top w:val="nil"/>
              <w:left w:val="nil"/>
              <w:bottom w:val="nil"/>
              <w:right w:val="nil"/>
            </w:tcBorders>
            <w:shd w:val="clear" w:color="auto" w:fill="auto"/>
            <w:noWrap/>
            <w:vAlign w:val="bottom"/>
            <w:hideMark/>
          </w:tcPr>
          <w:p w14:paraId="44B19D3B" w14:textId="77777777" w:rsidR="006E7C43" w:rsidRPr="00161381" w:rsidRDefault="00D45EAB" w:rsidP="00161381">
            <w:pPr>
              <w:spacing w:after="0" w:line="240" w:lineRule="auto"/>
              <w:jc w:val="right"/>
              <w:rPr>
                <w:rFonts w:ascii="Arial" w:eastAsia="Times New Roman" w:hAnsi="Arial" w:cs="Arial"/>
                <w:b/>
                <w:sz w:val="20"/>
                <w:szCs w:val="20"/>
                <w:lang w:eastAsia="en-GB"/>
              </w:rPr>
            </w:pPr>
            <w:r w:rsidRPr="00161381">
              <w:rPr>
                <w:rFonts w:ascii="Arial" w:eastAsia="Times New Roman" w:hAnsi="Arial" w:cs="Arial"/>
                <w:b/>
                <w:sz w:val="20"/>
                <w:szCs w:val="20"/>
                <w:lang w:eastAsia="en-GB"/>
              </w:rPr>
              <w:t>£’000</w:t>
            </w:r>
          </w:p>
        </w:tc>
        <w:tc>
          <w:tcPr>
            <w:tcW w:w="960" w:type="dxa"/>
            <w:tcBorders>
              <w:top w:val="nil"/>
              <w:left w:val="nil"/>
              <w:bottom w:val="nil"/>
              <w:right w:val="nil"/>
            </w:tcBorders>
            <w:shd w:val="clear" w:color="auto" w:fill="auto"/>
            <w:noWrap/>
            <w:vAlign w:val="bottom"/>
            <w:hideMark/>
          </w:tcPr>
          <w:p w14:paraId="6CE9B806" w14:textId="77777777" w:rsidR="006E7C43" w:rsidRPr="00161381" w:rsidRDefault="006E7C43" w:rsidP="006E7C43">
            <w:pPr>
              <w:spacing w:after="0" w:line="240" w:lineRule="auto"/>
              <w:rPr>
                <w:rFonts w:ascii="Arial" w:eastAsia="Times New Roman" w:hAnsi="Arial" w:cs="Arial"/>
                <w:sz w:val="20"/>
                <w:szCs w:val="20"/>
                <w:lang w:eastAsia="en-GB"/>
              </w:rPr>
            </w:pPr>
          </w:p>
        </w:tc>
        <w:tc>
          <w:tcPr>
            <w:tcW w:w="1120" w:type="dxa"/>
            <w:tcBorders>
              <w:top w:val="nil"/>
              <w:left w:val="nil"/>
              <w:bottom w:val="nil"/>
              <w:right w:val="nil"/>
            </w:tcBorders>
            <w:shd w:val="clear" w:color="auto" w:fill="auto"/>
            <w:noWrap/>
            <w:vAlign w:val="bottom"/>
            <w:hideMark/>
          </w:tcPr>
          <w:p w14:paraId="5D45A4FB" w14:textId="77777777" w:rsidR="006E7C43" w:rsidRPr="00161381" w:rsidRDefault="00D45EAB" w:rsidP="00161381">
            <w:pPr>
              <w:spacing w:after="0" w:line="240" w:lineRule="auto"/>
              <w:jc w:val="right"/>
              <w:rPr>
                <w:rFonts w:ascii="Arial" w:eastAsia="Times New Roman" w:hAnsi="Arial" w:cs="Arial"/>
                <w:sz w:val="20"/>
                <w:szCs w:val="20"/>
                <w:lang w:eastAsia="en-GB"/>
              </w:rPr>
            </w:pPr>
            <w:r w:rsidRPr="00161381">
              <w:rPr>
                <w:rFonts w:ascii="Arial" w:eastAsia="Times New Roman" w:hAnsi="Arial" w:cs="Arial"/>
                <w:sz w:val="20"/>
                <w:szCs w:val="20"/>
                <w:lang w:eastAsia="en-GB"/>
              </w:rPr>
              <w:t>£’000</w:t>
            </w:r>
          </w:p>
        </w:tc>
      </w:tr>
      <w:tr w:rsidR="00D45EAB" w:rsidRPr="00022375" w14:paraId="4138B9F6" w14:textId="77777777" w:rsidTr="006E7C43">
        <w:trPr>
          <w:trHeight w:val="300"/>
        </w:trPr>
        <w:tc>
          <w:tcPr>
            <w:tcW w:w="2540" w:type="dxa"/>
            <w:tcBorders>
              <w:top w:val="nil"/>
              <w:left w:val="nil"/>
              <w:bottom w:val="nil"/>
              <w:right w:val="nil"/>
            </w:tcBorders>
            <w:shd w:val="clear" w:color="auto" w:fill="auto"/>
            <w:noWrap/>
            <w:vAlign w:val="bottom"/>
          </w:tcPr>
          <w:p w14:paraId="7D0528E2" w14:textId="77777777" w:rsidR="00D45EAB" w:rsidRPr="00161381" w:rsidRDefault="00D45EAB" w:rsidP="006E7C43">
            <w:pPr>
              <w:spacing w:after="0" w:line="240" w:lineRule="auto"/>
              <w:rPr>
                <w:rFonts w:ascii="Arial" w:eastAsia="Times New Roman" w:hAnsi="Arial" w:cs="Arial"/>
                <w:color w:val="000000"/>
                <w:sz w:val="20"/>
                <w:szCs w:val="20"/>
                <w:lang w:eastAsia="en-GB"/>
              </w:rPr>
            </w:pPr>
          </w:p>
        </w:tc>
        <w:tc>
          <w:tcPr>
            <w:tcW w:w="2200" w:type="dxa"/>
            <w:tcBorders>
              <w:top w:val="nil"/>
              <w:left w:val="nil"/>
              <w:bottom w:val="nil"/>
              <w:right w:val="nil"/>
            </w:tcBorders>
            <w:shd w:val="clear" w:color="auto" w:fill="auto"/>
            <w:noWrap/>
            <w:vAlign w:val="bottom"/>
          </w:tcPr>
          <w:p w14:paraId="49FE4EC7" w14:textId="77777777" w:rsidR="00D45EAB" w:rsidRPr="00161381" w:rsidRDefault="00D45EAB" w:rsidP="006E7C43">
            <w:pPr>
              <w:spacing w:after="0" w:line="240" w:lineRule="auto"/>
              <w:rPr>
                <w:rFonts w:ascii="Arial" w:eastAsia="Times New Roman" w:hAnsi="Arial" w:cs="Arial"/>
                <w:color w:val="000000"/>
                <w:sz w:val="20"/>
                <w:szCs w:val="20"/>
                <w:lang w:eastAsia="en-GB"/>
              </w:rPr>
            </w:pPr>
          </w:p>
        </w:tc>
        <w:tc>
          <w:tcPr>
            <w:tcW w:w="960" w:type="dxa"/>
            <w:tcBorders>
              <w:top w:val="nil"/>
              <w:left w:val="nil"/>
              <w:bottom w:val="nil"/>
              <w:right w:val="nil"/>
            </w:tcBorders>
            <w:shd w:val="clear" w:color="auto" w:fill="auto"/>
            <w:noWrap/>
            <w:vAlign w:val="bottom"/>
          </w:tcPr>
          <w:p w14:paraId="3C20F8B1" w14:textId="77777777" w:rsidR="00D45EAB" w:rsidRPr="00161381" w:rsidRDefault="00D45EAB" w:rsidP="006E7C43">
            <w:pPr>
              <w:spacing w:after="0" w:line="240" w:lineRule="auto"/>
              <w:rPr>
                <w:rFonts w:ascii="Arial" w:eastAsia="Times New Roman" w:hAnsi="Arial" w:cs="Arial"/>
                <w:sz w:val="20"/>
                <w:szCs w:val="20"/>
                <w:lang w:eastAsia="en-GB"/>
              </w:rPr>
            </w:pPr>
          </w:p>
        </w:tc>
        <w:tc>
          <w:tcPr>
            <w:tcW w:w="1120" w:type="dxa"/>
            <w:tcBorders>
              <w:top w:val="nil"/>
              <w:left w:val="nil"/>
              <w:bottom w:val="nil"/>
              <w:right w:val="nil"/>
            </w:tcBorders>
            <w:shd w:val="clear" w:color="auto" w:fill="auto"/>
            <w:noWrap/>
            <w:vAlign w:val="bottom"/>
          </w:tcPr>
          <w:p w14:paraId="57F17451" w14:textId="77777777" w:rsidR="00D45EAB" w:rsidRPr="00161381" w:rsidRDefault="00D45EAB" w:rsidP="006E7C43">
            <w:pPr>
              <w:spacing w:after="0" w:line="240" w:lineRule="auto"/>
              <w:jc w:val="right"/>
              <w:rPr>
                <w:rFonts w:ascii="Arial" w:eastAsia="Times New Roman" w:hAnsi="Arial" w:cs="Arial"/>
                <w:b/>
                <w:bCs/>
                <w:color w:val="000000"/>
                <w:sz w:val="20"/>
                <w:szCs w:val="20"/>
                <w:lang w:eastAsia="en-GB"/>
              </w:rPr>
            </w:pPr>
          </w:p>
        </w:tc>
        <w:tc>
          <w:tcPr>
            <w:tcW w:w="960" w:type="dxa"/>
            <w:tcBorders>
              <w:top w:val="nil"/>
              <w:left w:val="nil"/>
              <w:bottom w:val="nil"/>
              <w:right w:val="nil"/>
            </w:tcBorders>
            <w:shd w:val="clear" w:color="auto" w:fill="auto"/>
            <w:noWrap/>
            <w:vAlign w:val="bottom"/>
          </w:tcPr>
          <w:p w14:paraId="65083558" w14:textId="77777777" w:rsidR="00D45EAB" w:rsidRPr="00161381" w:rsidRDefault="00D45EAB" w:rsidP="006E7C43">
            <w:pPr>
              <w:spacing w:after="0" w:line="240" w:lineRule="auto"/>
              <w:jc w:val="right"/>
              <w:rPr>
                <w:rFonts w:ascii="Arial" w:eastAsia="Times New Roman" w:hAnsi="Arial" w:cs="Arial"/>
                <w:b/>
                <w:bCs/>
                <w:color w:val="000000"/>
                <w:sz w:val="20"/>
                <w:szCs w:val="20"/>
                <w:lang w:eastAsia="en-GB"/>
              </w:rPr>
            </w:pPr>
          </w:p>
        </w:tc>
        <w:tc>
          <w:tcPr>
            <w:tcW w:w="1120" w:type="dxa"/>
            <w:tcBorders>
              <w:top w:val="nil"/>
              <w:left w:val="nil"/>
              <w:bottom w:val="nil"/>
              <w:right w:val="nil"/>
            </w:tcBorders>
            <w:shd w:val="clear" w:color="auto" w:fill="auto"/>
            <w:noWrap/>
            <w:vAlign w:val="bottom"/>
          </w:tcPr>
          <w:p w14:paraId="06F35CB8" w14:textId="77777777" w:rsidR="00D45EAB" w:rsidRPr="00161381" w:rsidRDefault="00D45EAB" w:rsidP="006E7C43">
            <w:pPr>
              <w:spacing w:after="0" w:line="240" w:lineRule="auto"/>
              <w:jc w:val="right"/>
              <w:rPr>
                <w:rFonts w:ascii="Arial" w:eastAsia="Times New Roman" w:hAnsi="Arial" w:cs="Arial"/>
                <w:color w:val="000000"/>
                <w:sz w:val="20"/>
                <w:szCs w:val="20"/>
                <w:lang w:eastAsia="en-GB"/>
              </w:rPr>
            </w:pPr>
          </w:p>
        </w:tc>
      </w:tr>
      <w:tr w:rsidR="006E7C43" w:rsidRPr="00022375" w14:paraId="6C7B626F" w14:textId="77777777" w:rsidTr="006E7C43">
        <w:trPr>
          <w:trHeight w:val="300"/>
        </w:trPr>
        <w:tc>
          <w:tcPr>
            <w:tcW w:w="2540" w:type="dxa"/>
            <w:tcBorders>
              <w:top w:val="nil"/>
              <w:left w:val="nil"/>
              <w:bottom w:val="nil"/>
              <w:right w:val="nil"/>
            </w:tcBorders>
            <w:shd w:val="clear" w:color="auto" w:fill="auto"/>
            <w:noWrap/>
            <w:vAlign w:val="bottom"/>
            <w:hideMark/>
          </w:tcPr>
          <w:p w14:paraId="3842F845" w14:textId="77777777" w:rsidR="006E7C43" w:rsidRPr="00161381" w:rsidRDefault="006E7C43" w:rsidP="006E7C43">
            <w:pPr>
              <w:spacing w:after="0" w:line="240" w:lineRule="auto"/>
              <w:rPr>
                <w:rFonts w:ascii="Arial" w:eastAsia="Times New Roman" w:hAnsi="Arial" w:cs="Arial"/>
                <w:color w:val="000000"/>
                <w:sz w:val="20"/>
                <w:szCs w:val="20"/>
                <w:lang w:eastAsia="en-GB"/>
              </w:rPr>
            </w:pPr>
            <w:r w:rsidRPr="00161381">
              <w:rPr>
                <w:rFonts w:ascii="Arial" w:eastAsia="Times New Roman" w:hAnsi="Arial" w:cs="Arial"/>
                <w:color w:val="000000"/>
                <w:sz w:val="20"/>
                <w:szCs w:val="20"/>
                <w:lang w:eastAsia="en-GB"/>
              </w:rPr>
              <w:t>Total current tax</w:t>
            </w:r>
          </w:p>
        </w:tc>
        <w:tc>
          <w:tcPr>
            <w:tcW w:w="2200" w:type="dxa"/>
            <w:tcBorders>
              <w:top w:val="nil"/>
              <w:left w:val="nil"/>
              <w:bottom w:val="nil"/>
              <w:right w:val="nil"/>
            </w:tcBorders>
            <w:shd w:val="clear" w:color="auto" w:fill="auto"/>
            <w:noWrap/>
            <w:vAlign w:val="bottom"/>
            <w:hideMark/>
          </w:tcPr>
          <w:p w14:paraId="7C3B4A1A" w14:textId="77777777" w:rsidR="006E7C43" w:rsidRPr="00161381" w:rsidRDefault="006E7C43" w:rsidP="006E7C43">
            <w:pPr>
              <w:spacing w:after="0" w:line="240" w:lineRule="auto"/>
              <w:rPr>
                <w:rFonts w:ascii="Arial" w:eastAsia="Times New Roman" w:hAnsi="Arial" w:cs="Arial"/>
                <w:color w:val="000000"/>
                <w:sz w:val="20"/>
                <w:szCs w:val="20"/>
                <w:lang w:eastAsia="en-GB"/>
              </w:rPr>
            </w:pPr>
          </w:p>
        </w:tc>
        <w:tc>
          <w:tcPr>
            <w:tcW w:w="960" w:type="dxa"/>
            <w:tcBorders>
              <w:top w:val="nil"/>
              <w:left w:val="nil"/>
              <w:bottom w:val="nil"/>
              <w:right w:val="nil"/>
            </w:tcBorders>
            <w:shd w:val="clear" w:color="auto" w:fill="auto"/>
            <w:noWrap/>
            <w:vAlign w:val="bottom"/>
            <w:hideMark/>
          </w:tcPr>
          <w:p w14:paraId="0996BBE3" w14:textId="77777777" w:rsidR="006E7C43" w:rsidRPr="00161381" w:rsidRDefault="006E7C43" w:rsidP="006E7C43">
            <w:pPr>
              <w:spacing w:after="0" w:line="240" w:lineRule="auto"/>
              <w:rPr>
                <w:rFonts w:ascii="Arial" w:eastAsia="Times New Roman" w:hAnsi="Arial" w:cs="Arial"/>
                <w:sz w:val="20"/>
                <w:szCs w:val="20"/>
                <w:lang w:eastAsia="en-GB"/>
              </w:rPr>
            </w:pPr>
          </w:p>
        </w:tc>
        <w:tc>
          <w:tcPr>
            <w:tcW w:w="1120" w:type="dxa"/>
            <w:tcBorders>
              <w:top w:val="nil"/>
              <w:left w:val="nil"/>
              <w:bottom w:val="nil"/>
              <w:right w:val="nil"/>
            </w:tcBorders>
            <w:shd w:val="clear" w:color="auto" w:fill="auto"/>
            <w:noWrap/>
            <w:vAlign w:val="bottom"/>
            <w:hideMark/>
          </w:tcPr>
          <w:p w14:paraId="76B2B16D" w14:textId="77777777" w:rsidR="006E7C43" w:rsidRPr="00161381" w:rsidRDefault="005A2948" w:rsidP="006E7C43">
            <w:pPr>
              <w:spacing w:after="0" w:line="240" w:lineRule="auto"/>
              <w:jc w:val="right"/>
              <w:rPr>
                <w:rFonts w:ascii="Arial" w:eastAsia="Times New Roman" w:hAnsi="Arial" w:cs="Arial"/>
                <w:b/>
                <w:bCs/>
                <w:color w:val="000000"/>
                <w:sz w:val="20"/>
                <w:szCs w:val="20"/>
                <w:lang w:eastAsia="en-GB"/>
              </w:rPr>
            </w:pPr>
            <w:r w:rsidRPr="00161381">
              <w:rPr>
                <w:rFonts w:ascii="Arial" w:eastAsia="Times New Roman" w:hAnsi="Arial" w:cs="Arial"/>
                <w:b/>
                <w:bCs/>
                <w:color w:val="000000"/>
                <w:sz w:val="20"/>
                <w:szCs w:val="20"/>
                <w:lang w:eastAsia="en-GB"/>
              </w:rPr>
              <w:t>-</w:t>
            </w:r>
          </w:p>
        </w:tc>
        <w:tc>
          <w:tcPr>
            <w:tcW w:w="960" w:type="dxa"/>
            <w:tcBorders>
              <w:top w:val="nil"/>
              <w:left w:val="nil"/>
              <w:bottom w:val="nil"/>
              <w:right w:val="nil"/>
            </w:tcBorders>
            <w:shd w:val="clear" w:color="auto" w:fill="auto"/>
            <w:noWrap/>
            <w:vAlign w:val="bottom"/>
            <w:hideMark/>
          </w:tcPr>
          <w:p w14:paraId="404DAB1E" w14:textId="77777777" w:rsidR="006E7C43" w:rsidRPr="00161381" w:rsidRDefault="006E7C43" w:rsidP="006E7C43">
            <w:pPr>
              <w:spacing w:after="0" w:line="240" w:lineRule="auto"/>
              <w:jc w:val="right"/>
              <w:rPr>
                <w:rFonts w:ascii="Arial" w:eastAsia="Times New Roman" w:hAnsi="Arial" w:cs="Arial"/>
                <w:b/>
                <w:bCs/>
                <w:color w:val="000000"/>
                <w:sz w:val="20"/>
                <w:szCs w:val="20"/>
                <w:lang w:eastAsia="en-GB"/>
              </w:rPr>
            </w:pPr>
          </w:p>
        </w:tc>
        <w:tc>
          <w:tcPr>
            <w:tcW w:w="1120" w:type="dxa"/>
            <w:tcBorders>
              <w:top w:val="nil"/>
              <w:left w:val="nil"/>
              <w:bottom w:val="nil"/>
              <w:right w:val="nil"/>
            </w:tcBorders>
            <w:shd w:val="clear" w:color="auto" w:fill="auto"/>
            <w:noWrap/>
            <w:vAlign w:val="bottom"/>
            <w:hideMark/>
          </w:tcPr>
          <w:p w14:paraId="7EAA75F0" w14:textId="77777777" w:rsidR="006E7C43" w:rsidRPr="00161381" w:rsidRDefault="006E7C43" w:rsidP="006E7C43">
            <w:pPr>
              <w:spacing w:after="0" w:line="240" w:lineRule="auto"/>
              <w:jc w:val="right"/>
              <w:rPr>
                <w:rFonts w:ascii="Arial" w:eastAsia="Times New Roman" w:hAnsi="Arial" w:cs="Arial"/>
                <w:color w:val="000000"/>
                <w:sz w:val="20"/>
                <w:szCs w:val="20"/>
                <w:lang w:eastAsia="en-GB"/>
              </w:rPr>
            </w:pPr>
            <w:r w:rsidRPr="00161381">
              <w:rPr>
                <w:rFonts w:ascii="Arial" w:eastAsia="Times New Roman" w:hAnsi="Arial" w:cs="Arial"/>
                <w:color w:val="000000"/>
                <w:sz w:val="20"/>
                <w:szCs w:val="20"/>
                <w:lang w:eastAsia="en-GB"/>
              </w:rPr>
              <w:t>(14)</w:t>
            </w:r>
          </w:p>
        </w:tc>
      </w:tr>
      <w:tr w:rsidR="006E7C43" w:rsidRPr="00022375" w14:paraId="541D2C3F" w14:textId="77777777" w:rsidTr="006E7C43">
        <w:trPr>
          <w:trHeight w:val="300"/>
        </w:trPr>
        <w:tc>
          <w:tcPr>
            <w:tcW w:w="2540" w:type="dxa"/>
            <w:tcBorders>
              <w:top w:val="nil"/>
              <w:left w:val="nil"/>
              <w:bottom w:val="nil"/>
              <w:right w:val="nil"/>
            </w:tcBorders>
            <w:shd w:val="clear" w:color="auto" w:fill="auto"/>
            <w:noWrap/>
            <w:vAlign w:val="bottom"/>
            <w:hideMark/>
          </w:tcPr>
          <w:p w14:paraId="547C2C0B" w14:textId="77777777" w:rsidR="006E7C43" w:rsidRPr="00161381" w:rsidRDefault="006E7C43" w:rsidP="006E7C43">
            <w:pPr>
              <w:spacing w:after="0" w:line="240" w:lineRule="auto"/>
              <w:jc w:val="right"/>
              <w:rPr>
                <w:rFonts w:ascii="Arial" w:eastAsia="Times New Roman" w:hAnsi="Arial" w:cs="Arial"/>
                <w:color w:val="000000"/>
                <w:sz w:val="20"/>
                <w:szCs w:val="20"/>
                <w:lang w:eastAsia="en-GB"/>
              </w:rPr>
            </w:pPr>
          </w:p>
        </w:tc>
        <w:tc>
          <w:tcPr>
            <w:tcW w:w="2200" w:type="dxa"/>
            <w:tcBorders>
              <w:top w:val="nil"/>
              <w:left w:val="nil"/>
              <w:bottom w:val="nil"/>
              <w:right w:val="nil"/>
            </w:tcBorders>
            <w:shd w:val="clear" w:color="auto" w:fill="auto"/>
            <w:noWrap/>
            <w:vAlign w:val="bottom"/>
            <w:hideMark/>
          </w:tcPr>
          <w:p w14:paraId="3AB2753E" w14:textId="77777777" w:rsidR="006E7C43" w:rsidRPr="00161381" w:rsidRDefault="006E7C43" w:rsidP="006E7C43">
            <w:pPr>
              <w:spacing w:after="0" w:line="240" w:lineRule="auto"/>
              <w:rPr>
                <w:rFonts w:ascii="Arial" w:eastAsia="Times New Roman" w:hAnsi="Arial" w:cs="Arial"/>
                <w:sz w:val="20"/>
                <w:szCs w:val="20"/>
                <w:lang w:eastAsia="en-GB"/>
              </w:rPr>
            </w:pPr>
          </w:p>
        </w:tc>
        <w:tc>
          <w:tcPr>
            <w:tcW w:w="960" w:type="dxa"/>
            <w:tcBorders>
              <w:top w:val="nil"/>
              <w:left w:val="nil"/>
              <w:bottom w:val="nil"/>
              <w:right w:val="nil"/>
            </w:tcBorders>
            <w:shd w:val="clear" w:color="auto" w:fill="auto"/>
            <w:noWrap/>
            <w:vAlign w:val="bottom"/>
            <w:hideMark/>
          </w:tcPr>
          <w:p w14:paraId="6B489DCB" w14:textId="77777777" w:rsidR="006E7C43" w:rsidRPr="00161381" w:rsidRDefault="006E7C43" w:rsidP="006E7C43">
            <w:pPr>
              <w:spacing w:after="0" w:line="240" w:lineRule="auto"/>
              <w:rPr>
                <w:rFonts w:ascii="Arial" w:eastAsia="Times New Roman" w:hAnsi="Arial" w:cs="Arial"/>
                <w:sz w:val="20"/>
                <w:szCs w:val="20"/>
                <w:lang w:eastAsia="en-GB"/>
              </w:rPr>
            </w:pPr>
          </w:p>
        </w:tc>
        <w:tc>
          <w:tcPr>
            <w:tcW w:w="1120" w:type="dxa"/>
            <w:tcBorders>
              <w:top w:val="nil"/>
              <w:left w:val="nil"/>
              <w:bottom w:val="nil"/>
              <w:right w:val="nil"/>
            </w:tcBorders>
            <w:shd w:val="clear" w:color="auto" w:fill="auto"/>
            <w:noWrap/>
            <w:vAlign w:val="bottom"/>
            <w:hideMark/>
          </w:tcPr>
          <w:p w14:paraId="5BDA5F84" w14:textId="77777777" w:rsidR="006E7C43" w:rsidRPr="00161381" w:rsidRDefault="006E7C43" w:rsidP="006E7C43">
            <w:pPr>
              <w:spacing w:after="0" w:line="240" w:lineRule="auto"/>
              <w:rPr>
                <w:rFonts w:ascii="Arial" w:eastAsia="Times New Roman" w:hAnsi="Arial" w:cs="Arial"/>
                <w:sz w:val="20"/>
                <w:szCs w:val="20"/>
                <w:lang w:eastAsia="en-GB"/>
              </w:rPr>
            </w:pPr>
          </w:p>
        </w:tc>
        <w:tc>
          <w:tcPr>
            <w:tcW w:w="960" w:type="dxa"/>
            <w:tcBorders>
              <w:top w:val="nil"/>
              <w:left w:val="nil"/>
              <w:bottom w:val="nil"/>
              <w:right w:val="nil"/>
            </w:tcBorders>
            <w:shd w:val="clear" w:color="auto" w:fill="auto"/>
            <w:noWrap/>
            <w:vAlign w:val="bottom"/>
            <w:hideMark/>
          </w:tcPr>
          <w:p w14:paraId="638F4502" w14:textId="77777777" w:rsidR="006E7C43" w:rsidRPr="00161381" w:rsidRDefault="006E7C43" w:rsidP="006E7C43">
            <w:pPr>
              <w:spacing w:after="0" w:line="240" w:lineRule="auto"/>
              <w:rPr>
                <w:rFonts w:ascii="Arial" w:eastAsia="Times New Roman" w:hAnsi="Arial" w:cs="Arial"/>
                <w:sz w:val="20"/>
                <w:szCs w:val="20"/>
                <w:lang w:eastAsia="en-GB"/>
              </w:rPr>
            </w:pPr>
          </w:p>
        </w:tc>
        <w:tc>
          <w:tcPr>
            <w:tcW w:w="1120" w:type="dxa"/>
            <w:tcBorders>
              <w:top w:val="nil"/>
              <w:left w:val="nil"/>
              <w:bottom w:val="nil"/>
              <w:right w:val="nil"/>
            </w:tcBorders>
            <w:shd w:val="clear" w:color="auto" w:fill="auto"/>
            <w:noWrap/>
            <w:vAlign w:val="bottom"/>
            <w:hideMark/>
          </w:tcPr>
          <w:p w14:paraId="0A5759D0" w14:textId="77777777" w:rsidR="006E7C43" w:rsidRPr="00161381" w:rsidRDefault="006E7C43" w:rsidP="006E7C43">
            <w:pPr>
              <w:spacing w:after="0" w:line="240" w:lineRule="auto"/>
              <w:rPr>
                <w:rFonts w:ascii="Arial" w:eastAsia="Times New Roman" w:hAnsi="Arial" w:cs="Arial"/>
                <w:sz w:val="20"/>
                <w:szCs w:val="20"/>
                <w:lang w:eastAsia="en-GB"/>
              </w:rPr>
            </w:pPr>
          </w:p>
        </w:tc>
      </w:tr>
      <w:tr w:rsidR="00043C76" w:rsidRPr="00022375" w14:paraId="6AA71F97" w14:textId="77777777" w:rsidTr="006E7C43">
        <w:trPr>
          <w:trHeight w:val="900"/>
        </w:trPr>
        <w:tc>
          <w:tcPr>
            <w:tcW w:w="2540" w:type="dxa"/>
            <w:tcBorders>
              <w:top w:val="nil"/>
              <w:left w:val="nil"/>
              <w:bottom w:val="nil"/>
              <w:right w:val="nil"/>
            </w:tcBorders>
            <w:shd w:val="clear" w:color="auto" w:fill="auto"/>
            <w:noWrap/>
            <w:vAlign w:val="bottom"/>
          </w:tcPr>
          <w:p w14:paraId="7E3742C0" w14:textId="77777777" w:rsidR="00043C76" w:rsidRPr="00161381" w:rsidRDefault="00043C76" w:rsidP="006E7C43">
            <w:pPr>
              <w:spacing w:after="0" w:line="240" w:lineRule="auto"/>
              <w:rPr>
                <w:rFonts w:ascii="Arial" w:eastAsia="Times New Roman" w:hAnsi="Arial" w:cs="Arial"/>
                <w:color w:val="000000"/>
                <w:sz w:val="20"/>
                <w:szCs w:val="20"/>
                <w:lang w:eastAsia="en-GB"/>
              </w:rPr>
            </w:pPr>
            <w:r w:rsidRPr="00161381">
              <w:rPr>
                <w:rFonts w:ascii="Arial" w:eastAsia="Times New Roman" w:hAnsi="Arial" w:cs="Arial"/>
                <w:color w:val="000000"/>
                <w:sz w:val="20"/>
                <w:szCs w:val="20"/>
                <w:lang w:eastAsia="en-GB"/>
              </w:rPr>
              <w:t>Deferred taxation</w:t>
            </w:r>
          </w:p>
        </w:tc>
        <w:tc>
          <w:tcPr>
            <w:tcW w:w="2200" w:type="dxa"/>
            <w:tcBorders>
              <w:top w:val="nil"/>
              <w:left w:val="nil"/>
              <w:bottom w:val="nil"/>
              <w:right w:val="nil"/>
            </w:tcBorders>
            <w:shd w:val="clear" w:color="auto" w:fill="auto"/>
            <w:vAlign w:val="bottom"/>
          </w:tcPr>
          <w:p w14:paraId="2908C619" w14:textId="77777777" w:rsidR="00043C76" w:rsidRPr="00161381" w:rsidRDefault="00043C76" w:rsidP="006E7C43">
            <w:pPr>
              <w:spacing w:after="0" w:line="240" w:lineRule="auto"/>
              <w:rPr>
                <w:rFonts w:ascii="Arial" w:eastAsia="Times New Roman" w:hAnsi="Arial" w:cs="Arial"/>
                <w:color w:val="000000"/>
                <w:sz w:val="20"/>
                <w:szCs w:val="20"/>
                <w:lang w:eastAsia="en-GB"/>
              </w:rPr>
            </w:pPr>
          </w:p>
        </w:tc>
        <w:tc>
          <w:tcPr>
            <w:tcW w:w="960" w:type="dxa"/>
            <w:tcBorders>
              <w:top w:val="nil"/>
              <w:left w:val="nil"/>
              <w:bottom w:val="nil"/>
              <w:right w:val="nil"/>
            </w:tcBorders>
            <w:shd w:val="clear" w:color="auto" w:fill="auto"/>
            <w:noWrap/>
            <w:vAlign w:val="bottom"/>
          </w:tcPr>
          <w:p w14:paraId="50A47AC8" w14:textId="77777777" w:rsidR="00043C76" w:rsidRPr="00161381" w:rsidRDefault="00043C76" w:rsidP="006E7C43">
            <w:pPr>
              <w:spacing w:after="0" w:line="240" w:lineRule="auto"/>
              <w:rPr>
                <w:rFonts w:ascii="Arial" w:eastAsia="Times New Roman" w:hAnsi="Arial" w:cs="Arial"/>
                <w:color w:val="000000"/>
                <w:sz w:val="20"/>
                <w:szCs w:val="20"/>
                <w:lang w:eastAsia="en-GB"/>
              </w:rPr>
            </w:pPr>
          </w:p>
        </w:tc>
        <w:tc>
          <w:tcPr>
            <w:tcW w:w="1120" w:type="dxa"/>
            <w:tcBorders>
              <w:top w:val="nil"/>
              <w:left w:val="nil"/>
              <w:bottom w:val="nil"/>
              <w:right w:val="nil"/>
            </w:tcBorders>
            <w:shd w:val="clear" w:color="auto" w:fill="auto"/>
            <w:noWrap/>
            <w:vAlign w:val="bottom"/>
          </w:tcPr>
          <w:p w14:paraId="5107325B" w14:textId="77777777" w:rsidR="00043C76" w:rsidRPr="00161381" w:rsidRDefault="00043C76" w:rsidP="006E7C43">
            <w:pPr>
              <w:spacing w:after="0" w:line="240" w:lineRule="auto"/>
              <w:jc w:val="right"/>
              <w:rPr>
                <w:rFonts w:ascii="Arial" w:eastAsia="Times New Roman" w:hAnsi="Arial" w:cs="Arial"/>
                <w:b/>
                <w:bCs/>
                <w:color w:val="000000"/>
                <w:sz w:val="20"/>
                <w:szCs w:val="20"/>
                <w:lang w:eastAsia="en-GB"/>
              </w:rPr>
            </w:pPr>
          </w:p>
        </w:tc>
        <w:tc>
          <w:tcPr>
            <w:tcW w:w="960" w:type="dxa"/>
            <w:tcBorders>
              <w:top w:val="nil"/>
              <w:left w:val="nil"/>
              <w:bottom w:val="nil"/>
              <w:right w:val="nil"/>
            </w:tcBorders>
            <w:shd w:val="clear" w:color="auto" w:fill="auto"/>
            <w:noWrap/>
            <w:vAlign w:val="bottom"/>
          </w:tcPr>
          <w:p w14:paraId="1C23B5E3" w14:textId="77777777" w:rsidR="00043C76" w:rsidRPr="00161381" w:rsidRDefault="00043C76" w:rsidP="006E7C43">
            <w:pPr>
              <w:spacing w:after="0" w:line="240" w:lineRule="auto"/>
              <w:jc w:val="right"/>
              <w:rPr>
                <w:rFonts w:ascii="Arial" w:eastAsia="Times New Roman" w:hAnsi="Arial" w:cs="Arial"/>
                <w:b/>
                <w:bCs/>
                <w:color w:val="000000"/>
                <w:sz w:val="20"/>
                <w:szCs w:val="20"/>
                <w:lang w:eastAsia="en-GB"/>
              </w:rPr>
            </w:pPr>
          </w:p>
        </w:tc>
        <w:tc>
          <w:tcPr>
            <w:tcW w:w="1120" w:type="dxa"/>
            <w:tcBorders>
              <w:top w:val="nil"/>
              <w:left w:val="nil"/>
              <w:bottom w:val="nil"/>
              <w:right w:val="nil"/>
            </w:tcBorders>
            <w:shd w:val="clear" w:color="auto" w:fill="auto"/>
            <w:noWrap/>
            <w:vAlign w:val="bottom"/>
          </w:tcPr>
          <w:p w14:paraId="21057D5D" w14:textId="77777777" w:rsidR="00043C76" w:rsidRPr="00161381" w:rsidRDefault="00043C76" w:rsidP="006E7C43">
            <w:pPr>
              <w:spacing w:after="0" w:line="240" w:lineRule="auto"/>
              <w:jc w:val="right"/>
              <w:rPr>
                <w:rFonts w:ascii="Arial" w:eastAsia="Times New Roman" w:hAnsi="Arial" w:cs="Arial"/>
                <w:color w:val="000000"/>
                <w:sz w:val="20"/>
                <w:szCs w:val="20"/>
                <w:lang w:eastAsia="en-GB"/>
              </w:rPr>
            </w:pPr>
          </w:p>
        </w:tc>
      </w:tr>
      <w:tr w:rsidR="00043C76" w:rsidRPr="00022375" w14:paraId="7A62064A" w14:textId="77777777" w:rsidTr="00314A3A">
        <w:trPr>
          <w:trHeight w:val="300"/>
        </w:trPr>
        <w:tc>
          <w:tcPr>
            <w:tcW w:w="4740" w:type="dxa"/>
            <w:gridSpan w:val="2"/>
            <w:tcBorders>
              <w:top w:val="nil"/>
              <w:left w:val="nil"/>
              <w:bottom w:val="nil"/>
              <w:right w:val="nil"/>
            </w:tcBorders>
            <w:shd w:val="clear" w:color="auto" w:fill="auto"/>
            <w:noWrap/>
            <w:vAlign w:val="bottom"/>
            <w:hideMark/>
          </w:tcPr>
          <w:p w14:paraId="2873D6A6" w14:textId="77777777" w:rsidR="00043C76" w:rsidRPr="00161381" w:rsidRDefault="00043C76" w:rsidP="006E7C43">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O</w:t>
            </w:r>
            <w:r w:rsidRPr="00161381">
              <w:rPr>
                <w:rFonts w:ascii="Arial" w:eastAsia="Times New Roman" w:hAnsi="Arial" w:cs="Arial"/>
                <w:color w:val="000000"/>
                <w:sz w:val="20"/>
                <w:szCs w:val="20"/>
                <w:lang w:eastAsia="en-GB"/>
              </w:rPr>
              <w:t>rigination and reversal of timing differences</w:t>
            </w:r>
          </w:p>
        </w:tc>
        <w:tc>
          <w:tcPr>
            <w:tcW w:w="960" w:type="dxa"/>
            <w:tcBorders>
              <w:top w:val="nil"/>
              <w:left w:val="nil"/>
              <w:bottom w:val="nil"/>
              <w:right w:val="nil"/>
            </w:tcBorders>
            <w:shd w:val="clear" w:color="auto" w:fill="auto"/>
            <w:noWrap/>
            <w:vAlign w:val="bottom"/>
            <w:hideMark/>
          </w:tcPr>
          <w:p w14:paraId="7EFE5C44" w14:textId="77777777" w:rsidR="00043C76" w:rsidRPr="00161381" w:rsidRDefault="00043C76" w:rsidP="006E7C43">
            <w:pPr>
              <w:spacing w:after="0" w:line="240" w:lineRule="auto"/>
              <w:rPr>
                <w:rFonts w:ascii="Arial" w:eastAsia="Times New Roman" w:hAnsi="Arial" w:cs="Arial"/>
                <w:color w:val="000000"/>
                <w:sz w:val="20"/>
                <w:szCs w:val="20"/>
                <w:lang w:eastAsia="en-GB"/>
              </w:rPr>
            </w:pPr>
          </w:p>
        </w:tc>
        <w:tc>
          <w:tcPr>
            <w:tcW w:w="1120" w:type="dxa"/>
            <w:tcBorders>
              <w:top w:val="nil"/>
              <w:left w:val="nil"/>
              <w:bottom w:val="nil"/>
              <w:right w:val="nil"/>
            </w:tcBorders>
            <w:shd w:val="clear" w:color="auto" w:fill="auto"/>
            <w:noWrap/>
            <w:vAlign w:val="bottom"/>
            <w:hideMark/>
          </w:tcPr>
          <w:p w14:paraId="7F26A538" w14:textId="77777777" w:rsidR="00043C76" w:rsidRPr="00161381" w:rsidRDefault="00043C76" w:rsidP="006E7C43">
            <w:pPr>
              <w:spacing w:after="0" w:line="240" w:lineRule="auto"/>
              <w:jc w:val="right"/>
              <w:rPr>
                <w:rFonts w:ascii="Arial" w:eastAsia="Times New Roman" w:hAnsi="Arial" w:cs="Arial"/>
                <w:b/>
                <w:bCs/>
                <w:color w:val="000000"/>
                <w:sz w:val="20"/>
                <w:szCs w:val="20"/>
                <w:lang w:eastAsia="en-GB"/>
              </w:rPr>
            </w:pPr>
            <w:r w:rsidRPr="00161381">
              <w:rPr>
                <w:rFonts w:ascii="Arial" w:eastAsia="Times New Roman" w:hAnsi="Arial" w:cs="Arial"/>
                <w:b/>
                <w:bCs/>
                <w:color w:val="000000"/>
                <w:sz w:val="20"/>
                <w:szCs w:val="20"/>
                <w:lang w:eastAsia="en-GB"/>
              </w:rPr>
              <w:t>(208)</w:t>
            </w:r>
          </w:p>
        </w:tc>
        <w:tc>
          <w:tcPr>
            <w:tcW w:w="960" w:type="dxa"/>
            <w:tcBorders>
              <w:top w:val="nil"/>
              <w:left w:val="nil"/>
              <w:bottom w:val="nil"/>
              <w:right w:val="nil"/>
            </w:tcBorders>
            <w:shd w:val="clear" w:color="auto" w:fill="auto"/>
            <w:noWrap/>
            <w:vAlign w:val="bottom"/>
            <w:hideMark/>
          </w:tcPr>
          <w:p w14:paraId="089D53C0" w14:textId="77777777" w:rsidR="00043C76" w:rsidRPr="00161381" w:rsidRDefault="00043C76" w:rsidP="006E7C43">
            <w:pPr>
              <w:spacing w:after="0" w:line="240" w:lineRule="auto"/>
              <w:jc w:val="right"/>
              <w:rPr>
                <w:rFonts w:ascii="Arial" w:eastAsia="Times New Roman" w:hAnsi="Arial" w:cs="Arial"/>
                <w:b/>
                <w:bCs/>
                <w:color w:val="000000"/>
                <w:sz w:val="20"/>
                <w:szCs w:val="20"/>
                <w:lang w:eastAsia="en-GB"/>
              </w:rPr>
            </w:pPr>
          </w:p>
        </w:tc>
        <w:tc>
          <w:tcPr>
            <w:tcW w:w="1120" w:type="dxa"/>
            <w:tcBorders>
              <w:top w:val="nil"/>
              <w:left w:val="nil"/>
              <w:bottom w:val="nil"/>
              <w:right w:val="nil"/>
            </w:tcBorders>
            <w:shd w:val="clear" w:color="auto" w:fill="auto"/>
            <w:noWrap/>
            <w:vAlign w:val="bottom"/>
            <w:hideMark/>
          </w:tcPr>
          <w:p w14:paraId="16A2B0B6" w14:textId="77777777" w:rsidR="00043C76" w:rsidRPr="00161381" w:rsidRDefault="00043C76" w:rsidP="006E7C43">
            <w:pPr>
              <w:spacing w:after="0" w:line="240" w:lineRule="auto"/>
              <w:jc w:val="right"/>
              <w:rPr>
                <w:rFonts w:ascii="Arial" w:eastAsia="Times New Roman" w:hAnsi="Arial" w:cs="Arial"/>
                <w:color w:val="000000"/>
                <w:sz w:val="20"/>
                <w:szCs w:val="20"/>
                <w:lang w:eastAsia="en-GB"/>
              </w:rPr>
            </w:pPr>
            <w:r w:rsidRPr="00161381">
              <w:rPr>
                <w:rFonts w:ascii="Arial" w:eastAsia="Times New Roman" w:hAnsi="Arial" w:cs="Arial"/>
                <w:color w:val="000000"/>
                <w:sz w:val="20"/>
                <w:szCs w:val="20"/>
                <w:lang w:eastAsia="en-GB"/>
              </w:rPr>
              <w:t>872</w:t>
            </w:r>
          </w:p>
        </w:tc>
      </w:tr>
      <w:tr w:rsidR="00043C76" w:rsidRPr="00022375" w14:paraId="53D2AA9D" w14:textId="77777777" w:rsidTr="00314A3A">
        <w:trPr>
          <w:trHeight w:val="300"/>
        </w:trPr>
        <w:tc>
          <w:tcPr>
            <w:tcW w:w="4740" w:type="dxa"/>
            <w:gridSpan w:val="2"/>
            <w:tcBorders>
              <w:top w:val="nil"/>
              <w:left w:val="nil"/>
              <w:bottom w:val="nil"/>
              <w:right w:val="nil"/>
            </w:tcBorders>
            <w:shd w:val="clear" w:color="auto" w:fill="auto"/>
            <w:noWrap/>
            <w:vAlign w:val="bottom"/>
          </w:tcPr>
          <w:p w14:paraId="1D982C5C" w14:textId="77777777" w:rsidR="00043C76" w:rsidRPr="00161381" w:rsidRDefault="00043C76" w:rsidP="006E7C43">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Adjustment in respect of p</w:t>
            </w:r>
            <w:r w:rsidRPr="00161381">
              <w:rPr>
                <w:rFonts w:ascii="Arial" w:eastAsia="Times New Roman" w:hAnsi="Arial" w:cs="Arial"/>
                <w:color w:val="000000"/>
                <w:sz w:val="20"/>
                <w:szCs w:val="20"/>
                <w:lang w:eastAsia="en-GB"/>
              </w:rPr>
              <w:t>rior period</w:t>
            </w:r>
            <w:r>
              <w:rPr>
                <w:rFonts w:ascii="Arial" w:eastAsia="Times New Roman" w:hAnsi="Arial" w:cs="Arial"/>
                <w:color w:val="000000"/>
                <w:sz w:val="20"/>
                <w:szCs w:val="20"/>
                <w:lang w:eastAsia="en-GB"/>
              </w:rPr>
              <w:t>s</w:t>
            </w:r>
          </w:p>
        </w:tc>
        <w:tc>
          <w:tcPr>
            <w:tcW w:w="960" w:type="dxa"/>
            <w:tcBorders>
              <w:top w:val="nil"/>
              <w:left w:val="nil"/>
              <w:bottom w:val="nil"/>
              <w:right w:val="nil"/>
            </w:tcBorders>
            <w:shd w:val="clear" w:color="auto" w:fill="auto"/>
            <w:noWrap/>
            <w:vAlign w:val="bottom"/>
            <w:hideMark/>
          </w:tcPr>
          <w:p w14:paraId="71EA996A" w14:textId="77777777" w:rsidR="00043C76" w:rsidRPr="00161381" w:rsidRDefault="00043C76" w:rsidP="006E7C43">
            <w:pPr>
              <w:spacing w:after="0" w:line="240" w:lineRule="auto"/>
              <w:rPr>
                <w:rFonts w:ascii="Arial" w:eastAsia="Times New Roman" w:hAnsi="Arial" w:cs="Arial"/>
                <w:color w:val="000000"/>
                <w:sz w:val="20"/>
                <w:szCs w:val="20"/>
                <w:lang w:eastAsia="en-GB"/>
              </w:rPr>
            </w:pPr>
          </w:p>
        </w:tc>
        <w:tc>
          <w:tcPr>
            <w:tcW w:w="1120" w:type="dxa"/>
            <w:tcBorders>
              <w:top w:val="nil"/>
              <w:left w:val="nil"/>
              <w:bottom w:val="nil"/>
              <w:right w:val="nil"/>
            </w:tcBorders>
            <w:shd w:val="clear" w:color="auto" w:fill="auto"/>
            <w:noWrap/>
            <w:vAlign w:val="bottom"/>
            <w:hideMark/>
          </w:tcPr>
          <w:p w14:paraId="500C6919" w14:textId="77777777" w:rsidR="00043C76" w:rsidRPr="00161381" w:rsidRDefault="00043C76" w:rsidP="006E7C43">
            <w:pPr>
              <w:spacing w:after="0" w:line="240" w:lineRule="auto"/>
              <w:jc w:val="right"/>
              <w:rPr>
                <w:rFonts w:ascii="Arial" w:eastAsia="Times New Roman" w:hAnsi="Arial" w:cs="Arial"/>
                <w:b/>
                <w:bCs/>
                <w:color w:val="000000"/>
                <w:sz w:val="20"/>
                <w:szCs w:val="20"/>
                <w:lang w:eastAsia="en-GB"/>
              </w:rPr>
            </w:pPr>
            <w:r w:rsidRPr="00161381">
              <w:rPr>
                <w:rFonts w:ascii="Arial" w:eastAsia="Times New Roman" w:hAnsi="Arial" w:cs="Arial"/>
                <w:b/>
                <w:bCs/>
                <w:color w:val="000000"/>
                <w:sz w:val="20"/>
                <w:szCs w:val="20"/>
                <w:lang w:eastAsia="en-GB"/>
              </w:rPr>
              <w:t>2</w:t>
            </w:r>
            <w:r>
              <w:rPr>
                <w:rFonts w:ascii="Arial" w:eastAsia="Times New Roman" w:hAnsi="Arial" w:cs="Arial"/>
                <w:b/>
                <w:bCs/>
                <w:color w:val="000000"/>
                <w:sz w:val="20"/>
                <w:szCs w:val="20"/>
                <w:lang w:eastAsia="en-GB"/>
              </w:rPr>
              <w:t>82</w:t>
            </w:r>
          </w:p>
        </w:tc>
        <w:tc>
          <w:tcPr>
            <w:tcW w:w="960" w:type="dxa"/>
            <w:tcBorders>
              <w:top w:val="nil"/>
              <w:left w:val="nil"/>
              <w:bottom w:val="nil"/>
              <w:right w:val="nil"/>
            </w:tcBorders>
            <w:shd w:val="clear" w:color="auto" w:fill="auto"/>
            <w:noWrap/>
            <w:vAlign w:val="bottom"/>
            <w:hideMark/>
          </w:tcPr>
          <w:p w14:paraId="0728CC03" w14:textId="77777777" w:rsidR="00043C76" w:rsidRPr="00161381" w:rsidRDefault="00043C76" w:rsidP="006E7C43">
            <w:pPr>
              <w:spacing w:after="0" w:line="240" w:lineRule="auto"/>
              <w:jc w:val="right"/>
              <w:rPr>
                <w:rFonts w:ascii="Arial" w:eastAsia="Times New Roman" w:hAnsi="Arial" w:cs="Arial"/>
                <w:b/>
                <w:bCs/>
                <w:color w:val="000000"/>
                <w:sz w:val="20"/>
                <w:szCs w:val="20"/>
                <w:lang w:eastAsia="en-GB"/>
              </w:rPr>
            </w:pPr>
          </w:p>
        </w:tc>
        <w:tc>
          <w:tcPr>
            <w:tcW w:w="1120" w:type="dxa"/>
            <w:tcBorders>
              <w:top w:val="nil"/>
              <w:left w:val="nil"/>
              <w:bottom w:val="nil"/>
              <w:right w:val="nil"/>
            </w:tcBorders>
            <w:shd w:val="clear" w:color="auto" w:fill="auto"/>
            <w:noWrap/>
            <w:vAlign w:val="bottom"/>
            <w:hideMark/>
          </w:tcPr>
          <w:p w14:paraId="43274018" w14:textId="77777777" w:rsidR="00043C76" w:rsidRPr="00161381" w:rsidRDefault="00043C76" w:rsidP="006E7C43">
            <w:pPr>
              <w:spacing w:after="0" w:line="240" w:lineRule="auto"/>
              <w:jc w:val="right"/>
              <w:rPr>
                <w:rFonts w:ascii="Arial" w:eastAsia="Times New Roman" w:hAnsi="Arial" w:cs="Arial"/>
                <w:color w:val="000000"/>
                <w:sz w:val="20"/>
                <w:szCs w:val="20"/>
                <w:lang w:eastAsia="en-GB"/>
              </w:rPr>
            </w:pPr>
            <w:r w:rsidRPr="00161381">
              <w:rPr>
                <w:rFonts w:ascii="Arial" w:eastAsia="Times New Roman" w:hAnsi="Arial" w:cs="Arial"/>
                <w:color w:val="000000"/>
                <w:sz w:val="20"/>
                <w:szCs w:val="20"/>
                <w:lang w:eastAsia="en-GB"/>
              </w:rPr>
              <w:t>62</w:t>
            </w:r>
          </w:p>
        </w:tc>
      </w:tr>
      <w:tr w:rsidR="00043C76" w:rsidRPr="00022375" w14:paraId="4E2E17D6" w14:textId="77777777" w:rsidTr="00314A3A">
        <w:trPr>
          <w:trHeight w:val="300"/>
        </w:trPr>
        <w:tc>
          <w:tcPr>
            <w:tcW w:w="4740" w:type="dxa"/>
            <w:gridSpan w:val="2"/>
            <w:tcBorders>
              <w:top w:val="nil"/>
              <w:left w:val="nil"/>
              <w:bottom w:val="nil"/>
              <w:right w:val="nil"/>
            </w:tcBorders>
            <w:shd w:val="clear" w:color="auto" w:fill="auto"/>
            <w:noWrap/>
            <w:vAlign w:val="bottom"/>
          </w:tcPr>
          <w:p w14:paraId="53E83754" w14:textId="77777777" w:rsidR="00043C76" w:rsidRPr="00161381" w:rsidRDefault="00043C76" w:rsidP="006E7C43">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xml:space="preserve">Impact of </w:t>
            </w:r>
            <w:r w:rsidRPr="00161381">
              <w:rPr>
                <w:rFonts w:ascii="Arial" w:eastAsia="Times New Roman" w:hAnsi="Arial" w:cs="Arial"/>
                <w:color w:val="000000"/>
                <w:sz w:val="20"/>
                <w:szCs w:val="20"/>
                <w:lang w:eastAsia="en-GB"/>
              </w:rPr>
              <w:t>changes in tax rates</w:t>
            </w:r>
          </w:p>
        </w:tc>
        <w:tc>
          <w:tcPr>
            <w:tcW w:w="960" w:type="dxa"/>
            <w:tcBorders>
              <w:top w:val="nil"/>
              <w:left w:val="nil"/>
              <w:bottom w:val="nil"/>
              <w:right w:val="nil"/>
            </w:tcBorders>
            <w:shd w:val="clear" w:color="auto" w:fill="auto"/>
            <w:noWrap/>
            <w:vAlign w:val="bottom"/>
            <w:hideMark/>
          </w:tcPr>
          <w:p w14:paraId="0E9F79BF" w14:textId="77777777" w:rsidR="00043C76" w:rsidRPr="00161381" w:rsidRDefault="00043C76" w:rsidP="006E7C43">
            <w:pPr>
              <w:spacing w:after="0" w:line="240" w:lineRule="auto"/>
              <w:rPr>
                <w:rFonts w:ascii="Arial" w:eastAsia="Times New Roman" w:hAnsi="Arial" w:cs="Arial"/>
                <w:color w:val="000000"/>
                <w:sz w:val="20"/>
                <w:szCs w:val="20"/>
                <w:lang w:eastAsia="en-GB"/>
              </w:rPr>
            </w:pPr>
          </w:p>
        </w:tc>
        <w:tc>
          <w:tcPr>
            <w:tcW w:w="1120" w:type="dxa"/>
            <w:tcBorders>
              <w:top w:val="nil"/>
              <w:left w:val="nil"/>
              <w:bottom w:val="nil"/>
              <w:right w:val="nil"/>
            </w:tcBorders>
            <w:shd w:val="clear" w:color="auto" w:fill="auto"/>
            <w:noWrap/>
            <w:vAlign w:val="bottom"/>
            <w:hideMark/>
          </w:tcPr>
          <w:p w14:paraId="170E3AE7" w14:textId="77777777" w:rsidR="00043C76" w:rsidRPr="00161381" w:rsidRDefault="00043C76" w:rsidP="006E7C43">
            <w:pPr>
              <w:spacing w:after="0" w:line="240" w:lineRule="auto"/>
              <w:jc w:val="right"/>
              <w:rPr>
                <w:rFonts w:ascii="Arial" w:eastAsia="Times New Roman" w:hAnsi="Arial" w:cs="Arial"/>
                <w:b/>
                <w:bCs/>
                <w:color w:val="000000"/>
                <w:sz w:val="20"/>
                <w:szCs w:val="20"/>
                <w:lang w:eastAsia="en-GB"/>
              </w:rPr>
            </w:pPr>
            <w:r w:rsidRPr="00161381">
              <w:rPr>
                <w:rFonts w:ascii="Arial" w:eastAsia="Times New Roman" w:hAnsi="Arial" w:cs="Arial"/>
                <w:b/>
                <w:bCs/>
                <w:color w:val="000000"/>
                <w:sz w:val="20"/>
                <w:szCs w:val="20"/>
                <w:lang w:eastAsia="en-GB"/>
              </w:rPr>
              <w:t>(810)</w:t>
            </w:r>
          </w:p>
        </w:tc>
        <w:tc>
          <w:tcPr>
            <w:tcW w:w="960" w:type="dxa"/>
            <w:tcBorders>
              <w:top w:val="nil"/>
              <w:left w:val="nil"/>
              <w:bottom w:val="nil"/>
              <w:right w:val="nil"/>
            </w:tcBorders>
            <w:shd w:val="clear" w:color="auto" w:fill="auto"/>
            <w:noWrap/>
            <w:vAlign w:val="bottom"/>
            <w:hideMark/>
          </w:tcPr>
          <w:p w14:paraId="17F67155" w14:textId="77777777" w:rsidR="00043C76" w:rsidRPr="00161381" w:rsidRDefault="00043C76" w:rsidP="006E7C43">
            <w:pPr>
              <w:spacing w:after="0" w:line="240" w:lineRule="auto"/>
              <w:jc w:val="right"/>
              <w:rPr>
                <w:rFonts w:ascii="Arial" w:eastAsia="Times New Roman" w:hAnsi="Arial" w:cs="Arial"/>
                <w:b/>
                <w:bCs/>
                <w:color w:val="000000"/>
                <w:sz w:val="20"/>
                <w:szCs w:val="20"/>
                <w:lang w:eastAsia="en-GB"/>
              </w:rPr>
            </w:pPr>
          </w:p>
        </w:tc>
        <w:tc>
          <w:tcPr>
            <w:tcW w:w="1120" w:type="dxa"/>
            <w:tcBorders>
              <w:top w:val="nil"/>
              <w:left w:val="nil"/>
              <w:bottom w:val="nil"/>
              <w:right w:val="nil"/>
            </w:tcBorders>
            <w:shd w:val="clear" w:color="auto" w:fill="auto"/>
            <w:noWrap/>
            <w:vAlign w:val="bottom"/>
            <w:hideMark/>
          </w:tcPr>
          <w:p w14:paraId="6466934F" w14:textId="77777777" w:rsidR="00043C76" w:rsidRPr="00161381" w:rsidRDefault="00043C76" w:rsidP="006E7C43">
            <w:pPr>
              <w:spacing w:after="0" w:line="240" w:lineRule="auto"/>
              <w:jc w:val="right"/>
              <w:rPr>
                <w:rFonts w:ascii="Arial" w:eastAsia="Times New Roman" w:hAnsi="Arial" w:cs="Arial"/>
                <w:color w:val="000000"/>
                <w:sz w:val="20"/>
                <w:szCs w:val="20"/>
                <w:lang w:eastAsia="en-GB"/>
              </w:rPr>
            </w:pPr>
            <w:r w:rsidRPr="00161381">
              <w:rPr>
                <w:rFonts w:ascii="Arial" w:eastAsia="Times New Roman" w:hAnsi="Arial" w:cs="Arial"/>
                <w:color w:val="000000"/>
                <w:sz w:val="20"/>
                <w:szCs w:val="20"/>
                <w:lang w:eastAsia="en-GB"/>
              </w:rPr>
              <w:t>(92)</w:t>
            </w:r>
          </w:p>
        </w:tc>
      </w:tr>
      <w:tr w:rsidR="00043C76" w:rsidRPr="00022375" w14:paraId="60787557" w14:textId="77777777" w:rsidTr="00314A3A">
        <w:trPr>
          <w:trHeight w:val="300"/>
        </w:trPr>
        <w:tc>
          <w:tcPr>
            <w:tcW w:w="4740" w:type="dxa"/>
            <w:gridSpan w:val="2"/>
            <w:tcBorders>
              <w:top w:val="nil"/>
              <w:left w:val="nil"/>
              <w:bottom w:val="nil"/>
              <w:right w:val="nil"/>
            </w:tcBorders>
            <w:shd w:val="clear" w:color="auto" w:fill="auto"/>
            <w:noWrap/>
            <w:vAlign w:val="bottom"/>
            <w:hideMark/>
          </w:tcPr>
          <w:p w14:paraId="59555A49" w14:textId="77777777" w:rsidR="00043C76" w:rsidRPr="00161381" w:rsidRDefault="00043C76" w:rsidP="006E7C43">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Short term timing differences</w:t>
            </w:r>
          </w:p>
        </w:tc>
        <w:tc>
          <w:tcPr>
            <w:tcW w:w="960" w:type="dxa"/>
            <w:tcBorders>
              <w:top w:val="nil"/>
              <w:left w:val="nil"/>
              <w:bottom w:val="nil"/>
              <w:right w:val="nil"/>
            </w:tcBorders>
            <w:shd w:val="clear" w:color="auto" w:fill="auto"/>
            <w:noWrap/>
            <w:vAlign w:val="bottom"/>
            <w:hideMark/>
          </w:tcPr>
          <w:p w14:paraId="3A7591CA" w14:textId="77777777" w:rsidR="00043C76" w:rsidRPr="00161381" w:rsidRDefault="00043C76" w:rsidP="006E7C43">
            <w:pPr>
              <w:spacing w:after="0" w:line="240" w:lineRule="auto"/>
              <w:rPr>
                <w:rFonts w:ascii="Arial" w:eastAsia="Times New Roman" w:hAnsi="Arial" w:cs="Arial"/>
                <w:color w:val="000000"/>
                <w:sz w:val="20"/>
                <w:szCs w:val="20"/>
                <w:lang w:eastAsia="en-GB"/>
              </w:rPr>
            </w:pPr>
          </w:p>
        </w:tc>
        <w:tc>
          <w:tcPr>
            <w:tcW w:w="1120" w:type="dxa"/>
            <w:tcBorders>
              <w:top w:val="nil"/>
              <w:left w:val="nil"/>
              <w:bottom w:val="nil"/>
              <w:right w:val="nil"/>
            </w:tcBorders>
            <w:shd w:val="clear" w:color="auto" w:fill="auto"/>
            <w:noWrap/>
            <w:vAlign w:val="bottom"/>
            <w:hideMark/>
          </w:tcPr>
          <w:p w14:paraId="4B66C21B" w14:textId="77777777" w:rsidR="00043C76" w:rsidRPr="00161381" w:rsidRDefault="00043C76" w:rsidP="006E7C43">
            <w:pPr>
              <w:spacing w:after="0" w:line="240" w:lineRule="auto"/>
              <w:jc w:val="right"/>
              <w:rPr>
                <w:rFonts w:ascii="Arial" w:eastAsia="Times New Roman" w:hAnsi="Arial" w:cs="Arial"/>
                <w:b/>
                <w:bCs/>
                <w:color w:val="000000"/>
                <w:sz w:val="20"/>
                <w:szCs w:val="20"/>
                <w:lang w:eastAsia="en-GB"/>
              </w:rPr>
            </w:pPr>
            <w:r w:rsidRPr="00161381">
              <w:rPr>
                <w:rFonts w:ascii="Arial" w:eastAsia="Times New Roman" w:hAnsi="Arial" w:cs="Arial"/>
                <w:b/>
                <w:bCs/>
                <w:color w:val="000000"/>
                <w:sz w:val="20"/>
                <w:szCs w:val="20"/>
                <w:lang w:eastAsia="en-GB"/>
              </w:rPr>
              <w:t>146</w:t>
            </w:r>
          </w:p>
        </w:tc>
        <w:tc>
          <w:tcPr>
            <w:tcW w:w="960" w:type="dxa"/>
            <w:tcBorders>
              <w:top w:val="nil"/>
              <w:left w:val="nil"/>
              <w:bottom w:val="nil"/>
              <w:right w:val="nil"/>
            </w:tcBorders>
            <w:shd w:val="clear" w:color="auto" w:fill="auto"/>
            <w:noWrap/>
            <w:vAlign w:val="bottom"/>
            <w:hideMark/>
          </w:tcPr>
          <w:p w14:paraId="403169D7" w14:textId="77777777" w:rsidR="00043C76" w:rsidRPr="00161381" w:rsidRDefault="00043C76" w:rsidP="006E7C43">
            <w:pPr>
              <w:spacing w:after="0" w:line="240" w:lineRule="auto"/>
              <w:jc w:val="right"/>
              <w:rPr>
                <w:rFonts w:ascii="Arial" w:eastAsia="Times New Roman" w:hAnsi="Arial" w:cs="Arial"/>
                <w:b/>
                <w:bCs/>
                <w:color w:val="000000"/>
                <w:sz w:val="20"/>
                <w:szCs w:val="20"/>
                <w:lang w:eastAsia="en-GB"/>
              </w:rPr>
            </w:pPr>
          </w:p>
        </w:tc>
        <w:tc>
          <w:tcPr>
            <w:tcW w:w="1120" w:type="dxa"/>
            <w:tcBorders>
              <w:top w:val="nil"/>
              <w:left w:val="nil"/>
              <w:bottom w:val="nil"/>
              <w:right w:val="nil"/>
            </w:tcBorders>
            <w:shd w:val="clear" w:color="auto" w:fill="auto"/>
            <w:noWrap/>
            <w:vAlign w:val="bottom"/>
            <w:hideMark/>
          </w:tcPr>
          <w:p w14:paraId="42B62363" w14:textId="77777777" w:rsidR="00043C76" w:rsidRPr="00161381" w:rsidRDefault="00043C76" w:rsidP="006E7C43">
            <w:pPr>
              <w:spacing w:after="0" w:line="240" w:lineRule="auto"/>
              <w:jc w:val="right"/>
              <w:rPr>
                <w:rFonts w:ascii="Arial" w:eastAsia="Times New Roman" w:hAnsi="Arial" w:cs="Arial"/>
                <w:color w:val="000000"/>
                <w:sz w:val="20"/>
                <w:szCs w:val="20"/>
                <w:lang w:eastAsia="en-GB"/>
              </w:rPr>
            </w:pPr>
            <w:r w:rsidRPr="00161381">
              <w:rPr>
                <w:rFonts w:ascii="Arial" w:eastAsia="Times New Roman" w:hAnsi="Arial" w:cs="Arial"/>
                <w:color w:val="000000"/>
                <w:sz w:val="20"/>
                <w:szCs w:val="20"/>
                <w:lang w:eastAsia="en-GB"/>
              </w:rPr>
              <w:t>-</w:t>
            </w:r>
          </w:p>
        </w:tc>
      </w:tr>
      <w:tr w:rsidR="006E7C43" w:rsidRPr="00022375" w14:paraId="326B3963" w14:textId="77777777" w:rsidTr="006E7C43">
        <w:trPr>
          <w:trHeight w:val="300"/>
        </w:trPr>
        <w:tc>
          <w:tcPr>
            <w:tcW w:w="2540" w:type="dxa"/>
            <w:tcBorders>
              <w:top w:val="nil"/>
              <w:left w:val="nil"/>
              <w:bottom w:val="nil"/>
              <w:right w:val="nil"/>
            </w:tcBorders>
            <w:shd w:val="clear" w:color="auto" w:fill="auto"/>
            <w:noWrap/>
            <w:vAlign w:val="bottom"/>
            <w:hideMark/>
          </w:tcPr>
          <w:p w14:paraId="083A656C" w14:textId="77777777" w:rsidR="006E7C43" w:rsidRPr="00161381" w:rsidRDefault="006E7C43" w:rsidP="006E7C43">
            <w:pPr>
              <w:spacing w:after="0" w:line="240" w:lineRule="auto"/>
              <w:jc w:val="right"/>
              <w:rPr>
                <w:rFonts w:ascii="Arial" w:eastAsia="Times New Roman" w:hAnsi="Arial" w:cs="Arial"/>
                <w:color w:val="000000"/>
                <w:sz w:val="20"/>
                <w:szCs w:val="20"/>
                <w:lang w:eastAsia="en-GB"/>
              </w:rPr>
            </w:pPr>
          </w:p>
        </w:tc>
        <w:tc>
          <w:tcPr>
            <w:tcW w:w="2200" w:type="dxa"/>
            <w:tcBorders>
              <w:top w:val="nil"/>
              <w:left w:val="nil"/>
              <w:bottom w:val="nil"/>
              <w:right w:val="nil"/>
            </w:tcBorders>
            <w:shd w:val="clear" w:color="auto" w:fill="auto"/>
            <w:noWrap/>
            <w:vAlign w:val="bottom"/>
            <w:hideMark/>
          </w:tcPr>
          <w:p w14:paraId="43519968" w14:textId="77777777" w:rsidR="006E7C43" w:rsidRPr="00161381" w:rsidRDefault="006E7C43" w:rsidP="006E7C43">
            <w:pPr>
              <w:spacing w:after="0" w:line="240" w:lineRule="auto"/>
              <w:rPr>
                <w:rFonts w:ascii="Arial" w:eastAsia="Times New Roman" w:hAnsi="Arial" w:cs="Arial"/>
                <w:sz w:val="20"/>
                <w:szCs w:val="20"/>
                <w:lang w:eastAsia="en-GB"/>
              </w:rPr>
            </w:pPr>
          </w:p>
        </w:tc>
        <w:tc>
          <w:tcPr>
            <w:tcW w:w="960" w:type="dxa"/>
            <w:tcBorders>
              <w:top w:val="nil"/>
              <w:left w:val="nil"/>
              <w:bottom w:val="nil"/>
              <w:right w:val="nil"/>
            </w:tcBorders>
            <w:shd w:val="clear" w:color="auto" w:fill="auto"/>
            <w:noWrap/>
            <w:vAlign w:val="bottom"/>
            <w:hideMark/>
          </w:tcPr>
          <w:p w14:paraId="2C76F4F6" w14:textId="77777777" w:rsidR="006E7C43" w:rsidRPr="00161381" w:rsidRDefault="006E7C43" w:rsidP="006E7C43">
            <w:pPr>
              <w:spacing w:after="0" w:line="240" w:lineRule="auto"/>
              <w:rPr>
                <w:rFonts w:ascii="Arial" w:eastAsia="Times New Roman" w:hAnsi="Arial" w:cs="Arial"/>
                <w:sz w:val="20"/>
                <w:szCs w:val="20"/>
                <w:lang w:eastAsia="en-GB"/>
              </w:rPr>
            </w:pPr>
          </w:p>
        </w:tc>
        <w:tc>
          <w:tcPr>
            <w:tcW w:w="1120" w:type="dxa"/>
            <w:tcBorders>
              <w:top w:val="nil"/>
              <w:left w:val="nil"/>
              <w:bottom w:val="single" w:sz="4" w:space="0" w:color="auto"/>
              <w:right w:val="nil"/>
            </w:tcBorders>
            <w:shd w:val="clear" w:color="auto" w:fill="auto"/>
            <w:noWrap/>
            <w:vAlign w:val="bottom"/>
            <w:hideMark/>
          </w:tcPr>
          <w:p w14:paraId="6AA05476" w14:textId="77777777" w:rsidR="006E7C43" w:rsidRPr="00161381" w:rsidRDefault="006E7C43" w:rsidP="006E7C43">
            <w:pPr>
              <w:spacing w:after="0" w:line="240" w:lineRule="auto"/>
              <w:rPr>
                <w:rFonts w:ascii="Arial" w:eastAsia="Times New Roman" w:hAnsi="Arial" w:cs="Arial"/>
                <w:b/>
                <w:bCs/>
                <w:color w:val="000000"/>
                <w:sz w:val="20"/>
                <w:szCs w:val="20"/>
                <w:lang w:eastAsia="en-GB"/>
              </w:rPr>
            </w:pPr>
            <w:r w:rsidRPr="00161381">
              <w:rPr>
                <w:rFonts w:ascii="Arial" w:eastAsia="Times New Roman" w:hAnsi="Arial" w:cs="Arial"/>
                <w:b/>
                <w:bCs/>
                <w:color w:val="000000"/>
                <w:sz w:val="20"/>
                <w:szCs w:val="20"/>
                <w:lang w:eastAsia="en-GB"/>
              </w:rPr>
              <w:t> </w:t>
            </w:r>
          </w:p>
        </w:tc>
        <w:tc>
          <w:tcPr>
            <w:tcW w:w="960" w:type="dxa"/>
            <w:tcBorders>
              <w:top w:val="nil"/>
              <w:left w:val="nil"/>
              <w:bottom w:val="nil"/>
              <w:right w:val="nil"/>
            </w:tcBorders>
            <w:shd w:val="clear" w:color="auto" w:fill="auto"/>
            <w:noWrap/>
            <w:vAlign w:val="bottom"/>
            <w:hideMark/>
          </w:tcPr>
          <w:p w14:paraId="23D51D91" w14:textId="77777777" w:rsidR="006E7C43" w:rsidRPr="00161381" w:rsidRDefault="006E7C43" w:rsidP="006E7C43">
            <w:pPr>
              <w:spacing w:after="0" w:line="240" w:lineRule="auto"/>
              <w:rPr>
                <w:rFonts w:ascii="Arial" w:eastAsia="Times New Roman" w:hAnsi="Arial" w:cs="Arial"/>
                <w:b/>
                <w:bCs/>
                <w:color w:val="000000"/>
                <w:sz w:val="20"/>
                <w:szCs w:val="20"/>
                <w:lang w:eastAsia="en-GB"/>
              </w:rPr>
            </w:pPr>
          </w:p>
        </w:tc>
        <w:tc>
          <w:tcPr>
            <w:tcW w:w="1120" w:type="dxa"/>
            <w:tcBorders>
              <w:top w:val="nil"/>
              <w:left w:val="nil"/>
              <w:bottom w:val="single" w:sz="4" w:space="0" w:color="auto"/>
              <w:right w:val="nil"/>
            </w:tcBorders>
            <w:shd w:val="clear" w:color="auto" w:fill="auto"/>
            <w:noWrap/>
            <w:vAlign w:val="bottom"/>
            <w:hideMark/>
          </w:tcPr>
          <w:p w14:paraId="41DC1054" w14:textId="77777777" w:rsidR="006E7C43" w:rsidRPr="00161381" w:rsidRDefault="006E7C43" w:rsidP="006E7C43">
            <w:pPr>
              <w:spacing w:after="0" w:line="240" w:lineRule="auto"/>
              <w:rPr>
                <w:rFonts w:ascii="Arial" w:eastAsia="Times New Roman" w:hAnsi="Arial" w:cs="Arial"/>
                <w:color w:val="000000"/>
                <w:sz w:val="20"/>
                <w:szCs w:val="20"/>
                <w:lang w:eastAsia="en-GB"/>
              </w:rPr>
            </w:pPr>
            <w:r w:rsidRPr="00161381">
              <w:rPr>
                <w:rFonts w:ascii="Arial" w:eastAsia="Times New Roman" w:hAnsi="Arial" w:cs="Arial"/>
                <w:color w:val="000000"/>
                <w:sz w:val="20"/>
                <w:szCs w:val="20"/>
                <w:lang w:eastAsia="en-GB"/>
              </w:rPr>
              <w:t> </w:t>
            </w:r>
          </w:p>
        </w:tc>
      </w:tr>
      <w:tr w:rsidR="006E7C43" w:rsidRPr="00022375" w14:paraId="1166B806" w14:textId="77777777" w:rsidTr="006E7C43">
        <w:trPr>
          <w:trHeight w:val="300"/>
        </w:trPr>
        <w:tc>
          <w:tcPr>
            <w:tcW w:w="2540" w:type="dxa"/>
            <w:tcBorders>
              <w:top w:val="nil"/>
              <w:left w:val="nil"/>
              <w:bottom w:val="nil"/>
              <w:right w:val="nil"/>
            </w:tcBorders>
            <w:shd w:val="clear" w:color="auto" w:fill="auto"/>
            <w:noWrap/>
            <w:vAlign w:val="bottom"/>
            <w:hideMark/>
          </w:tcPr>
          <w:p w14:paraId="568560C2" w14:textId="77777777" w:rsidR="006E7C43" w:rsidRPr="00161381" w:rsidRDefault="006E7C43" w:rsidP="006E7C43">
            <w:pPr>
              <w:spacing w:after="0" w:line="240" w:lineRule="auto"/>
              <w:rPr>
                <w:rFonts w:ascii="Arial" w:eastAsia="Times New Roman" w:hAnsi="Arial" w:cs="Arial"/>
                <w:color w:val="000000"/>
                <w:sz w:val="20"/>
                <w:szCs w:val="20"/>
                <w:lang w:eastAsia="en-GB"/>
              </w:rPr>
            </w:pPr>
            <w:r w:rsidRPr="00161381">
              <w:rPr>
                <w:rFonts w:ascii="Arial" w:eastAsia="Times New Roman" w:hAnsi="Arial" w:cs="Arial"/>
                <w:color w:val="000000"/>
                <w:sz w:val="20"/>
                <w:szCs w:val="20"/>
                <w:lang w:eastAsia="en-GB"/>
              </w:rPr>
              <w:t>Total deferred tax</w:t>
            </w:r>
          </w:p>
        </w:tc>
        <w:tc>
          <w:tcPr>
            <w:tcW w:w="2200" w:type="dxa"/>
            <w:tcBorders>
              <w:top w:val="nil"/>
              <w:left w:val="nil"/>
              <w:bottom w:val="nil"/>
              <w:right w:val="nil"/>
            </w:tcBorders>
            <w:shd w:val="clear" w:color="auto" w:fill="auto"/>
            <w:noWrap/>
            <w:vAlign w:val="bottom"/>
            <w:hideMark/>
          </w:tcPr>
          <w:p w14:paraId="55DDCB7E" w14:textId="77777777" w:rsidR="006E7C43" w:rsidRPr="00161381" w:rsidRDefault="006E7C43" w:rsidP="006E7C43">
            <w:pPr>
              <w:spacing w:after="0" w:line="240" w:lineRule="auto"/>
              <w:rPr>
                <w:rFonts w:ascii="Arial" w:eastAsia="Times New Roman" w:hAnsi="Arial" w:cs="Arial"/>
                <w:color w:val="000000"/>
                <w:sz w:val="20"/>
                <w:szCs w:val="20"/>
                <w:lang w:eastAsia="en-GB"/>
              </w:rPr>
            </w:pPr>
          </w:p>
        </w:tc>
        <w:tc>
          <w:tcPr>
            <w:tcW w:w="960" w:type="dxa"/>
            <w:tcBorders>
              <w:top w:val="nil"/>
              <w:left w:val="nil"/>
              <w:bottom w:val="nil"/>
              <w:right w:val="nil"/>
            </w:tcBorders>
            <w:shd w:val="clear" w:color="auto" w:fill="auto"/>
            <w:noWrap/>
            <w:vAlign w:val="bottom"/>
            <w:hideMark/>
          </w:tcPr>
          <w:p w14:paraId="38D47285" w14:textId="77777777" w:rsidR="006E7C43" w:rsidRPr="00161381" w:rsidRDefault="006E7C43" w:rsidP="006E7C43">
            <w:pPr>
              <w:spacing w:after="0" w:line="240" w:lineRule="auto"/>
              <w:rPr>
                <w:rFonts w:ascii="Arial" w:eastAsia="Times New Roman" w:hAnsi="Arial" w:cs="Arial"/>
                <w:sz w:val="20"/>
                <w:szCs w:val="20"/>
                <w:lang w:eastAsia="en-GB"/>
              </w:rPr>
            </w:pPr>
          </w:p>
        </w:tc>
        <w:tc>
          <w:tcPr>
            <w:tcW w:w="1120" w:type="dxa"/>
            <w:tcBorders>
              <w:top w:val="nil"/>
              <w:left w:val="nil"/>
              <w:bottom w:val="nil"/>
              <w:right w:val="nil"/>
            </w:tcBorders>
            <w:shd w:val="clear" w:color="auto" w:fill="auto"/>
            <w:noWrap/>
            <w:vAlign w:val="bottom"/>
            <w:hideMark/>
          </w:tcPr>
          <w:p w14:paraId="493A38AD" w14:textId="77777777" w:rsidR="006E7C43" w:rsidRPr="00161381" w:rsidRDefault="006E7C43" w:rsidP="006E7C43">
            <w:pPr>
              <w:spacing w:after="0" w:line="240" w:lineRule="auto"/>
              <w:jc w:val="right"/>
              <w:rPr>
                <w:rFonts w:ascii="Arial" w:eastAsia="Times New Roman" w:hAnsi="Arial" w:cs="Arial"/>
                <w:b/>
                <w:bCs/>
                <w:color w:val="000000"/>
                <w:sz w:val="20"/>
                <w:szCs w:val="20"/>
                <w:lang w:eastAsia="en-GB"/>
              </w:rPr>
            </w:pPr>
            <w:r w:rsidRPr="00161381">
              <w:rPr>
                <w:rFonts w:ascii="Arial" w:eastAsia="Times New Roman" w:hAnsi="Arial" w:cs="Arial"/>
                <w:b/>
                <w:bCs/>
                <w:color w:val="000000"/>
                <w:sz w:val="20"/>
                <w:szCs w:val="20"/>
                <w:lang w:eastAsia="en-GB"/>
              </w:rPr>
              <w:t>(590)</w:t>
            </w:r>
          </w:p>
        </w:tc>
        <w:tc>
          <w:tcPr>
            <w:tcW w:w="960" w:type="dxa"/>
            <w:tcBorders>
              <w:top w:val="nil"/>
              <w:left w:val="nil"/>
              <w:bottom w:val="nil"/>
              <w:right w:val="nil"/>
            </w:tcBorders>
            <w:shd w:val="clear" w:color="auto" w:fill="auto"/>
            <w:noWrap/>
            <w:vAlign w:val="bottom"/>
            <w:hideMark/>
          </w:tcPr>
          <w:p w14:paraId="599D0EF3" w14:textId="77777777" w:rsidR="006E7C43" w:rsidRPr="00161381" w:rsidRDefault="006E7C43" w:rsidP="006E7C43">
            <w:pPr>
              <w:spacing w:after="0" w:line="240" w:lineRule="auto"/>
              <w:jc w:val="right"/>
              <w:rPr>
                <w:rFonts w:ascii="Arial" w:eastAsia="Times New Roman" w:hAnsi="Arial" w:cs="Arial"/>
                <w:b/>
                <w:bCs/>
                <w:color w:val="000000"/>
                <w:sz w:val="20"/>
                <w:szCs w:val="20"/>
                <w:lang w:eastAsia="en-GB"/>
              </w:rPr>
            </w:pPr>
          </w:p>
        </w:tc>
        <w:tc>
          <w:tcPr>
            <w:tcW w:w="1120" w:type="dxa"/>
            <w:tcBorders>
              <w:top w:val="nil"/>
              <w:left w:val="nil"/>
              <w:bottom w:val="nil"/>
              <w:right w:val="nil"/>
            </w:tcBorders>
            <w:shd w:val="clear" w:color="auto" w:fill="auto"/>
            <w:noWrap/>
            <w:vAlign w:val="bottom"/>
            <w:hideMark/>
          </w:tcPr>
          <w:p w14:paraId="795372C4" w14:textId="77777777" w:rsidR="006E7C43" w:rsidRPr="00161381" w:rsidRDefault="000307B6" w:rsidP="006E7C43">
            <w:pPr>
              <w:spacing w:after="0" w:line="240" w:lineRule="auto"/>
              <w:jc w:val="right"/>
              <w:rPr>
                <w:rFonts w:ascii="Arial" w:eastAsia="Times New Roman" w:hAnsi="Arial" w:cs="Arial"/>
                <w:color w:val="000000"/>
                <w:sz w:val="20"/>
                <w:szCs w:val="20"/>
                <w:lang w:eastAsia="en-GB"/>
              </w:rPr>
            </w:pPr>
            <w:r w:rsidRPr="00161381">
              <w:rPr>
                <w:rFonts w:ascii="Arial" w:eastAsia="Times New Roman" w:hAnsi="Arial" w:cs="Arial"/>
                <w:color w:val="000000"/>
                <w:sz w:val="20"/>
                <w:szCs w:val="20"/>
                <w:lang w:eastAsia="en-GB"/>
              </w:rPr>
              <w:t>842</w:t>
            </w:r>
          </w:p>
        </w:tc>
      </w:tr>
      <w:tr w:rsidR="006E7C43" w:rsidRPr="00694780" w14:paraId="5065D4EE" w14:textId="77777777" w:rsidTr="006E7C43">
        <w:trPr>
          <w:trHeight w:val="300"/>
        </w:trPr>
        <w:tc>
          <w:tcPr>
            <w:tcW w:w="2540" w:type="dxa"/>
            <w:tcBorders>
              <w:top w:val="nil"/>
              <w:left w:val="nil"/>
              <w:bottom w:val="nil"/>
              <w:right w:val="nil"/>
            </w:tcBorders>
            <w:shd w:val="clear" w:color="auto" w:fill="auto"/>
            <w:noWrap/>
            <w:vAlign w:val="bottom"/>
            <w:hideMark/>
          </w:tcPr>
          <w:p w14:paraId="2CAE8A88" w14:textId="77777777" w:rsidR="006E7C43" w:rsidRPr="00161381" w:rsidRDefault="006E7C43" w:rsidP="006E7C43">
            <w:pPr>
              <w:spacing w:after="0" w:line="240" w:lineRule="auto"/>
              <w:jc w:val="right"/>
              <w:rPr>
                <w:rFonts w:ascii="Arial" w:eastAsia="Times New Roman" w:hAnsi="Arial" w:cs="Arial"/>
                <w:color w:val="000000"/>
                <w:sz w:val="20"/>
                <w:szCs w:val="20"/>
                <w:lang w:eastAsia="en-GB"/>
              </w:rPr>
            </w:pPr>
          </w:p>
        </w:tc>
        <w:tc>
          <w:tcPr>
            <w:tcW w:w="2200" w:type="dxa"/>
            <w:tcBorders>
              <w:top w:val="nil"/>
              <w:left w:val="nil"/>
              <w:bottom w:val="nil"/>
              <w:right w:val="nil"/>
            </w:tcBorders>
            <w:shd w:val="clear" w:color="auto" w:fill="auto"/>
            <w:noWrap/>
            <w:vAlign w:val="bottom"/>
            <w:hideMark/>
          </w:tcPr>
          <w:p w14:paraId="3F0560C4" w14:textId="77777777" w:rsidR="006E7C43" w:rsidRPr="00161381" w:rsidRDefault="006E7C43" w:rsidP="006E7C43">
            <w:pPr>
              <w:spacing w:after="0" w:line="240" w:lineRule="auto"/>
              <w:rPr>
                <w:rFonts w:ascii="Arial" w:eastAsia="Times New Roman" w:hAnsi="Arial" w:cs="Arial"/>
                <w:sz w:val="20"/>
                <w:szCs w:val="20"/>
                <w:lang w:eastAsia="en-GB"/>
              </w:rPr>
            </w:pPr>
          </w:p>
        </w:tc>
        <w:tc>
          <w:tcPr>
            <w:tcW w:w="960" w:type="dxa"/>
            <w:tcBorders>
              <w:top w:val="nil"/>
              <w:left w:val="nil"/>
              <w:bottom w:val="nil"/>
              <w:right w:val="nil"/>
            </w:tcBorders>
            <w:shd w:val="clear" w:color="auto" w:fill="auto"/>
            <w:noWrap/>
            <w:vAlign w:val="bottom"/>
            <w:hideMark/>
          </w:tcPr>
          <w:p w14:paraId="4C5E257B" w14:textId="77777777" w:rsidR="006E7C43" w:rsidRPr="00161381" w:rsidRDefault="006E7C43" w:rsidP="006E7C43">
            <w:pPr>
              <w:spacing w:after="0" w:line="240" w:lineRule="auto"/>
              <w:rPr>
                <w:rFonts w:ascii="Arial" w:eastAsia="Times New Roman" w:hAnsi="Arial" w:cs="Arial"/>
                <w:sz w:val="20"/>
                <w:szCs w:val="20"/>
                <w:highlight w:val="yellow"/>
                <w:lang w:eastAsia="en-GB"/>
              </w:rPr>
            </w:pPr>
          </w:p>
        </w:tc>
        <w:tc>
          <w:tcPr>
            <w:tcW w:w="1120" w:type="dxa"/>
            <w:tcBorders>
              <w:top w:val="nil"/>
              <w:left w:val="nil"/>
              <w:bottom w:val="nil"/>
              <w:right w:val="nil"/>
            </w:tcBorders>
            <w:shd w:val="clear" w:color="auto" w:fill="auto"/>
            <w:noWrap/>
            <w:vAlign w:val="bottom"/>
            <w:hideMark/>
          </w:tcPr>
          <w:p w14:paraId="52D0B733" w14:textId="77777777" w:rsidR="006E7C43" w:rsidRPr="00161381" w:rsidRDefault="006E7C43" w:rsidP="006E7C43">
            <w:pPr>
              <w:spacing w:after="0" w:line="240" w:lineRule="auto"/>
              <w:rPr>
                <w:rFonts w:ascii="Arial" w:eastAsia="Times New Roman" w:hAnsi="Arial" w:cs="Arial"/>
                <w:sz w:val="20"/>
                <w:szCs w:val="20"/>
                <w:highlight w:val="yellow"/>
                <w:lang w:eastAsia="en-GB"/>
              </w:rPr>
            </w:pPr>
          </w:p>
        </w:tc>
        <w:tc>
          <w:tcPr>
            <w:tcW w:w="960" w:type="dxa"/>
            <w:tcBorders>
              <w:top w:val="nil"/>
              <w:left w:val="nil"/>
              <w:bottom w:val="nil"/>
              <w:right w:val="nil"/>
            </w:tcBorders>
            <w:shd w:val="clear" w:color="auto" w:fill="auto"/>
            <w:noWrap/>
            <w:vAlign w:val="bottom"/>
            <w:hideMark/>
          </w:tcPr>
          <w:p w14:paraId="2C10FF5D" w14:textId="77777777" w:rsidR="006E7C43" w:rsidRPr="00161381" w:rsidRDefault="006E7C43" w:rsidP="006E7C43">
            <w:pPr>
              <w:spacing w:after="0" w:line="240" w:lineRule="auto"/>
              <w:rPr>
                <w:rFonts w:ascii="Arial" w:eastAsia="Times New Roman" w:hAnsi="Arial" w:cs="Arial"/>
                <w:sz w:val="20"/>
                <w:szCs w:val="20"/>
                <w:highlight w:val="yellow"/>
                <w:lang w:eastAsia="en-GB"/>
              </w:rPr>
            </w:pPr>
          </w:p>
        </w:tc>
        <w:tc>
          <w:tcPr>
            <w:tcW w:w="1120" w:type="dxa"/>
            <w:tcBorders>
              <w:top w:val="nil"/>
              <w:left w:val="nil"/>
              <w:bottom w:val="nil"/>
              <w:right w:val="nil"/>
            </w:tcBorders>
            <w:shd w:val="clear" w:color="auto" w:fill="auto"/>
            <w:noWrap/>
            <w:vAlign w:val="bottom"/>
            <w:hideMark/>
          </w:tcPr>
          <w:p w14:paraId="2321527A" w14:textId="77777777" w:rsidR="006E7C43" w:rsidRPr="00161381" w:rsidRDefault="006E7C43" w:rsidP="006E7C43">
            <w:pPr>
              <w:spacing w:after="0" w:line="240" w:lineRule="auto"/>
              <w:rPr>
                <w:rFonts w:ascii="Arial" w:eastAsia="Times New Roman" w:hAnsi="Arial" w:cs="Arial"/>
                <w:sz w:val="20"/>
                <w:szCs w:val="20"/>
                <w:highlight w:val="yellow"/>
                <w:lang w:eastAsia="en-GB"/>
              </w:rPr>
            </w:pPr>
          </w:p>
        </w:tc>
      </w:tr>
      <w:tr w:rsidR="006E7C43" w:rsidRPr="00694780" w14:paraId="2D52A4FA" w14:textId="77777777" w:rsidTr="006E7C43">
        <w:trPr>
          <w:trHeight w:val="315"/>
        </w:trPr>
        <w:tc>
          <w:tcPr>
            <w:tcW w:w="2540" w:type="dxa"/>
            <w:tcBorders>
              <w:top w:val="nil"/>
              <w:left w:val="nil"/>
              <w:bottom w:val="nil"/>
              <w:right w:val="nil"/>
            </w:tcBorders>
            <w:shd w:val="clear" w:color="auto" w:fill="auto"/>
            <w:noWrap/>
            <w:vAlign w:val="bottom"/>
            <w:hideMark/>
          </w:tcPr>
          <w:p w14:paraId="6DA69AA8" w14:textId="77777777" w:rsidR="006E7C43" w:rsidRPr="00161381" w:rsidRDefault="006E7C43" w:rsidP="006E7C43">
            <w:pPr>
              <w:spacing w:after="0" w:line="240" w:lineRule="auto"/>
              <w:rPr>
                <w:rFonts w:ascii="Arial" w:eastAsia="Times New Roman" w:hAnsi="Arial" w:cs="Arial"/>
                <w:color w:val="000000"/>
                <w:sz w:val="20"/>
                <w:szCs w:val="20"/>
                <w:lang w:eastAsia="en-GB"/>
              </w:rPr>
            </w:pPr>
            <w:r w:rsidRPr="00161381">
              <w:rPr>
                <w:rFonts w:ascii="Arial" w:eastAsia="Times New Roman" w:hAnsi="Arial" w:cs="Arial"/>
                <w:color w:val="000000"/>
                <w:sz w:val="20"/>
                <w:szCs w:val="20"/>
                <w:lang w:eastAsia="en-GB"/>
              </w:rPr>
              <w:t>Tax on loss</w:t>
            </w:r>
          </w:p>
        </w:tc>
        <w:tc>
          <w:tcPr>
            <w:tcW w:w="2200" w:type="dxa"/>
            <w:tcBorders>
              <w:top w:val="nil"/>
              <w:left w:val="nil"/>
              <w:bottom w:val="nil"/>
              <w:right w:val="nil"/>
            </w:tcBorders>
            <w:shd w:val="clear" w:color="auto" w:fill="auto"/>
            <w:noWrap/>
            <w:vAlign w:val="bottom"/>
            <w:hideMark/>
          </w:tcPr>
          <w:p w14:paraId="2B8803F6" w14:textId="77777777" w:rsidR="006E7C43" w:rsidRPr="00161381" w:rsidRDefault="006E7C43" w:rsidP="006E7C43">
            <w:pPr>
              <w:spacing w:after="0" w:line="240" w:lineRule="auto"/>
              <w:rPr>
                <w:rFonts w:ascii="Arial" w:eastAsia="Times New Roman" w:hAnsi="Arial" w:cs="Arial"/>
                <w:color w:val="000000"/>
                <w:sz w:val="20"/>
                <w:szCs w:val="20"/>
                <w:lang w:eastAsia="en-GB"/>
              </w:rPr>
            </w:pPr>
          </w:p>
        </w:tc>
        <w:tc>
          <w:tcPr>
            <w:tcW w:w="960" w:type="dxa"/>
            <w:tcBorders>
              <w:top w:val="nil"/>
              <w:left w:val="nil"/>
              <w:bottom w:val="nil"/>
              <w:right w:val="nil"/>
            </w:tcBorders>
            <w:shd w:val="clear" w:color="auto" w:fill="auto"/>
            <w:noWrap/>
            <w:vAlign w:val="bottom"/>
            <w:hideMark/>
          </w:tcPr>
          <w:p w14:paraId="1C0CC19F" w14:textId="77777777" w:rsidR="006E7C43" w:rsidRPr="00161381" w:rsidRDefault="006E7C43" w:rsidP="006E7C43">
            <w:pPr>
              <w:spacing w:after="0" w:line="240" w:lineRule="auto"/>
              <w:rPr>
                <w:rFonts w:ascii="Arial" w:eastAsia="Times New Roman" w:hAnsi="Arial" w:cs="Arial"/>
                <w:sz w:val="20"/>
                <w:szCs w:val="20"/>
                <w:highlight w:val="yellow"/>
                <w:lang w:eastAsia="en-GB"/>
              </w:rPr>
            </w:pPr>
          </w:p>
        </w:tc>
        <w:tc>
          <w:tcPr>
            <w:tcW w:w="1120" w:type="dxa"/>
            <w:tcBorders>
              <w:top w:val="single" w:sz="4" w:space="0" w:color="auto"/>
              <w:left w:val="nil"/>
              <w:bottom w:val="double" w:sz="6" w:space="0" w:color="auto"/>
              <w:right w:val="nil"/>
            </w:tcBorders>
            <w:shd w:val="clear" w:color="auto" w:fill="auto"/>
            <w:noWrap/>
            <w:vAlign w:val="bottom"/>
            <w:hideMark/>
          </w:tcPr>
          <w:p w14:paraId="306CAEA7" w14:textId="77777777" w:rsidR="006E7C43" w:rsidRPr="00161381" w:rsidRDefault="006E7C43" w:rsidP="006E7C43">
            <w:pPr>
              <w:spacing w:after="0" w:line="240" w:lineRule="auto"/>
              <w:jc w:val="right"/>
              <w:rPr>
                <w:rFonts w:ascii="Arial" w:eastAsia="Times New Roman" w:hAnsi="Arial" w:cs="Arial"/>
                <w:b/>
                <w:bCs/>
                <w:color w:val="000000"/>
                <w:sz w:val="20"/>
                <w:szCs w:val="20"/>
                <w:lang w:eastAsia="en-GB"/>
              </w:rPr>
            </w:pPr>
            <w:r w:rsidRPr="00161381">
              <w:rPr>
                <w:rFonts w:ascii="Arial" w:eastAsia="Times New Roman" w:hAnsi="Arial" w:cs="Arial"/>
                <w:b/>
                <w:bCs/>
                <w:color w:val="000000"/>
                <w:sz w:val="20"/>
                <w:szCs w:val="20"/>
                <w:lang w:eastAsia="en-GB"/>
              </w:rPr>
              <w:t>(590)</w:t>
            </w:r>
          </w:p>
        </w:tc>
        <w:tc>
          <w:tcPr>
            <w:tcW w:w="960" w:type="dxa"/>
            <w:tcBorders>
              <w:top w:val="nil"/>
              <w:left w:val="nil"/>
              <w:bottom w:val="nil"/>
              <w:right w:val="nil"/>
            </w:tcBorders>
            <w:shd w:val="clear" w:color="auto" w:fill="auto"/>
            <w:noWrap/>
            <w:vAlign w:val="bottom"/>
            <w:hideMark/>
          </w:tcPr>
          <w:p w14:paraId="547517DB" w14:textId="77777777" w:rsidR="006E7C43" w:rsidRPr="00161381" w:rsidRDefault="006E7C43" w:rsidP="006E7C43">
            <w:pPr>
              <w:spacing w:after="0" w:line="240" w:lineRule="auto"/>
              <w:jc w:val="right"/>
              <w:rPr>
                <w:rFonts w:ascii="Arial" w:eastAsia="Times New Roman" w:hAnsi="Arial" w:cs="Arial"/>
                <w:b/>
                <w:bCs/>
                <w:color w:val="000000"/>
                <w:sz w:val="20"/>
                <w:szCs w:val="20"/>
                <w:lang w:eastAsia="en-GB"/>
              </w:rPr>
            </w:pPr>
          </w:p>
        </w:tc>
        <w:tc>
          <w:tcPr>
            <w:tcW w:w="1120" w:type="dxa"/>
            <w:tcBorders>
              <w:top w:val="single" w:sz="4" w:space="0" w:color="auto"/>
              <w:left w:val="nil"/>
              <w:bottom w:val="double" w:sz="6" w:space="0" w:color="auto"/>
              <w:right w:val="nil"/>
            </w:tcBorders>
            <w:shd w:val="clear" w:color="auto" w:fill="auto"/>
            <w:noWrap/>
            <w:vAlign w:val="bottom"/>
            <w:hideMark/>
          </w:tcPr>
          <w:p w14:paraId="2B210892" w14:textId="77777777" w:rsidR="006E7C43" w:rsidRPr="00161381" w:rsidRDefault="000307B6" w:rsidP="006E7C43">
            <w:pPr>
              <w:spacing w:after="0" w:line="240" w:lineRule="auto"/>
              <w:jc w:val="right"/>
              <w:rPr>
                <w:rFonts w:ascii="Arial" w:eastAsia="Times New Roman" w:hAnsi="Arial" w:cs="Arial"/>
                <w:color w:val="000000"/>
                <w:sz w:val="20"/>
                <w:szCs w:val="20"/>
                <w:lang w:eastAsia="en-GB"/>
              </w:rPr>
            </w:pPr>
            <w:r w:rsidRPr="00161381">
              <w:rPr>
                <w:rFonts w:ascii="Arial" w:eastAsia="Times New Roman" w:hAnsi="Arial" w:cs="Arial"/>
                <w:color w:val="000000"/>
                <w:sz w:val="20"/>
                <w:szCs w:val="20"/>
                <w:lang w:eastAsia="en-GB"/>
              </w:rPr>
              <w:t>828</w:t>
            </w:r>
          </w:p>
        </w:tc>
      </w:tr>
      <w:tr w:rsidR="006E7C43" w:rsidRPr="00694780" w14:paraId="2F7B2C79" w14:textId="77777777" w:rsidTr="006E7C43">
        <w:trPr>
          <w:trHeight w:val="315"/>
        </w:trPr>
        <w:tc>
          <w:tcPr>
            <w:tcW w:w="2540" w:type="dxa"/>
            <w:tcBorders>
              <w:top w:val="nil"/>
              <w:left w:val="nil"/>
              <w:bottom w:val="nil"/>
              <w:right w:val="nil"/>
            </w:tcBorders>
            <w:shd w:val="clear" w:color="auto" w:fill="auto"/>
            <w:noWrap/>
            <w:vAlign w:val="bottom"/>
            <w:hideMark/>
          </w:tcPr>
          <w:p w14:paraId="568FDFCA" w14:textId="77777777" w:rsidR="006E7C43" w:rsidRPr="00161381" w:rsidRDefault="006E7C43" w:rsidP="006E7C43">
            <w:pPr>
              <w:spacing w:after="0" w:line="240" w:lineRule="auto"/>
              <w:jc w:val="right"/>
              <w:rPr>
                <w:rFonts w:ascii="Arial" w:eastAsia="Times New Roman" w:hAnsi="Arial" w:cs="Arial"/>
                <w:color w:val="000000"/>
                <w:sz w:val="20"/>
                <w:szCs w:val="20"/>
                <w:lang w:eastAsia="en-GB"/>
              </w:rPr>
            </w:pPr>
          </w:p>
        </w:tc>
        <w:tc>
          <w:tcPr>
            <w:tcW w:w="2200" w:type="dxa"/>
            <w:tcBorders>
              <w:top w:val="nil"/>
              <w:left w:val="nil"/>
              <w:bottom w:val="nil"/>
              <w:right w:val="nil"/>
            </w:tcBorders>
            <w:shd w:val="clear" w:color="auto" w:fill="auto"/>
            <w:noWrap/>
            <w:vAlign w:val="bottom"/>
            <w:hideMark/>
          </w:tcPr>
          <w:p w14:paraId="68892178" w14:textId="77777777" w:rsidR="006E7C43" w:rsidRPr="00161381" w:rsidRDefault="006E7C43" w:rsidP="006E7C43">
            <w:pPr>
              <w:spacing w:after="0" w:line="240" w:lineRule="auto"/>
              <w:rPr>
                <w:rFonts w:ascii="Arial" w:eastAsia="Times New Roman" w:hAnsi="Arial" w:cs="Arial"/>
                <w:sz w:val="20"/>
                <w:szCs w:val="20"/>
                <w:lang w:eastAsia="en-GB"/>
              </w:rPr>
            </w:pPr>
          </w:p>
        </w:tc>
        <w:tc>
          <w:tcPr>
            <w:tcW w:w="960" w:type="dxa"/>
            <w:tcBorders>
              <w:top w:val="nil"/>
              <w:left w:val="nil"/>
              <w:bottom w:val="nil"/>
              <w:right w:val="nil"/>
            </w:tcBorders>
            <w:shd w:val="clear" w:color="auto" w:fill="auto"/>
            <w:noWrap/>
            <w:vAlign w:val="bottom"/>
            <w:hideMark/>
          </w:tcPr>
          <w:p w14:paraId="6FD5F7AB" w14:textId="77777777" w:rsidR="006E7C43" w:rsidRPr="00161381" w:rsidRDefault="006E7C43" w:rsidP="006E7C43">
            <w:pPr>
              <w:spacing w:after="0" w:line="240" w:lineRule="auto"/>
              <w:rPr>
                <w:rFonts w:ascii="Arial" w:eastAsia="Times New Roman" w:hAnsi="Arial" w:cs="Arial"/>
                <w:sz w:val="20"/>
                <w:szCs w:val="20"/>
                <w:highlight w:val="yellow"/>
                <w:lang w:eastAsia="en-GB"/>
              </w:rPr>
            </w:pPr>
          </w:p>
        </w:tc>
        <w:tc>
          <w:tcPr>
            <w:tcW w:w="1120" w:type="dxa"/>
            <w:tcBorders>
              <w:top w:val="nil"/>
              <w:left w:val="nil"/>
              <w:bottom w:val="nil"/>
              <w:right w:val="nil"/>
            </w:tcBorders>
            <w:shd w:val="clear" w:color="auto" w:fill="auto"/>
            <w:noWrap/>
            <w:vAlign w:val="bottom"/>
            <w:hideMark/>
          </w:tcPr>
          <w:p w14:paraId="7E8B5DB8" w14:textId="77777777" w:rsidR="006E7C43" w:rsidRPr="00161381" w:rsidRDefault="006E7C43" w:rsidP="006E7C43">
            <w:pPr>
              <w:spacing w:after="0" w:line="240" w:lineRule="auto"/>
              <w:rPr>
                <w:rFonts w:ascii="Arial" w:eastAsia="Times New Roman" w:hAnsi="Arial" w:cs="Arial"/>
                <w:sz w:val="20"/>
                <w:szCs w:val="20"/>
                <w:lang w:eastAsia="en-GB"/>
              </w:rPr>
            </w:pPr>
          </w:p>
        </w:tc>
        <w:tc>
          <w:tcPr>
            <w:tcW w:w="960" w:type="dxa"/>
            <w:tcBorders>
              <w:top w:val="nil"/>
              <w:left w:val="nil"/>
              <w:bottom w:val="nil"/>
              <w:right w:val="nil"/>
            </w:tcBorders>
            <w:shd w:val="clear" w:color="auto" w:fill="auto"/>
            <w:noWrap/>
            <w:vAlign w:val="bottom"/>
            <w:hideMark/>
          </w:tcPr>
          <w:p w14:paraId="43974CC3" w14:textId="77777777" w:rsidR="006E7C43" w:rsidRPr="00161381" w:rsidRDefault="006E7C43" w:rsidP="006E7C43">
            <w:pPr>
              <w:spacing w:after="0" w:line="240" w:lineRule="auto"/>
              <w:rPr>
                <w:rFonts w:ascii="Arial" w:eastAsia="Times New Roman" w:hAnsi="Arial" w:cs="Arial"/>
                <w:sz w:val="20"/>
                <w:szCs w:val="20"/>
                <w:lang w:eastAsia="en-GB"/>
              </w:rPr>
            </w:pPr>
          </w:p>
        </w:tc>
        <w:tc>
          <w:tcPr>
            <w:tcW w:w="1120" w:type="dxa"/>
            <w:tcBorders>
              <w:top w:val="nil"/>
              <w:left w:val="nil"/>
              <w:bottom w:val="nil"/>
              <w:right w:val="nil"/>
            </w:tcBorders>
            <w:shd w:val="clear" w:color="auto" w:fill="auto"/>
            <w:noWrap/>
            <w:vAlign w:val="bottom"/>
            <w:hideMark/>
          </w:tcPr>
          <w:p w14:paraId="1E68A47E" w14:textId="77777777" w:rsidR="006E7C43" w:rsidRPr="00161381" w:rsidRDefault="006E7C43" w:rsidP="006E7C43">
            <w:pPr>
              <w:spacing w:after="0" w:line="240" w:lineRule="auto"/>
              <w:rPr>
                <w:rFonts w:ascii="Arial" w:eastAsia="Times New Roman" w:hAnsi="Arial" w:cs="Arial"/>
                <w:sz w:val="20"/>
                <w:szCs w:val="20"/>
                <w:lang w:eastAsia="en-GB"/>
              </w:rPr>
            </w:pPr>
          </w:p>
        </w:tc>
      </w:tr>
      <w:tr w:rsidR="006E7C43" w:rsidRPr="00694780" w14:paraId="7B1A5622" w14:textId="77777777" w:rsidTr="006E7C43">
        <w:trPr>
          <w:trHeight w:val="300"/>
        </w:trPr>
        <w:tc>
          <w:tcPr>
            <w:tcW w:w="4740" w:type="dxa"/>
            <w:gridSpan w:val="2"/>
            <w:tcBorders>
              <w:top w:val="nil"/>
              <w:left w:val="nil"/>
              <w:bottom w:val="nil"/>
              <w:right w:val="nil"/>
            </w:tcBorders>
            <w:shd w:val="clear" w:color="auto" w:fill="auto"/>
            <w:noWrap/>
            <w:vAlign w:val="bottom"/>
            <w:hideMark/>
          </w:tcPr>
          <w:p w14:paraId="2365E85D" w14:textId="77777777" w:rsidR="006E7C43" w:rsidRPr="00161381" w:rsidRDefault="006E7C43" w:rsidP="006E7C43">
            <w:pPr>
              <w:spacing w:after="0" w:line="240" w:lineRule="auto"/>
              <w:rPr>
                <w:rFonts w:ascii="Arial" w:eastAsia="Times New Roman" w:hAnsi="Arial" w:cs="Arial"/>
                <w:color w:val="000000"/>
                <w:sz w:val="20"/>
                <w:szCs w:val="20"/>
                <w:lang w:eastAsia="en-GB"/>
              </w:rPr>
            </w:pPr>
            <w:r w:rsidRPr="00161381">
              <w:rPr>
                <w:rFonts w:ascii="Arial" w:eastAsia="Times New Roman" w:hAnsi="Arial" w:cs="Arial"/>
                <w:color w:val="000000"/>
                <w:sz w:val="20"/>
                <w:szCs w:val="20"/>
                <w:lang w:eastAsia="en-GB"/>
              </w:rPr>
              <w:t>Other comprehensive income items</w:t>
            </w:r>
          </w:p>
        </w:tc>
        <w:tc>
          <w:tcPr>
            <w:tcW w:w="960" w:type="dxa"/>
            <w:tcBorders>
              <w:top w:val="nil"/>
              <w:left w:val="nil"/>
              <w:bottom w:val="nil"/>
              <w:right w:val="nil"/>
            </w:tcBorders>
            <w:shd w:val="clear" w:color="auto" w:fill="auto"/>
            <w:noWrap/>
            <w:vAlign w:val="bottom"/>
            <w:hideMark/>
          </w:tcPr>
          <w:p w14:paraId="178FF96D" w14:textId="77777777" w:rsidR="006E7C43" w:rsidRPr="00161381" w:rsidRDefault="006E7C43" w:rsidP="006E7C43">
            <w:pPr>
              <w:spacing w:after="0" w:line="240" w:lineRule="auto"/>
              <w:rPr>
                <w:rFonts w:ascii="Arial" w:eastAsia="Times New Roman" w:hAnsi="Arial" w:cs="Arial"/>
                <w:color w:val="000000"/>
                <w:sz w:val="20"/>
                <w:szCs w:val="20"/>
                <w:highlight w:val="yellow"/>
                <w:lang w:eastAsia="en-GB"/>
              </w:rPr>
            </w:pPr>
          </w:p>
        </w:tc>
        <w:tc>
          <w:tcPr>
            <w:tcW w:w="1120" w:type="dxa"/>
            <w:tcBorders>
              <w:top w:val="nil"/>
              <w:left w:val="nil"/>
              <w:bottom w:val="nil"/>
              <w:right w:val="nil"/>
            </w:tcBorders>
            <w:shd w:val="clear" w:color="auto" w:fill="auto"/>
            <w:noWrap/>
            <w:vAlign w:val="bottom"/>
            <w:hideMark/>
          </w:tcPr>
          <w:p w14:paraId="09608293" w14:textId="77777777" w:rsidR="006E7C43" w:rsidRPr="00161381" w:rsidRDefault="006E7C43" w:rsidP="006E7C43">
            <w:pPr>
              <w:spacing w:after="0" w:line="240" w:lineRule="auto"/>
              <w:jc w:val="right"/>
              <w:rPr>
                <w:rFonts w:ascii="Arial" w:eastAsia="Times New Roman" w:hAnsi="Arial" w:cs="Arial"/>
                <w:b/>
                <w:bCs/>
                <w:color w:val="000000"/>
                <w:sz w:val="20"/>
                <w:szCs w:val="20"/>
                <w:lang w:eastAsia="en-GB"/>
              </w:rPr>
            </w:pPr>
            <w:r w:rsidRPr="00161381">
              <w:rPr>
                <w:rFonts w:ascii="Arial" w:eastAsia="Times New Roman" w:hAnsi="Arial" w:cs="Arial"/>
                <w:b/>
                <w:bCs/>
                <w:color w:val="000000"/>
                <w:sz w:val="20"/>
                <w:szCs w:val="20"/>
                <w:lang w:eastAsia="en-GB"/>
              </w:rPr>
              <w:t>(955)</w:t>
            </w:r>
          </w:p>
        </w:tc>
        <w:tc>
          <w:tcPr>
            <w:tcW w:w="960" w:type="dxa"/>
            <w:tcBorders>
              <w:top w:val="nil"/>
              <w:left w:val="nil"/>
              <w:bottom w:val="nil"/>
              <w:right w:val="nil"/>
            </w:tcBorders>
            <w:shd w:val="clear" w:color="auto" w:fill="auto"/>
            <w:noWrap/>
            <w:vAlign w:val="bottom"/>
            <w:hideMark/>
          </w:tcPr>
          <w:p w14:paraId="567DE8D0" w14:textId="77777777" w:rsidR="006E7C43" w:rsidRPr="00161381" w:rsidRDefault="006E7C43" w:rsidP="006E7C43">
            <w:pPr>
              <w:spacing w:after="0" w:line="240" w:lineRule="auto"/>
              <w:jc w:val="right"/>
              <w:rPr>
                <w:rFonts w:ascii="Arial" w:eastAsia="Times New Roman" w:hAnsi="Arial" w:cs="Arial"/>
                <w:b/>
                <w:bCs/>
                <w:color w:val="000000"/>
                <w:sz w:val="20"/>
                <w:szCs w:val="20"/>
                <w:lang w:eastAsia="en-GB"/>
              </w:rPr>
            </w:pPr>
          </w:p>
        </w:tc>
        <w:tc>
          <w:tcPr>
            <w:tcW w:w="1120" w:type="dxa"/>
            <w:tcBorders>
              <w:top w:val="nil"/>
              <w:left w:val="nil"/>
              <w:bottom w:val="nil"/>
              <w:right w:val="nil"/>
            </w:tcBorders>
            <w:shd w:val="clear" w:color="auto" w:fill="auto"/>
            <w:noWrap/>
            <w:vAlign w:val="bottom"/>
            <w:hideMark/>
          </w:tcPr>
          <w:p w14:paraId="3759623C" w14:textId="77777777" w:rsidR="006E7C43" w:rsidRPr="00161381" w:rsidRDefault="000307B6" w:rsidP="006E7C43">
            <w:pPr>
              <w:spacing w:after="0" w:line="240" w:lineRule="auto"/>
              <w:jc w:val="right"/>
              <w:rPr>
                <w:rFonts w:ascii="Arial" w:eastAsia="Times New Roman" w:hAnsi="Arial" w:cs="Arial"/>
                <w:color w:val="000000"/>
                <w:sz w:val="20"/>
                <w:szCs w:val="20"/>
                <w:lang w:eastAsia="en-GB"/>
              </w:rPr>
            </w:pPr>
            <w:r w:rsidRPr="00161381">
              <w:rPr>
                <w:rFonts w:ascii="Arial" w:eastAsia="Times New Roman" w:hAnsi="Arial" w:cs="Arial"/>
                <w:color w:val="000000"/>
                <w:sz w:val="20"/>
                <w:szCs w:val="20"/>
                <w:lang w:eastAsia="en-GB"/>
              </w:rPr>
              <w:t>(4,132</w:t>
            </w:r>
            <w:r w:rsidR="006E7C43" w:rsidRPr="00161381">
              <w:rPr>
                <w:rFonts w:ascii="Arial" w:eastAsia="Times New Roman" w:hAnsi="Arial" w:cs="Arial"/>
                <w:color w:val="000000"/>
                <w:sz w:val="20"/>
                <w:szCs w:val="20"/>
                <w:lang w:eastAsia="en-GB"/>
              </w:rPr>
              <w:t>)</w:t>
            </w:r>
          </w:p>
        </w:tc>
      </w:tr>
      <w:tr w:rsidR="006E7C43" w:rsidRPr="00694780" w14:paraId="23E0A12A" w14:textId="77777777" w:rsidTr="006E7C43">
        <w:trPr>
          <w:trHeight w:val="300"/>
        </w:trPr>
        <w:tc>
          <w:tcPr>
            <w:tcW w:w="2540" w:type="dxa"/>
            <w:tcBorders>
              <w:top w:val="nil"/>
              <w:left w:val="nil"/>
              <w:bottom w:val="nil"/>
              <w:right w:val="nil"/>
            </w:tcBorders>
            <w:shd w:val="clear" w:color="auto" w:fill="auto"/>
            <w:noWrap/>
            <w:vAlign w:val="bottom"/>
            <w:hideMark/>
          </w:tcPr>
          <w:p w14:paraId="3C675B5A" w14:textId="77777777" w:rsidR="006E7C43" w:rsidRPr="00161381" w:rsidRDefault="006E7C43" w:rsidP="006E7C43">
            <w:pPr>
              <w:spacing w:after="0" w:line="240" w:lineRule="auto"/>
              <w:jc w:val="right"/>
              <w:rPr>
                <w:rFonts w:ascii="Arial" w:eastAsia="Times New Roman" w:hAnsi="Arial" w:cs="Arial"/>
                <w:color w:val="000000"/>
                <w:sz w:val="20"/>
                <w:szCs w:val="20"/>
                <w:lang w:eastAsia="en-GB"/>
              </w:rPr>
            </w:pPr>
          </w:p>
        </w:tc>
        <w:tc>
          <w:tcPr>
            <w:tcW w:w="2200" w:type="dxa"/>
            <w:tcBorders>
              <w:top w:val="nil"/>
              <w:left w:val="nil"/>
              <w:bottom w:val="nil"/>
              <w:right w:val="nil"/>
            </w:tcBorders>
            <w:shd w:val="clear" w:color="auto" w:fill="auto"/>
            <w:noWrap/>
            <w:vAlign w:val="bottom"/>
            <w:hideMark/>
          </w:tcPr>
          <w:p w14:paraId="64284F0E" w14:textId="77777777" w:rsidR="006E7C43" w:rsidRPr="00161381" w:rsidRDefault="006E7C43" w:rsidP="006E7C43">
            <w:pPr>
              <w:spacing w:after="0" w:line="240" w:lineRule="auto"/>
              <w:rPr>
                <w:rFonts w:ascii="Arial" w:eastAsia="Times New Roman" w:hAnsi="Arial" w:cs="Arial"/>
                <w:sz w:val="20"/>
                <w:szCs w:val="20"/>
                <w:lang w:eastAsia="en-GB"/>
              </w:rPr>
            </w:pPr>
          </w:p>
        </w:tc>
        <w:tc>
          <w:tcPr>
            <w:tcW w:w="960" w:type="dxa"/>
            <w:tcBorders>
              <w:top w:val="nil"/>
              <w:left w:val="nil"/>
              <w:bottom w:val="nil"/>
              <w:right w:val="nil"/>
            </w:tcBorders>
            <w:shd w:val="clear" w:color="auto" w:fill="auto"/>
            <w:noWrap/>
            <w:vAlign w:val="bottom"/>
            <w:hideMark/>
          </w:tcPr>
          <w:p w14:paraId="796DB13C" w14:textId="77777777" w:rsidR="006E7C43" w:rsidRPr="00161381" w:rsidRDefault="006E7C43" w:rsidP="006E7C43">
            <w:pPr>
              <w:spacing w:after="0" w:line="240" w:lineRule="auto"/>
              <w:rPr>
                <w:rFonts w:ascii="Arial" w:eastAsia="Times New Roman" w:hAnsi="Arial" w:cs="Arial"/>
                <w:sz w:val="20"/>
                <w:szCs w:val="20"/>
                <w:highlight w:val="yellow"/>
                <w:lang w:eastAsia="en-GB"/>
              </w:rPr>
            </w:pPr>
          </w:p>
        </w:tc>
        <w:tc>
          <w:tcPr>
            <w:tcW w:w="1120" w:type="dxa"/>
            <w:tcBorders>
              <w:top w:val="nil"/>
              <w:left w:val="nil"/>
              <w:bottom w:val="nil"/>
              <w:right w:val="nil"/>
            </w:tcBorders>
            <w:shd w:val="clear" w:color="auto" w:fill="auto"/>
            <w:noWrap/>
            <w:vAlign w:val="bottom"/>
            <w:hideMark/>
          </w:tcPr>
          <w:p w14:paraId="0035533F" w14:textId="77777777" w:rsidR="006E7C43" w:rsidRPr="00161381" w:rsidRDefault="006E7C43" w:rsidP="006E7C43">
            <w:pPr>
              <w:spacing w:after="0" w:line="240" w:lineRule="auto"/>
              <w:rPr>
                <w:rFonts w:ascii="Arial" w:eastAsia="Times New Roman" w:hAnsi="Arial" w:cs="Arial"/>
                <w:sz w:val="20"/>
                <w:szCs w:val="20"/>
                <w:lang w:eastAsia="en-GB"/>
              </w:rPr>
            </w:pPr>
          </w:p>
        </w:tc>
        <w:tc>
          <w:tcPr>
            <w:tcW w:w="960" w:type="dxa"/>
            <w:tcBorders>
              <w:top w:val="nil"/>
              <w:left w:val="nil"/>
              <w:bottom w:val="nil"/>
              <w:right w:val="nil"/>
            </w:tcBorders>
            <w:shd w:val="clear" w:color="auto" w:fill="auto"/>
            <w:noWrap/>
            <w:vAlign w:val="bottom"/>
            <w:hideMark/>
          </w:tcPr>
          <w:p w14:paraId="18C74286" w14:textId="77777777" w:rsidR="006E7C43" w:rsidRPr="00161381" w:rsidRDefault="006E7C43" w:rsidP="006E7C43">
            <w:pPr>
              <w:spacing w:after="0" w:line="240" w:lineRule="auto"/>
              <w:rPr>
                <w:rFonts w:ascii="Arial" w:eastAsia="Times New Roman" w:hAnsi="Arial" w:cs="Arial"/>
                <w:sz w:val="20"/>
                <w:szCs w:val="20"/>
                <w:lang w:eastAsia="en-GB"/>
              </w:rPr>
            </w:pPr>
          </w:p>
        </w:tc>
        <w:tc>
          <w:tcPr>
            <w:tcW w:w="1120" w:type="dxa"/>
            <w:tcBorders>
              <w:top w:val="nil"/>
              <w:left w:val="nil"/>
              <w:bottom w:val="nil"/>
              <w:right w:val="nil"/>
            </w:tcBorders>
            <w:shd w:val="clear" w:color="auto" w:fill="auto"/>
            <w:noWrap/>
            <w:vAlign w:val="bottom"/>
            <w:hideMark/>
          </w:tcPr>
          <w:p w14:paraId="2F4FCFB8" w14:textId="77777777" w:rsidR="006E7C43" w:rsidRPr="00161381" w:rsidRDefault="006E7C43" w:rsidP="006E7C43">
            <w:pPr>
              <w:spacing w:after="0" w:line="240" w:lineRule="auto"/>
              <w:rPr>
                <w:rFonts w:ascii="Arial" w:eastAsia="Times New Roman" w:hAnsi="Arial" w:cs="Arial"/>
                <w:sz w:val="20"/>
                <w:szCs w:val="20"/>
                <w:lang w:eastAsia="en-GB"/>
              </w:rPr>
            </w:pPr>
          </w:p>
        </w:tc>
      </w:tr>
      <w:tr w:rsidR="006E7C43" w:rsidRPr="00694780" w14:paraId="11A0BDC6" w14:textId="77777777" w:rsidTr="006E7C43">
        <w:trPr>
          <w:trHeight w:val="300"/>
        </w:trPr>
        <w:tc>
          <w:tcPr>
            <w:tcW w:w="2540" w:type="dxa"/>
            <w:tcBorders>
              <w:top w:val="nil"/>
              <w:left w:val="nil"/>
              <w:bottom w:val="nil"/>
              <w:right w:val="nil"/>
            </w:tcBorders>
            <w:shd w:val="clear" w:color="auto" w:fill="auto"/>
            <w:noWrap/>
            <w:vAlign w:val="bottom"/>
            <w:hideMark/>
          </w:tcPr>
          <w:p w14:paraId="7B9393B5" w14:textId="77777777" w:rsidR="006E7C43" w:rsidRPr="00161381" w:rsidRDefault="006E7C43" w:rsidP="006E7C43">
            <w:pPr>
              <w:spacing w:after="0" w:line="240" w:lineRule="auto"/>
              <w:rPr>
                <w:rFonts w:ascii="Arial" w:eastAsia="Times New Roman" w:hAnsi="Arial" w:cs="Arial"/>
                <w:sz w:val="20"/>
                <w:szCs w:val="20"/>
                <w:lang w:eastAsia="en-GB"/>
              </w:rPr>
            </w:pPr>
          </w:p>
        </w:tc>
        <w:tc>
          <w:tcPr>
            <w:tcW w:w="2200" w:type="dxa"/>
            <w:tcBorders>
              <w:top w:val="nil"/>
              <w:left w:val="nil"/>
              <w:bottom w:val="nil"/>
              <w:right w:val="nil"/>
            </w:tcBorders>
            <w:shd w:val="clear" w:color="auto" w:fill="auto"/>
            <w:noWrap/>
            <w:vAlign w:val="bottom"/>
            <w:hideMark/>
          </w:tcPr>
          <w:p w14:paraId="67968395" w14:textId="77777777" w:rsidR="006E7C43" w:rsidRPr="00161381" w:rsidRDefault="006E7C43" w:rsidP="006E7C43">
            <w:pPr>
              <w:spacing w:after="0" w:line="240" w:lineRule="auto"/>
              <w:rPr>
                <w:rFonts w:ascii="Arial" w:eastAsia="Times New Roman" w:hAnsi="Arial" w:cs="Arial"/>
                <w:sz w:val="20"/>
                <w:szCs w:val="20"/>
                <w:lang w:eastAsia="en-GB"/>
              </w:rPr>
            </w:pPr>
          </w:p>
        </w:tc>
        <w:tc>
          <w:tcPr>
            <w:tcW w:w="960" w:type="dxa"/>
            <w:tcBorders>
              <w:top w:val="nil"/>
              <w:left w:val="nil"/>
              <w:bottom w:val="nil"/>
              <w:right w:val="nil"/>
            </w:tcBorders>
            <w:shd w:val="clear" w:color="auto" w:fill="auto"/>
            <w:noWrap/>
            <w:vAlign w:val="bottom"/>
            <w:hideMark/>
          </w:tcPr>
          <w:p w14:paraId="1442DCA6" w14:textId="77777777" w:rsidR="006E7C43" w:rsidRPr="00161381" w:rsidRDefault="006E7C43" w:rsidP="006E7C43">
            <w:pPr>
              <w:spacing w:after="0" w:line="240" w:lineRule="auto"/>
              <w:rPr>
                <w:rFonts w:ascii="Arial" w:eastAsia="Times New Roman" w:hAnsi="Arial" w:cs="Arial"/>
                <w:sz w:val="20"/>
                <w:szCs w:val="20"/>
                <w:highlight w:val="yellow"/>
                <w:lang w:eastAsia="en-GB"/>
              </w:rPr>
            </w:pPr>
          </w:p>
        </w:tc>
        <w:tc>
          <w:tcPr>
            <w:tcW w:w="1120" w:type="dxa"/>
            <w:tcBorders>
              <w:top w:val="nil"/>
              <w:left w:val="nil"/>
              <w:bottom w:val="nil"/>
              <w:right w:val="nil"/>
            </w:tcBorders>
            <w:shd w:val="clear" w:color="auto" w:fill="auto"/>
            <w:noWrap/>
            <w:vAlign w:val="bottom"/>
            <w:hideMark/>
          </w:tcPr>
          <w:p w14:paraId="641786E6" w14:textId="77777777" w:rsidR="006E7C43" w:rsidRPr="00161381" w:rsidRDefault="006E7C43" w:rsidP="006E7C43">
            <w:pPr>
              <w:spacing w:after="0" w:line="240" w:lineRule="auto"/>
              <w:rPr>
                <w:rFonts w:ascii="Arial" w:eastAsia="Times New Roman" w:hAnsi="Arial" w:cs="Arial"/>
                <w:sz w:val="20"/>
                <w:szCs w:val="20"/>
                <w:lang w:eastAsia="en-GB"/>
              </w:rPr>
            </w:pPr>
          </w:p>
        </w:tc>
        <w:tc>
          <w:tcPr>
            <w:tcW w:w="960" w:type="dxa"/>
            <w:tcBorders>
              <w:top w:val="nil"/>
              <w:left w:val="nil"/>
              <w:bottom w:val="nil"/>
              <w:right w:val="nil"/>
            </w:tcBorders>
            <w:shd w:val="clear" w:color="auto" w:fill="auto"/>
            <w:noWrap/>
            <w:vAlign w:val="bottom"/>
            <w:hideMark/>
          </w:tcPr>
          <w:p w14:paraId="759F010A" w14:textId="77777777" w:rsidR="006E7C43" w:rsidRPr="00161381" w:rsidRDefault="006E7C43" w:rsidP="006E7C43">
            <w:pPr>
              <w:spacing w:after="0" w:line="240" w:lineRule="auto"/>
              <w:rPr>
                <w:rFonts w:ascii="Arial" w:eastAsia="Times New Roman" w:hAnsi="Arial" w:cs="Arial"/>
                <w:sz w:val="20"/>
                <w:szCs w:val="20"/>
                <w:lang w:eastAsia="en-GB"/>
              </w:rPr>
            </w:pPr>
          </w:p>
        </w:tc>
        <w:tc>
          <w:tcPr>
            <w:tcW w:w="1120" w:type="dxa"/>
            <w:tcBorders>
              <w:top w:val="nil"/>
              <w:left w:val="nil"/>
              <w:bottom w:val="nil"/>
              <w:right w:val="nil"/>
            </w:tcBorders>
            <w:shd w:val="clear" w:color="auto" w:fill="auto"/>
            <w:noWrap/>
            <w:vAlign w:val="bottom"/>
            <w:hideMark/>
          </w:tcPr>
          <w:p w14:paraId="6FF7D484" w14:textId="77777777" w:rsidR="006E7C43" w:rsidRPr="00161381" w:rsidRDefault="006E7C43" w:rsidP="006E7C43">
            <w:pPr>
              <w:spacing w:after="0" w:line="240" w:lineRule="auto"/>
              <w:rPr>
                <w:rFonts w:ascii="Arial" w:eastAsia="Times New Roman" w:hAnsi="Arial" w:cs="Arial"/>
                <w:sz w:val="20"/>
                <w:szCs w:val="20"/>
                <w:lang w:eastAsia="en-GB"/>
              </w:rPr>
            </w:pPr>
          </w:p>
        </w:tc>
      </w:tr>
      <w:tr w:rsidR="006E7C43" w:rsidRPr="00694780" w14:paraId="1674539C" w14:textId="77777777" w:rsidTr="006E7C43">
        <w:trPr>
          <w:trHeight w:val="315"/>
        </w:trPr>
        <w:tc>
          <w:tcPr>
            <w:tcW w:w="2540" w:type="dxa"/>
            <w:tcBorders>
              <w:top w:val="nil"/>
              <w:left w:val="nil"/>
              <w:bottom w:val="nil"/>
              <w:right w:val="nil"/>
            </w:tcBorders>
            <w:shd w:val="clear" w:color="auto" w:fill="auto"/>
            <w:noWrap/>
            <w:vAlign w:val="bottom"/>
            <w:hideMark/>
          </w:tcPr>
          <w:p w14:paraId="5E9D051B" w14:textId="77777777" w:rsidR="006E7C43" w:rsidRPr="00161381" w:rsidRDefault="006021ED" w:rsidP="006E7C43">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Total tax charge (</w:t>
            </w:r>
            <w:r w:rsidR="00D45EAB" w:rsidRPr="00161381">
              <w:rPr>
                <w:rFonts w:ascii="Arial" w:eastAsia="Times New Roman" w:hAnsi="Arial" w:cs="Arial"/>
                <w:sz w:val="20"/>
                <w:szCs w:val="20"/>
                <w:lang w:eastAsia="en-GB"/>
              </w:rPr>
              <w:t>See note 2</w:t>
            </w:r>
            <w:r>
              <w:rPr>
                <w:rFonts w:ascii="Arial" w:eastAsia="Times New Roman" w:hAnsi="Arial" w:cs="Arial"/>
                <w:sz w:val="20"/>
                <w:szCs w:val="20"/>
                <w:lang w:eastAsia="en-GB"/>
              </w:rPr>
              <w:t>)</w:t>
            </w:r>
          </w:p>
        </w:tc>
        <w:tc>
          <w:tcPr>
            <w:tcW w:w="2200" w:type="dxa"/>
            <w:tcBorders>
              <w:top w:val="nil"/>
              <w:left w:val="nil"/>
              <w:bottom w:val="nil"/>
              <w:right w:val="nil"/>
            </w:tcBorders>
            <w:shd w:val="clear" w:color="auto" w:fill="auto"/>
            <w:noWrap/>
            <w:vAlign w:val="bottom"/>
            <w:hideMark/>
          </w:tcPr>
          <w:p w14:paraId="48D9D525" w14:textId="77777777" w:rsidR="006E7C43" w:rsidRPr="00161381" w:rsidRDefault="006E7C43" w:rsidP="006E7C43">
            <w:pPr>
              <w:spacing w:after="0" w:line="240" w:lineRule="auto"/>
              <w:rPr>
                <w:rFonts w:ascii="Arial" w:eastAsia="Times New Roman" w:hAnsi="Arial" w:cs="Arial"/>
                <w:sz w:val="20"/>
                <w:szCs w:val="20"/>
                <w:lang w:eastAsia="en-GB"/>
              </w:rPr>
            </w:pPr>
          </w:p>
        </w:tc>
        <w:tc>
          <w:tcPr>
            <w:tcW w:w="960" w:type="dxa"/>
            <w:tcBorders>
              <w:top w:val="nil"/>
              <w:left w:val="nil"/>
              <w:bottom w:val="nil"/>
              <w:right w:val="nil"/>
            </w:tcBorders>
            <w:shd w:val="clear" w:color="auto" w:fill="auto"/>
            <w:noWrap/>
            <w:vAlign w:val="bottom"/>
            <w:hideMark/>
          </w:tcPr>
          <w:p w14:paraId="67D2BB57" w14:textId="77777777" w:rsidR="006E7C43" w:rsidRPr="00161381" w:rsidRDefault="006E7C43" w:rsidP="006E7C43">
            <w:pPr>
              <w:spacing w:after="0" w:line="240" w:lineRule="auto"/>
              <w:rPr>
                <w:rFonts w:ascii="Arial" w:eastAsia="Times New Roman" w:hAnsi="Arial" w:cs="Arial"/>
                <w:sz w:val="20"/>
                <w:szCs w:val="20"/>
                <w:highlight w:val="yellow"/>
                <w:lang w:eastAsia="en-GB"/>
              </w:rPr>
            </w:pPr>
          </w:p>
        </w:tc>
        <w:tc>
          <w:tcPr>
            <w:tcW w:w="1120" w:type="dxa"/>
            <w:tcBorders>
              <w:top w:val="single" w:sz="4" w:space="0" w:color="auto"/>
              <w:left w:val="nil"/>
              <w:bottom w:val="double" w:sz="6" w:space="0" w:color="auto"/>
              <w:right w:val="nil"/>
            </w:tcBorders>
            <w:shd w:val="clear" w:color="auto" w:fill="auto"/>
            <w:noWrap/>
            <w:vAlign w:val="bottom"/>
            <w:hideMark/>
          </w:tcPr>
          <w:p w14:paraId="1A69DCB6" w14:textId="77777777" w:rsidR="006E7C43" w:rsidRPr="00161381" w:rsidRDefault="006E7C43" w:rsidP="006E7C43">
            <w:pPr>
              <w:spacing w:after="0" w:line="240" w:lineRule="auto"/>
              <w:jc w:val="right"/>
              <w:rPr>
                <w:rFonts w:ascii="Arial" w:eastAsia="Times New Roman" w:hAnsi="Arial" w:cs="Arial"/>
                <w:b/>
                <w:bCs/>
                <w:color w:val="000000"/>
                <w:sz w:val="20"/>
                <w:szCs w:val="20"/>
                <w:lang w:eastAsia="en-GB"/>
              </w:rPr>
            </w:pPr>
            <w:r w:rsidRPr="00161381">
              <w:rPr>
                <w:rFonts w:ascii="Arial" w:eastAsia="Times New Roman" w:hAnsi="Arial" w:cs="Arial"/>
                <w:b/>
                <w:bCs/>
                <w:color w:val="000000"/>
                <w:sz w:val="20"/>
                <w:szCs w:val="20"/>
                <w:lang w:eastAsia="en-GB"/>
              </w:rPr>
              <w:t>(1,545)</w:t>
            </w:r>
          </w:p>
        </w:tc>
        <w:tc>
          <w:tcPr>
            <w:tcW w:w="960" w:type="dxa"/>
            <w:tcBorders>
              <w:top w:val="nil"/>
              <w:left w:val="nil"/>
              <w:bottom w:val="nil"/>
              <w:right w:val="nil"/>
            </w:tcBorders>
            <w:shd w:val="clear" w:color="auto" w:fill="auto"/>
            <w:noWrap/>
            <w:vAlign w:val="bottom"/>
            <w:hideMark/>
          </w:tcPr>
          <w:p w14:paraId="6A44FF5E" w14:textId="77777777" w:rsidR="006E7C43" w:rsidRPr="00161381" w:rsidRDefault="006E7C43" w:rsidP="006E7C43">
            <w:pPr>
              <w:spacing w:after="0" w:line="240" w:lineRule="auto"/>
              <w:jc w:val="right"/>
              <w:rPr>
                <w:rFonts w:ascii="Arial" w:eastAsia="Times New Roman" w:hAnsi="Arial" w:cs="Arial"/>
                <w:b/>
                <w:bCs/>
                <w:color w:val="000000"/>
                <w:sz w:val="20"/>
                <w:szCs w:val="20"/>
                <w:lang w:eastAsia="en-GB"/>
              </w:rPr>
            </w:pPr>
          </w:p>
        </w:tc>
        <w:tc>
          <w:tcPr>
            <w:tcW w:w="1120" w:type="dxa"/>
            <w:tcBorders>
              <w:top w:val="single" w:sz="4" w:space="0" w:color="auto"/>
              <w:left w:val="nil"/>
              <w:bottom w:val="double" w:sz="6" w:space="0" w:color="auto"/>
              <w:right w:val="nil"/>
            </w:tcBorders>
            <w:shd w:val="clear" w:color="auto" w:fill="auto"/>
            <w:noWrap/>
            <w:vAlign w:val="bottom"/>
            <w:hideMark/>
          </w:tcPr>
          <w:p w14:paraId="74059D66" w14:textId="77777777" w:rsidR="006E7C43" w:rsidRPr="00161381" w:rsidRDefault="000307B6" w:rsidP="006E7C43">
            <w:pPr>
              <w:spacing w:after="0" w:line="240" w:lineRule="auto"/>
              <w:jc w:val="right"/>
              <w:rPr>
                <w:rFonts w:ascii="Arial" w:eastAsia="Times New Roman" w:hAnsi="Arial" w:cs="Arial"/>
                <w:color w:val="000000"/>
                <w:sz w:val="20"/>
                <w:szCs w:val="20"/>
                <w:lang w:eastAsia="en-GB"/>
              </w:rPr>
            </w:pPr>
            <w:r w:rsidRPr="00161381">
              <w:rPr>
                <w:rFonts w:ascii="Arial" w:eastAsia="Times New Roman" w:hAnsi="Arial" w:cs="Arial"/>
                <w:color w:val="000000"/>
                <w:sz w:val="20"/>
                <w:szCs w:val="20"/>
                <w:lang w:eastAsia="en-GB"/>
              </w:rPr>
              <w:t>(3,304</w:t>
            </w:r>
            <w:r w:rsidR="006E7C43" w:rsidRPr="00161381">
              <w:rPr>
                <w:rFonts w:ascii="Arial" w:eastAsia="Times New Roman" w:hAnsi="Arial" w:cs="Arial"/>
                <w:color w:val="000000"/>
                <w:sz w:val="20"/>
                <w:szCs w:val="20"/>
                <w:lang w:eastAsia="en-GB"/>
              </w:rPr>
              <w:t>)</w:t>
            </w:r>
          </w:p>
        </w:tc>
      </w:tr>
    </w:tbl>
    <w:p w14:paraId="07B83D66" w14:textId="77777777" w:rsidR="006E7C43" w:rsidRPr="00161381" w:rsidRDefault="006E7C43" w:rsidP="006647C2">
      <w:pPr>
        <w:autoSpaceDE w:val="0"/>
        <w:autoSpaceDN w:val="0"/>
        <w:adjustRightInd w:val="0"/>
        <w:spacing w:after="240" w:line="240" w:lineRule="auto"/>
        <w:jc w:val="both"/>
        <w:rPr>
          <w:rFonts w:ascii="Arial" w:hAnsi="Arial" w:cs="Arial"/>
          <w:sz w:val="20"/>
          <w:szCs w:val="20"/>
        </w:rPr>
      </w:pPr>
    </w:p>
    <w:p w14:paraId="42182E99" w14:textId="77777777" w:rsidR="006E7C43" w:rsidRDefault="006E7C43" w:rsidP="002B2F3F">
      <w:pPr>
        <w:autoSpaceDE w:val="0"/>
        <w:autoSpaceDN w:val="0"/>
        <w:adjustRightInd w:val="0"/>
        <w:spacing w:after="240" w:line="240" w:lineRule="auto"/>
        <w:rPr>
          <w:rFonts w:ascii="Arial" w:hAnsi="Arial" w:cs="Arial"/>
          <w:b/>
          <w:sz w:val="24"/>
          <w:szCs w:val="24"/>
        </w:rPr>
      </w:pPr>
    </w:p>
    <w:p w14:paraId="34C0746E" w14:textId="77777777" w:rsidR="006E7C43" w:rsidRDefault="006E7C43" w:rsidP="002B2F3F">
      <w:pPr>
        <w:autoSpaceDE w:val="0"/>
        <w:autoSpaceDN w:val="0"/>
        <w:adjustRightInd w:val="0"/>
        <w:spacing w:after="240" w:line="240" w:lineRule="auto"/>
        <w:rPr>
          <w:rFonts w:ascii="Arial" w:hAnsi="Arial" w:cs="Arial"/>
          <w:b/>
          <w:sz w:val="24"/>
          <w:szCs w:val="24"/>
        </w:rPr>
      </w:pPr>
    </w:p>
    <w:p w14:paraId="563F796D" w14:textId="77777777" w:rsidR="005C5A16" w:rsidRDefault="005C5A16" w:rsidP="002B2F3F">
      <w:pPr>
        <w:autoSpaceDE w:val="0"/>
        <w:autoSpaceDN w:val="0"/>
        <w:adjustRightInd w:val="0"/>
        <w:spacing w:after="240" w:line="240" w:lineRule="auto"/>
        <w:rPr>
          <w:rFonts w:ascii="Arial" w:hAnsi="Arial" w:cs="Arial"/>
          <w:b/>
          <w:sz w:val="24"/>
          <w:szCs w:val="24"/>
        </w:rPr>
      </w:pPr>
    </w:p>
    <w:p w14:paraId="5C221FCA" w14:textId="77777777" w:rsidR="005C5A16" w:rsidRDefault="005C5A16" w:rsidP="002B2F3F">
      <w:pPr>
        <w:autoSpaceDE w:val="0"/>
        <w:autoSpaceDN w:val="0"/>
        <w:adjustRightInd w:val="0"/>
        <w:spacing w:after="240" w:line="240" w:lineRule="auto"/>
        <w:rPr>
          <w:rFonts w:ascii="Arial" w:hAnsi="Arial" w:cs="Arial"/>
          <w:b/>
          <w:sz w:val="24"/>
          <w:szCs w:val="24"/>
        </w:rPr>
      </w:pPr>
    </w:p>
    <w:p w14:paraId="242A7661" w14:textId="77777777" w:rsidR="005C5A16" w:rsidRDefault="005C5A16" w:rsidP="002B2F3F">
      <w:pPr>
        <w:autoSpaceDE w:val="0"/>
        <w:autoSpaceDN w:val="0"/>
        <w:adjustRightInd w:val="0"/>
        <w:spacing w:after="240" w:line="240" w:lineRule="auto"/>
        <w:rPr>
          <w:rFonts w:ascii="Arial" w:hAnsi="Arial" w:cs="Arial"/>
          <w:b/>
          <w:sz w:val="24"/>
          <w:szCs w:val="24"/>
        </w:rPr>
      </w:pPr>
    </w:p>
    <w:p w14:paraId="0C0C3398" w14:textId="77777777" w:rsidR="005C5A16" w:rsidRDefault="005C5A16" w:rsidP="002B2F3F">
      <w:pPr>
        <w:autoSpaceDE w:val="0"/>
        <w:autoSpaceDN w:val="0"/>
        <w:adjustRightInd w:val="0"/>
        <w:spacing w:after="240" w:line="240" w:lineRule="auto"/>
        <w:rPr>
          <w:rFonts w:ascii="Arial" w:hAnsi="Arial" w:cs="Arial"/>
          <w:b/>
          <w:sz w:val="24"/>
          <w:szCs w:val="24"/>
        </w:rPr>
      </w:pPr>
    </w:p>
    <w:p w14:paraId="4B240537" w14:textId="03A8BD96" w:rsidR="006C07DD" w:rsidRDefault="006C07DD" w:rsidP="007E6118">
      <w:pPr>
        <w:spacing w:after="0" w:line="240" w:lineRule="auto"/>
        <w:rPr>
          <w:rFonts w:ascii="Arial" w:hAnsi="Arial" w:cs="Arial"/>
          <w:b/>
          <w:i/>
          <w:sz w:val="24"/>
          <w:szCs w:val="24"/>
        </w:rPr>
      </w:pPr>
      <w:r w:rsidRPr="0088736E">
        <w:rPr>
          <w:rFonts w:ascii="Arial" w:hAnsi="Arial" w:cs="Arial"/>
          <w:b/>
          <w:i/>
          <w:sz w:val="24"/>
          <w:szCs w:val="24"/>
        </w:rPr>
        <w:lastRenderedPageBreak/>
        <w:t xml:space="preserve">Notes to the financial </w:t>
      </w:r>
      <w:r>
        <w:rPr>
          <w:rFonts w:ascii="Arial" w:hAnsi="Arial" w:cs="Arial"/>
          <w:b/>
          <w:i/>
          <w:sz w:val="24"/>
          <w:szCs w:val="24"/>
        </w:rPr>
        <w:t>statements</w:t>
      </w:r>
      <w:r w:rsidRPr="0088736E">
        <w:rPr>
          <w:rFonts w:ascii="Arial" w:hAnsi="Arial" w:cs="Arial"/>
          <w:b/>
          <w:i/>
          <w:sz w:val="24"/>
          <w:szCs w:val="24"/>
        </w:rPr>
        <w:t xml:space="preserve"> (continued)</w:t>
      </w:r>
    </w:p>
    <w:p w14:paraId="7B7DD697" w14:textId="77777777" w:rsidR="007E6118" w:rsidRDefault="007E6118" w:rsidP="007E6118">
      <w:pPr>
        <w:spacing w:after="0" w:line="240" w:lineRule="auto"/>
        <w:rPr>
          <w:rFonts w:ascii="Arial" w:hAnsi="Arial" w:cs="Arial"/>
          <w:b/>
          <w:i/>
          <w:sz w:val="24"/>
          <w:szCs w:val="24"/>
        </w:rPr>
      </w:pPr>
    </w:p>
    <w:p w14:paraId="6715BC7E" w14:textId="77777777" w:rsidR="006E7C43" w:rsidRPr="00022375" w:rsidRDefault="006E7C43" w:rsidP="007E6118">
      <w:pPr>
        <w:autoSpaceDE w:val="0"/>
        <w:autoSpaceDN w:val="0"/>
        <w:adjustRightInd w:val="0"/>
        <w:spacing w:after="0" w:line="240" w:lineRule="auto"/>
        <w:rPr>
          <w:rFonts w:ascii="Arial" w:hAnsi="Arial" w:cs="Arial"/>
          <w:b/>
          <w:sz w:val="24"/>
          <w:szCs w:val="24"/>
        </w:rPr>
      </w:pPr>
      <w:r w:rsidRPr="00022375">
        <w:rPr>
          <w:rFonts w:ascii="Arial" w:hAnsi="Arial" w:cs="Arial"/>
          <w:b/>
          <w:sz w:val="24"/>
          <w:szCs w:val="24"/>
        </w:rPr>
        <w:t>21. Taxation (continued)</w:t>
      </w:r>
    </w:p>
    <w:tbl>
      <w:tblPr>
        <w:tblW w:w="9020" w:type="dxa"/>
        <w:tblLook w:val="04A0" w:firstRow="1" w:lastRow="0" w:firstColumn="1" w:lastColumn="0" w:noHBand="0" w:noVBand="1"/>
      </w:tblPr>
      <w:tblGrid>
        <w:gridCol w:w="2594"/>
        <w:gridCol w:w="2246"/>
        <w:gridCol w:w="980"/>
        <w:gridCol w:w="1120"/>
        <w:gridCol w:w="960"/>
        <w:gridCol w:w="1120"/>
      </w:tblGrid>
      <w:tr w:rsidR="006E7C43" w:rsidRPr="00022375" w14:paraId="55F42B6F" w14:textId="77777777" w:rsidTr="006E7C43">
        <w:trPr>
          <w:trHeight w:val="300"/>
        </w:trPr>
        <w:tc>
          <w:tcPr>
            <w:tcW w:w="2594" w:type="dxa"/>
            <w:tcBorders>
              <w:top w:val="nil"/>
              <w:left w:val="nil"/>
              <w:bottom w:val="nil"/>
              <w:right w:val="nil"/>
            </w:tcBorders>
            <w:shd w:val="clear" w:color="auto" w:fill="auto"/>
            <w:noWrap/>
            <w:vAlign w:val="bottom"/>
            <w:hideMark/>
          </w:tcPr>
          <w:p w14:paraId="47ED0D9B" w14:textId="77777777" w:rsidR="006E7C43" w:rsidRPr="00161381" w:rsidRDefault="006E7C43" w:rsidP="006E7C43">
            <w:pPr>
              <w:spacing w:after="0" w:line="240" w:lineRule="auto"/>
              <w:rPr>
                <w:rFonts w:ascii="Arial" w:eastAsia="Times New Roman" w:hAnsi="Arial" w:cs="Arial"/>
                <w:color w:val="000000"/>
                <w:sz w:val="20"/>
                <w:szCs w:val="20"/>
                <w:lang w:eastAsia="en-GB"/>
              </w:rPr>
            </w:pPr>
            <w:r w:rsidRPr="00161381">
              <w:rPr>
                <w:rFonts w:ascii="Arial" w:eastAsia="Times New Roman" w:hAnsi="Arial" w:cs="Arial"/>
                <w:color w:val="000000"/>
                <w:sz w:val="20"/>
                <w:szCs w:val="20"/>
                <w:lang w:eastAsia="en-GB"/>
              </w:rPr>
              <w:t>Loss before taxation</w:t>
            </w:r>
          </w:p>
        </w:tc>
        <w:tc>
          <w:tcPr>
            <w:tcW w:w="2246" w:type="dxa"/>
            <w:tcBorders>
              <w:top w:val="nil"/>
              <w:left w:val="nil"/>
              <w:bottom w:val="nil"/>
              <w:right w:val="nil"/>
            </w:tcBorders>
            <w:shd w:val="clear" w:color="auto" w:fill="auto"/>
            <w:noWrap/>
            <w:vAlign w:val="bottom"/>
            <w:hideMark/>
          </w:tcPr>
          <w:p w14:paraId="6C2FD95C" w14:textId="77777777" w:rsidR="006E7C43" w:rsidRPr="00161381" w:rsidRDefault="006E7C43" w:rsidP="006E7C43">
            <w:pPr>
              <w:spacing w:after="0" w:line="240" w:lineRule="auto"/>
              <w:rPr>
                <w:rFonts w:ascii="Arial" w:eastAsia="Times New Roman" w:hAnsi="Arial" w:cs="Arial"/>
                <w:color w:val="000000"/>
                <w:sz w:val="20"/>
                <w:szCs w:val="20"/>
                <w:lang w:eastAsia="en-GB"/>
              </w:rPr>
            </w:pPr>
          </w:p>
        </w:tc>
        <w:tc>
          <w:tcPr>
            <w:tcW w:w="980" w:type="dxa"/>
            <w:tcBorders>
              <w:top w:val="nil"/>
              <w:left w:val="nil"/>
              <w:bottom w:val="nil"/>
              <w:right w:val="nil"/>
            </w:tcBorders>
            <w:shd w:val="clear" w:color="auto" w:fill="auto"/>
            <w:noWrap/>
            <w:vAlign w:val="bottom"/>
            <w:hideMark/>
          </w:tcPr>
          <w:p w14:paraId="02B28767" w14:textId="77777777" w:rsidR="006E7C43" w:rsidRPr="00161381" w:rsidRDefault="006E7C43" w:rsidP="006E7C43">
            <w:pPr>
              <w:spacing w:after="0" w:line="240" w:lineRule="auto"/>
              <w:rPr>
                <w:rFonts w:ascii="Arial" w:eastAsia="Times New Roman" w:hAnsi="Arial" w:cs="Arial"/>
                <w:sz w:val="20"/>
                <w:szCs w:val="20"/>
                <w:lang w:eastAsia="en-GB"/>
              </w:rPr>
            </w:pPr>
          </w:p>
        </w:tc>
        <w:tc>
          <w:tcPr>
            <w:tcW w:w="1120" w:type="dxa"/>
            <w:tcBorders>
              <w:top w:val="nil"/>
              <w:left w:val="nil"/>
              <w:bottom w:val="nil"/>
              <w:right w:val="nil"/>
            </w:tcBorders>
            <w:shd w:val="clear" w:color="auto" w:fill="auto"/>
            <w:noWrap/>
            <w:vAlign w:val="bottom"/>
            <w:hideMark/>
          </w:tcPr>
          <w:p w14:paraId="160119F7" w14:textId="77777777" w:rsidR="006E7C43" w:rsidRPr="00161381" w:rsidRDefault="006E7C43" w:rsidP="006E7C43">
            <w:pPr>
              <w:spacing w:after="0" w:line="240" w:lineRule="auto"/>
              <w:jc w:val="right"/>
              <w:rPr>
                <w:rFonts w:ascii="Arial" w:eastAsia="Times New Roman" w:hAnsi="Arial" w:cs="Arial"/>
                <w:b/>
                <w:bCs/>
                <w:color w:val="000000"/>
                <w:sz w:val="20"/>
                <w:szCs w:val="20"/>
                <w:lang w:eastAsia="en-GB"/>
              </w:rPr>
            </w:pPr>
            <w:r w:rsidRPr="00161381">
              <w:rPr>
                <w:rFonts w:ascii="Arial" w:eastAsia="Times New Roman" w:hAnsi="Arial" w:cs="Arial"/>
                <w:b/>
                <w:bCs/>
                <w:color w:val="000000"/>
                <w:sz w:val="20"/>
                <w:szCs w:val="20"/>
                <w:lang w:eastAsia="en-GB"/>
              </w:rPr>
              <w:t>(2,346)</w:t>
            </w:r>
          </w:p>
        </w:tc>
        <w:tc>
          <w:tcPr>
            <w:tcW w:w="960" w:type="dxa"/>
            <w:tcBorders>
              <w:top w:val="nil"/>
              <w:left w:val="nil"/>
              <w:bottom w:val="nil"/>
              <w:right w:val="nil"/>
            </w:tcBorders>
            <w:shd w:val="clear" w:color="auto" w:fill="auto"/>
            <w:noWrap/>
            <w:vAlign w:val="bottom"/>
            <w:hideMark/>
          </w:tcPr>
          <w:p w14:paraId="434DDE44" w14:textId="77777777" w:rsidR="006E7C43" w:rsidRPr="00161381" w:rsidRDefault="006E7C43" w:rsidP="006E7C43">
            <w:pPr>
              <w:spacing w:after="0" w:line="240" w:lineRule="auto"/>
              <w:jc w:val="right"/>
              <w:rPr>
                <w:rFonts w:ascii="Arial" w:eastAsia="Times New Roman" w:hAnsi="Arial" w:cs="Arial"/>
                <w:b/>
                <w:bCs/>
                <w:color w:val="000000"/>
                <w:sz w:val="20"/>
                <w:szCs w:val="20"/>
                <w:lang w:eastAsia="en-GB"/>
              </w:rPr>
            </w:pPr>
          </w:p>
        </w:tc>
        <w:tc>
          <w:tcPr>
            <w:tcW w:w="1120" w:type="dxa"/>
            <w:tcBorders>
              <w:top w:val="nil"/>
              <w:left w:val="nil"/>
              <w:bottom w:val="nil"/>
              <w:right w:val="nil"/>
            </w:tcBorders>
            <w:shd w:val="clear" w:color="auto" w:fill="auto"/>
            <w:noWrap/>
            <w:vAlign w:val="bottom"/>
            <w:hideMark/>
          </w:tcPr>
          <w:p w14:paraId="1D54B6C3" w14:textId="77777777" w:rsidR="006E7C43" w:rsidRPr="00161381" w:rsidRDefault="000307B6" w:rsidP="006E7C43">
            <w:pPr>
              <w:spacing w:after="0" w:line="240" w:lineRule="auto"/>
              <w:jc w:val="right"/>
              <w:rPr>
                <w:rFonts w:ascii="Arial" w:eastAsia="Times New Roman" w:hAnsi="Arial" w:cs="Arial"/>
                <w:color w:val="000000"/>
                <w:sz w:val="20"/>
                <w:szCs w:val="20"/>
                <w:lang w:eastAsia="en-GB"/>
              </w:rPr>
            </w:pPr>
            <w:r w:rsidRPr="00161381">
              <w:rPr>
                <w:rFonts w:ascii="Arial" w:eastAsia="Times New Roman" w:hAnsi="Arial" w:cs="Arial"/>
                <w:color w:val="000000"/>
                <w:sz w:val="20"/>
                <w:szCs w:val="20"/>
                <w:lang w:eastAsia="en-GB"/>
              </w:rPr>
              <w:t>681</w:t>
            </w:r>
          </w:p>
        </w:tc>
      </w:tr>
      <w:tr w:rsidR="006E7C43" w:rsidRPr="00022375" w14:paraId="70B4950F" w14:textId="77777777" w:rsidTr="006E7C43">
        <w:trPr>
          <w:trHeight w:val="300"/>
        </w:trPr>
        <w:tc>
          <w:tcPr>
            <w:tcW w:w="2594" w:type="dxa"/>
            <w:tcBorders>
              <w:top w:val="nil"/>
              <w:left w:val="nil"/>
              <w:bottom w:val="nil"/>
              <w:right w:val="nil"/>
            </w:tcBorders>
            <w:shd w:val="clear" w:color="auto" w:fill="auto"/>
            <w:noWrap/>
            <w:vAlign w:val="bottom"/>
            <w:hideMark/>
          </w:tcPr>
          <w:p w14:paraId="13331DF0" w14:textId="77777777" w:rsidR="006E7C43" w:rsidRPr="00161381" w:rsidRDefault="006E7C43" w:rsidP="006E7C43">
            <w:pPr>
              <w:spacing w:after="0" w:line="240" w:lineRule="auto"/>
              <w:jc w:val="right"/>
              <w:rPr>
                <w:rFonts w:ascii="Arial" w:eastAsia="Times New Roman" w:hAnsi="Arial" w:cs="Arial"/>
                <w:color w:val="000000"/>
                <w:sz w:val="20"/>
                <w:szCs w:val="20"/>
                <w:lang w:eastAsia="en-GB"/>
              </w:rPr>
            </w:pPr>
          </w:p>
        </w:tc>
        <w:tc>
          <w:tcPr>
            <w:tcW w:w="2246" w:type="dxa"/>
            <w:tcBorders>
              <w:top w:val="nil"/>
              <w:left w:val="nil"/>
              <w:bottom w:val="nil"/>
              <w:right w:val="nil"/>
            </w:tcBorders>
            <w:shd w:val="clear" w:color="auto" w:fill="auto"/>
            <w:noWrap/>
            <w:vAlign w:val="bottom"/>
            <w:hideMark/>
          </w:tcPr>
          <w:p w14:paraId="2B104725" w14:textId="77777777" w:rsidR="006E7C43" w:rsidRPr="00161381" w:rsidRDefault="006E7C43" w:rsidP="006E7C43">
            <w:pPr>
              <w:spacing w:after="0" w:line="240" w:lineRule="auto"/>
              <w:rPr>
                <w:rFonts w:ascii="Arial" w:eastAsia="Times New Roman" w:hAnsi="Arial" w:cs="Arial"/>
                <w:sz w:val="20"/>
                <w:szCs w:val="20"/>
                <w:lang w:eastAsia="en-GB"/>
              </w:rPr>
            </w:pPr>
          </w:p>
        </w:tc>
        <w:tc>
          <w:tcPr>
            <w:tcW w:w="980" w:type="dxa"/>
            <w:tcBorders>
              <w:top w:val="nil"/>
              <w:left w:val="nil"/>
              <w:bottom w:val="nil"/>
              <w:right w:val="nil"/>
            </w:tcBorders>
            <w:shd w:val="clear" w:color="auto" w:fill="auto"/>
            <w:noWrap/>
            <w:vAlign w:val="bottom"/>
            <w:hideMark/>
          </w:tcPr>
          <w:p w14:paraId="2A8630CE" w14:textId="77777777" w:rsidR="006E7C43" w:rsidRPr="00161381" w:rsidRDefault="006E7C43" w:rsidP="006E7C43">
            <w:pPr>
              <w:spacing w:after="0" w:line="240" w:lineRule="auto"/>
              <w:rPr>
                <w:rFonts w:ascii="Arial" w:eastAsia="Times New Roman" w:hAnsi="Arial" w:cs="Arial"/>
                <w:sz w:val="20"/>
                <w:szCs w:val="20"/>
                <w:lang w:eastAsia="en-GB"/>
              </w:rPr>
            </w:pPr>
          </w:p>
        </w:tc>
        <w:tc>
          <w:tcPr>
            <w:tcW w:w="1120" w:type="dxa"/>
            <w:tcBorders>
              <w:top w:val="nil"/>
              <w:left w:val="nil"/>
              <w:bottom w:val="nil"/>
              <w:right w:val="nil"/>
            </w:tcBorders>
            <w:shd w:val="clear" w:color="auto" w:fill="auto"/>
            <w:noWrap/>
            <w:vAlign w:val="bottom"/>
            <w:hideMark/>
          </w:tcPr>
          <w:p w14:paraId="790B2AEB" w14:textId="77777777" w:rsidR="006E7C43" w:rsidRPr="00161381" w:rsidRDefault="006E7C43" w:rsidP="006E7C43">
            <w:pPr>
              <w:spacing w:after="0" w:line="240" w:lineRule="auto"/>
              <w:rPr>
                <w:rFonts w:ascii="Arial" w:eastAsia="Times New Roman" w:hAnsi="Arial" w:cs="Arial"/>
                <w:sz w:val="20"/>
                <w:szCs w:val="20"/>
                <w:lang w:eastAsia="en-GB"/>
              </w:rPr>
            </w:pPr>
          </w:p>
        </w:tc>
        <w:tc>
          <w:tcPr>
            <w:tcW w:w="960" w:type="dxa"/>
            <w:tcBorders>
              <w:top w:val="nil"/>
              <w:left w:val="nil"/>
              <w:bottom w:val="nil"/>
              <w:right w:val="nil"/>
            </w:tcBorders>
            <w:shd w:val="clear" w:color="auto" w:fill="auto"/>
            <w:noWrap/>
            <w:vAlign w:val="bottom"/>
            <w:hideMark/>
          </w:tcPr>
          <w:p w14:paraId="3C7A82A4" w14:textId="77777777" w:rsidR="006E7C43" w:rsidRPr="00161381" w:rsidRDefault="006E7C43" w:rsidP="006E7C43">
            <w:pPr>
              <w:spacing w:after="0" w:line="240" w:lineRule="auto"/>
              <w:rPr>
                <w:rFonts w:ascii="Arial" w:eastAsia="Times New Roman" w:hAnsi="Arial" w:cs="Arial"/>
                <w:sz w:val="20"/>
                <w:szCs w:val="20"/>
                <w:lang w:eastAsia="en-GB"/>
              </w:rPr>
            </w:pPr>
          </w:p>
        </w:tc>
        <w:tc>
          <w:tcPr>
            <w:tcW w:w="1120" w:type="dxa"/>
            <w:tcBorders>
              <w:top w:val="nil"/>
              <w:left w:val="nil"/>
              <w:bottom w:val="nil"/>
              <w:right w:val="nil"/>
            </w:tcBorders>
            <w:shd w:val="clear" w:color="auto" w:fill="auto"/>
            <w:noWrap/>
            <w:vAlign w:val="bottom"/>
            <w:hideMark/>
          </w:tcPr>
          <w:p w14:paraId="42F29E6D" w14:textId="77777777" w:rsidR="006E7C43" w:rsidRPr="00161381" w:rsidRDefault="006E7C43" w:rsidP="006E7C43">
            <w:pPr>
              <w:spacing w:after="0" w:line="240" w:lineRule="auto"/>
              <w:rPr>
                <w:rFonts w:ascii="Arial" w:eastAsia="Times New Roman" w:hAnsi="Arial" w:cs="Arial"/>
                <w:sz w:val="20"/>
                <w:szCs w:val="20"/>
                <w:lang w:eastAsia="en-GB"/>
              </w:rPr>
            </w:pPr>
          </w:p>
        </w:tc>
      </w:tr>
      <w:tr w:rsidR="006E7C43" w:rsidRPr="00022375" w14:paraId="6DB58F6F" w14:textId="77777777" w:rsidTr="006E7C43">
        <w:trPr>
          <w:trHeight w:val="300"/>
        </w:trPr>
        <w:tc>
          <w:tcPr>
            <w:tcW w:w="5820" w:type="dxa"/>
            <w:gridSpan w:val="3"/>
            <w:tcBorders>
              <w:top w:val="nil"/>
              <w:left w:val="nil"/>
              <w:bottom w:val="nil"/>
              <w:right w:val="nil"/>
            </w:tcBorders>
            <w:shd w:val="clear" w:color="auto" w:fill="auto"/>
            <w:noWrap/>
            <w:vAlign w:val="bottom"/>
            <w:hideMark/>
          </w:tcPr>
          <w:p w14:paraId="5AC75C01" w14:textId="77777777" w:rsidR="006E7C43" w:rsidRPr="00161381" w:rsidRDefault="006E7C43" w:rsidP="006E7C43">
            <w:pPr>
              <w:spacing w:after="0" w:line="240" w:lineRule="auto"/>
              <w:rPr>
                <w:rFonts w:ascii="Arial" w:eastAsia="Times New Roman" w:hAnsi="Arial" w:cs="Arial"/>
                <w:color w:val="000000"/>
                <w:sz w:val="20"/>
                <w:szCs w:val="20"/>
                <w:lang w:eastAsia="en-GB"/>
              </w:rPr>
            </w:pPr>
            <w:r w:rsidRPr="00161381">
              <w:rPr>
                <w:rFonts w:ascii="Arial" w:eastAsia="Times New Roman" w:hAnsi="Arial" w:cs="Arial"/>
                <w:color w:val="000000"/>
                <w:sz w:val="20"/>
                <w:szCs w:val="20"/>
                <w:lang w:eastAsia="en-GB"/>
              </w:rPr>
              <w:t>Loss before tax multiplied by the UK Corporation Tax rate of 19%</w:t>
            </w:r>
          </w:p>
        </w:tc>
        <w:tc>
          <w:tcPr>
            <w:tcW w:w="1120" w:type="dxa"/>
            <w:tcBorders>
              <w:top w:val="nil"/>
              <w:left w:val="nil"/>
              <w:bottom w:val="nil"/>
              <w:right w:val="nil"/>
            </w:tcBorders>
            <w:shd w:val="clear" w:color="auto" w:fill="auto"/>
            <w:noWrap/>
            <w:vAlign w:val="bottom"/>
            <w:hideMark/>
          </w:tcPr>
          <w:p w14:paraId="2D21806F" w14:textId="77777777" w:rsidR="006E7C43" w:rsidRPr="00161381" w:rsidRDefault="006E7C43" w:rsidP="006E7C43">
            <w:pPr>
              <w:spacing w:after="0" w:line="240" w:lineRule="auto"/>
              <w:jc w:val="right"/>
              <w:rPr>
                <w:rFonts w:ascii="Arial" w:eastAsia="Times New Roman" w:hAnsi="Arial" w:cs="Arial"/>
                <w:b/>
                <w:bCs/>
                <w:color w:val="000000"/>
                <w:sz w:val="20"/>
                <w:szCs w:val="20"/>
                <w:lang w:eastAsia="en-GB"/>
              </w:rPr>
            </w:pPr>
            <w:r w:rsidRPr="00161381">
              <w:rPr>
                <w:rFonts w:ascii="Arial" w:eastAsia="Times New Roman" w:hAnsi="Arial" w:cs="Arial"/>
                <w:b/>
                <w:bCs/>
                <w:color w:val="000000"/>
                <w:sz w:val="20"/>
                <w:szCs w:val="20"/>
                <w:lang w:eastAsia="en-GB"/>
              </w:rPr>
              <w:t>(446)</w:t>
            </w:r>
          </w:p>
        </w:tc>
        <w:tc>
          <w:tcPr>
            <w:tcW w:w="960" w:type="dxa"/>
            <w:tcBorders>
              <w:top w:val="nil"/>
              <w:left w:val="nil"/>
              <w:bottom w:val="nil"/>
              <w:right w:val="nil"/>
            </w:tcBorders>
            <w:shd w:val="clear" w:color="auto" w:fill="auto"/>
            <w:noWrap/>
            <w:vAlign w:val="bottom"/>
            <w:hideMark/>
          </w:tcPr>
          <w:p w14:paraId="7948F5A4" w14:textId="77777777" w:rsidR="006E7C43" w:rsidRPr="00161381" w:rsidRDefault="006E7C43" w:rsidP="006E7C43">
            <w:pPr>
              <w:spacing w:after="0" w:line="240" w:lineRule="auto"/>
              <w:jc w:val="right"/>
              <w:rPr>
                <w:rFonts w:ascii="Arial" w:eastAsia="Times New Roman" w:hAnsi="Arial" w:cs="Arial"/>
                <w:b/>
                <w:bCs/>
                <w:color w:val="000000"/>
                <w:sz w:val="20"/>
                <w:szCs w:val="20"/>
                <w:lang w:eastAsia="en-GB"/>
              </w:rPr>
            </w:pPr>
          </w:p>
        </w:tc>
        <w:tc>
          <w:tcPr>
            <w:tcW w:w="1120" w:type="dxa"/>
            <w:tcBorders>
              <w:top w:val="nil"/>
              <w:left w:val="nil"/>
              <w:bottom w:val="nil"/>
              <w:right w:val="nil"/>
            </w:tcBorders>
            <w:shd w:val="clear" w:color="auto" w:fill="auto"/>
            <w:noWrap/>
            <w:vAlign w:val="bottom"/>
            <w:hideMark/>
          </w:tcPr>
          <w:p w14:paraId="7F04942D" w14:textId="77777777" w:rsidR="006E7C43" w:rsidRPr="00161381" w:rsidRDefault="000307B6" w:rsidP="006E7C43">
            <w:pPr>
              <w:spacing w:after="0" w:line="240" w:lineRule="auto"/>
              <w:jc w:val="right"/>
              <w:rPr>
                <w:rFonts w:ascii="Arial" w:eastAsia="Times New Roman" w:hAnsi="Arial" w:cs="Arial"/>
                <w:color w:val="000000"/>
                <w:sz w:val="20"/>
                <w:szCs w:val="20"/>
                <w:lang w:eastAsia="en-GB"/>
              </w:rPr>
            </w:pPr>
            <w:r w:rsidRPr="00161381">
              <w:rPr>
                <w:rFonts w:ascii="Arial" w:eastAsia="Times New Roman" w:hAnsi="Arial" w:cs="Arial"/>
                <w:color w:val="000000"/>
                <w:sz w:val="20"/>
                <w:szCs w:val="20"/>
                <w:lang w:eastAsia="en-GB"/>
              </w:rPr>
              <w:t>12</w:t>
            </w:r>
            <w:r w:rsidR="006E7C43" w:rsidRPr="00161381">
              <w:rPr>
                <w:rFonts w:ascii="Arial" w:eastAsia="Times New Roman" w:hAnsi="Arial" w:cs="Arial"/>
                <w:color w:val="000000"/>
                <w:sz w:val="20"/>
                <w:szCs w:val="20"/>
                <w:lang w:eastAsia="en-GB"/>
              </w:rPr>
              <w:t>9</w:t>
            </w:r>
          </w:p>
        </w:tc>
      </w:tr>
      <w:tr w:rsidR="006E7C43" w:rsidRPr="00022375" w14:paraId="0CD88CDC" w14:textId="77777777" w:rsidTr="006E7C43">
        <w:trPr>
          <w:trHeight w:val="300"/>
        </w:trPr>
        <w:tc>
          <w:tcPr>
            <w:tcW w:w="4840" w:type="dxa"/>
            <w:gridSpan w:val="2"/>
            <w:tcBorders>
              <w:top w:val="nil"/>
              <w:left w:val="nil"/>
              <w:bottom w:val="nil"/>
              <w:right w:val="nil"/>
            </w:tcBorders>
            <w:shd w:val="clear" w:color="auto" w:fill="auto"/>
            <w:noWrap/>
            <w:vAlign w:val="bottom"/>
            <w:hideMark/>
          </w:tcPr>
          <w:p w14:paraId="694C96B9" w14:textId="77777777" w:rsidR="006E7C43" w:rsidRPr="00161381" w:rsidRDefault="006E7C43" w:rsidP="006E7C43">
            <w:pPr>
              <w:spacing w:after="0" w:line="240" w:lineRule="auto"/>
              <w:rPr>
                <w:rFonts w:ascii="Arial" w:eastAsia="Times New Roman" w:hAnsi="Arial" w:cs="Arial"/>
                <w:color w:val="000000"/>
                <w:sz w:val="20"/>
                <w:szCs w:val="20"/>
                <w:lang w:eastAsia="en-GB"/>
              </w:rPr>
            </w:pPr>
            <w:r w:rsidRPr="00161381">
              <w:rPr>
                <w:rFonts w:ascii="Arial" w:eastAsia="Times New Roman" w:hAnsi="Arial" w:cs="Arial"/>
                <w:color w:val="000000"/>
                <w:sz w:val="20"/>
                <w:szCs w:val="20"/>
                <w:lang w:eastAsia="en-GB"/>
              </w:rPr>
              <w:t>Expenses not deduct</w:t>
            </w:r>
            <w:r w:rsidR="006021ED">
              <w:rPr>
                <w:rFonts w:ascii="Arial" w:eastAsia="Times New Roman" w:hAnsi="Arial" w:cs="Arial"/>
                <w:color w:val="000000"/>
                <w:sz w:val="20"/>
                <w:szCs w:val="20"/>
                <w:lang w:eastAsia="en-GB"/>
              </w:rPr>
              <w:t>-</w:t>
            </w:r>
            <w:r w:rsidRPr="00161381">
              <w:rPr>
                <w:rFonts w:ascii="Arial" w:eastAsia="Times New Roman" w:hAnsi="Arial" w:cs="Arial"/>
                <w:color w:val="000000"/>
                <w:sz w:val="20"/>
                <w:szCs w:val="20"/>
                <w:lang w:eastAsia="en-GB"/>
              </w:rPr>
              <w:t>able for tax purposes</w:t>
            </w:r>
          </w:p>
        </w:tc>
        <w:tc>
          <w:tcPr>
            <w:tcW w:w="980" w:type="dxa"/>
            <w:tcBorders>
              <w:top w:val="nil"/>
              <w:left w:val="nil"/>
              <w:bottom w:val="nil"/>
              <w:right w:val="nil"/>
            </w:tcBorders>
            <w:shd w:val="clear" w:color="auto" w:fill="auto"/>
            <w:noWrap/>
            <w:vAlign w:val="bottom"/>
            <w:hideMark/>
          </w:tcPr>
          <w:p w14:paraId="3A3F2BB9" w14:textId="77777777" w:rsidR="006E7C43" w:rsidRPr="00161381" w:rsidRDefault="006E7C43" w:rsidP="006E7C43">
            <w:pPr>
              <w:spacing w:after="0" w:line="240" w:lineRule="auto"/>
              <w:rPr>
                <w:rFonts w:ascii="Arial" w:eastAsia="Times New Roman" w:hAnsi="Arial" w:cs="Arial"/>
                <w:color w:val="000000"/>
                <w:sz w:val="20"/>
                <w:szCs w:val="20"/>
                <w:lang w:eastAsia="en-GB"/>
              </w:rPr>
            </w:pPr>
          </w:p>
        </w:tc>
        <w:tc>
          <w:tcPr>
            <w:tcW w:w="1120" w:type="dxa"/>
            <w:tcBorders>
              <w:top w:val="nil"/>
              <w:left w:val="nil"/>
              <w:bottom w:val="nil"/>
              <w:right w:val="nil"/>
            </w:tcBorders>
            <w:shd w:val="clear" w:color="auto" w:fill="auto"/>
            <w:noWrap/>
            <w:vAlign w:val="bottom"/>
            <w:hideMark/>
          </w:tcPr>
          <w:p w14:paraId="247D1CFE" w14:textId="77777777" w:rsidR="006E7C43" w:rsidRPr="00161381" w:rsidRDefault="006E7C43" w:rsidP="006E7C43">
            <w:pPr>
              <w:spacing w:after="0" w:line="240" w:lineRule="auto"/>
              <w:jc w:val="right"/>
              <w:rPr>
                <w:rFonts w:ascii="Arial" w:eastAsia="Times New Roman" w:hAnsi="Arial" w:cs="Arial"/>
                <w:b/>
                <w:bCs/>
                <w:color w:val="000000"/>
                <w:sz w:val="20"/>
                <w:szCs w:val="20"/>
                <w:lang w:eastAsia="en-GB"/>
              </w:rPr>
            </w:pPr>
            <w:r w:rsidRPr="00161381">
              <w:rPr>
                <w:rFonts w:ascii="Arial" w:eastAsia="Times New Roman" w:hAnsi="Arial" w:cs="Arial"/>
                <w:b/>
                <w:bCs/>
                <w:color w:val="000000"/>
                <w:sz w:val="20"/>
                <w:szCs w:val="20"/>
                <w:lang w:eastAsia="en-GB"/>
              </w:rPr>
              <w:t>321</w:t>
            </w:r>
          </w:p>
        </w:tc>
        <w:tc>
          <w:tcPr>
            <w:tcW w:w="960" w:type="dxa"/>
            <w:tcBorders>
              <w:top w:val="nil"/>
              <w:left w:val="nil"/>
              <w:bottom w:val="nil"/>
              <w:right w:val="nil"/>
            </w:tcBorders>
            <w:shd w:val="clear" w:color="auto" w:fill="auto"/>
            <w:noWrap/>
            <w:vAlign w:val="bottom"/>
            <w:hideMark/>
          </w:tcPr>
          <w:p w14:paraId="6ECE0C5F" w14:textId="77777777" w:rsidR="006E7C43" w:rsidRPr="00161381" w:rsidRDefault="006E7C43" w:rsidP="006E7C43">
            <w:pPr>
              <w:spacing w:after="0" w:line="240" w:lineRule="auto"/>
              <w:jc w:val="right"/>
              <w:rPr>
                <w:rFonts w:ascii="Arial" w:eastAsia="Times New Roman" w:hAnsi="Arial" w:cs="Arial"/>
                <w:b/>
                <w:bCs/>
                <w:color w:val="000000"/>
                <w:sz w:val="20"/>
                <w:szCs w:val="20"/>
                <w:lang w:eastAsia="en-GB"/>
              </w:rPr>
            </w:pPr>
          </w:p>
        </w:tc>
        <w:tc>
          <w:tcPr>
            <w:tcW w:w="1120" w:type="dxa"/>
            <w:tcBorders>
              <w:top w:val="nil"/>
              <w:left w:val="nil"/>
              <w:bottom w:val="nil"/>
              <w:right w:val="nil"/>
            </w:tcBorders>
            <w:shd w:val="clear" w:color="auto" w:fill="auto"/>
            <w:noWrap/>
            <w:vAlign w:val="bottom"/>
            <w:hideMark/>
          </w:tcPr>
          <w:p w14:paraId="71BD7904" w14:textId="77777777" w:rsidR="006E7C43" w:rsidRPr="00161381" w:rsidRDefault="000307B6" w:rsidP="006E7C43">
            <w:pPr>
              <w:spacing w:after="0" w:line="240" w:lineRule="auto"/>
              <w:jc w:val="right"/>
              <w:rPr>
                <w:rFonts w:ascii="Arial" w:eastAsia="Times New Roman" w:hAnsi="Arial" w:cs="Arial"/>
                <w:color w:val="000000"/>
                <w:sz w:val="20"/>
                <w:szCs w:val="20"/>
                <w:lang w:eastAsia="en-GB"/>
              </w:rPr>
            </w:pPr>
            <w:r w:rsidRPr="00161381">
              <w:rPr>
                <w:rFonts w:ascii="Arial" w:eastAsia="Times New Roman" w:hAnsi="Arial" w:cs="Arial"/>
                <w:color w:val="000000"/>
                <w:sz w:val="20"/>
                <w:szCs w:val="20"/>
                <w:lang w:eastAsia="en-GB"/>
              </w:rPr>
              <w:t>264</w:t>
            </w:r>
          </w:p>
        </w:tc>
      </w:tr>
      <w:tr w:rsidR="006E7C43" w:rsidRPr="00022375" w14:paraId="1C9DB5DB" w14:textId="77777777" w:rsidTr="006E7C43">
        <w:trPr>
          <w:trHeight w:val="300"/>
        </w:trPr>
        <w:tc>
          <w:tcPr>
            <w:tcW w:w="4840" w:type="dxa"/>
            <w:gridSpan w:val="2"/>
            <w:tcBorders>
              <w:top w:val="nil"/>
              <w:left w:val="nil"/>
              <w:bottom w:val="nil"/>
              <w:right w:val="nil"/>
            </w:tcBorders>
            <w:shd w:val="clear" w:color="auto" w:fill="auto"/>
            <w:noWrap/>
            <w:vAlign w:val="bottom"/>
            <w:hideMark/>
          </w:tcPr>
          <w:p w14:paraId="6AA097E1" w14:textId="77777777" w:rsidR="006E7C43" w:rsidRPr="00161381" w:rsidRDefault="006E7C43" w:rsidP="006E7C43">
            <w:pPr>
              <w:spacing w:after="0" w:line="240" w:lineRule="auto"/>
              <w:rPr>
                <w:rFonts w:ascii="Arial" w:eastAsia="Times New Roman" w:hAnsi="Arial" w:cs="Arial"/>
                <w:color w:val="000000"/>
                <w:sz w:val="20"/>
                <w:szCs w:val="20"/>
                <w:lang w:eastAsia="en-GB"/>
              </w:rPr>
            </w:pPr>
            <w:r w:rsidRPr="00161381">
              <w:rPr>
                <w:rFonts w:ascii="Arial" w:eastAsia="Times New Roman" w:hAnsi="Arial" w:cs="Arial"/>
                <w:color w:val="000000"/>
                <w:sz w:val="20"/>
                <w:szCs w:val="20"/>
                <w:lang w:eastAsia="en-GB"/>
              </w:rPr>
              <w:t>Qualifying charitable donations</w:t>
            </w:r>
          </w:p>
        </w:tc>
        <w:tc>
          <w:tcPr>
            <w:tcW w:w="980" w:type="dxa"/>
            <w:tcBorders>
              <w:top w:val="nil"/>
              <w:left w:val="nil"/>
              <w:bottom w:val="nil"/>
              <w:right w:val="nil"/>
            </w:tcBorders>
            <w:shd w:val="clear" w:color="auto" w:fill="auto"/>
            <w:noWrap/>
            <w:vAlign w:val="bottom"/>
            <w:hideMark/>
          </w:tcPr>
          <w:p w14:paraId="2DEF8947" w14:textId="77777777" w:rsidR="006E7C43" w:rsidRPr="00161381" w:rsidRDefault="006E7C43" w:rsidP="006E7C43">
            <w:pPr>
              <w:spacing w:after="0" w:line="240" w:lineRule="auto"/>
              <w:rPr>
                <w:rFonts w:ascii="Arial" w:eastAsia="Times New Roman" w:hAnsi="Arial" w:cs="Arial"/>
                <w:color w:val="000000"/>
                <w:sz w:val="20"/>
                <w:szCs w:val="20"/>
                <w:lang w:eastAsia="en-GB"/>
              </w:rPr>
            </w:pPr>
          </w:p>
        </w:tc>
        <w:tc>
          <w:tcPr>
            <w:tcW w:w="1120" w:type="dxa"/>
            <w:tcBorders>
              <w:top w:val="nil"/>
              <w:left w:val="nil"/>
              <w:bottom w:val="nil"/>
              <w:right w:val="nil"/>
            </w:tcBorders>
            <w:shd w:val="clear" w:color="auto" w:fill="auto"/>
            <w:noWrap/>
            <w:vAlign w:val="bottom"/>
            <w:hideMark/>
          </w:tcPr>
          <w:p w14:paraId="597229E8" w14:textId="77777777" w:rsidR="006E7C43" w:rsidRPr="00161381" w:rsidRDefault="006E7C43" w:rsidP="006E7C43">
            <w:pPr>
              <w:spacing w:after="0" w:line="240" w:lineRule="auto"/>
              <w:jc w:val="right"/>
              <w:rPr>
                <w:rFonts w:ascii="Arial" w:eastAsia="Times New Roman" w:hAnsi="Arial" w:cs="Arial"/>
                <w:b/>
                <w:bCs/>
                <w:color w:val="000000"/>
                <w:sz w:val="20"/>
                <w:szCs w:val="20"/>
                <w:lang w:eastAsia="en-GB"/>
              </w:rPr>
            </w:pPr>
            <w:r w:rsidRPr="00161381">
              <w:rPr>
                <w:rFonts w:ascii="Arial" w:eastAsia="Times New Roman" w:hAnsi="Arial" w:cs="Arial"/>
                <w:b/>
                <w:bCs/>
                <w:color w:val="000000"/>
                <w:sz w:val="20"/>
                <w:szCs w:val="20"/>
                <w:lang w:eastAsia="en-GB"/>
              </w:rPr>
              <w:t>(76)</w:t>
            </w:r>
          </w:p>
        </w:tc>
        <w:tc>
          <w:tcPr>
            <w:tcW w:w="960" w:type="dxa"/>
            <w:tcBorders>
              <w:top w:val="nil"/>
              <w:left w:val="nil"/>
              <w:bottom w:val="nil"/>
              <w:right w:val="nil"/>
            </w:tcBorders>
            <w:shd w:val="clear" w:color="auto" w:fill="auto"/>
            <w:noWrap/>
            <w:vAlign w:val="bottom"/>
            <w:hideMark/>
          </w:tcPr>
          <w:p w14:paraId="0BBE7D34" w14:textId="77777777" w:rsidR="006E7C43" w:rsidRPr="00161381" w:rsidRDefault="006E7C43" w:rsidP="006E7C43">
            <w:pPr>
              <w:spacing w:after="0" w:line="240" w:lineRule="auto"/>
              <w:jc w:val="right"/>
              <w:rPr>
                <w:rFonts w:ascii="Arial" w:eastAsia="Times New Roman" w:hAnsi="Arial" w:cs="Arial"/>
                <w:b/>
                <w:bCs/>
                <w:color w:val="000000"/>
                <w:sz w:val="20"/>
                <w:szCs w:val="20"/>
                <w:lang w:eastAsia="en-GB"/>
              </w:rPr>
            </w:pPr>
          </w:p>
        </w:tc>
        <w:tc>
          <w:tcPr>
            <w:tcW w:w="1120" w:type="dxa"/>
            <w:tcBorders>
              <w:top w:val="nil"/>
              <w:left w:val="nil"/>
              <w:bottom w:val="nil"/>
              <w:right w:val="nil"/>
            </w:tcBorders>
            <w:shd w:val="clear" w:color="auto" w:fill="auto"/>
            <w:noWrap/>
            <w:vAlign w:val="bottom"/>
            <w:hideMark/>
          </w:tcPr>
          <w:p w14:paraId="25D5F827" w14:textId="77777777" w:rsidR="006E7C43" w:rsidRPr="00161381" w:rsidRDefault="006E7C43" w:rsidP="006E7C43">
            <w:pPr>
              <w:spacing w:after="0" w:line="240" w:lineRule="auto"/>
              <w:jc w:val="right"/>
              <w:rPr>
                <w:rFonts w:ascii="Arial" w:eastAsia="Times New Roman" w:hAnsi="Arial" w:cs="Arial"/>
                <w:color w:val="000000"/>
                <w:sz w:val="20"/>
                <w:szCs w:val="20"/>
                <w:lang w:eastAsia="en-GB"/>
              </w:rPr>
            </w:pPr>
            <w:r w:rsidRPr="00161381">
              <w:rPr>
                <w:rFonts w:ascii="Arial" w:eastAsia="Times New Roman" w:hAnsi="Arial" w:cs="Arial"/>
                <w:color w:val="000000"/>
                <w:sz w:val="20"/>
                <w:szCs w:val="20"/>
                <w:lang w:eastAsia="en-GB"/>
              </w:rPr>
              <w:t>(227)</w:t>
            </w:r>
          </w:p>
        </w:tc>
      </w:tr>
      <w:tr w:rsidR="006E7C43" w:rsidRPr="00022375" w14:paraId="57C28933" w14:textId="77777777" w:rsidTr="006E7C43">
        <w:trPr>
          <w:trHeight w:val="300"/>
        </w:trPr>
        <w:tc>
          <w:tcPr>
            <w:tcW w:w="2594" w:type="dxa"/>
            <w:tcBorders>
              <w:top w:val="nil"/>
              <w:left w:val="nil"/>
              <w:bottom w:val="nil"/>
              <w:right w:val="nil"/>
            </w:tcBorders>
            <w:shd w:val="clear" w:color="auto" w:fill="auto"/>
            <w:noWrap/>
            <w:vAlign w:val="bottom"/>
            <w:hideMark/>
          </w:tcPr>
          <w:p w14:paraId="6956432F" w14:textId="77777777" w:rsidR="006E7C43" w:rsidRPr="00161381" w:rsidRDefault="006E7C43" w:rsidP="006E7C43">
            <w:pPr>
              <w:spacing w:after="0" w:line="240" w:lineRule="auto"/>
              <w:rPr>
                <w:rFonts w:ascii="Arial" w:eastAsia="Times New Roman" w:hAnsi="Arial" w:cs="Arial"/>
                <w:color w:val="000000"/>
                <w:sz w:val="20"/>
                <w:szCs w:val="20"/>
                <w:lang w:eastAsia="en-GB"/>
              </w:rPr>
            </w:pPr>
            <w:r w:rsidRPr="00161381">
              <w:rPr>
                <w:rFonts w:ascii="Arial" w:eastAsia="Times New Roman" w:hAnsi="Arial" w:cs="Arial"/>
                <w:color w:val="000000"/>
                <w:sz w:val="20"/>
                <w:szCs w:val="20"/>
                <w:lang w:eastAsia="en-GB"/>
              </w:rPr>
              <w:t>Losses</w:t>
            </w:r>
          </w:p>
        </w:tc>
        <w:tc>
          <w:tcPr>
            <w:tcW w:w="2246" w:type="dxa"/>
            <w:tcBorders>
              <w:top w:val="nil"/>
              <w:left w:val="nil"/>
              <w:bottom w:val="nil"/>
              <w:right w:val="nil"/>
            </w:tcBorders>
            <w:shd w:val="clear" w:color="auto" w:fill="auto"/>
            <w:noWrap/>
            <w:vAlign w:val="bottom"/>
            <w:hideMark/>
          </w:tcPr>
          <w:p w14:paraId="2D5C5DDB" w14:textId="77777777" w:rsidR="006E7C43" w:rsidRPr="00161381" w:rsidRDefault="006E7C43" w:rsidP="006E7C43">
            <w:pPr>
              <w:spacing w:after="0" w:line="240" w:lineRule="auto"/>
              <w:rPr>
                <w:rFonts w:ascii="Arial" w:eastAsia="Times New Roman" w:hAnsi="Arial" w:cs="Arial"/>
                <w:color w:val="000000"/>
                <w:sz w:val="20"/>
                <w:szCs w:val="20"/>
                <w:lang w:eastAsia="en-GB"/>
              </w:rPr>
            </w:pPr>
          </w:p>
        </w:tc>
        <w:tc>
          <w:tcPr>
            <w:tcW w:w="980" w:type="dxa"/>
            <w:tcBorders>
              <w:top w:val="nil"/>
              <w:left w:val="nil"/>
              <w:bottom w:val="nil"/>
              <w:right w:val="nil"/>
            </w:tcBorders>
            <w:shd w:val="clear" w:color="auto" w:fill="auto"/>
            <w:noWrap/>
            <w:vAlign w:val="bottom"/>
            <w:hideMark/>
          </w:tcPr>
          <w:p w14:paraId="4B897718" w14:textId="77777777" w:rsidR="006E7C43" w:rsidRPr="00161381" w:rsidRDefault="006E7C43" w:rsidP="006E7C43">
            <w:pPr>
              <w:spacing w:after="0" w:line="240" w:lineRule="auto"/>
              <w:rPr>
                <w:rFonts w:ascii="Arial" w:eastAsia="Times New Roman" w:hAnsi="Arial" w:cs="Arial"/>
                <w:sz w:val="20"/>
                <w:szCs w:val="20"/>
                <w:lang w:eastAsia="en-GB"/>
              </w:rPr>
            </w:pPr>
          </w:p>
        </w:tc>
        <w:tc>
          <w:tcPr>
            <w:tcW w:w="1120" w:type="dxa"/>
            <w:tcBorders>
              <w:top w:val="nil"/>
              <w:left w:val="nil"/>
              <w:bottom w:val="nil"/>
              <w:right w:val="nil"/>
            </w:tcBorders>
            <w:shd w:val="clear" w:color="auto" w:fill="auto"/>
            <w:noWrap/>
            <w:vAlign w:val="bottom"/>
            <w:hideMark/>
          </w:tcPr>
          <w:p w14:paraId="73AABA11" w14:textId="77777777" w:rsidR="006E7C43" w:rsidRPr="00161381" w:rsidRDefault="006E7C43" w:rsidP="006E7C43">
            <w:pPr>
              <w:spacing w:after="0" w:line="240" w:lineRule="auto"/>
              <w:jc w:val="right"/>
              <w:rPr>
                <w:rFonts w:ascii="Arial" w:eastAsia="Times New Roman" w:hAnsi="Arial" w:cs="Arial"/>
                <w:b/>
                <w:bCs/>
                <w:color w:val="000000"/>
                <w:sz w:val="20"/>
                <w:szCs w:val="20"/>
                <w:lang w:eastAsia="en-GB"/>
              </w:rPr>
            </w:pPr>
            <w:r w:rsidRPr="00161381">
              <w:rPr>
                <w:rFonts w:ascii="Arial" w:eastAsia="Times New Roman" w:hAnsi="Arial" w:cs="Arial"/>
                <w:b/>
                <w:bCs/>
                <w:color w:val="000000"/>
                <w:sz w:val="20"/>
                <w:szCs w:val="20"/>
                <w:lang w:eastAsia="en-GB"/>
              </w:rPr>
              <w:t>(69)</w:t>
            </w:r>
          </w:p>
        </w:tc>
        <w:tc>
          <w:tcPr>
            <w:tcW w:w="960" w:type="dxa"/>
            <w:tcBorders>
              <w:top w:val="nil"/>
              <w:left w:val="nil"/>
              <w:bottom w:val="nil"/>
              <w:right w:val="nil"/>
            </w:tcBorders>
            <w:shd w:val="clear" w:color="auto" w:fill="auto"/>
            <w:noWrap/>
            <w:vAlign w:val="bottom"/>
            <w:hideMark/>
          </w:tcPr>
          <w:p w14:paraId="77B12305" w14:textId="77777777" w:rsidR="006E7C43" w:rsidRPr="00161381" w:rsidRDefault="006E7C43" w:rsidP="006E7C43">
            <w:pPr>
              <w:spacing w:after="0" w:line="240" w:lineRule="auto"/>
              <w:jc w:val="right"/>
              <w:rPr>
                <w:rFonts w:ascii="Arial" w:eastAsia="Times New Roman" w:hAnsi="Arial" w:cs="Arial"/>
                <w:b/>
                <w:bCs/>
                <w:color w:val="000000"/>
                <w:sz w:val="20"/>
                <w:szCs w:val="20"/>
                <w:lang w:eastAsia="en-GB"/>
              </w:rPr>
            </w:pPr>
          </w:p>
        </w:tc>
        <w:tc>
          <w:tcPr>
            <w:tcW w:w="1120" w:type="dxa"/>
            <w:tcBorders>
              <w:top w:val="nil"/>
              <w:left w:val="nil"/>
              <w:bottom w:val="nil"/>
              <w:right w:val="nil"/>
            </w:tcBorders>
            <w:shd w:val="clear" w:color="auto" w:fill="auto"/>
            <w:noWrap/>
            <w:vAlign w:val="bottom"/>
            <w:hideMark/>
          </w:tcPr>
          <w:p w14:paraId="619978F7" w14:textId="77777777" w:rsidR="006E7C43" w:rsidRPr="00161381" w:rsidRDefault="000307B6" w:rsidP="006E7C43">
            <w:pPr>
              <w:spacing w:after="0" w:line="240" w:lineRule="auto"/>
              <w:jc w:val="right"/>
              <w:rPr>
                <w:rFonts w:ascii="Arial" w:eastAsia="Times New Roman" w:hAnsi="Arial" w:cs="Arial"/>
                <w:color w:val="000000"/>
                <w:sz w:val="20"/>
                <w:szCs w:val="20"/>
                <w:lang w:eastAsia="en-GB"/>
              </w:rPr>
            </w:pPr>
            <w:r w:rsidRPr="00161381">
              <w:rPr>
                <w:rFonts w:ascii="Arial" w:eastAsia="Times New Roman" w:hAnsi="Arial" w:cs="Arial"/>
                <w:color w:val="000000"/>
                <w:sz w:val="20"/>
                <w:szCs w:val="20"/>
                <w:lang w:eastAsia="en-GB"/>
              </w:rPr>
              <w:t>712</w:t>
            </w:r>
          </w:p>
        </w:tc>
      </w:tr>
      <w:tr w:rsidR="006E7C43" w:rsidRPr="00022375" w14:paraId="7E9E7EA7" w14:textId="77777777" w:rsidTr="006E7C43">
        <w:trPr>
          <w:trHeight w:val="300"/>
        </w:trPr>
        <w:tc>
          <w:tcPr>
            <w:tcW w:w="5820" w:type="dxa"/>
            <w:gridSpan w:val="3"/>
            <w:tcBorders>
              <w:top w:val="nil"/>
              <w:left w:val="nil"/>
              <w:bottom w:val="nil"/>
              <w:right w:val="nil"/>
            </w:tcBorders>
            <w:shd w:val="clear" w:color="auto" w:fill="auto"/>
            <w:noWrap/>
            <w:vAlign w:val="bottom"/>
            <w:hideMark/>
          </w:tcPr>
          <w:p w14:paraId="5D1651D3" w14:textId="77777777" w:rsidR="006E7C43" w:rsidRPr="00161381" w:rsidRDefault="006E7C43" w:rsidP="006E7C43">
            <w:pPr>
              <w:spacing w:after="0" w:line="240" w:lineRule="auto"/>
              <w:rPr>
                <w:rFonts w:ascii="Arial" w:eastAsia="Times New Roman" w:hAnsi="Arial" w:cs="Arial"/>
                <w:color w:val="000000"/>
                <w:sz w:val="20"/>
                <w:szCs w:val="20"/>
                <w:lang w:eastAsia="en-GB"/>
              </w:rPr>
            </w:pPr>
            <w:r w:rsidRPr="00161381">
              <w:rPr>
                <w:rFonts w:ascii="Arial" w:eastAsia="Times New Roman" w:hAnsi="Arial" w:cs="Arial"/>
                <w:color w:val="000000"/>
                <w:sz w:val="20"/>
                <w:szCs w:val="20"/>
                <w:lang w:eastAsia="en-GB"/>
              </w:rPr>
              <w:t>Adjustments in respect of prior periods (current tax)</w:t>
            </w:r>
          </w:p>
        </w:tc>
        <w:tc>
          <w:tcPr>
            <w:tcW w:w="1120" w:type="dxa"/>
            <w:tcBorders>
              <w:top w:val="nil"/>
              <w:left w:val="nil"/>
              <w:bottom w:val="nil"/>
              <w:right w:val="nil"/>
            </w:tcBorders>
            <w:shd w:val="clear" w:color="auto" w:fill="auto"/>
            <w:noWrap/>
            <w:vAlign w:val="bottom"/>
            <w:hideMark/>
          </w:tcPr>
          <w:p w14:paraId="3C4E05DC" w14:textId="77777777" w:rsidR="006E7C43" w:rsidRPr="00522B75" w:rsidRDefault="006E7C43" w:rsidP="006E7C43">
            <w:pPr>
              <w:spacing w:after="0" w:line="240" w:lineRule="auto"/>
              <w:jc w:val="right"/>
              <w:rPr>
                <w:rFonts w:ascii="Arial" w:eastAsia="Times New Roman" w:hAnsi="Arial" w:cs="Arial"/>
                <w:b/>
                <w:bCs/>
                <w:color w:val="000000"/>
                <w:sz w:val="20"/>
                <w:szCs w:val="20"/>
                <w:lang w:eastAsia="en-GB"/>
              </w:rPr>
            </w:pPr>
            <w:r w:rsidRPr="00522B75">
              <w:rPr>
                <w:rFonts w:ascii="Arial" w:eastAsia="Times New Roman" w:hAnsi="Arial" w:cs="Arial"/>
                <w:b/>
                <w:bCs/>
                <w:color w:val="000000"/>
                <w:sz w:val="20"/>
                <w:szCs w:val="20"/>
                <w:lang w:eastAsia="en-GB"/>
              </w:rPr>
              <w:t>260</w:t>
            </w:r>
          </w:p>
        </w:tc>
        <w:tc>
          <w:tcPr>
            <w:tcW w:w="960" w:type="dxa"/>
            <w:tcBorders>
              <w:top w:val="nil"/>
              <w:left w:val="nil"/>
              <w:bottom w:val="nil"/>
              <w:right w:val="nil"/>
            </w:tcBorders>
            <w:shd w:val="clear" w:color="auto" w:fill="auto"/>
            <w:noWrap/>
            <w:vAlign w:val="bottom"/>
            <w:hideMark/>
          </w:tcPr>
          <w:p w14:paraId="1843AC94" w14:textId="77777777" w:rsidR="006E7C43" w:rsidRPr="00522B75" w:rsidRDefault="006E7C43" w:rsidP="006E7C43">
            <w:pPr>
              <w:spacing w:after="0" w:line="240" w:lineRule="auto"/>
              <w:jc w:val="right"/>
              <w:rPr>
                <w:rFonts w:ascii="Arial" w:eastAsia="Times New Roman" w:hAnsi="Arial" w:cs="Arial"/>
                <w:b/>
                <w:bCs/>
                <w:color w:val="000000"/>
                <w:sz w:val="20"/>
                <w:szCs w:val="20"/>
                <w:lang w:eastAsia="en-GB"/>
              </w:rPr>
            </w:pPr>
          </w:p>
        </w:tc>
        <w:tc>
          <w:tcPr>
            <w:tcW w:w="1120" w:type="dxa"/>
            <w:tcBorders>
              <w:top w:val="nil"/>
              <w:left w:val="nil"/>
              <w:bottom w:val="nil"/>
              <w:right w:val="nil"/>
            </w:tcBorders>
            <w:shd w:val="clear" w:color="auto" w:fill="auto"/>
            <w:noWrap/>
            <w:vAlign w:val="bottom"/>
            <w:hideMark/>
          </w:tcPr>
          <w:p w14:paraId="77407391" w14:textId="77777777" w:rsidR="006E7C43" w:rsidRPr="00522B75" w:rsidRDefault="000307B6" w:rsidP="006E7C43">
            <w:pPr>
              <w:spacing w:after="0" w:line="240" w:lineRule="auto"/>
              <w:jc w:val="right"/>
              <w:rPr>
                <w:rFonts w:ascii="Arial" w:eastAsia="Times New Roman" w:hAnsi="Arial" w:cs="Arial"/>
                <w:color w:val="000000"/>
                <w:sz w:val="20"/>
                <w:szCs w:val="20"/>
                <w:lang w:eastAsia="en-GB"/>
              </w:rPr>
            </w:pPr>
            <w:r w:rsidRPr="00522B75">
              <w:rPr>
                <w:rFonts w:ascii="Arial" w:eastAsia="Times New Roman" w:hAnsi="Arial" w:cs="Arial"/>
                <w:color w:val="000000"/>
                <w:sz w:val="20"/>
                <w:szCs w:val="20"/>
                <w:lang w:eastAsia="en-GB"/>
              </w:rPr>
              <w:t>62</w:t>
            </w:r>
          </w:p>
        </w:tc>
      </w:tr>
      <w:tr w:rsidR="006E7C43" w:rsidRPr="00022375" w14:paraId="3F888188" w14:textId="77777777" w:rsidTr="006E7C43">
        <w:trPr>
          <w:trHeight w:val="300"/>
        </w:trPr>
        <w:tc>
          <w:tcPr>
            <w:tcW w:w="5820" w:type="dxa"/>
            <w:gridSpan w:val="3"/>
            <w:tcBorders>
              <w:top w:val="nil"/>
              <w:left w:val="nil"/>
              <w:bottom w:val="nil"/>
              <w:right w:val="nil"/>
            </w:tcBorders>
            <w:shd w:val="clear" w:color="auto" w:fill="auto"/>
            <w:noWrap/>
            <w:vAlign w:val="bottom"/>
            <w:hideMark/>
          </w:tcPr>
          <w:p w14:paraId="216DCBF9" w14:textId="77777777" w:rsidR="006E7C43" w:rsidRPr="00161381" w:rsidRDefault="006E7C43" w:rsidP="006E7C43">
            <w:pPr>
              <w:spacing w:after="0" w:line="240" w:lineRule="auto"/>
              <w:rPr>
                <w:rFonts w:ascii="Arial" w:eastAsia="Times New Roman" w:hAnsi="Arial" w:cs="Arial"/>
                <w:color w:val="000000"/>
                <w:sz w:val="20"/>
                <w:szCs w:val="20"/>
                <w:lang w:eastAsia="en-GB"/>
              </w:rPr>
            </w:pPr>
            <w:r w:rsidRPr="00161381">
              <w:rPr>
                <w:rFonts w:ascii="Arial" w:eastAsia="Times New Roman" w:hAnsi="Arial" w:cs="Arial"/>
                <w:color w:val="000000"/>
                <w:sz w:val="20"/>
                <w:szCs w:val="20"/>
                <w:lang w:eastAsia="en-GB"/>
              </w:rPr>
              <w:t>Adjustments in respect of prior periods (deferred tax)</w:t>
            </w:r>
          </w:p>
        </w:tc>
        <w:tc>
          <w:tcPr>
            <w:tcW w:w="1120" w:type="dxa"/>
            <w:tcBorders>
              <w:top w:val="nil"/>
              <w:left w:val="nil"/>
              <w:bottom w:val="nil"/>
              <w:right w:val="nil"/>
            </w:tcBorders>
            <w:shd w:val="clear" w:color="auto" w:fill="auto"/>
            <w:noWrap/>
            <w:vAlign w:val="bottom"/>
            <w:hideMark/>
          </w:tcPr>
          <w:p w14:paraId="0C36DA50" w14:textId="77777777" w:rsidR="006E7C43" w:rsidRPr="00161381" w:rsidRDefault="006E7C43" w:rsidP="006E7C43">
            <w:pPr>
              <w:spacing w:after="0" w:line="240" w:lineRule="auto"/>
              <w:jc w:val="right"/>
              <w:rPr>
                <w:rFonts w:ascii="Arial" w:eastAsia="Times New Roman" w:hAnsi="Arial" w:cs="Arial"/>
                <w:b/>
                <w:bCs/>
                <w:color w:val="000000"/>
                <w:sz w:val="20"/>
                <w:szCs w:val="20"/>
                <w:lang w:eastAsia="en-GB"/>
              </w:rPr>
            </w:pPr>
            <w:r w:rsidRPr="00161381">
              <w:rPr>
                <w:rFonts w:ascii="Arial" w:eastAsia="Times New Roman" w:hAnsi="Arial" w:cs="Arial"/>
                <w:b/>
                <w:bCs/>
                <w:color w:val="000000"/>
                <w:sz w:val="20"/>
                <w:szCs w:val="20"/>
                <w:lang w:eastAsia="en-GB"/>
              </w:rPr>
              <w:t>(808)</w:t>
            </w:r>
          </w:p>
        </w:tc>
        <w:tc>
          <w:tcPr>
            <w:tcW w:w="960" w:type="dxa"/>
            <w:tcBorders>
              <w:top w:val="nil"/>
              <w:left w:val="nil"/>
              <w:bottom w:val="nil"/>
              <w:right w:val="nil"/>
            </w:tcBorders>
            <w:shd w:val="clear" w:color="auto" w:fill="auto"/>
            <w:noWrap/>
            <w:vAlign w:val="bottom"/>
            <w:hideMark/>
          </w:tcPr>
          <w:p w14:paraId="2F61F426" w14:textId="77777777" w:rsidR="006E7C43" w:rsidRPr="00161381" w:rsidRDefault="006E7C43" w:rsidP="006E7C43">
            <w:pPr>
              <w:spacing w:after="0" w:line="240" w:lineRule="auto"/>
              <w:jc w:val="right"/>
              <w:rPr>
                <w:rFonts w:ascii="Arial" w:eastAsia="Times New Roman" w:hAnsi="Arial" w:cs="Arial"/>
                <w:b/>
                <w:bCs/>
                <w:color w:val="000000"/>
                <w:sz w:val="20"/>
                <w:szCs w:val="20"/>
                <w:lang w:eastAsia="en-GB"/>
              </w:rPr>
            </w:pPr>
          </w:p>
        </w:tc>
        <w:tc>
          <w:tcPr>
            <w:tcW w:w="1120" w:type="dxa"/>
            <w:tcBorders>
              <w:top w:val="nil"/>
              <w:left w:val="nil"/>
              <w:bottom w:val="nil"/>
              <w:right w:val="nil"/>
            </w:tcBorders>
            <w:shd w:val="clear" w:color="auto" w:fill="auto"/>
            <w:noWrap/>
            <w:vAlign w:val="bottom"/>
            <w:hideMark/>
          </w:tcPr>
          <w:p w14:paraId="5BE01B69" w14:textId="77777777" w:rsidR="006E7C43" w:rsidRPr="00161381" w:rsidRDefault="006E7C43" w:rsidP="006E7C43">
            <w:pPr>
              <w:spacing w:after="0" w:line="240" w:lineRule="auto"/>
              <w:jc w:val="right"/>
              <w:rPr>
                <w:rFonts w:ascii="Arial" w:eastAsia="Times New Roman" w:hAnsi="Arial" w:cs="Arial"/>
                <w:color w:val="000000"/>
                <w:sz w:val="20"/>
                <w:szCs w:val="20"/>
                <w:lang w:eastAsia="en-GB"/>
              </w:rPr>
            </w:pPr>
            <w:r w:rsidRPr="00161381">
              <w:rPr>
                <w:rFonts w:ascii="Arial" w:eastAsia="Times New Roman" w:hAnsi="Arial" w:cs="Arial"/>
                <w:color w:val="000000"/>
                <w:sz w:val="20"/>
                <w:szCs w:val="20"/>
                <w:lang w:eastAsia="en-GB"/>
              </w:rPr>
              <w:t>(88)</w:t>
            </w:r>
          </w:p>
        </w:tc>
      </w:tr>
      <w:tr w:rsidR="006E7C43" w:rsidRPr="00022375" w14:paraId="44E32464" w14:textId="77777777" w:rsidTr="006E7C43">
        <w:trPr>
          <w:trHeight w:val="300"/>
        </w:trPr>
        <w:tc>
          <w:tcPr>
            <w:tcW w:w="2594" w:type="dxa"/>
            <w:tcBorders>
              <w:top w:val="nil"/>
              <w:left w:val="nil"/>
              <w:bottom w:val="nil"/>
              <w:right w:val="nil"/>
            </w:tcBorders>
            <w:shd w:val="clear" w:color="auto" w:fill="auto"/>
            <w:noWrap/>
            <w:vAlign w:val="bottom"/>
            <w:hideMark/>
          </w:tcPr>
          <w:p w14:paraId="72DE17F1" w14:textId="77777777" w:rsidR="006E7C43" w:rsidRPr="00161381" w:rsidRDefault="006E7C43" w:rsidP="006E7C43">
            <w:pPr>
              <w:spacing w:after="0" w:line="240" w:lineRule="auto"/>
              <w:rPr>
                <w:rFonts w:ascii="Arial" w:eastAsia="Times New Roman" w:hAnsi="Arial" w:cs="Arial"/>
                <w:color w:val="000000"/>
                <w:sz w:val="20"/>
                <w:szCs w:val="20"/>
                <w:lang w:eastAsia="en-GB"/>
              </w:rPr>
            </w:pPr>
            <w:r w:rsidRPr="00161381">
              <w:rPr>
                <w:rFonts w:ascii="Arial" w:eastAsia="Times New Roman" w:hAnsi="Arial" w:cs="Arial"/>
                <w:color w:val="000000"/>
                <w:sz w:val="20"/>
                <w:szCs w:val="20"/>
                <w:lang w:eastAsia="en-GB"/>
              </w:rPr>
              <w:t>Other timing differences</w:t>
            </w:r>
          </w:p>
        </w:tc>
        <w:tc>
          <w:tcPr>
            <w:tcW w:w="2246" w:type="dxa"/>
            <w:tcBorders>
              <w:top w:val="nil"/>
              <w:left w:val="nil"/>
              <w:bottom w:val="nil"/>
              <w:right w:val="nil"/>
            </w:tcBorders>
            <w:shd w:val="clear" w:color="auto" w:fill="auto"/>
            <w:noWrap/>
            <w:vAlign w:val="bottom"/>
            <w:hideMark/>
          </w:tcPr>
          <w:p w14:paraId="4D497B13" w14:textId="77777777" w:rsidR="006E7C43" w:rsidRPr="00161381" w:rsidRDefault="006E7C43" w:rsidP="006E7C43">
            <w:pPr>
              <w:spacing w:after="0" w:line="240" w:lineRule="auto"/>
              <w:rPr>
                <w:rFonts w:ascii="Arial" w:eastAsia="Times New Roman" w:hAnsi="Arial" w:cs="Arial"/>
                <w:color w:val="000000"/>
                <w:sz w:val="20"/>
                <w:szCs w:val="20"/>
                <w:lang w:eastAsia="en-GB"/>
              </w:rPr>
            </w:pPr>
          </w:p>
        </w:tc>
        <w:tc>
          <w:tcPr>
            <w:tcW w:w="980" w:type="dxa"/>
            <w:tcBorders>
              <w:top w:val="nil"/>
              <w:left w:val="nil"/>
              <w:bottom w:val="nil"/>
              <w:right w:val="nil"/>
            </w:tcBorders>
            <w:shd w:val="clear" w:color="auto" w:fill="auto"/>
            <w:noWrap/>
            <w:vAlign w:val="bottom"/>
            <w:hideMark/>
          </w:tcPr>
          <w:p w14:paraId="170371EE" w14:textId="77777777" w:rsidR="006E7C43" w:rsidRPr="00161381" w:rsidRDefault="006E7C43" w:rsidP="006E7C43">
            <w:pPr>
              <w:spacing w:after="0" w:line="240" w:lineRule="auto"/>
              <w:rPr>
                <w:rFonts w:ascii="Arial" w:eastAsia="Times New Roman" w:hAnsi="Arial" w:cs="Arial"/>
                <w:sz w:val="20"/>
                <w:szCs w:val="20"/>
                <w:lang w:eastAsia="en-GB"/>
              </w:rPr>
            </w:pPr>
          </w:p>
        </w:tc>
        <w:tc>
          <w:tcPr>
            <w:tcW w:w="1120" w:type="dxa"/>
            <w:tcBorders>
              <w:top w:val="nil"/>
              <w:left w:val="nil"/>
              <w:bottom w:val="nil"/>
              <w:right w:val="nil"/>
            </w:tcBorders>
            <w:shd w:val="clear" w:color="auto" w:fill="auto"/>
            <w:noWrap/>
            <w:vAlign w:val="bottom"/>
            <w:hideMark/>
          </w:tcPr>
          <w:p w14:paraId="7A366BC2" w14:textId="77777777" w:rsidR="006E7C43" w:rsidRPr="006D78AE" w:rsidRDefault="00C47BA9" w:rsidP="006E7C43">
            <w:pPr>
              <w:spacing w:after="0" w:line="240" w:lineRule="auto"/>
              <w:jc w:val="right"/>
              <w:rPr>
                <w:rFonts w:ascii="Arial" w:eastAsia="Times New Roman" w:hAnsi="Arial" w:cs="Arial"/>
                <w:b/>
                <w:bCs/>
                <w:color w:val="000000"/>
                <w:sz w:val="20"/>
                <w:szCs w:val="20"/>
                <w:lang w:eastAsia="en-GB"/>
              </w:rPr>
            </w:pPr>
            <w:r w:rsidRPr="006D78AE">
              <w:rPr>
                <w:rFonts w:ascii="Arial" w:eastAsia="Times New Roman" w:hAnsi="Arial" w:cs="Arial"/>
                <w:b/>
                <w:bCs/>
                <w:color w:val="000000"/>
                <w:sz w:val="20"/>
                <w:szCs w:val="20"/>
                <w:lang w:eastAsia="en-GB"/>
              </w:rPr>
              <w:t>228</w:t>
            </w:r>
          </w:p>
        </w:tc>
        <w:tc>
          <w:tcPr>
            <w:tcW w:w="960" w:type="dxa"/>
            <w:tcBorders>
              <w:top w:val="nil"/>
              <w:left w:val="nil"/>
              <w:bottom w:val="nil"/>
              <w:right w:val="nil"/>
            </w:tcBorders>
            <w:shd w:val="clear" w:color="auto" w:fill="auto"/>
            <w:noWrap/>
            <w:vAlign w:val="bottom"/>
            <w:hideMark/>
          </w:tcPr>
          <w:p w14:paraId="14D0E971" w14:textId="77777777" w:rsidR="006E7C43" w:rsidRPr="006D78AE" w:rsidRDefault="006E7C43" w:rsidP="006E7C43">
            <w:pPr>
              <w:spacing w:after="0" w:line="240" w:lineRule="auto"/>
              <w:jc w:val="right"/>
              <w:rPr>
                <w:rFonts w:ascii="Arial" w:eastAsia="Times New Roman" w:hAnsi="Arial" w:cs="Arial"/>
                <w:b/>
                <w:bCs/>
                <w:color w:val="000000"/>
                <w:sz w:val="20"/>
                <w:szCs w:val="20"/>
                <w:lang w:eastAsia="en-GB"/>
              </w:rPr>
            </w:pPr>
          </w:p>
        </w:tc>
        <w:tc>
          <w:tcPr>
            <w:tcW w:w="1120" w:type="dxa"/>
            <w:tcBorders>
              <w:top w:val="nil"/>
              <w:left w:val="nil"/>
              <w:bottom w:val="nil"/>
              <w:right w:val="nil"/>
            </w:tcBorders>
            <w:shd w:val="clear" w:color="auto" w:fill="auto"/>
            <w:noWrap/>
            <w:vAlign w:val="bottom"/>
            <w:hideMark/>
          </w:tcPr>
          <w:p w14:paraId="2D98402F" w14:textId="77777777" w:rsidR="006E7C43" w:rsidRPr="006D78AE" w:rsidRDefault="00C47BA9" w:rsidP="006E7C43">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(24)</w:t>
            </w:r>
          </w:p>
        </w:tc>
      </w:tr>
      <w:tr w:rsidR="006E7C43" w:rsidRPr="00022375" w14:paraId="7A88B049" w14:textId="77777777" w:rsidTr="006E7C43">
        <w:trPr>
          <w:trHeight w:val="300"/>
        </w:trPr>
        <w:tc>
          <w:tcPr>
            <w:tcW w:w="2594" w:type="dxa"/>
            <w:tcBorders>
              <w:top w:val="nil"/>
              <w:left w:val="nil"/>
              <w:bottom w:val="nil"/>
              <w:right w:val="nil"/>
            </w:tcBorders>
            <w:shd w:val="clear" w:color="auto" w:fill="auto"/>
            <w:noWrap/>
            <w:vAlign w:val="bottom"/>
            <w:hideMark/>
          </w:tcPr>
          <w:p w14:paraId="58F7D795" w14:textId="77777777" w:rsidR="006E7C43" w:rsidRPr="00161381" w:rsidRDefault="006E7C43" w:rsidP="006E7C43">
            <w:pPr>
              <w:spacing w:after="0" w:line="240" w:lineRule="auto"/>
              <w:jc w:val="right"/>
              <w:rPr>
                <w:rFonts w:ascii="Arial" w:eastAsia="Times New Roman" w:hAnsi="Arial" w:cs="Arial"/>
                <w:color w:val="000000"/>
                <w:sz w:val="20"/>
                <w:szCs w:val="20"/>
                <w:lang w:eastAsia="en-GB"/>
              </w:rPr>
            </w:pPr>
          </w:p>
        </w:tc>
        <w:tc>
          <w:tcPr>
            <w:tcW w:w="2246" w:type="dxa"/>
            <w:tcBorders>
              <w:top w:val="nil"/>
              <w:left w:val="nil"/>
              <w:bottom w:val="nil"/>
              <w:right w:val="nil"/>
            </w:tcBorders>
            <w:shd w:val="clear" w:color="auto" w:fill="auto"/>
            <w:noWrap/>
            <w:vAlign w:val="bottom"/>
            <w:hideMark/>
          </w:tcPr>
          <w:p w14:paraId="3716655E" w14:textId="77777777" w:rsidR="006E7C43" w:rsidRPr="00161381" w:rsidRDefault="006E7C43" w:rsidP="006E7C43">
            <w:pPr>
              <w:spacing w:after="0" w:line="240" w:lineRule="auto"/>
              <w:rPr>
                <w:rFonts w:ascii="Arial" w:eastAsia="Times New Roman" w:hAnsi="Arial" w:cs="Arial"/>
                <w:sz w:val="20"/>
                <w:szCs w:val="20"/>
                <w:lang w:eastAsia="en-GB"/>
              </w:rPr>
            </w:pPr>
          </w:p>
        </w:tc>
        <w:tc>
          <w:tcPr>
            <w:tcW w:w="980" w:type="dxa"/>
            <w:tcBorders>
              <w:top w:val="nil"/>
              <w:left w:val="nil"/>
              <w:bottom w:val="nil"/>
              <w:right w:val="nil"/>
            </w:tcBorders>
            <w:shd w:val="clear" w:color="auto" w:fill="auto"/>
            <w:noWrap/>
            <w:vAlign w:val="bottom"/>
            <w:hideMark/>
          </w:tcPr>
          <w:p w14:paraId="713B92C0" w14:textId="77777777" w:rsidR="006E7C43" w:rsidRPr="00161381" w:rsidRDefault="006E7C43" w:rsidP="006E7C43">
            <w:pPr>
              <w:spacing w:after="0" w:line="240" w:lineRule="auto"/>
              <w:rPr>
                <w:rFonts w:ascii="Arial" w:eastAsia="Times New Roman" w:hAnsi="Arial" w:cs="Arial"/>
                <w:sz w:val="20"/>
                <w:szCs w:val="20"/>
                <w:lang w:eastAsia="en-GB"/>
              </w:rPr>
            </w:pPr>
          </w:p>
        </w:tc>
        <w:tc>
          <w:tcPr>
            <w:tcW w:w="1120" w:type="dxa"/>
            <w:tcBorders>
              <w:top w:val="nil"/>
              <w:left w:val="nil"/>
              <w:bottom w:val="nil"/>
              <w:right w:val="nil"/>
            </w:tcBorders>
            <w:shd w:val="clear" w:color="auto" w:fill="auto"/>
            <w:noWrap/>
            <w:vAlign w:val="bottom"/>
            <w:hideMark/>
          </w:tcPr>
          <w:p w14:paraId="1579B428" w14:textId="77777777" w:rsidR="006E7C43" w:rsidRPr="00161381" w:rsidRDefault="006E7C43" w:rsidP="006E7C43">
            <w:pPr>
              <w:spacing w:after="0" w:line="240" w:lineRule="auto"/>
              <w:rPr>
                <w:rFonts w:ascii="Arial" w:eastAsia="Times New Roman" w:hAnsi="Arial" w:cs="Arial"/>
                <w:sz w:val="20"/>
                <w:szCs w:val="20"/>
                <w:lang w:eastAsia="en-GB"/>
              </w:rPr>
            </w:pPr>
          </w:p>
        </w:tc>
        <w:tc>
          <w:tcPr>
            <w:tcW w:w="960" w:type="dxa"/>
            <w:tcBorders>
              <w:top w:val="nil"/>
              <w:left w:val="nil"/>
              <w:bottom w:val="nil"/>
              <w:right w:val="nil"/>
            </w:tcBorders>
            <w:shd w:val="clear" w:color="auto" w:fill="auto"/>
            <w:noWrap/>
            <w:vAlign w:val="bottom"/>
            <w:hideMark/>
          </w:tcPr>
          <w:p w14:paraId="7901254A" w14:textId="77777777" w:rsidR="006E7C43" w:rsidRPr="00161381" w:rsidRDefault="006E7C43" w:rsidP="006E7C43">
            <w:pPr>
              <w:spacing w:after="0" w:line="240" w:lineRule="auto"/>
              <w:rPr>
                <w:rFonts w:ascii="Arial" w:eastAsia="Times New Roman" w:hAnsi="Arial" w:cs="Arial"/>
                <w:sz w:val="20"/>
                <w:szCs w:val="20"/>
                <w:lang w:eastAsia="en-GB"/>
              </w:rPr>
            </w:pPr>
          </w:p>
        </w:tc>
        <w:tc>
          <w:tcPr>
            <w:tcW w:w="1120" w:type="dxa"/>
            <w:tcBorders>
              <w:top w:val="nil"/>
              <w:left w:val="nil"/>
              <w:bottom w:val="nil"/>
              <w:right w:val="nil"/>
            </w:tcBorders>
            <w:shd w:val="clear" w:color="auto" w:fill="auto"/>
            <w:noWrap/>
            <w:vAlign w:val="bottom"/>
            <w:hideMark/>
          </w:tcPr>
          <w:p w14:paraId="3C008204" w14:textId="77777777" w:rsidR="006E7C43" w:rsidRPr="00161381" w:rsidRDefault="006E7C43" w:rsidP="006E7C43">
            <w:pPr>
              <w:spacing w:after="0" w:line="240" w:lineRule="auto"/>
              <w:rPr>
                <w:rFonts w:ascii="Arial" w:eastAsia="Times New Roman" w:hAnsi="Arial" w:cs="Arial"/>
                <w:sz w:val="20"/>
                <w:szCs w:val="20"/>
                <w:lang w:eastAsia="en-GB"/>
              </w:rPr>
            </w:pPr>
          </w:p>
        </w:tc>
      </w:tr>
      <w:tr w:rsidR="006E7C43" w:rsidRPr="00022375" w14:paraId="0EF8B4B4" w14:textId="77777777" w:rsidTr="006E7C43">
        <w:trPr>
          <w:trHeight w:val="315"/>
        </w:trPr>
        <w:tc>
          <w:tcPr>
            <w:tcW w:w="2594" w:type="dxa"/>
            <w:tcBorders>
              <w:top w:val="nil"/>
              <w:left w:val="nil"/>
              <w:bottom w:val="nil"/>
              <w:right w:val="nil"/>
            </w:tcBorders>
            <w:shd w:val="clear" w:color="auto" w:fill="auto"/>
            <w:noWrap/>
            <w:vAlign w:val="bottom"/>
            <w:hideMark/>
          </w:tcPr>
          <w:p w14:paraId="68DFE2BE" w14:textId="77777777" w:rsidR="006E7C43" w:rsidRPr="00161381" w:rsidRDefault="006E7C43" w:rsidP="006E7C43">
            <w:pPr>
              <w:spacing w:after="0" w:line="240" w:lineRule="auto"/>
              <w:rPr>
                <w:rFonts w:ascii="Arial" w:eastAsia="Times New Roman" w:hAnsi="Arial" w:cs="Arial"/>
                <w:sz w:val="20"/>
                <w:szCs w:val="20"/>
                <w:lang w:eastAsia="en-GB"/>
              </w:rPr>
            </w:pPr>
          </w:p>
        </w:tc>
        <w:tc>
          <w:tcPr>
            <w:tcW w:w="2246" w:type="dxa"/>
            <w:tcBorders>
              <w:top w:val="nil"/>
              <w:left w:val="nil"/>
              <w:bottom w:val="nil"/>
              <w:right w:val="nil"/>
            </w:tcBorders>
            <w:shd w:val="clear" w:color="auto" w:fill="auto"/>
            <w:noWrap/>
            <w:vAlign w:val="bottom"/>
            <w:hideMark/>
          </w:tcPr>
          <w:p w14:paraId="700A8789" w14:textId="77777777" w:rsidR="006E7C43" w:rsidRPr="00161381" w:rsidRDefault="006E7C43" w:rsidP="006E7C43">
            <w:pPr>
              <w:spacing w:after="0" w:line="240" w:lineRule="auto"/>
              <w:rPr>
                <w:rFonts w:ascii="Arial" w:eastAsia="Times New Roman" w:hAnsi="Arial" w:cs="Arial"/>
                <w:sz w:val="20"/>
                <w:szCs w:val="20"/>
                <w:lang w:eastAsia="en-GB"/>
              </w:rPr>
            </w:pPr>
          </w:p>
        </w:tc>
        <w:tc>
          <w:tcPr>
            <w:tcW w:w="980" w:type="dxa"/>
            <w:tcBorders>
              <w:top w:val="nil"/>
              <w:left w:val="nil"/>
              <w:bottom w:val="nil"/>
              <w:right w:val="nil"/>
            </w:tcBorders>
            <w:shd w:val="clear" w:color="auto" w:fill="auto"/>
            <w:noWrap/>
            <w:vAlign w:val="bottom"/>
            <w:hideMark/>
          </w:tcPr>
          <w:p w14:paraId="5EFE7DEA" w14:textId="77777777" w:rsidR="006E7C43" w:rsidRPr="00161381" w:rsidRDefault="006E7C43" w:rsidP="006E7C43">
            <w:pPr>
              <w:spacing w:after="0" w:line="240" w:lineRule="auto"/>
              <w:rPr>
                <w:rFonts w:ascii="Arial" w:eastAsia="Times New Roman" w:hAnsi="Arial" w:cs="Arial"/>
                <w:sz w:val="20"/>
                <w:szCs w:val="20"/>
                <w:lang w:eastAsia="en-GB"/>
              </w:rPr>
            </w:pPr>
          </w:p>
        </w:tc>
        <w:tc>
          <w:tcPr>
            <w:tcW w:w="1120" w:type="dxa"/>
            <w:tcBorders>
              <w:top w:val="single" w:sz="4" w:space="0" w:color="auto"/>
              <w:left w:val="nil"/>
              <w:bottom w:val="double" w:sz="6" w:space="0" w:color="auto"/>
              <w:right w:val="nil"/>
            </w:tcBorders>
            <w:shd w:val="clear" w:color="auto" w:fill="auto"/>
            <w:noWrap/>
            <w:vAlign w:val="bottom"/>
            <w:hideMark/>
          </w:tcPr>
          <w:p w14:paraId="6431709E" w14:textId="77777777" w:rsidR="006E7C43" w:rsidRPr="00161381" w:rsidRDefault="006E7C43" w:rsidP="006E7C43">
            <w:pPr>
              <w:spacing w:after="0" w:line="240" w:lineRule="auto"/>
              <w:jc w:val="right"/>
              <w:rPr>
                <w:rFonts w:ascii="Arial" w:eastAsia="Times New Roman" w:hAnsi="Arial" w:cs="Arial"/>
                <w:b/>
                <w:bCs/>
                <w:color w:val="000000"/>
                <w:sz w:val="20"/>
                <w:szCs w:val="20"/>
                <w:lang w:eastAsia="en-GB"/>
              </w:rPr>
            </w:pPr>
            <w:r w:rsidRPr="00161381">
              <w:rPr>
                <w:rFonts w:ascii="Arial" w:eastAsia="Times New Roman" w:hAnsi="Arial" w:cs="Arial"/>
                <w:b/>
                <w:bCs/>
                <w:color w:val="000000"/>
                <w:sz w:val="20"/>
                <w:szCs w:val="20"/>
                <w:lang w:eastAsia="en-GB"/>
              </w:rPr>
              <w:t>(590)</w:t>
            </w:r>
          </w:p>
        </w:tc>
        <w:tc>
          <w:tcPr>
            <w:tcW w:w="960" w:type="dxa"/>
            <w:tcBorders>
              <w:top w:val="nil"/>
              <w:left w:val="nil"/>
              <w:bottom w:val="nil"/>
              <w:right w:val="nil"/>
            </w:tcBorders>
            <w:shd w:val="clear" w:color="auto" w:fill="auto"/>
            <w:noWrap/>
            <w:vAlign w:val="bottom"/>
            <w:hideMark/>
          </w:tcPr>
          <w:p w14:paraId="57BA4BD7" w14:textId="77777777" w:rsidR="006E7C43" w:rsidRPr="00161381" w:rsidRDefault="006E7C43" w:rsidP="006E7C43">
            <w:pPr>
              <w:spacing w:after="0" w:line="240" w:lineRule="auto"/>
              <w:jc w:val="right"/>
              <w:rPr>
                <w:rFonts w:ascii="Arial" w:eastAsia="Times New Roman" w:hAnsi="Arial" w:cs="Arial"/>
                <w:b/>
                <w:bCs/>
                <w:color w:val="000000"/>
                <w:sz w:val="20"/>
                <w:szCs w:val="20"/>
                <w:lang w:eastAsia="en-GB"/>
              </w:rPr>
            </w:pPr>
          </w:p>
        </w:tc>
        <w:tc>
          <w:tcPr>
            <w:tcW w:w="1120" w:type="dxa"/>
            <w:tcBorders>
              <w:top w:val="single" w:sz="4" w:space="0" w:color="auto"/>
              <w:left w:val="nil"/>
              <w:bottom w:val="double" w:sz="6" w:space="0" w:color="auto"/>
              <w:right w:val="nil"/>
            </w:tcBorders>
            <w:shd w:val="clear" w:color="auto" w:fill="auto"/>
            <w:noWrap/>
            <w:vAlign w:val="bottom"/>
            <w:hideMark/>
          </w:tcPr>
          <w:p w14:paraId="20FC6D45" w14:textId="77777777" w:rsidR="006E7C43" w:rsidRPr="00161381" w:rsidRDefault="000307B6" w:rsidP="006E7C43">
            <w:pPr>
              <w:spacing w:after="0" w:line="240" w:lineRule="auto"/>
              <w:jc w:val="right"/>
              <w:rPr>
                <w:rFonts w:ascii="Arial" w:eastAsia="Times New Roman" w:hAnsi="Arial" w:cs="Arial"/>
                <w:color w:val="000000"/>
                <w:sz w:val="20"/>
                <w:szCs w:val="20"/>
                <w:lang w:eastAsia="en-GB"/>
              </w:rPr>
            </w:pPr>
            <w:r w:rsidRPr="00161381">
              <w:rPr>
                <w:rFonts w:ascii="Arial" w:eastAsia="Times New Roman" w:hAnsi="Arial" w:cs="Arial"/>
                <w:color w:val="000000"/>
                <w:sz w:val="20"/>
                <w:szCs w:val="20"/>
                <w:lang w:eastAsia="en-GB"/>
              </w:rPr>
              <w:t>828</w:t>
            </w:r>
          </w:p>
        </w:tc>
      </w:tr>
    </w:tbl>
    <w:p w14:paraId="76391F8D" w14:textId="77777777" w:rsidR="006E7C43" w:rsidRPr="002B2F3F" w:rsidRDefault="006E7C43" w:rsidP="006E7C43">
      <w:pPr>
        <w:autoSpaceDE w:val="0"/>
        <w:autoSpaceDN w:val="0"/>
        <w:adjustRightInd w:val="0"/>
        <w:spacing w:after="240" w:line="240" w:lineRule="auto"/>
        <w:rPr>
          <w:rFonts w:ascii="Arial" w:hAnsi="Arial" w:cs="Arial"/>
          <w:b/>
          <w:sz w:val="24"/>
          <w:szCs w:val="24"/>
        </w:rPr>
      </w:pPr>
    </w:p>
    <w:p w14:paraId="087C4CFA" w14:textId="77777777" w:rsidR="00E70CD3" w:rsidRPr="002B2F3F" w:rsidRDefault="00E70CD3" w:rsidP="002B2F3F">
      <w:pPr>
        <w:autoSpaceDE w:val="0"/>
        <w:autoSpaceDN w:val="0"/>
        <w:adjustRightInd w:val="0"/>
        <w:spacing w:after="240" w:line="240" w:lineRule="auto"/>
        <w:rPr>
          <w:rFonts w:ascii="Arial" w:hAnsi="Arial" w:cs="Arial"/>
          <w:b/>
          <w:sz w:val="24"/>
          <w:szCs w:val="24"/>
        </w:rPr>
      </w:pPr>
      <w:r w:rsidRPr="002B2F3F">
        <w:rPr>
          <w:rFonts w:ascii="Arial" w:hAnsi="Arial" w:cs="Arial"/>
          <w:b/>
          <w:sz w:val="24"/>
          <w:szCs w:val="24"/>
        </w:rPr>
        <w:t>22. Financial commitments</w:t>
      </w:r>
    </w:p>
    <w:p w14:paraId="23A1C3E7" w14:textId="77777777" w:rsidR="00E70CD3" w:rsidRPr="002B2F3F" w:rsidRDefault="00E70CD3" w:rsidP="002B2F3F">
      <w:pPr>
        <w:autoSpaceDE w:val="0"/>
        <w:autoSpaceDN w:val="0"/>
        <w:adjustRightInd w:val="0"/>
        <w:spacing w:after="240" w:line="240" w:lineRule="auto"/>
        <w:rPr>
          <w:rFonts w:ascii="Arial" w:hAnsi="Arial" w:cs="Arial"/>
          <w:sz w:val="24"/>
          <w:szCs w:val="24"/>
        </w:rPr>
      </w:pPr>
      <w:r w:rsidRPr="002B2F3F">
        <w:rPr>
          <w:rFonts w:ascii="Arial" w:hAnsi="Arial" w:cs="Arial"/>
          <w:sz w:val="24"/>
          <w:szCs w:val="24"/>
        </w:rPr>
        <w:t xml:space="preserve">At 31 August </w:t>
      </w:r>
      <w:r w:rsidR="0037645F">
        <w:rPr>
          <w:rFonts w:ascii="Arial" w:hAnsi="Arial" w:cs="Arial"/>
          <w:sz w:val="24"/>
          <w:szCs w:val="24"/>
        </w:rPr>
        <w:t>2020</w:t>
      </w:r>
      <w:r w:rsidRPr="002B2F3F">
        <w:rPr>
          <w:rFonts w:ascii="Arial" w:hAnsi="Arial" w:cs="Arial"/>
          <w:sz w:val="24"/>
          <w:szCs w:val="24"/>
        </w:rPr>
        <w:t xml:space="preserve"> the group and company had annual commitments under non-cancellable operat</w:t>
      </w:r>
      <w:r w:rsidR="002B2F3F">
        <w:rPr>
          <w:rFonts w:ascii="Arial" w:hAnsi="Arial" w:cs="Arial"/>
          <w:sz w:val="24"/>
          <w:szCs w:val="24"/>
        </w:rPr>
        <w:t>ing leases expiring as follows:</w:t>
      </w:r>
    </w:p>
    <w:tbl>
      <w:tblPr>
        <w:tblW w:w="9945" w:type="dxa"/>
        <w:tblLook w:val="04A0" w:firstRow="1" w:lastRow="0" w:firstColumn="1" w:lastColumn="0" w:noHBand="0" w:noVBand="1"/>
      </w:tblPr>
      <w:tblGrid>
        <w:gridCol w:w="4395"/>
        <w:gridCol w:w="141"/>
        <w:gridCol w:w="761"/>
        <w:gridCol w:w="568"/>
        <w:gridCol w:w="592"/>
        <w:gridCol w:w="664"/>
        <w:gridCol w:w="592"/>
        <w:gridCol w:w="524"/>
        <w:gridCol w:w="592"/>
        <w:gridCol w:w="524"/>
        <w:gridCol w:w="592"/>
      </w:tblGrid>
      <w:tr w:rsidR="00C36CB2" w:rsidRPr="000E6A87" w14:paraId="0994DAF1" w14:textId="77777777" w:rsidTr="00314A3A">
        <w:trPr>
          <w:trHeight w:val="404"/>
        </w:trPr>
        <w:tc>
          <w:tcPr>
            <w:tcW w:w="5297" w:type="dxa"/>
            <w:gridSpan w:val="3"/>
            <w:tcBorders>
              <w:top w:val="nil"/>
              <w:left w:val="nil"/>
              <w:bottom w:val="nil"/>
              <w:right w:val="nil"/>
            </w:tcBorders>
            <w:shd w:val="clear" w:color="auto" w:fill="auto"/>
            <w:noWrap/>
            <w:vAlign w:val="center"/>
            <w:hideMark/>
          </w:tcPr>
          <w:p w14:paraId="0FE5276C" w14:textId="77777777" w:rsidR="00C36CB2" w:rsidRPr="000E6A87" w:rsidRDefault="00C36CB2" w:rsidP="00C36CB2">
            <w:pPr>
              <w:spacing w:after="0" w:line="240" w:lineRule="auto"/>
              <w:rPr>
                <w:rFonts w:ascii="Times New Roman" w:eastAsia="Times New Roman" w:hAnsi="Times New Roman" w:cs="Times New Roman"/>
                <w:sz w:val="24"/>
                <w:szCs w:val="24"/>
                <w:lang w:eastAsia="en-GB"/>
              </w:rPr>
            </w:pPr>
          </w:p>
        </w:tc>
        <w:tc>
          <w:tcPr>
            <w:tcW w:w="2416" w:type="dxa"/>
            <w:gridSpan w:val="4"/>
            <w:tcBorders>
              <w:top w:val="nil"/>
              <w:left w:val="nil"/>
              <w:bottom w:val="nil"/>
              <w:right w:val="nil"/>
            </w:tcBorders>
            <w:shd w:val="clear" w:color="auto" w:fill="auto"/>
            <w:noWrap/>
            <w:vAlign w:val="center"/>
            <w:hideMark/>
          </w:tcPr>
          <w:p w14:paraId="65261E0B" w14:textId="77777777" w:rsidR="00C36CB2" w:rsidRPr="000E6A87" w:rsidRDefault="00C36CB2" w:rsidP="00454D0E">
            <w:pPr>
              <w:spacing w:after="0" w:line="240" w:lineRule="auto"/>
              <w:jc w:val="center"/>
              <w:rPr>
                <w:rFonts w:ascii="Arial" w:eastAsia="Times New Roman" w:hAnsi="Arial" w:cs="Arial"/>
                <w:sz w:val="20"/>
                <w:szCs w:val="20"/>
                <w:lang w:eastAsia="en-GB"/>
              </w:rPr>
            </w:pPr>
            <w:r w:rsidRPr="000E6A87">
              <w:rPr>
                <w:rFonts w:ascii="Arial" w:eastAsia="Times New Roman" w:hAnsi="Arial" w:cs="Arial"/>
                <w:sz w:val="20"/>
                <w:szCs w:val="20"/>
                <w:lang w:eastAsia="en-GB"/>
              </w:rPr>
              <w:t>Property</w:t>
            </w:r>
          </w:p>
        </w:tc>
        <w:tc>
          <w:tcPr>
            <w:tcW w:w="2232" w:type="dxa"/>
            <w:gridSpan w:val="4"/>
            <w:tcBorders>
              <w:top w:val="nil"/>
              <w:left w:val="nil"/>
              <w:bottom w:val="nil"/>
              <w:right w:val="nil"/>
            </w:tcBorders>
            <w:shd w:val="clear" w:color="auto" w:fill="auto"/>
            <w:noWrap/>
            <w:vAlign w:val="center"/>
            <w:hideMark/>
          </w:tcPr>
          <w:p w14:paraId="025B749A" w14:textId="77777777" w:rsidR="00C36CB2" w:rsidRPr="000E6A87" w:rsidRDefault="00454D0E" w:rsidP="00314A3A">
            <w:pPr>
              <w:spacing w:after="0" w:line="240" w:lineRule="auto"/>
              <w:jc w:val="both"/>
              <w:rPr>
                <w:rFonts w:ascii="Arial" w:eastAsia="Times New Roman" w:hAnsi="Arial" w:cs="Arial"/>
                <w:sz w:val="20"/>
                <w:szCs w:val="20"/>
                <w:lang w:eastAsia="en-GB"/>
              </w:rPr>
            </w:pPr>
            <w:r>
              <w:rPr>
                <w:rFonts w:ascii="Arial" w:eastAsia="Times New Roman" w:hAnsi="Arial" w:cs="Arial"/>
                <w:sz w:val="20"/>
                <w:szCs w:val="20"/>
                <w:lang w:eastAsia="en-GB"/>
              </w:rPr>
              <w:t xml:space="preserve">      </w:t>
            </w:r>
            <w:r w:rsidR="00C36CB2" w:rsidRPr="000E6A87">
              <w:rPr>
                <w:rFonts w:ascii="Arial" w:eastAsia="Times New Roman" w:hAnsi="Arial" w:cs="Arial"/>
                <w:sz w:val="20"/>
                <w:szCs w:val="20"/>
                <w:lang w:eastAsia="en-GB"/>
              </w:rPr>
              <w:t>Other</w:t>
            </w:r>
          </w:p>
        </w:tc>
      </w:tr>
      <w:tr w:rsidR="00C36CB2" w:rsidRPr="000E6A87" w14:paraId="5F412440" w14:textId="77777777" w:rsidTr="00314A3A">
        <w:trPr>
          <w:gridAfter w:val="1"/>
          <w:wAfter w:w="592" w:type="dxa"/>
          <w:trHeight w:val="404"/>
        </w:trPr>
        <w:tc>
          <w:tcPr>
            <w:tcW w:w="4536" w:type="dxa"/>
            <w:gridSpan w:val="2"/>
            <w:tcBorders>
              <w:top w:val="nil"/>
              <w:left w:val="nil"/>
              <w:bottom w:val="nil"/>
              <w:right w:val="nil"/>
            </w:tcBorders>
            <w:shd w:val="clear" w:color="auto" w:fill="auto"/>
            <w:noWrap/>
            <w:vAlign w:val="center"/>
            <w:hideMark/>
          </w:tcPr>
          <w:p w14:paraId="2E9FFC5D" w14:textId="77777777" w:rsidR="00C36CB2" w:rsidRPr="000E6A87" w:rsidRDefault="00C36CB2" w:rsidP="00C36CB2">
            <w:pPr>
              <w:spacing w:after="0" w:line="240" w:lineRule="auto"/>
              <w:rPr>
                <w:rFonts w:ascii="Arial" w:eastAsia="Times New Roman" w:hAnsi="Arial" w:cs="Arial"/>
                <w:b/>
                <w:bCs/>
                <w:sz w:val="20"/>
                <w:szCs w:val="20"/>
                <w:lang w:eastAsia="en-GB"/>
              </w:rPr>
            </w:pPr>
            <w:r w:rsidRPr="000E6A87">
              <w:rPr>
                <w:rFonts w:ascii="Arial" w:eastAsia="Times New Roman" w:hAnsi="Arial" w:cs="Arial"/>
                <w:b/>
                <w:bCs/>
                <w:sz w:val="20"/>
                <w:szCs w:val="20"/>
                <w:lang w:eastAsia="en-GB"/>
              </w:rPr>
              <w:t>Group</w:t>
            </w:r>
          </w:p>
        </w:tc>
        <w:tc>
          <w:tcPr>
            <w:tcW w:w="1329" w:type="dxa"/>
            <w:gridSpan w:val="2"/>
            <w:tcBorders>
              <w:top w:val="nil"/>
              <w:left w:val="nil"/>
              <w:bottom w:val="nil"/>
              <w:right w:val="nil"/>
            </w:tcBorders>
            <w:shd w:val="clear" w:color="auto" w:fill="auto"/>
            <w:noWrap/>
            <w:vAlign w:val="center"/>
            <w:hideMark/>
          </w:tcPr>
          <w:p w14:paraId="4AA137B8" w14:textId="77777777" w:rsidR="00C36CB2" w:rsidRPr="000E6A87" w:rsidRDefault="0037645F" w:rsidP="005229F1">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2020</w:t>
            </w:r>
          </w:p>
        </w:tc>
        <w:tc>
          <w:tcPr>
            <w:tcW w:w="1256" w:type="dxa"/>
            <w:gridSpan w:val="2"/>
            <w:tcBorders>
              <w:top w:val="nil"/>
              <w:left w:val="nil"/>
              <w:bottom w:val="nil"/>
              <w:right w:val="nil"/>
            </w:tcBorders>
            <w:shd w:val="clear" w:color="auto" w:fill="auto"/>
            <w:noWrap/>
            <w:vAlign w:val="center"/>
            <w:hideMark/>
          </w:tcPr>
          <w:p w14:paraId="25E3646D" w14:textId="77777777" w:rsidR="00C36CB2" w:rsidRPr="000E6A87" w:rsidRDefault="0037645F" w:rsidP="005229F1">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2019</w:t>
            </w:r>
          </w:p>
        </w:tc>
        <w:tc>
          <w:tcPr>
            <w:tcW w:w="1116" w:type="dxa"/>
            <w:gridSpan w:val="2"/>
            <w:tcBorders>
              <w:top w:val="nil"/>
              <w:left w:val="nil"/>
              <w:bottom w:val="nil"/>
              <w:right w:val="nil"/>
            </w:tcBorders>
            <w:shd w:val="clear" w:color="auto" w:fill="auto"/>
            <w:noWrap/>
            <w:vAlign w:val="center"/>
            <w:hideMark/>
          </w:tcPr>
          <w:p w14:paraId="1F906BD6" w14:textId="77777777" w:rsidR="00C36CB2" w:rsidRPr="000E6A87" w:rsidRDefault="0037645F" w:rsidP="005229F1">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2020</w:t>
            </w:r>
          </w:p>
        </w:tc>
        <w:tc>
          <w:tcPr>
            <w:tcW w:w="1116" w:type="dxa"/>
            <w:gridSpan w:val="2"/>
            <w:tcBorders>
              <w:top w:val="nil"/>
              <w:left w:val="nil"/>
              <w:bottom w:val="nil"/>
              <w:right w:val="nil"/>
            </w:tcBorders>
            <w:shd w:val="clear" w:color="auto" w:fill="auto"/>
            <w:noWrap/>
            <w:vAlign w:val="center"/>
            <w:hideMark/>
          </w:tcPr>
          <w:p w14:paraId="0285BA1A" w14:textId="77777777" w:rsidR="00C36CB2" w:rsidRPr="000E6A87" w:rsidRDefault="0037645F" w:rsidP="005229F1">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2019</w:t>
            </w:r>
          </w:p>
        </w:tc>
      </w:tr>
      <w:tr w:rsidR="00C36CB2" w:rsidRPr="000E6A87" w14:paraId="715771D3" w14:textId="77777777" w:rsidTr="00314A3A">
        <w:trPr>
          <w:gridAfter w:val="1"/>
          <w:wAfter w:w="592" w:type="dxa"/>
          <w:trHeight w:val="404"/>
        </w:trPr>
        <w:tc>
          <w:tcPr>
            <w:tcW w:w="4536" w:type="dxa"/>
            <w:gridSpan w:val="2"/>
            <w:tcBorders>
              <w:top w:val="nil"/>
              <w:left w:val="nil"/>
              <w:bottom w:val="single" w:sz="4" w:space="0" w:color="auto"/>
              <w:right w:val="nil"/>
            </w:tcBorders>
            <w:shd w:val="clear" w:color="auto" w:fill="auto"/>
            <w:noWrap/>
            <w:vAlign w:val="center"/>
            <w:hideMark/>
          </w:tcPr>
          <w:p w14:paraId="61189CEB" w14:textId="77777777" w:rsidR="00C36CB2" w:rsidRPr="000E6A87" w:rsidRDefault="00C36CB2" w:rsidP="00C36CB2">
            <w:pPr>
              <w:spacing w:after="0" w:line="240" w:lineRule="auto"/>
              <w:rPr>
                <w:rFonts w:ascii="Arial" w:eastAsia="Times New Roman" w:hAnsi="Arial" w:cs="Arial"/>
                <w:sz w:val="20"/>
                <w:szCs w:val="20"/>
                <w:lang w:eastAsia="en-GB"/>
              </w:rPr>
            </w:pPr>
          </w:p>
        </w:tc>
        <w:tc>
          <w:tcPr>
            <w:tcW w:w="1329" w:type="dxa"/>
            <w:gridSpan w:val="2"/>
            <w:tcBorders>
              <w:top w:val="nil"/>
              <w:left w:val="nil"/>
              <w:bottom w:val="single" w:sz="4" w:space="0" w:color="auto"/>
              <w:right w:val="nil"/>
            </w:tcBorders>
            <w:shd w:val="clear" w:color="auto" w:fill="auto"/>
            <w:noWrap/>
            <w:vAlign w:val="center"/>
            <w:hideMark/>
          </w:tcPr>
          <w:p w14:paraId="0848C2E9" w14:textId="77777777" w:rsidR="00C36CB2" w:rsidRPr="000E6A87" w:rsidRDefault="00C36CB2" w:rsidP="005229F1">
            <w:pPr>
              <w:spacing w:after="0" w:line="240" w:lineRule="auto"/>
              <w:jc w:val="right"/>
              <w:rPr>
                <w:rFonts w:ascii="Arial" w:eastAsia="Times New Roman" w:hAnsi="Arial" w:cs="Arial"/>
                <w:b/>
                <w:bCs/>
                <w:sz w:val="20"/>
                <w:szCs w:val="20"/>
                <w:lang w:eastAsia="en-GB"/>
              </w:rPr>
            </w:pPr>
            <w:r w:rsidRPr="000E6A87">
              <w:rPr>
                <w:rFonts w:ascii="Arial" w:eastAsia="Times New Roman" w:hAnsi="Arial" w:cs="Arial"/>
                <w:b/>
                <w:bCs/>
                <w:sz w:val="20"/>
                <w:szCs w:val="20"/>
                <w:lang w:eastAsia="en-GB"/>
              </w:rPr>
              <w:t>£'000</w:t>
            </w:r>
          </w:p>
        </w:tc>
        <w:tc>
          <w:tcPr>
            <w:tcW w:w="1256" w:type="dxa"/>
            <w:gridSpan w:val="2"/>
            <w:tcBorders>
              <w:top w:val="nil"/>
              <w:left w:val="nil"/>
              <w:bottom w:val="single" w:sz="4" w:space="0" w:color="auto"/>
              <w:right w:val="nil"/>
            </w:tcBorders>
            <w:shd w:val="clear" w:color="auto" w:fill="auto"/>
            <w:noWrap/>
            <w:vAlign w:val="center"/>
            <w:hideMark/>
          </w:tcPr>
          <w:p w14:paraId="6A6A0875" w14:textId="77777777" w:rsidR="00C36CB2" w:rsidRPr="000E6A87" w:rsidRDefault="00C36CB2" w:rsidP="005229F1">
            <w:pPr>
              <w:spacing w:after="0" w:line="240" w:lineRule="auto"/>
              <w:jc w:val="right"/>
              <w:rPr>
                <w:rFonts w:ascii="Arial" w:eastAsia="Times New Roman" w:hAnsi="Arial" w:cs="Arial"/>
                <w:sz w:val="20"/>
                <w:szCs w:val="20"/>
                <w:lang w:eastAsia="en-GB"/>
              </w:rPr>
            </w:pPr>
            <w:r w:rsidRPr="000E6A87">
              <w:rPr>
                <w:rFonts w:ascii="Arial" w:eastAsia="Times New Roman" w:hAnsi="Arial" w:cs="Arial"/>
                <w:sz w:val="20"/>
                <w:szCs w:val="20"/>
                <w:lang w:eastAsia="en-GB"/>
              </w:rPr>
              <w:t>£'000</w:t>
            </w:r>
          </w:p>
        </w:tc>
        <w:tc>
          <w:tcPr>
            <w:tcW w:w="1116" w:type="dxa"/>
            <w:gridSpan w:val="2"/>
            <w:tcBorders>
              <w:top w:val="nil"/>
              <w:left w:val="nil"/>
              <w:bottom w:val="single" w:sz="4" w:space="0" w:color="auto"/>
              <w:right w:val="nil"/>
            </w:tcBorders>
            <w:shd w:val="clear" w:color="auto" w:fill="auto"/>
            <w:noWrap/>
            <w:vAlign w:val="center"/>
            <w:hideMark/>
          </w:tcPr>
          <w:p w14:paraId="00D369F8" w14:textId="77777777" w:rsidR="00C36CB2" w:rsidRPr="000E6A87" w:rsidRDefault="00C36CB2" w:rsidP="005229F1">
            <w:pPr>
              <w:spacing w:after="0" w:line="240" w:lineRule="auto"/>
              <w:jc w:val="right"/>
              <w:rPr>
                <w:rFonts w:ascii="Arial" w:eastAsia="Times New Roman" w:hAnsi="Arial" w:cs="Arial"/>
                <w:b/>
                <w:bCs/>
                <w:sz w:val="20"/>
                <w:szCs w:val="20"/>
                <w:lang w:eastAsia="en-GB"/>
              </w:rPr>
            </w:pPr>
            <w:r w:rsidRPr="000E6A87">
              <w:rPr>
                <w:rFonts w:ascii="Arial" w:eastAsia="Times New Roman" w:hAnsi="Arial" w:cs="Arial"/>
                <w:b/>
                <w:bCs/>
                <w:sz w:val="20"/>
                <w:szCs w:val="20"/>
                <w:lang w:eastAsia="en-GB"/>
              </w:rPr>
              <w:t>£'000</w:t>
            </w:r>
          </w:p>
        </w:tc>
        <w:tc>
          <w:tcPr>
            <w:tcW w:w="1116" w:type="dxa"/>
            <w:gridSpan w:val="2"/>
            <w:tcBorders>
              <w:top w:val="nil"/>
              <w:left w:val="nil"/>
              <w:bottom w:val="single" w:sz="4" w:space="0" w:color="auto"/>
              <w:right w:val="nil"/>
            </w:tcBorders>
            <w:shd w:val="clear" w:color="auto" w:fill="auto"/>
            <w:noWrap/>
            <w:vAlign w:val="center"/>
            <w:hideMark/>
          </w:tcPr>
          <w:p w14:paraId="4994ED11" w14:textId="77777777" w:rsidR="00C36CB2" w:rsidRPr="000E6A87" w:rsidRDefault="00C36CB2" w:rsidP="005229F1">
            <w:pPr>
              <w:spacing w:after="0" w:line="240" w:lineRule="auto"/>
              <w:jc w:val="right"/>
              <w:rPr>
                <w:rFonts w:ascii="Arial" w:eastAsia="Times New Roman" w:hAnsi="Arial" w:cs="Arial"/>
                <w:sz w:val="20"/>
                <w:szCs w:val="20"/>
                <w:lang w:eastAsia="en-GB"/>
              </w:rPr>
            </w:pPr>
            <w:r w:rsidRPr="000E6A87">
              <w:rPr>
                <w:rFonts w:ascii="Arial" w:eastAsia="Times New Roman" w:hAnsi="Arial" w:cs="Arial"/>
                <w:sz w:val="20"/>
                <w:szCs w:val="20"/>
                <w:lang w:eastAsia="en-GB"/>
              </w:rPr>
              <w:t>£'000</w:t>
            </w:r>
          </w:p>
        </w:tc>
      </w:tr>
      <w:tr w:rsidR="0039438F" w:rsidRPr="000E6A87" w14:paraId="0BB01C3D" w14:textId="77777777" w:rsidTr="00314A3A">
        <w:trPr>
          <w:gridAfter w:val="1"/>
          <w:wAfter w:w="592" w:type="dxa"/>
          <w:trHeight w:val="404"/>
        </w:trPr>
        <w:tc>
          <w:tcPr>
            <w:tcW w:w="4536" w:type="dxa"/>
            <w:gridSpan w:val="2"/>
            <w:tcBorders>
              <w:top w:val="nil"/>
              <w:left w:val="nil"/>
              <w:bottom w:val="nil"/>
              <w:right w:val="nil"/>
            </w:tcBorders>
            <w:shd w:val="clear" w:color="auto" w:fill="auto"/>
            <w:noWrap/>
            <w:vAlign w:val="center"/>
            <w:hideMark/>
          </w:tcPr>
          <w:p w14:paraId="42B6B05A" w14:textId="77777777" w:rsidR="0039438F" w:rsidRPr="000E6A87" w:rsidRDefault="0039438F" w:rsidP="0039438F">
            <w:pPr>
              <w:spacing w:after="0" w:line="240" w:lineRule="auto"/>
              <w:rPr>
                <w:rFonts w:ascii="Arial" w:eastAsia="Times New Roman" w:hAnsi="Arial" w:cs="Arial"/>
                <w:sz w:val="20"/>
                <w:szCs w:val="20"/>
                <w:lang w:eastAsia="en-GB"/>
              </w:rPr>
            </w:pPr>
            <w:r w:rsidRPr="000E6A87">
              <w:rPr>
                <w:rFonts w:ascii="Arial" w:eastAsia="Times New Roman" w:hAnsi="Arial" w:cs="Arial"/>
                <w:sz w:val="20"/>
                <w:szCs w:val="20"/>
                <w:lang w:eastAsia="en-GB"/>
              </w:rPr>
              <w:t>Within one year</w:t>
            </w:r>
          </w:p>
        </w:tc>
        <w:tc>
          <w:tcPr>
            <w:tcW w:w="1329" w:type="dxa"/>
            <w:gridSpan w:val="2"/>
            <w:tcBorders>
              <w:top w:val="nil"/>
              <w:left w:val="nil"/>
              <w:bottom w:val="nil"/>
              <w:right w:val="nil"/>
            </w:tcBorders>
            <w:shd w:val="clear" w:color="auto" w:fill="auto"/>
            <w:noWrap/>
            <w:vAlign w:val="center"/>
          </w:tcPr>
          <w:p w14:paraId="75983A8B" w14:textId="77777777" w:rsidR="0039438F" w:rsidRPr="000E6A87" w:rsidRDefault="00AB1199" w:rsidP="0039438F">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3,</w:t>
            </w:r>
            <w:r w:rsidR="00E37973">
              <w:rPr>
                <w:rFonts w:ascii="Arial" w:eastAsia="Times New Roman" w:hAnsi="Arial" w:cs="Arial"/>
                <w:b/>
                <w:bCs/>
                <w:sz w:val="20"/>
                <w:szCs w:val="20"/>
                <w:lang w:eastAsia="en-GB"/>
              </w:rPr>
              <w:t>116</w:t>
            </w:r>
          </w:p>
        </w:tc>
        <w:tc>
          <w:tcPr>
            <w:tcW w:w="1256" w:type="dxa"/>
            <w:gridSpan w:val="2"/>
            <w:tcBorders>
              <w:top w:val="nil"/>
              <w:left w:val="nil"/>
              <w:bottom w:val="nil"/>
              <w:right w:val="nil"/>
            </w:tcBorders>
            <w:shd w:val="clear" w:color="auto" w:fill="auto"/>
            <w:noWrap/>
            <w:vAlign w:val="center"/>
            <w:hideMark/>
          </w:tcPr>
          <w:p w14:paraId="6C0ADC22" w14:textId="77777777" w:rsidR="0039438F" w:rsidRPr="0039438F" w:rsidRDefault="0039438F" w:rsidP="0039438F">
            <w:pPr>
              <w:spacing w:after="0" w:line="240" w:lineRule="auto"/>
              <w:jc w:val="right"/>
              <w:rPr>
                <w:rFonts w:ascii="Arial" w:eastAsia="Times New Roman" w:hAnsi="Arial" w:cs="Arial"/>
                <w:sz w:val="20"/>
                <w:szCs w:val="20"/>
                <w:lang w:eastAsia="en-GB"/>
              </w:rPr>
            </w:pPr>
            <w:r w:rsidRPr="0039438F">
              <w:rPr>
                <w:rFonts w:ascii="Arial" w:eastAsia="Times New Roman" w:hAnsi="Arial" w:cs="Arial"/>
                <w:bCs/>
                <w:sz w:val="20"/>
                <w:szCs w:val="20"/>
                <w:lang w:eastAsia="en-GB"/>
              </w:rPr>
              <w:t>2,934</w:t>
            </w:r>
          </w:p>
        </w:tc>
        <w:tc>
          <w:tcPr>
            <w:tcW w:w="1116" w:type="dxa"/>
            <w:gridSpan w:val="2"/>
            <w:tcBorders>
              <w:top w:val="nil"/>
              <w:left w:val="nil"/>
              <w:bottom w:val="nil"/>
              <w:right w:val="nil"/>
            </w:tcBorders>
            <w:shd w:val="clear" w:color="auto" w:fill="auto"/>
            <w:noWrap/>
            <w:vAlign w:val="center"/>
          </w:tcPr>
          <w:p w14:paraId="77ABE515" w14:textId="77777777" w:rsidR="0039438F" w:rsidRPr="000E6A87" w:rsidRDefault="00E25CBD" w:rsidP="0039438F">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18</w:t>
            </w:r>
            <w:r w:rsidR="007C00D5">
              <w:rPr>
                <w:rFonts w:ascii="Arial" w:eastAsia="Times New Roman" w:hAnsi="Arial" w:cs="Arial"/>
                <w:b/>
                <w:bCs/>
                <w:sz w:val="20"/>
                <w:szCs w:val="20"/>
                <w:lang w:eastAsia="en-GB"/>
              </w:rPr>
              <w:t>8</w:t>
            </w:r>
          </w:p>
        </w:tc>
        <w:tc>
          <w:tcPr>
            <w:tcW w:w="1116" w:type="dxa"/>
            <w:gridSpan w:val="2"/>
            <w:tcBorders>
              <w:top w:val="nil"/>
              <w:left w:val="nil"/>
              <w:bottom w:val="nil"/>
              <w:right w:val="nil"/>
            </w:tcBorders>
            <w:shd w:val="clear" w:color="auto" w:fill="auto"/>
            <w:noWrap/>
            <w:vAlign w:val="center"/>
            <w:hideMark/>
          </w:tcPr>
          <w:p w14:paraId="188043A7" w14:textId="77777777" w:rsidR="0039438F" w:rsidRPr="0039438F" w:rsidRDefault="0039438F" w:rsidP="0039438F">
            <w:pPr>
              <w:spacing w:after="0" w:line="240" w:lineRule="auto"/>
              <w:jc w:val="right"/>
              <w:rPr>
                <w:rFonts w:ascii="Arial" w:eastAsia="Times New Roman" w:hAnsi="Arial" w:cs="Arial"/>
                <w:sz w:val="20"/>
                <w:szCs w:val="20"/>
                <w:lang w:eastAsia="en-GB"/>
              </w:rPr>
            </w:pPr>
            <w:r w:rsidRPr="0039438F">
              <w:rPr>
                <w:rFonts w:ascii="Arial" w:eastAsia="Times New Roman" w:hAnsi="Arial" w:cs="Arial"/>
                <w:bCs/>
                <w:sz w:val="20"/>
                <w:szCs w:val="20"/>
                <w:lang w:eastAsia="en-GB"/>
              </w:rPr>
              <w:t>180</w:t>
            </w:r>
          </w:p>
        </w:tc>
      </w:tr>
      <w:tr w:rsidR="0039438F" w:rsidRPr="000E6A87" w14:paraId="6D772BEB" w14:textId="77777777" w:rsidTr="00314A3A">
        <w:trPr>
          <w:gridAfter w:val="1"/>
          <w:wAfter w:w="592" w:type="dxa"/>
          <w:trHeight w:val="404"/>
        </w:trPr>
        <w:tc>
          <w:tcPr>
            <w:tcW w:w="4536" w:type="dxa"/>
            <w:gridSpan w:val="2"/>
            <w:tcBorders>
              <w:top w:val="nil"/>
              <w:left w:val="nil"/>
              <w:bottom w:val="nil"/>
              <w:right w:val="nil"/>
            </w:tcBorders>
            <w:shd w:val="clear" w:color="auto" w:fill="auto"/>
            <w:noWrap/>
            <w:vAlign w:val="center"/>
            <w:hideMark/>
          </w:tcPr>
          <w:p w14:paraId="7E37F6F8" w14:textId="77777777" w:rsidR="0039438F" w:rsidRPr="000E6A87" w:rsidRDefault="0039438F" w:rsidP="0039438F">
            <w:pPr>
              <w:spacing w:after="0" w:line="240" w:lineRule="auto"/>
              <w:rPr>
                <w:rFonts w:ascii="Arial" w:eastAsia="Times New Roman" w:hAnsi="Arial" w:cs="Arial"/>
                <w:sz w:val="20"/>
                <w:szCs w:val="20"/>
                <w:lang w:eastAsia="en-GB"/>
              </w:rPr>
            </w:pPr>
            <w:r w:rsidRPr="000E6A87">
              <w:rPr>
                <w:rFonts w:ascii="Arial" w:eastAsia="Times New Roman" w:hAnsi="Arial" w:cs="Arial"/>
                <w:sz w:val="20"/>
                <w:szCs w:val="20"/>
                <w:lang w:eastAsia="en-GB"/>
              </w:rPr>
              <w:t>Between one and five years</w:t>
            </w:r>
          </w:p>
        </w:tc>
        <w:tc>
          <w:tcPr>
            <w:tcW w:w="1329" w:type="dxa"/>
            <w:gridSpan w:val="2"/>
            <w:tcBorders>
              <w:top w:val="nil"/>
              <w:left w:val="nil"/>
              <w:bottom w:val="nil"/>
              <w:right w:val="nil"/>
            </w:tcBorders>
            <w:shd w:val="clear" w:color="auto" w:fill="auto"/>
            <w:noWrap/>
            <w:vAlign w:val="center"/>
          </w:tcPr>
          <w:p w14:paraId="440A8BBE" w14:textId="77777777" w:rsidR="0039438F" w:rsidRPr="000E6A87" w:rsidRDefault="00AB1199" w:rsidP="0039438F">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7,</w:t>
            </w:r>
            <w:r w:rsidR="00E37973">
              <w:rPr>
                <w:rFonts w:ascii="Arial" w:eastAsia="Times New Roman" w:hAnsi="Arial" w:cs="Arial"/>
                <w:b/>
                <w:bCs/>
                <w:sz w:val="20"/>
                <w:szCs w:val="20"/>
                <w:lang w:eastAsia="en-GB"/>
              </w:rPr>
              <w:t>263</w:t>
            </w:r>
          </w:p>
        </w:tc>
        <w:tc>
          <w:tcPr>
            <w:tcW w:w="1256" w:type="dxa"/>
            <w:gridSpan w:val="2"/>
            <w:tcBorders>
              <w:top w:val="nil"/>
              <w:left w:val="nil"/>
              <w:bottom w:val="nil"/>
              <w:right w:val="nil"/>
            </w:tcBorders>
            <w:shd w:val="clear" w:color="auto" w:fill="auto"/>
            <w:noWrap/>
            <w:vAlign w:val="center"/>
            <w:hideMark/>
          </w:tcPr>
          <w:p w14:paraId="639FD768" w14:textId="77777777" w:rsidR="0039438F" w:rsidRPr="0039438F" w:rsidRDefault="0039438F" w:rsidP="0039438F">
            <w:pPr>
              <w:spacing w:after="0" w:line="240" w:lineRule="auto"/>
              <w:jc w:val="right"/>
              <w:rPr>
                <w:rFonts w:ascii="Arial" w:eastAsia="Times New Roman" w:hAnsi="Arial" w:cs="Arial"/>
                <w:sz w:val="20"/>
                <w:szCs w:val="20"/>
                <w:lang w:eastAsia="en-GB"/>
              </w:rPr>
            </w:pPr>
            <w:r w:rsidRPr="0039438F">
              <w:rPr>
                <w:rFonts w:ascii="Arial" w:eastAsia="Times New Roman" w:hAnsi="Arial" w:cs="Arial"/>
                <w:bCs/>
                <w:sz w:val="20"/>
                <w:szCs w:val="20"/>
                <w:lang w:eastAsia="en-GB"/>
              </w:rPr>
              <w:t>4,511</w:t>
            </w:r>
          </w:p>
        </w:tc>
        <w:tc>
          <w:tcPr>
            <w:tcW w:w="1116" w:type="dxa"/>
            <w:gridSpan w:val="2"/>
            <w:tcBorders>
              <w:top w:val="nil"/>
              <w:left w:val="nil"/>
              <w:bottom w:val="nil"/>
              <w:right w:val="nil"/>
            </w:tcBorders>
            <w:shd w:val="clear" w:color="auto" w:fill="auto"/>
            <w:noWrap/>
            <w:vAlign w:val="center"/>
          </w:tcPr>
          <w:p w14:paraId="06179364" w14:textId="77777777" w:rsidR="0039438F" w:rsidRPr="000E6A87" w:rsidRDefault="00E25CBD" w:rsidP="0039438F">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79</w:t>
            </w:r>
          </w:p>
        </w:tc>
        <w:tc>
          <w:tcPr>
            <w:tcW w:w="1116" w:type="dxa"/>
            <w:gridSpan w:val="2"/>
            <w:tcBorders>
              <w:top w:val="nil"/>
              <w:left w:val="nil"/>
              <w:bottom w:val="nil"/>
              <w:right w:val="nil"/>
            </w:tcBorders>
            <w:shd w:val="clear" w:color="auto" w:fill="auto"/>
            <w:noWrap/>
            <w:vAlign w:val="center"/>
            <w:hideMark/>
          </w:tcPr>
          <w:p w14:paraId="517E184D" w14:textId="77777777" w:rsidR="0039438F" w:rsidRPr="0039438F" w:rsidRDefault="0039438F" w:rsidP="0039438F">
            <w:pPr>
              <w:spacing w:after="0" w:line="240" w:lineRule="auto"/>
              <w:jc w:val="right"/>
              <w:rPr>
                <w:rFonts w:ascii="Arial" w:eastAsia="Times New Roman" w:hAnsi="Arial" w:cs="Arial"/>
                <w:sz w:val="20"/>
                <w:szCs w:val="20"/>
                <w:lang w:eastAsia="en-GB"/>
              </w:rPr>
            </w:pPr>
            <w:r w:rsidRPr="0039438F">
              <w:rPr>
                <w:rFonts w:ascii="Arial" w:eastAsia="Times New Roman" w:hAnsi="Arial" w:cs="Arial"/>
                <w:bCs/>
                <w:sz w:val="20"/>
                <w:szCs w:val="20"/>
                <w:lang w:eastAsia="en-GB"/>
              </w:rPr>
              <w:t>79</w:t>
            </w:r>
          </w:p>
        </w:tc>
      </w:tr>
      <w:tr w:rsidR="0039438F" w:rsidRPr="000E6A87" w14:paraId="3B2ED802" w14:textId="77777777" w:rsidTr="00314A3A">
        <w:trPr>
          <w:gridAfter w:val="1"/>
          <w:wAfter w:w="592" w:type="dxa"/>
          <w:trHeight w:val="404"/>
        </w:trPr>
        <w:tc>
          <w:tcPr>
            <w:tcW w:w="4536" w:type="dxa"/>
            <w:gridSpan w:val="2"/>
            <w:tcBorders>
              <w:top w:val="nil"/>
              <w:left w:val="nil"/>
              <w:bottom w:val="nil"/>
              <w:right w:val="nil"/>
            </w:tcBorders>
            <w:shd w:val="clear" w:color="auto" w:fill="auto"/>
            <w:noWrap/>
            <w:vAlign w:val="center"/>
            <w:hideMark/>
          </w:tcPr>
          <w:p w14:paraId="0FDCD06F" w14:textId="77777777" w:rsidR="0039438F" w:rsidRPr="000E6A87" w:rsidRDefault="0039438F" w:rsidP="0039438F">
            <w:pPr>
              <w:spacing w:after="0" w:line="240" w:lineRule="auto"/>
              <w:rPr>
                <w:rFonts w:ascii="Arial" w:eastAsia="Times New Roman" w:hAnsi="Arial" w:cs="Arial"/>
                <w:sz w:val="20"/>
                <w:szCs w:val="20"/>
                <w:lang w:eastAsia="en-GB"/>
              </w:rPr>
            </w:pPr>
            <w:r w:rsidRPr="000E6A87">
              <w:rPr>
                <w:rFonts w:ascii="Arial" w:eastAsia="Times New Roman" w:hAnsi="Arial" w:cs="Arial"/>
                <w:sz w:val="20"/>
                <w:szCs w:val="20"/>
                <w:lang w:eastAsia="en-GB"/>
              </w:rPr>
              <w:t>After five years</w:t>
            </w:r>
          </w:p>
        </w:tc>
        <w:tc>
          <w:tcPr>
            <w:tcW w:w="1329" w:type="dxa"/>
            <w:gridSpan w:val="2"/>
            <w:tcBorders>
              <w:top w:val="nil"/>
              <w:left w:val="nil"/>
              <w:bottom w:val="nil"/>
              <w:right w:val="nil"/>
            </w:tcBorders>
            <w:shd w:val="clear" w:color="auto" w:fill="auto"/>
            <w:noWrap/>
            <w:vAlign w:val="center"/>
          </w:tcPr>
          <w:p w14:paraId="2534E1C1" w14:textId="77777777" w:rsidR="0039438F" w:rsidRPr="000E6A87" w:rsidRDefault="00AB1199" w:rsidP="0039438F">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1,664</w:t>
            </w:r>
          </w:p>
        </w:tc>
        <w:tc>
          <w:tcPr>
            <w:tcW w:w="1256" w:type="dxa"/>
            <w:gridSpan w:val="2"/>
            <w:tcBorders>
              <w:top w:val="nil"/>
              <w:left w:val="nil"/>
              <w:bottom w:val="nil"/>
              <w:right w:val="nil"/>
            </w:tcBorders>
            <w:shd w:val="clear" w:color="auto" w:fill="auto"/>
            <w:noWrap/>
            <w:vAlign w:val="center"/>
            <w:hideMark/>
          </w:tcPr>
          <w:p w14:paraId="78C58220" w14:textId="77777777" w:rsidR="0039438F" w:rsidRPr="0039438F" w:rsidRDefault="0039438F" w:rsidP="0039438F">
            <w:pPr>
              <w:spacing w:after="0" w:line="240" w:lineRule="auto"/>
              <w:jc w:val="right"/>
              <w:rPr>
                <w:rFonts w:ascii="Arial" w:eastAsia="Times New Roman" w:hAnsi="Arial" w:cs="Arial"/>
                <w:sz w:val="20"/>
                <w:szCs w:val="20"/>
                <w:lang w:eastAsia="en-GB"/>
              </w:rPr>
            </w:pPr>
            <w:r w:rsidRPr="0039438F">
              <w:rPr>
                <w:rFonts w:ascii="Arial" w:eastAsia="Times New Roman" w:hAnsi="Arial" w:cs="Arial"/>
                <w:bCs/>
                <w:sz w:val="20"/>
                <w:szCs w:val="20"/>
                <w:lang w:eastAsia="en-GB"/>
              </w:rPr>
              <w:t>1,543</w:t>
            </w:r>
          </w:p>
        </w:tc>
        <w:tc>
          <w:tcPr>
            <w:tcW w:w="1116" w:type="dxa"/>
            <w:gridSpan w:val="2"/>
            <w:tcBorders>
              <w:top w:val="nil"/>
              <w:left w:val="nil"/>
              <w:bottom w:val="nil"/>
              <w:right w:val="nil"/>
            </w:tcBorders>
            <w:shd w:val="clear" w:color="auto" w:fill="auto"/>
            <w:noWrap/>
            <w:vAlign w:val="center"/>
          </w:tcPr>
          <w:p w14:paraId="4C1DFDBC" w14:textId="77777777" w:rsidR="0039438F" w:rsidRPr="000E6A87" w:rsidRDefault="00E25CBD" w:rsidP="0039438F">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w:t>
            </w:r>
          </w:p>
        </w:tc>
        <w:tc>
          <w:tcPr>
            <w:tcW w:w="1116" w:type="dxa"/>
            <w:gridSpan w:val="2"/>
            <w:tcBorders>
              <w:top w:val="nil"/>
              <w:left w:val="nil"/>
              <w:bottom w:val="nil"/>
              <w:right w:val="nil"/>
            </w:tcBorders>
            <w:shd w:val="clear" w:color="auto" w:fill="auto"/>
            <w:noWrap/>
            <w:vAlign w:val="center"/>
            <w:hideMark/>
          </w:tcPr>
          <w:p w14:paraId="359BF5BB" w14:textId="77777777" w:rsidR="0039438F" w:rsidRPr="0039438F" w:rsidRDefault="0039438F" w:rsidP="0039438F">
            <w:pPr>
              <w:spacing w:after="0" w:line="240" w:lineRule="auto"/>
              <w:jc w:val="right"/>
              <w:rPr>
                <w:rFonts w:ascii="Arial" w:eastAsia="Times New Roman" w:hAnsi="Arial" w:cs="Arial"/>
                <w:sz w:val="20"/>
                <w:szCs w:val="20"/>
                <w:lang w:eastAsia="en-GB"/>
              </w:rPr>
            </w:pPr>
            <w:r w:rsidRPr="0039438F">
              <w:rPr>
                <w:rFonts w:ascii="Arial" w:eastAsia="Times New Roman" w:hAnsi="Arial" w:cs="Arial"/>
                <w:bCs/>
                <w:sz w:val="20"/>
                <w:szCs w:val="20"/>
                <w:lang w:eastAsia="en-GB"/>
              </w:rPr>
              <w:t>-</w:t>
            </w:r>
          </w:p>
        </w:tc>
      </w:tr>
      <w:tr w:rsidR="0039438F" w:rsidRPr="000E6A87" w14:paraId="586A0982" w14:textId="77777777" w:rsidTr="00314A3A">
        <w:trPr>
          <w:gridAfter w:val="1"/>
          <w:wAfter w:w="592" w:type="dxa"/>
          <w:trHeight w:val="404"/>
        </w:trPr>
        <w:tc>
          <w:tcPr>
            <w:tcW w:w="4536" w:type="dxa"/>
            <w:gridSpan w:val="2"/>
            <w:tcBorders>
              <w:top w:val="single" w:sz="4" w:space="0" w:color="auto"/>
              <w:left w:val="nil"/>
              <w:bottom w:val="single" w:sz="4" w:space="0" w:color="auto"/>
              <w:right w:val="nil"/>
            </w:tcBorders>
            <w:shd w:val="clear" w:color="auto" w:fill="auto"/>
            <w:noWrap/>
            <w:vAlign w:val="center"/>
            <w:hideMark/>
          </w:tcPr>
          <w:p w14:paraId="0F218CBC" w14:textId="77777777" w:rsidR="0039438F" w:rsidRPr="000E6A87" w:rsidRDefault="0039438F" w:rsidP="0039438F">
            <w:pPr>
              <w:spacing w:after="0" w:line="240" w:lineRule="auto"/>
              <w:rPr>
                <w:rFonts w:ascii="Arial" w:eastAsia="Times New Roman" w:hAnsi="Arial" w:cs="Arial"/>
                <w:sz w:val="20"/>
                <w:szCs w:val="20"/>
                <w:lang w:eastAsia="en-GB"/>
              </w:rPr>
            </w:pPr>
            <w:r w:rsidRPr="000E6A87">
              <w:rPr>
                <w:rFonts w:ascii="Arial" w:eastAsia="Times New Roman" w:hAnsi="Arial" w:cs="Arial"/>
                <w:sz w:val="20"/>
                <w:szCs w:val="20"/>
                <w:lang w:eastAsia="en-GB"/>
              </w:rPr>
              <w:t>Total</w:t>
            </w:r>
          </w:p>
        </w:tc>
        <w:tc>
          <w:tcPr>
            <w:tcW w:w="1329" w:type="dxa"/>
            <w:gridSpan w:val="2"/>
            <w:tcBorders>
              <w:top w:val="single" w:sz="4" w:space="0" w:color="auto"/>
              <w:left w:val="nil"/>
              <w:bottom w:val="single" w:sz="4" w:space="0" w:color="auto"/>
              <w:right w:val="nil"/>
            </w:tcBorders>
            <w:shd w:val="clear" w:color="auto" w:fill="auto"/>
            <w:noWrap/>
            <w:vAlign w:val="center"/>
          </w:tcPr>
          <w:p w14:paraId="1520D121" w14:textId="77777777" w:rsidR="0039438F" w:rsidRPr="000E6A87" w:rsidRDefault="00AB1199" w:rsidP="0039438F">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1</w:t>
            </w:r>
            <w:r w:rsidR="00E37973">
              <w:rPr>
                <w:rFonts w:ascii="Arial" w:eastAsia="Times New Roman" w:hAnsi="Arial" w:cs="Arial"/>
                <w:b/>
                <w:bCs/>
                <w:sz w:val="20"/>
                <w:szCs w:val="20"/>
                <w:lang w:eastAsia="en-GB"/>
              </w:rPr>
              <w:t>2,043</w:t>
            </w:r>
          </w:p>
        </w:tc>
        <w:tc>
          <w:tcPr>
            <w:tcW w:w="1256" w:type="dxa"/>
            <w:gridSpan w:val="2"/>
            <w:tcBorders>
              <w:top w:val="single" w:sz="4" w:space="0" w:color="auto"/>
              <w:left w:val="nil"/>
              <w:bottom w:val="single" w:sz="4" w:space="0" w:color="auto"/>
              <w:right w:val="nil"/>
            </w:tcBorders>
            <w:shd w:val="clear" w:color="auto" w:fill="auto"/>
            <w:noWrap/>
            <w:vAlign w:val="center"/>
            <w:hideMark/>
          </w:tcPr>
          <w:p w14:paraId="2703A7BF" w14:textId="77777777" w:rsidR="0039438F" w:rsidRPr="0039438F" w:rsidRDefault="0039438F" w:rsidP="0039438F">
            <w:pPr>
              <w:spacing w:after="0" w:line="240" w:lineRule="auto"/>
              <w:jc w:val="right"/>
              <w:rPr>
                <w:rFonts w:ascii="Arial" w:eastAsia="Times New Roman" w:hAnsi="Arial" w:cs="Arial"/>
                <w:sz w:val="20"/>
                <w:szCs w:val="20"/>
                <w:lang w:eastAsia="en-GB"/>
              </w:rPr>
            </w:pPr>
            <w:r w:rsidRPr="0039438F">
              <w:rPr>
                <w:rFonts w:ascii="Arial" w:eastAsia="Times New Roman" w:hAnsi="Arial" w:cs="Arial"/>
                <w:bCs/>
                <w:sz w:val="20"/>
                <w:szCs w:val="20"/>
                <w:lang w:eastAsia="en-GB"/>
              </w:rPr>
              <w:t>8,988</w:t>
            </w:r>
          </w:p>
        </w:tc>
        <w:tc>
          <w:tcPr>
            <w:tcW w:w="1116" w:type="dxa"/>
            <w:gridSpan w:val="2"/>
            <w:tcBorders>
              <w:top w:val="single" w:sz="4" w:space="0" w:color="auto"/>
              <w:left w:val="nil"/>
              <w:bottom w:val="single" w:sz="4" w:space="0" w:color="auto"/>
              <w:right w:val="nil"/>
            </w:tcBorders>
            <w:shd w:val="clear" w:color="auto" w:fill="auto"/>
            <w:noWrap/>
            <w:vAlign w:val="center"/>
          </w:tcPr>
          <w:p w14:paraId="52470C2C" w14:textId="77777777" w:rsidR="0039438F" w:rsidRPr="000E6A87" w:rsidRDefault="00E25CBD" w:rsidP="0039438F">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267</w:t>
            </w:r>
          </w:p>
        </w:tc>
        <w:tc>
          <w:tcPr>
            <w:tcW w:w="1116" w:type="dxa"/>
            <w:gridSpan w:val="2"/>
            <w:tcBorders>
              <w:top w:val="single" w:sz="4" w:space="0" w:color="auto"/>
              <w:left w:val="nil"/>
              <w:bottom w:val="single" w:sz="4" w:space="0" w:color="auto"/>
              <w:right w:val="nil"/>
            </w:tcBorders>
            <w:shd w:val="clear" w:color="auto" w:fill="auto"/>
            <w:noWrap/>
            <w:vAlign w:val="center"/>
            <w:hideMark/>
          </w:tcPr>
          <w:p w14:paraId="0AAAE042" w14:textId="77777777" w:rsidR="0039438F" w:rsidRPr="0039438F" w:rsidRDefault="0039438F" w:rsidP="0039438F">
            <w:pPr>
              <w:spacing w:after="0" w:line="240" w:lineRule="auto"/>
              <w:jc w:val="right"/>
              <w:rPr>
                <w:rFonts w:ascii="Arial" w:eastAsia="Times New Roman" w:hAnsi="Arial" w:cs="Arial"/>
                <w:sz w:val="20"/>
                <w:szCs w:val="20"/>
                <w:lang w:eastAsia="en-GB"/>
              </w:rPr>
            </w:pPr>
            <w:r w:rsidRPr="0039438F">
              <w:rPr>
                <w:rFonts w:ascii="Arial" w:eastAsia="Times New Roman" w:hAnsi="Arial" w:cs="Arial"/>
                <w:bCs/>
                <w:sz w:val="20"/>
                <w:szCs w:val="20"/>
                <w:lang w:eastAsia="en-GB"/>
              </w:rPr>
              <w:t>259</w:t>
            </w:r>
          </w:p>
        </w:tc>
      </w:tr>
      <w:tr w:rsidR="00C36CB2" w:rsidRPr="000E6A87" w14:paraId="4B9FF834" w14:textId="77777777" w:rsidTr="00314A3A">
        <w:trPr>
          <w:trHeight w:val="404"/>
        </w:trPr>
        <w:tc>
          <w:tcPr>
            <w:tcW w:w="5297" w:type="dxa"/>
            <w:gridSpan w:val="3"/>
            <w:tcBorders>
              <w:top w:val="nil"/>
              <w:left w:val="nil"/>
              <w:bottom w:val="nil"/>
              <w:right w:val="nil"/>
            </w:tcBorders>
            <w:shd w:val="clear" w:color="auto" w:fill="auto"/>
            <w:noWrap/>
            <w:vAlign w:val="center"/>
            <w:hideMark/>
          </w:tcPr>
          <w:p w14:paraId="76FBAFA4" w14:textId="77777777" w:rsidR="00C36CB2" w:rsidRPr="000E6A87" w:rsidRDefault="00C36CB2" w:rsidP="00C36CB2">
            <w:pPr>
              <w:spacing w:after="0" w:line="240" w:lineRule="auto"/>
              <w:rPr>
                <w:rFonts w:ascii="Arial" w:eastAsia="Times New Roman" w:hAnsi="Arial" w:cs="Arial"/>
                <w:sz w:val="20"/>
                <w:szCs w:val="20"/>
                <w:lang w:eastAsia="en-GB"/>
              </w:rPr>
            </w:pPr>
          </w:p>
        </w:tc>
        <w:tc>
          <w:tcPr>
            <w:tcW w:w="1160" w:type="dxa"/>
            <w:gridSpan w:val="2"/>
            <w:tcBorders>
              <w:top w:val="nil"/>
              <w:left w:val="nil"/>
              <w:bottom w:val="nil"/>
              <w:right w:val="nil"/>
            </w:tcBorders>
            <w:shd w:val="clear" w:color="auto" w:fill="auto"/>
            <w:noWrap/>
            <w:vAlign w:val="center"/>
            <w:hideMark/>
          </w:tcPr>
          <w:p w14:paraId="308E2A9A" w14:textId="77777777" w:rsidR="00C36CB2" w:rsidRPr="000E6A87" w:rsidRDefault="00C36CB2" w:rsidP="005229F1">
            <w:pPr>
              <w:spacing w:after="0" w:line="240" w:lineRule="auto"/>
              <w:jc w:val="right"/>
              <w:rPr>
                <w:rFonts w:ascii="Times New Roman" w:eastAsia="Times New Roman" w:hAnsi="Times New Roman" w:cs="Times New Roman"/>
                <w:sz w:val="20"/>
                <w:szCs w:val="20"/>
                <w:lang w:eastAsia="en-GB"/>
              </w:rPr>
            </w:pPr>
          </w:p>
        </w:tc>
        <w:tc>
          <w:tcPr>
            <w:tcW w:w="1256" w:type="dxa"/>
            <w:gridSpan w:val="2"/>
            <w:tcBorders>
              <w:top w:val="nil"/>
              <w:left w:val="nil"/>
              <w:bottom w:val="nil"/>
              <w:right w:val="nil"/>
            </w:tcBorders>
            <w:shd w:val="clear" w:color="auto" w:fill="auto"/>
            <w:noWrap/>
            <w:vAlign w:val="center"/>
            <w:hideMark/>
          </w:tcPr>
          <w:p w14:paraId="590531E2" w14:textId="77777777" w:rsidR="00C36CB2" w:rsidRPr="000E6A87" w:rsidRDefault="00C36CB2" w:rsidP="005229F1">
            <w:pPr>
              <w:spacing w:after="0" w:line="240" w:lineRule="auto"/>
              <w:jc w:val="right"/>
              <w:rPr>
                <w:rFonts w:ascii="Times New Roman" w:eastAsia="Times New Roman" w:hAnsi="Times New Roman" w:cs="Times New Roman"/>
                <w:sz w:val="20"/>
                <w:szCs w:val="20"/>
                <w:lang w:eastAsia="en-GB"/>
              </w:rPr>
            </w:pPr>
          </w:p>
        </w:tc>
        <w:tc>
          <w:tcPr>
            <w:tcW w:w="1116" w:type="dxa"/>
            <w:gridSpan w:val="2"/>
            <w:tcBorders>
              <w:top w:val="nil"/>
              <w:left w:val="nil"/>
              <w:bottom w:val="nil"/>
              <w:right w:val="nil"/>
            </w:tcBorders>
            <w:shd w:val="clear" w:color="auto" w:fill="auto"/>
            <w:noWrap/>
            <w:vAlign w:val="center"/>
            <w:hideMark/>
          </w:tcPr>
          <w:p w14:paraId="37578012" w14:textId="77777777" w:rsidR="00C36CB2" w:rsidRPr="000E6A87" w:rsidRDefault="00C36CB2" w:rsidP="005229F1">
            <w:pPr>
              <w:spacing w:after="0" w:line="240" w:lineRule="auto"/>
              <w:jc w:val="right"/>
              <w:rPr>
                <w:rFonts w:ascii="Times New Roman" w:eastAsia="Times New Roman" w:hAnsi="Times New Roman" w:cs="Times New Roman"/>
                <w:sz w:val="20"/>
                <w:szCs w:val="20"/>
                <w:lang w:eastAsia="en-GB"/>
              </w:rPr>
            </w:pPr>
          </w:p>
        </w:tc>
        <w:tc>
          <w:tcPr>
            <w:tcW w:w="1116" w:type="dxa"/>
            <w:gridSpan w:val="2"/>
            <w:tcBorders>
              <w:top w:val="nil"/>
              <w:left w:val="nil"/>
              <w:bottom w:val="nil"/>
              <w:right w:val="nil"/>
            </w:tcBorders>
            <w:shd w:val="clear" w:color="auto" w:fill="auto"/>
            <w:noWrap/>
            <w:vAlign w:val="center"/>
            <w:hideMark/>
          </w:tcPr>
          <w:p w14:paraId="32D90BA1" w14:textId="77777777" w:rsidR="00C36CB2" w:rsidRPr="000E6A87" w:rsidRDefault="00C36CB2" w:rsidP="005229F1">
            <w:pPr>
              <w:spacing w:after="0" w:line="240" w:lineRule="auto"/>
              <w:jc w:val="right"/>
              <w:rPr>
                <w:rFonts w:ascii="Times New Roman" w:eastAsia="Times New Roman" w:hAnsi="Times New Roman" w:cs="Times New Roman"/>
                <w:sz w:val="20"/>
                <w:szCs w:val="20"/>
                <w:lang w:eastAsia="en-GB"/>
              </w:rPr>
            </w:pPr>
          </w:p>
        </w:tc>
      </w:tr>
      <w:tr w:rsidR="006E7C43" w:rsidRPr="000E6A87" w14:paraId="4B735F22" w14:textId="77777777" w:rsidTr="00314A3A">
        <w:trPr>
          <w:trHeight w:val="404"/>
        </w:trPr>
        <w:tc>
          <w:tcPr>
            <w:tcW w:w="5297" w:type="dxa"/>
            <w:gridSpan w:val="3"/>
            <w:tcBorders>
              <w:top w:val="nil"/>
              <w:left w:val="nil"/>
              <w:bottom w:val="nil"/>
              <w:right w:val="nil"/>
            </w:tcBorders>
            <w:shd w:val="clear" w:color="auto" w:fill="auto"/>
            <w:noWrap/>
            <w:vAlign w:val="center"/>
          </w:tcPr>
          <w:p w14:paraId="5301BF20" w14:textId="77777777" w:rsidR="006E7C43" w:rsidRPr="000E6A87" w:rsidRDefault="006E7C43" w:rsidP="006D78AE">
            <w:pPr>
              <w:autoSpaceDE w:val="0"/>
              <w:autoSpaceDN w:val="0"/>
              <w:adjustRightInd w:val="0"/>
              <w:spacing w:after="240" w:line="240" w:lineRule="auto"/>
              <w:rPr>
                <w:rFonts w:ascii="Arial" w:eastAsia="Times New Roman" w:hAnsi="Arial" w:cs="Arial"/>
                <w:sz w:val="20"/>
                <w:szCs w:val="20"/>
                <w:lang w:eastAsia="en-GB"/>
              </w:rPr>
            </w:pPr>
          </w:p>
        </w:tc>
        <w:tc>
          <w:tcPr>
            <w:tcW w:w="1160" w:type="dxa"/>
            <w:gridSpan w:val="2"/>
            <w:tcBorders>
              <w:top w:val="nil"/>
              <w:left w:val="nil"/>
              <w:bottom w:val="nil"/>
              <w:right w:val="nil"/>
            </w:tcBorders>
            <w:shd w:val="clear" w:color="auto" w:fill="auto"/>
            <w:noWrap/>
            <w:vAlign w:val="center"/>
          </w:tcPr>
          <w:p w14:paraId="050E1F79" w14:textId="77777777" w:rsidR="006E7C43" w:rsidRPr="000E6A87" w:rsidRDefault="006E7C43" w:rsidP="005229F1">
            <w:pPr>
              <w:spacing w:after="0" w:line="240" w:lineRule="auto"/>
              <w:jc w:val="right"/>
              <w:rPr>
                <w:rFonts w:ascii="Times New Roman" w:eastAsia="Times New Roman" w:hAnsi="Times New Roman" w:cs="Times New Roman"/>
                <w:sz w:val="20"/>
                <w:szCs w:val="20"/>
                <w:lang w:eastAsia="en-GB"/>
              </w:rPr>
            </w:pPr>
          </w:p>
        </w:tc>
        <w:tc>
          <w:tcPr>
            <w:tcW w:w="1256" w:type="dxa"/>
            <w:gridSpan w:val="2"/>
            <w:tcBorders>
              <w:top w:val="nil"/>
              <w:left w:val="nil"/>
              <w:bottom w:val="nil"/>
              <w:right w:val="nil"/>
            </w:tcBorders>
            <w:shd w:val="clear" w:color="auto" w:fill="auto"/>
            <w:noWrap/>
            <w:vAlign w:val="center"/>
          </w:tcPr>
          <w:p w14:paraId="09DA0734" w14:textId="77777777" w:rsidR="006E7C43" w:rsidRPr="000E6A87" w:rsidRDefault="006E7C43" w:rsidP="005229F1">
            <w:pPr>
              <w:spacing w:after="0" w:line="240" w:lineRule="auto"/>
              <w:jc w:val="right"/>
              <w:rPr>
                <w:rFonts w:ascii="Times New Roman" w:eastAsia="Times New Roman" w:hAnsi="Times New Roman" w:cs="Times New Roman"/>
                <w:sz w:val="20"/>
                <w:szCs w:val="20"/>
                <w:lang w:eastAsia="en-GB"/>
              </w:rPr>
            </w:pPr>
          </w:p>
        </w:tc>
        <w:tc>
          <w:tcPr>
            <w:tcW w:w="1116" w:type="dxa"/>
            <w:gridSpan w:val="2"/>
            <w:tcBorders>
              <w:top w:val="nil"/>
              <w:left w:val="nil"/>
              <w:bottom w:val="nil"/>
              <w:right w:val="nil"/>
            </w:tcBorders>
            <w:shd w:val="clear" w:color="auto" w:fill="auto"/>
            <w:noWrap/>
            <w:vAlign w:val="center"/>
          </w:tcPr>
          <w:p w14:paraId="0C5309BF" w14:textId="77777777" w:rsidR="006E7C43" w:rsidRPr="000E6A87" w:rsidRDefault="006E7C43" w:rsidP="005229F1">
            <w:pPr>
              <w:spacing w:after="0" w:line="240" w:lineRule="auto"/>
              <w:jc w:val="right"/>
              <w:rPr>
                <w:rFonts w:ascii="Times New Roman" w:eastAsia="Times New Roman" w:hAnsi="Times New Roman" w:cs="Times New Roman"/>
                <w:sz w:val="20"/>
                <w:szCs w:val="20"/>
                <w:lang w:eastAsia="en-GB"/>
              </w:rPr>
            </w:pPr>
          </w:p>
        </w:tc>
        <w:tc>
          <w:tcPr>
            <w:tcW w:w="1116" w:type="dxa"/>
            <w:gridSpan w:val="2"/>
            <w:tcBorders>
              <w:top w:val="nil"/>
              <w:left w:val="nil"/>
              <w:bottom w:val="nil"/>
              <w:right w:val="nil"/>
            </w:tcBorders>
            <w:shd w:val="clear" w:color="auto" w:fill="auto"/>
            <w:noWrap/>
            <w:vAlign w:val="center"/>
          </w:tcPr>
          <w:p w14:paraId="68A98C2C" w14:textId="77777777" w:rsidR="006E7C43" w:rsidRPr="000E6A87" w:rsidRDefault="006E7C43" w:rsidP="005229F1">
            <w:pPr>
              <w:spacing w:after="0" w:line="240" w:lineRule="auto"/>
              <w:jc w:val="right"/>
              <w:rPr>
                <w:rFonts w:ascii="Times New Roman" w:eastAsia="Times New Roman" w:hAnsi="Times New Roman" w:cs="Times New Roman"/>
                <w:sz w:val="20"/>
                <w:szCs w:val="20"/>
                <w:lang w:eastAsia="en-GB"/>
              </w:rPr>
            </w:pPr>
          </w:p>
        </w:tc>
      </w:tr>
      <w:tr w:rsidR="00C36CB2" w:rsidRPr="000E6A87" w14:paraId="04C91334" w14:textId="77777777" w:rsidTr="00314A3A">
        <w:trPr>
          <w:trHeight w:val="404"/>
        </w:trPr>
        <w:tc>
          <w:tcPr>
            <w:tcW w:w="5297" w:type="dxa"/>
            <w:gridSpan w:val="3"/>
            <w:tcBorders>
              <w:top w:val="nil"/>
              <w:left w:val="nil"/>
              <w:bottom w:val="nil"/>
              <w:right w:val="nil"/>
            </w:tcBorders>
            <w:shd w:val="clear" w:color="auto" w:fill="auto"/>
            <w:noWrap/>
            <w:vAlign w:val="center"/>
            <w:hideMark/>
          </w:tcPr>
          <w:p w14:paraId="24156B74" w14:textId="77777777" w:rsidR="00C36CB2" w:rsidRPr="000E6A87" w:rsidRDefault="00C36CB2" w:rsidP="00C36CB2">
            <w:pPr>
              <w:spacing w:after="0" w:line="240" w:lineRule="auto"/>
              <w:rPr>
                <w:rFonts w:ascii="Times New Roman" w:eastAsia="Times New Roman" w:hAnsi="Times New Roman" w:cs="Times New Roman"/>
                <w:sz w:val="20"/>
                <w:szCs w:val="20"/>
                <w:lang w:eastAsia="en-GB"/>
              </w:rPr>
            </w:pPr>
          </w:p>
        </w:tc>
        <w:tc>
          <w:tcPr>
            <w:tcW w:w="2416" w:type="dxa"/>
            <w:gridSpan w:val="4"/>
            <w:tcBorders>
              <w:top w:val="nil"/>
              <w:left w:val="nil"/>
              <w:bottom w:val="nil"/>
              <w:right w:val="nil"/>
            </w:tcBorders>
            <w:shd w:val="clear" w:color="auto" w:fill="auto"/>
            <w:noWrap/>
            <w:vAlign w:val="center"/>
            <w:hideMark/>
          </w:tcPr>
          <w:p w14:paraId="64C7FB48" w14:textId="77777777" w:rsidR="00C36CB2" w:rsidRPr="000E6A87" w:rsidRDefault="00C36CB2" w:rsidP="00314A3A">
            <w:pPr>
              <w:spacing w:after="0" w:line="240" w:lineRule="auto"/>
              <w:jc w:val="center"/>
              <w:rPr>
                <w:rFonts w:ascii="Arial" w:eastAsia="Times New Roman" w:hAnsi="Arial" w:cs="Arial"/>
                <w:sz w:val="20"/>
                <w:szCs w:val="20"/>
                <w:lang w:eastAsia="en-GB"/>
              </w:rPr>
            </w:pPr>
            <w:r w:rsidRPr="000E6A87">
              <w:rPr>
                <w:rFonts w:ascii="Arial" w:eastAsia="Times New Roman" w:hAnsi="Arial" w:cs="Arial"/>
                <w:sz w:val="20"/>
                <w:szCs w:val="20"/>
                <w:lang w:eastAsia="en-GB"/>
              </w:rPr>
              <w:t>Property</w:t>
            </w:r>
          </w:p>
        </w:tc>
        <w:tc>
          <w:tcPr>
            <w:tcW w:w="2232" w:type="dxa"/>
            <w:gridSpan w:val="4"/>
            <w:tcBorders>
              <w:top w:val="nil"/>
              <w:left w:val="nil"/>
              <w:bottom w:val="nil"/>
              <w:right w:val="nil"/>
            </w:tcBorders>
            <w:shd w:val="clear" w:color="auto" w:fill="auto"/>
            <w:noWrap/>
            <w:vAlign w:val="center"/>
            <w:hideMark/>
          </w:tcPr>
          <w:p w14:paraId="66FFF78F" w14:textId="77777777" w:rsidR="00C36CB2" w:rsidRPr="000E6A87" w:rsidRDefault="007016A3">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 xml:space="preserve">      </w:t>
            </w:r>
            <w:r w:rsidR="00C36CB2" w:rsidRPr="000E6A87">
              <w:rPr>
                <w:rFonts w:ascii="Arial" w:eastAsia="Times New Roman" w:hAnsi="Arial" w:cs="Arial"/>
                <w:sz w:val="20"/>
                <w:szCs w:val="20"/>
                <w:lang w:eastAsia="en-GB"/>
              </w:rPr>
              <w:t>Other</w:t>
            </w:r>
          </w:p>
        </w:tc>
      </w:tr>
      <w:tr w:rsidR="00C36CB2" w:rsidRPr="000E6A87" w14:paraId="2B6ACFCD" w14:textId="77777777" w:rsidTr="00314A3A">
        <w:trPr>
          <w:gridAfter w:val="1"/>
          <w:wAfter w:w="592" w:type="dxa"/>
          <w:trHeight w:val="404"/>
        </w:trPr>
        <w:tc>
          <w:tcPr>
            <w:tcW w:w="4395" w:type="dxa"/>
            <w:tcBorders>
              <w:top w:val="nil"/>
              <w:left w:val="nil"/>
              <w:bottom w:val="nil"/>
              <w:right w:val="nil"/>
            </w:tcBorders>
            <w:shd w:val="clear" w:color="auto" w:fill="auto"/>
            <w:noWrap/>
            <w:vAlign w:val="center"/>
            <w:hideMark/>
          </w:tcPr>
          <w:p w14:paraId="30F254BC" w14:textId="77777777" w:rsidR="00C36CB2" w:rsidRPr="000E6A87" w:rsidRDefault="00C36CB2" w:rsidP="00C36CB2">
            <w:pPr>
              <w:spacing w:after="0" w:line="240" w:lineRule="auto"/>
              <w:rPr>
                <w:rFonts w:ascii="Arial" w:eastAsia="Times New Roman" w:hAnsi="Arial" w:cs="Arial"/>
                <w:b/>
                <w:bCs/>
                <w:sz w:val="20"/>
                <w:szCs w:val="20"/>
                <w:lang w:eastAsia="en-GB"/>
              </w:rPr>
            </w:pPr>
            <w:r w:rsidRPr="000E6A87">
              <w:rPr>
                <w:rFonts w:ascii="Arial" w:eastAsia="Times New Roman" w:hAnsi="Arial" w:cs="Arial"/>
                <w:b/>
                <w:bCs/>
                <w:sz w:val="20"/>
                <w:szCs w:val="20"/>
                <w:lang w:eastAsia="en-GB"/>
              </w:rPr>
              <w:t>Company</w:t>
            </w:r>
          </w:p>
        </w:tc>
        <w:tc>
          <w:tcPr>
            <w:tcW w:w="1470" w:type="dxa"/>
            <w:gridSpan w:val="3"/>
            <w:tcBorders>
              <w:top w:val="nil"/>
              <w:left w:val="nil"/>
              <w:bottom w:val="nil"/>
              <w:right w:val="nil"/>
            </w:tcBorders>
            <w:shd w:val="clear" w:color="auto" w:fill="auto"/>
            <w:noWrap/>
            <w:vAlign w:val="center"/>
            <w:hideMark/>
          </w:tcPr>
          <w:p w14:paraId="5BA97587" w14:textId="77777777" w:rsidR="00C36CB2" w:rsidRPr="000E6A87" w:rsidRDefault="0037645F" w:rsidP="005229F1">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2020</w:t>
            </w:r>
          </w:p>
        </w:tc>
        <w:tc>
          <w:tcPr>
            <w:tcW w:w="1256" w:type="dxa"/>
            <w:gridSpan w:val="2"/>
            <w:tcBorders>
              <w:top w:val="nil"/>
              <w:left w:val="nil"/>
              <w:bottom w:val="nil"/>
              <w:right w:val="nil"/>
            </w:tcBorders>
            <w:shd w:val="clear" w:color="auto" w:fill="auto"/>
            <w:noWrap/>
            <w:vAlign w:val="center"/>
            <w:hideMark/>
          </w:tcPr>
          <w:p w14:paraId="0F0EB5F4" w14:textId="77777777" w:rsidR="00C36CB2" w:rsidRPr="000E6A87" w:rsidRDefault="0037645F" w:rsidP="005229F1">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2019</w:t>
            </w:r>
          </w:p>
        </w:tc>
        <w:tc>
          <w:tcPr>
            <w:tcW w:w="1116" w:type="dxa"/>
            <w:gridSpan w:val="2"/>
            <w:tcBorders>
              <w:top w:val="nil"/>
              <w:left w:val="nil"/>
              <w:bottom w:val="nil"/>
              <w:right w:val="nil"/>
            </w:tcBorders>
            <w:shd w:val="clear" w:color="auto" w:fill="auto"/>
            <w:noWrap/>
            <w:vAlign w:val="center"/>
            <w:hideMark/>
          </w:tcPr>
          <w:p w14:paraId="4267196C" w14:textId="77777777" w:rsidR="00C36CB2" w:rsidRPr="000E6A87" w:rsidRDefault="0037645F" w:rsidP="005229F1">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2020</w:t>
            </w:r>
          </w:p>
        </w:tc>
        <w:tc>
          <w:tcPr>
            <w:tcW w:w="1116" w:type="dxa"/>
            <w:gridSpan w:val="2"/>
            <w:tcBorders>
              <w:top w:val="nil"/>
              <w:left w:val="nil"/>
              <w:bottom w:val="nil"/>
              <w:right w:val="nil"/>
            </w:tcBorders>
            <w:shd w:val="clear" w:color="auto" w:fill="auto"/>
            <w:noWrap/>
            <w:vAlign w:val="center"/>
            <w:hideMark/>
          </w:tcPr>
          <w:p w14:paraId="08471E87" w14:textId="77777777" w:rsidR="00C36CB2" w:rsidRPr="000E6A87" w:rsidRDefault="0037645F" w:rsidP="005229F1">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2019</w:t>
            </w:r>
          </w:p>
        </w:tc>
      </w:tr>
      <w:tr w:rsidR="00C36CB2" w:rsidRPr="000E6A87" w14:paraId="50EB8F81" w14:textId="77777777" w:rsidTr="00314A3A">
        <w:trPr>
          <w:gridAfter w:val="1"/>
          <w:wAfter w:w="592" w:type="dxa"/>
          <w:trHeight w:val="404"/>
        </w:trPr>
        <w:tc>
          <w:tcPr>
            <w:tcW w:w="4395" w:type="dxa"/>
            <w:tcBorders>
              <w:top w:val="nil"/>
              <w:left w:val="nil"/>
              <w:bottom w:val="single" w:sz="4" w:space="0" w:color="auto"/>
              <w:right w:val="nil"/>
            </w:tcBorders>
            <w:shd w:val="clear" w:color="auto" w:fill="auto"/>
            <w:noWrap/>
            <w:vAlign w:val="center"/>
            <w:hideMark/>
          </w:tcPr>
          <w:p w14:paraId="3BB2AC23" w14:textId="77777777" w:rsidR="00C36CB2" w:rsidRPr="000E6A87" w:rsidRDefault="00C36CB2" w:rsidP="00C36CB2">
            <w:pPr>
              <w:spacing w:after="0" w:line="240" w:lineRule="auto"/>
              <w:rPr>
                <w:rFonts w:ascii="Arial" w:eastAsia="Times New Roman" w:hAnsi="Arial" w:cs="Arial"/>
                <w:sz w:val="20"/>
                <w:szCs w:val="20"/>
                <w:lang w:eastAsia="en-GB"/>
              </w:rPr>
            </w:pPr>
          </w:p>
        </w:tc>
        <w:tc>
          <w:tcPr>
            <w:tcW w:w="1470" w:type="dxa"/>
            <w:gridSpan w:val="3"/>
            <w:tcBorders>
              <w:top w:val="nil"/>
              <w:left w:val="nil"/>
              <w:bottom w:val="single" w:sz="4" w:space="0" w:color="auto"/>
              <w:right w:val="nil"/>
            </w:tcBorders>
            <w:shd w:val="clear" w:color="auto" w:fill="auto"/>
            <w:noWrap/>
            <w:vAlign w:val="center"/>
            <w:hideMark/>
          </w:tcPr>
          <w:p w14:paraId="50828B30" w14:textId="77777777" w:rsidR="00C36CB2" w:rsidRPr="000E6A87" w:rsidRDefault="00C36CB2" w:rsidP="005229F1">
            <w:pPr>
              <w:spacing w:after="0" w:line="240" w:lineRule="auto"/>
              <w:jc w:val="right"/>
              <w:rPr>
                <w:rFonts w:ascii="Arial" w:eastAsia="Times New Roman" w:hAnsi="Arial" w:cs="Arial"/>
                <w:b/>
                <w:bCs/>
                <w:sz w:val="20"/>
                <w:szCs w:val="20"/>
                <w:lang w:eastAsia="en-GB"/>
              </w:rPr>
            </w:pPr>
            <w:r w:rsidRPr="000E6A87">
              <w:rPr>
                <w:rFonts w:ascii="Arial" w:eastAsia="Times New Roman" w:hAnsi="Arial" w:cs="Arial"/>
                <w:b/>
                <w:bCs/>
                <w:sz w:val="20"/>
                <w:szCs w:val="20"/>
                <w:lang w:eastAsia="en-GB"/>
              </w:rPr>
              <w:t>£'000</w:t>
            </w:r>
          </w:p>
        </w:tc>
        <w:tc>
          <w:tcPr>
            <w:tcW w:w="1256" w:type="dxa"/>
            <w:gridSpan w:val="2"/>
            <w:tcBorders>
              <w:top w:val="nil"/>
              <w:left w:val="nil"/>
              <w:bottom w:val="single" w:sz="4" w:space="0" w:color="auto"/>
              <w:right w:val="nil"/>
            </w:tcBorders>
            <w:shd w:val="clear" w:color="auto" w:fill="auto"/>
            <w:noWrap/>
            <w:vAlign w:val="center"/>
            <w:hideMark/>
          </w:tcPr>
          <w:p w14:paraId="3B228D6D" w14:textId="77777777" w:rsidR="00C36CB2" w:rsidRPr="000E6A87" w:rsidRDefault="00C36CB2" w:rsidP="005229F1">
            <w:pPr>
              <w:spacing w:after="0" w:line="240" w:lineRule="auto"/>
              <w:jc w:val="right"/>
              <w:rPr>
                <w:rFonts w:ascii="Arial" w:eastAsia="Times New Roman" w:hAnsi="Arial" w:cs="Arial"/>
                <w:sz w:val="20"/>
                <w:szCs w:val="20"/>
                <w:lang w:eastAsia="en-GB"/>
              </w:rPr>
            </w:pPr>
            <w:r w:rsidRPr="000E6A87">
              <w:rPr>
                <w:rFonts w:ascii="Arial" w:eastAsia="Times New Roman" w:hAnsi="Arial" w:cs="Arial"/>
                <w:sz w:val="20"/>
                <w:szCs w:val="20"/>
                <w:lang w:eastAsia="en-GB"/>
              </w:rPr>
              <w:t>£'000</w:t>
            </w:r>
          </w:p>
        </w:tc>
        <w:tc>
          <w:tcPr>
            <w:tcW w:w="1116" w:type="dxa"/>
            <w:gridSpan w:val="2"/>
            <w:tcBorders>
              <w:top w:val="nil"/>
              <w:left w:val="nil"/>
              <w:bottom w:val="single" w:sz="4" w:space="0" w:color="auto"/>
              <w:right w:val="nil"/>
            </w:tcBorders>
            <w:shd w:val="clear" w:color="auto" w:fill="auto"/>
            <w:noWrap/>
            <w:vAlign w:val="center"/>
            <w:hideMark/>
          </w:tcPr>
          <w:p w14:paraId="37985209" w14:textId="77777777" w:rsidR="00C36CB2" w:rsidRPr="000E6A87" w:rsidRDefault="00C36CB2" w:rsidP="005229F1">
            <w:pPr>
              <w:spacing w:after="0" w:line="240" w:lineRule="auto"/>
              <w:jc w:val="right"/>
              <w:rPr>
                <w:rFonts w:ascii="Arial" w:eastAsia="Times New Roman" w:hAnsi="Arial" w:cs="Arial"/>
                <w:b/>
                <w:bCs/>
                <w:sz w:val="20"/>
                <w:szCs w:val="20"/>
                <w:lang w:eastAsia="en-GB"/>
              </w:rPr>
            </w:pPr>
            <w:r w:rsidRPr="000E6A87">
              <w:rPr>
                <w:rFonts w:ascii="Arial" w:eastAsia="Times New Roman" w:hAnsi="Arial" w:cs="Arial"/>
                <w:b/>
                <w:bCs/>
                <w:sz w:val="20"/>
                <w:szCs w:val="20"/>
                <w:lang w:eastAsia="en-GB"/>
              </w:rPr>
              <w:t>£'000</w:t>
            </w:r>
          </w:p>
        </w:tc>
        <w:tc>
          <w:tcPr>
            <w:tcW w:w="1116" w:type="dxa"/>
            <w:gridSpan w:val="2"/>
            <w:tcBorders>
              <w:top w:val="nil"/>
              <w:left w:val="nil"/>
              <w:bottom w:val="single" w:sz="4" w:space="0" w:color="auto"/>
              <w:right w:val="nil"/>
            </w:tcBorders>
            <w:shd w:val="clear" w:color="auto" w:fill="auto"/>
            <w:noWrap/>
            <w:vAlign w:val="center"/>
            <w:hideMark/>
          </w:tcPr>
          <w:p w14:paraId="698FE907" w14:textId="77777777" w:rsidR="00C36CB2" w:rsidRPr="000E6A87" w:rsidRDefault="00C36CB2" w:rsidP="005229F1">
            <w:pPr>
              <w:spacing w:after="0" w:line="240" w:lineRule="auto"/>
              <w:jc w:val="right"/>
              <w:rPr>
                <w:rFonts w:ascii="Arial" w:eastAsia="Times New Roman" w:hAnsi="Arial" w:cs="Arial"/>
                <w:sz w:val="20"/>
                <w:szCs w:val="20"/>
                <w:lang w:eastAsia="en-GB"/>
              </w:rPr>
            </w:pPr>
            <w:r w:rsidRPr="000E6A87">
              <w:rPr>
                <w:rFonts w:ascii="Arial" w:eastAsia="Times New Roman" w:hAnsi="Arial" w:cs="Arial"/>
                <w:sz w:val="20"/>
                <w:szCs w:val="20"/>
                <w:lang w:eastAsia="en-GB"/>
              </w:rPr>
              <w:t>£'000</w:t>
            </w:r>
          </w:p>
        </w:tc>
      </w:tr>
      <w:tr w:rsidR="0039438F" w:rsidRPr="000E6A87" w14:paraId="67728D4F" w14:textId="77777777" w:rsidTr="00314A3A">
        <w:trPr>
          <w:gridAfter w:val="1"/>
          <w:wAfter w:w="592" w:type="dxa"/>
          <w:trHeight w:val="404"/>
        </w:trPr>
        <w:tc>
          <w:tcPr>
            <w:tcW w:w="4395" w:type="dxa"/>
            <w:tcBorders>
              <w:top w:val="nil"/>
              <w:left w:val="nil"/>
              <w:bottom w:val="nil"/>
              <w:right w:val="nil"/>
            </w:tcBorders>
            <w:shd w:val="clear" w:color="auto" w:fill="auto"/>
            <w:noWrap/>
            <w:vAlign w:val="center"/>
            <w:hideMark/>
          </w:tcPr>
          <w:p w14:paraId="77ED1928" w14:textId="77777777" w:rsidR="0039438F" w:rsidRPr="000E6A87" w:rsidRDefault="0039438F" w:rsidP="0039438F">
            <w:pPr>
              <w:spacing w:after="0" w:line="240" w:lineRule="auto"/>
              <w:rPr>
                <w:rFonts w:ascii="Arial" w:eastAsia="Times New Roman" w:hAnsi="Arial" w:cs="Arial"/>
                <w:sz w:val="20"/>
                <w:szCs w:val="20"/>
                <w:lang w:eastAsia="en-GB"/>
              </w:rPr>
            </w:pPr>
            <w:r w:rsidRPr="000E6A87">
              <w:rPr>
                <w:rFonts w:ascii="Arial" w:eastAsia="Times New Roman" w:hAnsi="Arial" w:cs="Arial"/>
                <w:sz w:val="20"/>
                <w:szCs w:val="20"/>
                <w:lang w:eastAsia="en-GB"/>
              </w:rPr>
              <w:t>Within one year</w:t>
            </w:r>
          </w:p>
        </w:tc>
        <w:tc>
          <w:tcPr>
            <w:tcW w:w="1470" w:type="dxa"/>
            <w:gridSpan w:val="3"/>
            <w:tcBorders>
              <w:top w:val="nil"/>
              <w:left w:val="nil"/>
              <w:bottom w:val="nil"/>
              <w:right w:val="nil"/>
            </w:tcBorders>
            <w:shd w:val="clear" w:color="auto" w:fill="auto"/>
            <w:noWrap/>
            <w:vAlign w:val="center"/>
          </w:tcPr>
          <w:p w14:paraId="5DEB16CE" w14:textId="77777777" w:rsidR="0039438F" w:rsidRPr="000E6A87" w:rsidRDefault="00920BD0" w:rsidP="0039438F">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1,039</w:t>
            </w:r>
          </w:p>
        </w:tc>
        <w:tc>
          <w:tcPr>
            <w:tcW w:w="1256" w:type="dxa"/>
            <w:gridSpan w:val="2"/>
            <w:tcBorders>
              <w:top w:val="nil"/>
              <w:left w:val="nil"/>
              <w:bottom w:val="nil"/>
              <w:right w:val="nil"/>
            </w:tcBorders>
            <w:shd w:val="clear" w:color="auto" w:fill="auto"/>
            <w:noWrap/>
            <w:vAlign w:val="center"/>
            <w:hideMark/>
          </w:tcPr>
          <w:p w14:paraId="1ED6BFAB" w14:textId="77777777" w:rsidR="0039438F" w:rsidRPr="0039438F" w:rsidRDefault="0039438F" w:rsidP="0039438F">
            <w:pPr>
              <w:spacing w:after="0" w:line="240" w:lineRule="auto"/>
              <w:jc w:val="right"/>
              <w:rPr>
                <w:rFonts w:ascii="Arial" w:eastAsia="Times New Roman" w:hAnsi="Arial" w:cs="Arial"/>
                <w:sz w:val="20"/>
                <w:szCs w:val="20"/>
                <w:lang w:eastAsia="en-GB"/>
              </w:rPr>
            </w:pPr>
            <w:r w:rsidRPr="0039438F">
              <w:rPr>
                <w:rFonts w:ascii="Arial" w:eastAsia="Times New Roman" w:hAnsi="Arial" w:cs="Arial"/>
                <w:bCs/>
                <w:sz w:val="20"/>
                <w:szCs w:val="20"/>
                <w:lang w:eastAsia="en-GB"/>
              </w:rPr>
              <w:t>1,515</w:t>
            </w:r>
          </w:p>
        </w:tc>
        <w:tc>
          <w:tcPr>
            <w:tcW w:w="1116" w:type="dxa"/>
            <w:gridSpan w:val="2"/>
            <w:tcBorders>
              <w:top w:val="nil"/>
              <w:left w:val="nil"/>
              <w:bottom w:val="nil"/>
              <w:right w:val="nil"/>
            </w:tcBorders>
            <w:shd w:val="clear" w:color="auto" w:fill="auto"/>
            <w:noWrap/>
            <w:vAlign w:val="center"/>
          </w:tcPr>
          <w:p w14:paraId="2F83CD00" w14:textId="77777777" w:rsidR="0039438F" w:rsidRPr="000E6A87" w:rsidRDefault="00920BD0" w:rsidP="0039438F">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188</w:t>
            </w:r>
          </w:p>
        </w:tc>
        <w:tc>
          <w:tcPr>
            <w:tcW w:w="1116" w:type="dxa"/>
            <w:gridSpan w:val="2"/>
            <w:tcBorders>
              <w:top w:val="nil"/>
              <w:left w:val="nil"/>
              <w:bottom w:val="nil"/>
              <w:right w:val="nil"/>
            </w:tcBorders>
            <w:shd w:val="clear" w:color="auto" w:fill="auto"/>
            <w:noWrap/>
            <w:vAlign w:val="center"/>
            <w:hideMark/>
          </w:tcPr>
          <w:p w14:paraId="6E5C5695" w14:textId="77777777" w:rsidR="0039438F" w:rsidRPr="0039438F" w:rsidRDefault="0039438F" w:rsidP="0039438F">
            <w:pPr>
              <w:spacing w:after="0" w:line="240" w:lineRule="auto"/>
              <w:jc w:val="right"/>
              <w:rPr>
                <w:rFonts w:ascii="Arial" w:eastAsia="Times New Roman" w:hAnsi="Arial" w:cs="Arial"/>
                <w:sz w:val="20"/>
                <w:szCs w:val="20"/>
                <w:lang w:eastAsia="en-GB"/>
              </w:rPr>
            </w:pPr>
            <w:r w:rsidRPr="0039438F">
              <w:rPr>
                <w:rFonts w:ascii="Arial" w:eastAsia="Times New Roman" w:hAnsi="Arial" w:cs="Arial"/>
                <w:bCs/>
                <w:sz w:val="20"/>
                <w:szCs w:val="20"/>
                <w:lang w:eastAsia="en-GB"/>
              </w:rPr>
              <w:t>180</w:t>
            </w:r>
          </w:p>
        </w:tc>
      </w:tr>
      <w:tr w:rsidR="0039438F" w:rsidRPr="000E6A87" w14:paraId="68A31832" w14:textId="77777777" w:rsidTr="00314A3A">
        <w:trPr>
          <w:gridAfter w:val="1"/>
          <w:wAfter w:w="592" w:type="dxa"/>
          <w:trHeight w:val="404"/>
        </w:trPr>
        <w:tc>
          <w:tcPr>
            <w:tcW w:w="4395" w:type="dxa"/>
            <w:tcBorders>
              <w:top w:val="nil"/>
              <w:left w:val="nil"/>
              <w:bottom w:val="nil"/>
              <w:right w:val="nil"/>
            </w:tcBorders>
            <w:shd w:val="clear" w:color="auto" w:fill="auto"/>
            <w:noWrap/>
            <w:vAlign w:val="center"/>
            <w:hideMark/>
          </w:tcPr>
          <w:p w14:paraId="30A40138" w14:textId="77777777" w:rsidR="0039438F" w:rsidRPr="000E6A87" w:rsidRDefault="0039438F" w:rsidP="0039438F">
            <w:pPr>
              <w:spacing w:after="0" w:line="240" w:lineRule="auto"/>
              <w:rPr>
                <w:rFonts w:ascii="Arial" w:eastAsia="Times New Roman" w:hAnsi="Arial" w:cs="Arial"/>
                <w:sz w:val="20"/>
                <w:szCs w:val="20"/>
                <w:lang w:eastAsia="en-GB"/>
              </w:rPr>
            </w:pPr>
            <w:r w:rsidRPr="000E6A87">
              <w:rPr>
                <w:rFonts w:ascii="Arial" w:eastAsia="Times New Roman" w:hAnsi="Arial" w:cs="Arial"/>
                <w:sz w:val="20"/>
                <w:szCs w:val="20"/>
                <w:lang w:eastAsia="en-GB"/>
              </w:rPr>
              <w:t>Between one and five years</w:t>
            </w:r>
          </w:p>
        </w:tc>
        <w:tc>
          <w:tcPr>
            <w:tcW w:w="1470" w:type="dxa"/>
            <w:gridSpan w:val="3"/>
            <w:tcBorders>
              <w:top w:val="nil"/>
              <w:left w:val="nil"/>
              <w:bottom w:val="nil"/>
              <w:right w:val="nil"/>
            </w:tcBorders>
            <w:shd w:val="clear" w:color="auto" w:fill="auto"/>
            <w:noWrap/>
            <w:vAlign w:val="center"/>
          </w:tcPr>
          <w:p w14:paraId="1ECF7BF1" w14:textId="77777777" w:rsidR="0039438F" w:rsidRPr="000E6A87" w:rsidRDefault="00920BD0" w:rsidP="0039438F">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1,799</w:t>
            </w:r>
          </w:p>
        </w:tc>
        <w:tc>
          <w:tcPr>
            <w:tcW w:w="1256" w:type="dxa"/>
            <w:gridSpan w:val="2"/>
            <w:tcBorders>
              <w:top w:val="nil"/>
              <w:left w:val="nil"/>
              <w:bottom w:val="nil"/>
              <w:right w:val="nil"/>
            </w:tcBorders>
            <w:shd w:val="clear" w:color="auto" w:fill="auto"/>
            <w:noWrap/>
            <w:vAlign w:val="center"/>
            <w:hideMark/>
          </w:tcPr>
          <w:p w14:paraId="18D281AD" w14:textId="77777777" w:rsidR="0039438F" w:rsidRPr="0039438F" w:rsidRDefault="0039438F" w:rsidP="0039438F">
            <w:pPr>
              <w:spacing w:after="0" w:line="240" w:lineRule="auto"/>
              <w:jc w:val="right"/>
              <w:rPr>
                <w:rFonts w:ascii="Arial" w:eastAsia="Times New Roman" w:hAnsi="Arial" w:cs="Arial"/>
                <w:sz w:val="20"/>
                <w:szCs w:val="20"/>
                <w:lang w:eastAsia="en-GB"/>
              </w:rPr>
            </w:pPr>
            <w:r w:rsidRPr="0039438F">
              <w:rPr>
                <w:rFonts w:ascii="Arial" w:eastAsia="Times New Roman" w:hAnsi="Arial" w:cs="Arial"/>
                <w:bCs/>
                <w:sz w:val="20"/>
                <w:szCs w:val="20"/>
                <w:lang w:eastAsia="en-GB"/>
              </w:rPr>
              <w:t>1,270</w:t>
            </w:r>
          </w:p>
        </w:tc>
        <w:tc>
          <w:tcPr>
            <w:tcW w:w="1116" w:type="dxa"/>
            <w:gridSpan w:val="2"/>
            <w:tcBorders>
              <w:top w:val="nil"/>
              <w:left w:val="nil"/>
              <w:bottom w:val="nil"/>
              <w:right w:val="nil"/>
            </w:tcBorders>
            <w:shd w:val="clear" w:color="auto" w:fill="auto"/>
            <w:noWrap/>
            <w:vAlign w:val="center"/>
          </w:tcPr>
          <w:p w14:paraId="5EC59B5E" w14:textId="77777777" w:rsidR="0039438F" w:rsidRPr="000E6A87" w:rsidRDefault="007C00D5" w:rsidP="0039438F">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79</w:t>
            </w:r>
          </w:p>
        </w:tc>
        <w:tc>
          <w:tcPr>
            <w:tcW w:w="1116" w:type="dxa"/>
            <w:gridSpan w:val="2"/>
            <w:tcBorders>
              <w:top w:val="nil"/>
              <w:left w:val="nil"/>
              <w:bottom w:val="nil"/>
              <w:right w:val="nil"/>
            </w:tcBorders>
            <w:shd w:val="clear" w:color="auto" w:fill="auto"/>
            <w:noWrap/>
            <w:vAlign w:val="center"/>
            <w:hideMark/>
          </w:tcPr>
          <w:p w14:paraId="5DE656F7" w14:textId="77777777" w:rsidR="0039438F" w:rsidRPr="0039438F" w:rsidRDefault="0039438F" w:rsidP="0039438F">
            <w:pPr>
              <w:spacing w:after="0" w:line="240" w:lineRule="auto"/>
              <w:jc w:val="right"/>
              <w:rPr>
                <w:rFonts w:ascii="Arial" w:eastAsia="Times New Roman" w:hAnsi="Arial" w:cs="Arial"/>
                <w:sz w:val="20"/>
                <w:szCs w:val="20"/>
                <w:lang w:eastAsia="en-GB"/>
              </w:rPr>
            </w:pPr>
            <w:r w:rsidRPr="0039438F">
              <w:rPr>
                <w:rFonts w:ascii="Arial" w:eastAsia="Times New Roman" w:hAnsi="Arial" w:cs="Arial"/>
                <w:bCs/>
                <w:sz w:val="20"/>
                <w:szCs w:val="20"/>
                <w:lang w:eastAsia="en-GB"/>
              </w:rPr>
              <w:t>79</w:t>
            </w:r>
          </w:p>
        </w:tc>
      </w:tr>
      <w:tr w:rsidR="0039438F" w:rsidRPr="000E6A87" w14:paraId="60A1FC97" w14:textId="77777777" w:rsidTr="00314A3A">
        <w:trPr>
          <w:gridAfter w:val="1"/>
          <w:wAfter w:w="592" w:type="dxa"/>
          <w:trHeight w:val="404"/>
        </w:trPr>
        <w:tc>
          <w:tcPr>
            <w:tcW w:w="4395" w:type="dxa"/>
            <w:tcBorders>
              <w:top w:val="nil"/>
              <w:left w:val="nil"/>
              <w:bottom w:val="nil"/>
              <w:right w:val="nil"/>
            </w:tcBorders>
            <w:shd w:val="clear" w:color="auto" w:fill="auto"/>
            <w:noWrap/>
            <w:vAlign w:val="center"/>
            <w:hideMark/>
          </w:tcPr>
          <w:p w14:paraId="53E42788" w14:textId="77777777" w:rsidR="0039438F" w:rsidRPr="000E6A87" w:rsidRDefault="0039438F" w:rsidP="0039438F">
            <w:pPr>
              <w:spacing w:after="0" w:line="240" w:lineRule="auto"/>
              <w:rPr>
                <w:rFonts w:ascii="Arial" w:eastAsia="Times New Roman" w:hAnsi="Arial" w:cs="Arial"/>
                <w:sz w:val="20"/>
                <w:szCs w:val="20"/>
                <w:lang w:eastAsia="en-GB"/>
              </w:rPr>
            </w:pPr>
            <w:r w:rsidRPr="000E6A87">
              <w:rPr>
                <w:rFonts w:ascii="Arial" w:eastAsia="Times New Roman" w:hAnsi="Arial" w:cs="Arial"/>
                <w:sz w:val="20"/>
                <w:szCs w:val="20"/>
                <w:lang w:eastAsia="en-GB"/>
              </w:rPr>
              <w:t>After five years</w:t>
            </w:r>
          </w:p>
        </w:tc>
        <w:tc>
          <w:tcPr>
            <w:tcW w:w="1470" w:type="dxa"/>
            <w:gridSpan w:val="3"/>
            <w:tcBorders>
              <w:top w:val="nil"/>
              <w:left w:val="nil"/>
              <w:bottom w:val="nil"/>
              <w:right w:val="nil"/>
            </w:tcBorders>
            <w:shd w:val="clear" w:color="auto" w:fill="auto"/>
            <w:noWrap/>
            <w:vAlign w:val="center"/>
          </w:tcPr>
          <w:p w14:paraId="72CD5F6D" w14:textId="77777777" w:rsidR="0039438F" w:rsidRPr="000E6A87" w:rsidRDefault="00257034" w:rsidP="0039438F">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16</w:t>
            </w:r>
            <w:r w:rsidR="00920BD0">
              <w:rPr>
                <w:rFonts w:ascii="Arial" w:eastAsia="Times New Roman" w:hAnsi="Arial" w:cs="Arial"/>
                <w:b/>
                <w:bCs/>
                <w:sz w:val="20"/>
                <w:szCs w:val="20"/>
                <w:lang w:eastAsia="en-GB"/>
              </w:rPr>
              <w:t>4</w:t>
            </w:r>
          </w:p>
        </w:tc>
        <w:tc>
          <w:tcPr>
            <w:tcW w:w="1256" w:type="dxa"/>
            <w:gridSpan w:val="2"/>
            <w:tcBorders>
              <w:top w:val="nil"/>
              <w:left w:val="nil"/>
              <w:bottom w:val="nil"/>
              <w:right w:val="nil"/>
            </w:tcBorders>
            <w:shd w:val="clear" w:color="auto" w:fill="auto"/>
            <w:noWrap/>
            <w:vAlign w:val="center"/>
            <w:hideMark/>
          </w:tcPr>
          <w:p w14:paraId="4BD2BC54" w14:textId="77777777" w:rsidR="0039438F" w:rsidRPr="0039438F" w:rsidRDefault="0039438F" w:rsidP="0039438F">
            <w:pPr>
              <w:spacing w:after="0" w:line="240" w:lineRule="auto"/>
              <w:jc w:val="right"/>
              <w:rPr>
                <w:rFonts w:ascii="Arial" w:eastAsia="Times New Roman" w:hAnsi="Arial" w:cs="Arial"/>
                <w:sz w:val="20"/>
                <w:szCs w:val="20"/>
                <w:lang w:eastAsia="en-GB"/>
              </w:rPr>
            </w:pPr>
            <w:r w:rsidRPr="0039438F">
              <w:rPr>
                <w:rFonts w:ascii="Arial" w:eastAsia="Times New Roman" w:hAnsi="Arial" w:cs="Arial"/>
                <w:bCs/>
                <w:sz w:val="20"/>
                <w:szCs w:val="20"/>
                <w:lang w:eastAsia="en-GB"/>
              </w:rPr>
              <w:t>43</w:t>
            </w:r>
          </w:p>
        </w:tc>
        <w:tc>
          <w:tcPr>
            <w:tcW w:w="1116" w:type="dxa"/>
            <w:gridSpan w:val="2"/>
            <w:tcBorders>
              <w:top w:val="nil"/>
              <w:left w:val="nil"/>
              <w:bottom w:val="nil"/>
              <w:right w:val="nil"/>
            </w:tcBorders>
            <w:shd w:val="clear" w:color="auto" w:fill="auto"/>
            <w:noWrap/>
            <w:vAlign w:val="center"/>
          </w:tcPr>
          <w:p w14:paraId="6E8FB35C" w14:textId="77777777" w:rsidR="0039438F" w:rsidRPr="000E6A87" w:rsidRDefault="007C00D5" w:rsidP="0039438F">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w:t>
            </w:r>
          </w:p>
        </w:tc>
        <w:tc>
          <w:tcPr>
            <w:tcW w:w="1116" w:type="dxa"/>
            <w:gridSpan w:val="2"/>
            <w:tcBorders>
              <w:top w:val="nil"/>
              <w:left w:val="nil"/>
              <w:bottom w:val="nil"/>
              <w:right w:val="nil"/>
            </w:tcBorders>
            <w:shd w:val="clear" w:color="auto" w:fill="auto"/>
            <w:noWrap/>
            <w:vAlign w:val="center"/>
            <w:hideMark/>
          </w:tcPr>
          <w:p w14:paraId="19E0D041" w14:textId="77777777" w:rsidR="0039438F" w:rsidRPr="0039438F" w:rsidRDefault="0039438F" w:rsidP="0039438F">
            <w:pPr>
              <w:spacing w:after="0" w:line="240" w:lineRule="auto"/>
              <w:jc w:val="right"/>
              <w:rPr>
                <w:rFonts w:ascii="Arial" w:eastAsia="Times New Roman" w:hAnsi="Arial" w:cs="Arial"/>
                <w:sz w:val="20"/>
                <w:szCs w:val="20"/>
                <w:lang w:eastAsia="en-GB"/>
              </w:rPr>
            </w:pPr>
            <w:r w:rsidRPr="0039438F">
              <w:rPr>
                <w:rFonts w:ascii="Arial" w:eastAsia="Times New Roman" w:hAnsi="Arial" w:cs="Arial"/>
                <w:bCs/>
                <w:sz w:val="20"/>
                <w:szCs w:val="20"/>
                <w:lang w:eastAsia="en-GB"/>
              </w:rPr>
              <w:t>-</w:t>
            </w:r>
          </w:p>
        </w:tc>
      </w:tr>
      <w:tr w:rsidR="0039438F" w:rsidRPr="000E6A87" w14:paraId="48A0AA2B" w14:textId="77777777" w:rsidTr="00314A3A">
        <w:trPr>
          <w:gridAfter w:val="1"/>
          <w:wAfter w:w="592" w:type="dxa"/>
          <w:trHeight w:val="404"/>
        </w:trPr>
        <w:tc>
          <w:tcPr>
            <w:tcW w:w="4395" w:type="dxa"/>
            <w:tcBorders>
              <w:top w:val="single" w:sz="4" w:space="0" w:color="auto"/>
              <w:left w:val="nil"/>
              <w:bottom w:val="single" w:sz="4" w:space="0" w:color="auto"/>
              <w:right w:val="nil"/>
            </w:tcBorders>
            <w:shd w:val="clear" w:color="auto" w:fill="auto"/>
            <w:noWrap/>
            <w:vAlign w:val="center"/>
            <w:hideMark/>
          </w:tcPr>
          <w:p w14:paraId="416428C9" w14:textId="77777777" w:rsidR="0039438F" w:rsidRPr="000E6A87" w:rsidRDefault="0039438F" w:rsidP="0039438F">
            <w:pPr>
              <w:spacing w:after="0" w:line="240" w:lineRule="auto"/>
              <w:rPr>
                <w:rFonts w:ascii="Arial" w:eastAsia="Times New Roman" w:hAnsi="Arial" w:cs="Arial"/>
                <w:sz w:val="20"/>
                <w:szCs w:val="20"/>
                <w:lang w:eastAsia="en-GB"/>
              </w:rPr>
            </w:pPr>
            <w:r w:rsidRPr="000E6A87">
              <w:rPr>
                <w:rFonts w:ascii="Arial" w:eastAsia="Times New Roman" w:hAnsi="Arial" w:cs="Arial"/>
                <w:sz w:val="20"/>
                <w:szCs w:val="20"/>
                <w:lang w:eastAsia="en-GB"/>
              </w:rPr>
              <w:t>Total</w:t>
            </w:r>
          </w:p>
        </w:tc>
        <w:tc>
          <w:tcPr>
            <w:tcW w:w="1470" w:type="dxa"/>
            <w:gridSpan w:val="3"/>
            <w:tcBorders>
              <w:top w:val="single" w:sz="4" w:space="0" w:color="auto"/>
              <w:left w:val="nil"/>
              <w:bottom w:val="single" w:sz="4" w:space="0" w:color="auto"/>
              <w:right w:val="nil"/>
            </w:tcBorders>
            <w:shd w:val="clear" w:color="auto" w:fill="auto"/>
            <w:noWrap/>
            <w:vAlign w:val="center"/>
          </w:tcPr>
          <w:p w14:paraId="3A7D917E" w14:textId="77777777" w:rsidR="0039438F" w:rsidRPr="000E6A87" w:rsidRDefault="00373A6A" w:rsidP="0039438F">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3,</w:t>
            </w:r>
            <w:r w:rsidR="00257034">
              <w:rPr>
                <w:rFonts w:ascii="Arial" w:eastAsia="Times New Roman" w:hAnsi="Arial" w:cs="Arial"/>
                <w:b/>
                <w:bCs/>
                <w:sz w:val="20"/>
                <w:szCs w:val="20"/>
                <w:lang w:eastAsia="en-GB"/>
              </w:rPr>
              <w:t>00</w:t>
            </w:r>
            <w:r w:rsidR="00920BD0">
              <w:rPr>
                <w:rFonts w:ascii="Arial" w:eastAsia="Times New Roman" w:hAnsi="Arial" w:cs="Arial"/>
                <w:b/>
                <w:bCs/>
                <w:sz w:val="20"/>
                <w:szCs w:val="20"/>
                <w:lang w:eastAsia="en-GB"/>
              </w:rPr>
              <w:t>2</w:t>
            </w:r>
          </w:p>
        </w:tc>
        <w:tc>
          <w:tcPr>
            <w:tcW w:w="1256" w:type="dxa"/>
            <w:gridSpan w:val="2"/>
            <w:tcBorders>
              <w:top w:val="single" w:sz="4" w:space="0" w:color="auto"/>
              <w:left w:val="nil"/>
              <w:bottom w:val="single" w:sz="4" w:space="0" w:color="auto"/>
              <w:right w:val="nil"/>
            </w:tcBorders>
            <w:shd w:val="clear" w:color="auto" w:fill="auto"/>
            <w:noWrap/>
            <w:vAlign w:val="center"/>
            <w:hideMark/>
          </w:tcPr>
          <w:p w14:paraId="7E436CE1" w14:textId="77777777" w:rsidR="0039438F" w:rsidRPr="0039438F" w:rsidRDefault="0039438F" w:rsidP="0039438F">
            <w:pPr>
              <w:spacing w:after="0" w:line="240" w:lineRule="auto"/>
              <w:jc w:val="right"/>
              <w:rPr>
                <w:rFonts w:ascii="Arial" w:eastAsia="Times New Roman" w:hAnsi="Arial" w:cs="Arial"/>
                <w:sz w:val="20"/>
                <w:szCs w:val="20"/>
                <w:lang w:eastAsia="en-GB"/>
              </w:rPr>
            </w:pPr>
            <w:r w:rsidRPr="0039438F">
              <w:rPr>
                <w:rFonts w:ascii="Arial" w:eastAsia="Times New Roman" w:hAnsi="Arial" w:cs="Arial"/>
                <w:bCs/>
                <w:sz w:val="20"/>
                <w:szCs w:val="20"/>
                <w:lang w:eastAsia="en-GB"/>
              </w:rPr>
              <w:t>2,828</w:t>
            </w:r>
          </w:p>
        </w:tc>
        <w:tc>
          <w:tcPr>
            <w:tcW w:w="1116" w:type="dxa"/>
            <w:gridSpan w:val="2"/>
            <w:tcBorders>
              <w:top w:val="single" w:sz="4" w:space="0" w:color="auto"/>
              <w:left w:val="nil"/>
              <w:bottom w:val="single" w:sz="4" w:space="0" w:color="auto"/>
              <w:right w:val="nil"/>
            </w:tcBorders>
            <w:shd w:val="clear" w:color="auto" w:fill="auto"/>
            <w:noWrap/>
            <w:vAlign w:val="center"/>
          </w:tcPr>
          <w:p w14:paraId="7BB4F955" w14:textId="77777777" w:rsidR="0039438F" w:rsidRPr="000E6A87" w:rsidRDefault="00920BD0" w:rsidP="0039438F">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267</w:t>
            </w:r>
          </w:p>
        </w:tc>
        <w:tc>
          <w:tcPr>
            <w:tcW w:w="1116" w:type="dxa"/>
            <w:gridSpan w:val="2"/>
            <w:tcBorders>
              <w:top w:val="single" w:sz="4" w:space="0" w:color="auto"/>
              <w:left w:val="nil"/>
              <w:bottom w:val="single" w:sz="4" w:space="0" w:color="auto"/>
              <w:right w:val="nil"/>
            </w:tcBorders>
            <w:shd w:val="clear" w:color="auto" w:fill="auto"/>
            <w:noWrap/>
            <w:vAlign w:val="center"/>
            <w:hideMark/>
          </w:tcPr>
          <w:p w14:paraId="68CE2CFC" w14:textId="77777777" w:rsidR="0039438F" w:rsidRPr="0039438F" w:rsidRDefault="0039438F" w:rsidP="0039438F">
            <w:pPr>
              <w:spacing w:after="0" w:line="240" w:lineRule="auto"/>
              <w:jc w:val="right"/>
              <w:rPr>
                <w:rFonts w:ascii="Arial" w:eastAsia="Times New Roman" w:hAnsi="Arial" w:cs="Arial"/>
                <w:sz w:val="20"/>
                <w:szCs w:val="20"/>
                <w:lang w:eastAsia="en-GB"/>
              </w:rPr>
            </w:pPr>
            <w:r w:rsidRPr="0039438F">
              <w:rPr>
                <w:rFonts w:ascii="Arial" w:eastAsia="Times New Roman" w:hAnsi="Arial" w:cs="Arial"/>
                <w:bCs/>
                <w:sz w:val="20"/>
                <w:szCs w:val="20"/>
                <w:lang w:eastAsia="en-GB"/>
              </w:rPr>
              <w:t>259</w:t>
            </w:r>
          </w:p>
        </w:tc>
      </w:tr>
    </w:tbl>
    <w:p w14:paraId="56AD1FAB" w14:textId="77777777" w:rsidR="00E70CD3" w:rsidRDefault="00E70CD3" w:rsidP="00C36CB2">
      <w:pPr>
        <w:autoSpaceDE w:val="0"/>
        <w:autoSpaceDN w:val="0"/>
        <w:adjustRightInd w:val="0"/>
        <w:spacing w:after="0" w:line="240" w:lineRule="auto"/>
        <w:jc w:val="center"/>
        <w:rPr>
          <w:rFonts w:ascii="Arial" w:hAnsi="Arial" w:cs="Arial"/>
          <w:sz w:val="20"/>
          <w:szCs w:val="20"/>
        </w:rPr>
      </w:pPr>
    </w:p>
    <w:p w14:paraId="4AA4BA1D" w14:textId="77777777" w:rsidR="00E70CD3" w:rsidRDefault="00E70CD3" w:rsidP="00E70CD3">
      <w:pPr>
        <w:autoSpaceDE w:val="0"/>
        <w:autoSpaceDN w:val="0"/>
        <w:adjustRightInd w:val="0"/>
        <w:spacing w:after="0" w:line="240" w:lineRule="auto"/>
        <w:rPr>
          <w:rFonts w:ascii="Arial" w:hAnsi="Arial" w:cs="Arial"/>
          <w:sz w:val="20"/>
          <w:szCs w:val="20"/>
        </w:rPr>
      </w:pPr>
    </w:p>
    <w:p w14:paraId="2C84BFF4" w14:textId="259E5A6A" w:rsidR="00E70CD3" w:rsidRDefault="00E70CD3" w:rsidP="00E70CD3">
      <w:pPr>
        <w:autoSpaceDE w:val="0"/>
        <w:autoSpaceDN w:val="0"/>
        <w:adjustRightInd w:val="0"/>
        <w:spacing w:after="0" w:line="240" w:lineRule="auto"/>
        <w:rPr>
          <w:rFonts w:ascii="Arial" w:hAnsi="Arial" w:cs="Arial"/>
          <w:sz w:val="24"/>
          <w:szCs w:val="24"/>
        </w:rPr>
      </w:pPr>
      <w:r w:rsidRPr="002B2F3F">
        <w:rPr>
          <w:rFonts w:ascii="Arial" w:hAnsi="Arial" w:cs="Arial"/>
          <w:sz w:val="24"/>
          <w:szCs w:val="24"/>
        </w:rPr>
        <w:t>Other operating leases relate to motor vehicles and office equipment.</w:t>
      </w:r>
    </w:p>
    <w:p w14:paraId="46FF5C37" w14:textId="4D817D4D" w:rsidR="007E6118" w:rsidRDefault="007E6118" w:rsidP="00E70CD3">
      <w:pPr>
        <w:autoSpaceDE w:val="0"/>
        <w:autoSpaceDN w:val="0"/>
        <w:adjustRightInd w:val="0"/>
        <w:spacing w:after="0" w:line="240" w:lineRule="auto"/>
        <w:rPr>
          <w:rFonts w:ascii="Arial" w:hAnsi="Arial" w:cs="Arial"/>
          <w:sz w:val="24"/>
          <w:szCs w:val="24"/>
        </w:rPr>
      </w:pPr>
    </w:p>
    <w:p w14:paraId="7BB0CC35" w14:textId="77777777" w:rsidR="007E6118" w:rsidRPr="002B2F3F" w:rsidRDefault="007E6118" w:rsidP="00E70CD3">
      <w:pPr>
        <w:autoSpaceDE w:val="0"/>
        <w:autoSpaceDN w:val="0"/>
        <w:adjustRightInd w:val="0"/>
        <w:spacing w:after="0" w:line="240" w:lineRule="auto"/>
        <w:rPr>
          <w:rFonts w:ascii="Arial" w:hAnsi="Arial" w:cs="Arial"/>
          <w:sz w:val="24"/>
          <w:szCs w:val="24"/>
        </w:rPr>
      </w:pPr>
    </w:p>
    <w:p w14:paraId="7BC4D02C" w14:textId="77777777" w:rsidR="00C47BA9" w:rsidRDefault="00C47BA9" w:rsidP="00C47BA9">
      <w:pPr>
        <w:spacing w:after="0" w:line="240" w:lineRule="auto"/>
        <w:rPr>
          <w:rFonts w:ascii="Arial" w:hAnsi="Arial" w:cs="Arial"/>
          <w:b/>
          <w:i/>
          <w:sz w:val="24"/>
          <w:szCs w:val="24"/>
        </w:rPr>
      </w:pPr>
    </w:p>
    <w:p w14:paraId="487334B3" w14:textId="77777777" w:rsidR="00C47BA9" w:rsidRDefault="00C47BA9" w:rsidP="003008E9">
      <w:pPr>
        <w:spacing w:after="0" w:line="240" w:lineRule="auto"/>
        <w:rPr>
          <w:rFonts w:ascii="Arial" w:hAnsi="Arial" w:cs="Arial"/>
          <w:b/>
          <w:i/>
          <w:sz w:val="24"/>
          <w:szCs w:val="24"/>
        </w:rPr>
      </w:pPr>
      <w:r w:rsidRPr="0088736E">
        <w:rPr>
          <w:rFonts w:ascii="Arial" w:hAnsi="Arial" w:cs="Arial"/>
          <w:b/>
          <w:i/>
          <w:sz w:val="24"/>
          <w:szCs w:val="24"/>
        </w:rPr>
        <w:lastRenderedPageBreak/>
        <w:t xml:space="preserve">Notes to the financial </w:t>
      </w:r>
      <w:r>
        <w:rPr>
          <w:rFonts w:ascii="Arial" w:hAnsi="Arial" w:cs="Arial"/>
          <w:b/>
          <w:i/>
          <w:sz w:val="24"/>
          <w:szCs w:val="24"/>
        </w:rPr>
        <w:t>statements</w:t>
      </w:r>
      <w:r w:rsidRPr="0088736E">
        <w:rPr>
          <w:rFonts w:ascii="Arial" w:hAnsi="Arial" w:cs="Arial"/>
          <w:b/>
          <w:i/>
          <w:sz w:val="24"/>
          <w:szCs w:val="24"/>
        </w:rPr>
        <w:t xml:space="preserve"> (continued)</w:t>
      </w:r>
    </w:p>
    <w:p w14:paraId="06B995AA" w14:textId="77777777" w:rsidR="00193396" w:rsidRDefault="00193396" w:rsidP="003008E9">
      <w:pPr>
        <w:spacing w:after="0" w:line="240" w:lineRule="auto"/>
        <w:rPr>
          <w:rFonts w:ascii="OpenSans-Light" w:hAnsi="OpenSans-Light" w:cs="OpenSans-Light"/>
          <w:sz w:val="24"/>
          <w:szCs w:val="24"/>
        </w:rPr>
      </w:pPr>
    </w:p>
    <w:p w14:paraId="18AF5E0C" w14:textId="77777777" w:rsidR="00E70CD3" w:rsidRPr="002B2F3F" w:rsidRDefault="00193396" w:rsidP="006647C2">
      <w:pPr>
        <w:rPr>
          <w:rFonts w:ascii="Arial" w:hAnsi="Arial" w:cs="Arial"/>
          <w:b/>
          <w:sz w:val="24"/>
          <w:szCs w:val="24"/>
        </w:rPr>
      </w:pPr>
      <w:r>
        <w:rPr>
          <w:rFonts w:ascii="OpenSans-Light" w:hAnsi="OpenSans-Light" w:cs="OpenSans-Light"/>
          <w:sz w:val="24"/>
          <w:szCs w:val="24"/>
        </w:rPr>
        <w:t xml:space="preserve"> </w:t>
      </w:r>
      <w:r w:rsidR="00E70CD3" w:rsidRPr="002B2F3F">
        <w:rPr>
          <w:rFonts w:ascii="Arial" w:hAnsi="Arial" w:cs="Arial"/>
          <w:b/>
          <w:sz w:val="24"/>
          <w:szCs w:val="24"/>
        </w:rPr>
        <w:t>23. Capital commitments</w:t>
      </w:r>
    </w:p>
    <w:p w14:paraId="1AB7AA2F" w14:textId="77777777" w:rsidR="00E70CD3" w:rsidRPr="002B2F3F" w:rsidRDefault="00E70CD3" w:rsidP="00E70CD3">
      <w:pPr>
        <w:autoSpaceDE w:val="0"/>
        <w:autoSpaceDN w:val="0"/>
        <w:adjustRightInd w:val="0"/>
        <w:spacing w:after="0" w:line="240" w:lineRule="auto"/>
        <w:rPr>
          <w:rFonts w:ascii="Arial" w:hAnsi="Arial" w:cs="Arial"/>
          <w:sz w:val="24"/>
          <w:szCs w:val="24"/>
        </w:rPr>
      </w:pPr>
      <w:r w:rsidRPr="002B2F3F">
        <w:rPr>
          <w:rFonts w:ascii="Arial" w:hAnsi="Arial" w:cs="Arial"/>
          <w:sz w:val="24"/>
          <w:szCs w:val="24"/>
        </w:rPr>
        <w:t xml:space="preserve">As at 31 August </w:t>
      </w:r>
      <w:r w:rsidR="0037645F">
        <w:rPr>
          <w:rFonts w:ascii="Arial" w:hAnsi="Arial" w:cs="Arial"/>
          <w:sz w:val="24"/>
          <w:szCs w:val="24"/>
        </w:rPr>
        <w:t>2020</w:t>
      </w:r>
      <w:r w:rsidRPr="002B2F3F">
        <w:rPr>
          <w:rFonts w:ascii="Arial" w:hAnsi="Arial" w:cs="Arial"/>
          <w:sz w:val="24"/>
          <w:szCs w:val="24"/>
        </w:rPr>
        <w:t xml:space="preserve"> the Trust had </w:t>
      </w:r>
      <w:r w:rsidRPr="00ED7E03">
        <w:rPr>
          <w:rFonts w:ascii="Arial" w:hAnsi="Arial" w:cs="Arial"/>
          <w:sz w:val="24"/>
          <w:szCs w:val="24"/>
        </w:rPr>
        <w:t>£nil capital</w:t>
      </w:r>
      <w:r w:rsidRPr="002B2F3F">
        <w:rPr>
          <w:rFonts w:ascii="Arial" w:hAnsi="Arial" w:cs="Arial"/>
          <w:sz w:val="24"/>
          <w:szCs w:val="24"/>
        </w:rPr>
        <w:t xml:space="preserve"> commitments (</w:t>
      </w:r>
      <w:r w:rsidR="0037645F">
        <w:rPr>
          <w:rFonts w:ascii="Arial" w:hAnsi="Arial" w:cs="Arial"/>
          <w:sz w:val="24"/>
          <w:szCs w:val="24"/>
        </w:rPr>
        <w:t>2019</w:t>
      </w:r>
      <w:r w:rsidRPr="002B2F3F">
        <w:rPr>
          <w:rFonts w:ascii="Arial" w:hAnsi="Arial" w:cs="Arial"/>
          <w:sz w:val="24"/>
          <w:szCs w:val="24"/>
        </w:rPr>
        <w:t>: £nil).</w:t>
      </w:r>
    </w:p>
    <w:p w14:paraId="13088CEB" w14:textId="77777777" w:rsidR="00E70CD3" w:rsidRPr="002B2F3F" w:rsidRDefault="00E70CD3" w:rsidP="00E70CD3">
      <w:pPr>
        <w:autoSpaceDE w:val="0"/>
        <w:autoSpaceDN w:val="0"/>
        <w:adjustRightInd w:val="0"/>
        <w:spacing w:after="0" w:line="240" w:lineRule="auto"/>
        <w:rPr>
          <w:rFonts w:ascii="Arial" w:hAnsi="Arial" w:cs="Arial"/>
          <w:sz w:val="24"/>
          <w:szCs w:val="24"/>
        </w:rPr>
      </w:pPr>
    </w:p>
    <w:p w14:paraId="4A12BD8E" w14:textId="77777777" w:rsidR="00E70CD3" w:rsidRPr="002B2F3F" w:rsidRDefault="00E70CD3" w:rsidP="00665BC7">
      <w:pPr>
        <w:rPr>
          <w:rFonts w:ascii="Arial" w:hAnsi="Arial" w:cs="Arial"/>
          <w:b/>
          <w:sz w:val="24"/>
          <w:szCs w:val="24"/>
        </w:rPr>
      </w:pPr>
      <w:r w:rsidRPr="002B2F3F">
        <w:rPr>
          <w:rFonts w:ascii="Arial" w:hAnsi="Arial" w:cs="Arial"/>
          <w:b/>
          <w:sz w:val="24"/>
          <w:szCs w:val="24"/>
        </w:rPr>
        <w:t>24. Pension commitments</w:t>
      </w:r>
    </w:p>
    <w:p w14:paraId="4BFED48A" w14:textId="77777777" w:rsidR="00B67447" w:rsidRDefault="00E70CD3" w:rsidP="006647C2">
      <w:pPr>
        <w:autoSpaceDE w:val="0"/>
        <w:autoSpaceDN w:val="0"/>
        <w:adjustRightInd w:val="0"/>
        <w:spacing w:after="200" w:line="240" w:lineRule="auto"/>
        <w:jc w:val="both"/>
        <w:rPr>
          <w:rFonts w:ascii="Arial" w:hAnsi="Arial" w:cs="Arial"/>
          <w:sz w:val="24"/>
          <w:szCs w:val="24"/>
        </w:rPr>
      </w:pPr>
      <w:r w:rsidRPr="002B2F3F">
        <w:rPr>
          <w:rFonts w:ascii="Arial" w:hAnsi="Arial" w:cs="Arial"/>
          <w:sz w:val="24"/>
          <w:szCs w:val="24"/>
        </w:rPr>
        <w:t>The Trust makes payments to the</w:t>
      </w:r>
      <w:r w:rsidR="00D56B8D">
        <w:rPr>
          <w:rFonts w:ascii="Arial" w:hAnsi="Arial" w:cs="Arial"/>
          <w:sz w:val="24"/>
          <w:szCs w:val="24"/>
        </w:rPr>
        <w:t xml:space="preserve"> South Yorkshire Pension Scheme and</w:t>
      </w:r>
      <w:r w:rsidRPr="002B2F3F">
        <w:rPr>
          <w:rFonts w:ascii="Arial" w:hAnsi="Arial" w:cs="Arial"/>
          <w:sz w:val="24"/>
          <w:szCs w:val="24"/>
        </w:rPr>
        <w:t xml:space="preserve"> the Platinum multi-employer pass ported scheme</w:t>
      </w:r>
      <w:r w:rsidR="00D56B8D">
        <w:rPr>
          <w:rFonts w:ascii="Arial" w:hAnsi="Arial" w:cs="Arial"/>
          <w:sz w:val="24"/>
          <w:szCs w:val="24"/>
        </w:rPr>
        <w:t xml:space="preserve">. </w:t>
      </w:r>
    </w:p>
    <w:p w14:paraId="0A2C97D0" w14:textId="77777777" w:rsidR="00E70CD3" w:rsidRPr="002B2F3F" w:rsidRDefault="00B67447" w:rsidP="006647C2">
      <w:pPr>
        <w:autoSpaceDE w:val="0"/>
        <w:autoSpaceDN w:val="0"/>
        <w:adjustRightInd w:val="0"/>
        <w:spacing w:after="200" w:line="240" w:lineRule="auto"/>
        <w:jc w:val="both"/>
        <w:rPr>
          <w:rFonts w:ascii="Arial" w:hAnsi="Arial" w:cs="Arial"/>
          <w:sz w:val="24"/>
          <w:szCs w:val="24"/>
        </w:rPr>
      </w:pPr>
      <w:r>
        <w:rPr>
          <w:rFonts w:ascii="Arial" w:hAnsi="Arial" w:cs="Arial"/>
          <w:sz w:val="24"/>
          <w:szCs w:val="24"/>
        </w:rPr>
        <w:t>The Group</w:t>
      </w:r>
      <w:r w:rsidR="00D56B8D">
        <w:rPr>
          <w:rFonts w:ascii="Arial" w:hAnsi="Arial" w:cs="Arial"/>
          <w:sz w:val="24"/>
          <w:szCs w:val="24"/>
        </w:rPr>
        <w:t xml:space="preserve"> also</w:t>
      </w:r>
      <w:r w:rsidR="00E70CD3" w:rsidRPr="002B2F3F">
        <w:rPr>
          <w:rFonts w:ascii="Arial" w:hAnsi="Arial" w:cs="Arial"/>
          <w:sz w:val="24"/>
          <w:szCs w:val="24"/>
        </w:rPr>
        <w:t xml:space="preserve"> participates in </w:t>
      </w:r>
      <w:r w:rsidR="008A0089">
        <w:rPr>
          <w:rFonts w:ascii="Arial" w:hAnsi="Arial" w:cs="Arial"/>
          <w:sz w:val="24"/>
          <w:szCs w:val="24"/>
        </w:rPr>
        <w:t>f</w:t>
      </w:r>
      <w:r w:rsidR="00BC08E7">
        <w:rPr>
          <w:rFonts w:ascii="Arial" w:hAnsi="Arial" w:cs="Arial"/>
          <w:sz w:val="24"/>
          <w:szCs w:val="24"/>
        </w:rPr>
        <w:t>ive</w:t>
      </w:r>
      <w:r w:rsidR="00E70CD3" w:rsidRPr="002B2F3F">
        <w:rPr>
          <w:rFonts w:ascii="Arial" w:hAnsi="Arial" w:cs="Arial"/>
          <w:sz w:val="24"/>
          <w:szCs w:val="24"/>
        </w:rPr>
        <w:t xml:space="preserve"> local government pension schemes (LGPS)</w:t>
      </w:r>
      <w:r w:rsidR="00E91283">
        <w:rPr>
          <w:rFonts w:ascii="Arial" w:hAnsi="Arial" w:cs="Arial"/>
          <w:sz w:val="24"/>
          <w:szCs w:val="24"/>
        </w:rPr>
        <w:t>,</w:t>
      </w:r>
      <w:r w:rsidR="00E70CD3" w:rsidRPr="002B2F3F">
        <w:rPr>
          <w:rFonts w:ascii="Arial" w:hAnsi="Arial" w:cs="Arial"/>
          <w:sz w:val="24"/>
          <w:szCs w:val="24"/>
        </w:rPr>
        <w:t xml:space="preserve"> </w:t>
      </w:r>
      <w:r w:rsidR="00E91283">
        <w:rPr>
          <w:rFonts w:ascii="Arial" w:hAnsi="Arial" w:cs="Arial"/>
          <w:sz w:val="24"/>
          <w:szCs w:val="24"/>
        </w:rPr>
        <w:t xml:space="preserve">under the umbrella of Shaw Education Trust, </w:t>
      </w:r>
      <w:r w:rsidR="00E70CD3" w:rsidRPr="002B2F3F">
        <w:rPr>
          <w:rFonts w:ascii="Arial" w:hAnsi="Arial" w:cs="Arial"/>
          <w:sz w:val="24"/>
          <w:szCs w:val="24"/>
        </w:rPr>
        <w:t>operated by Staffordshire Council, the West Midland Pension Fund</w:t>
      </w:r>
      <w:r w:rsidR="008A0089">
        <w:rPr>
          <w:rFonts w:ascii="Arial" w:hAnsi="Arial" w:cs="Arial"/>
          <w:sz w:val="24"/>
          <w:szCs w:val="24"/>
        </w:rPr>
        <w:t>,</w:t>
      </w:r>
      <w:r w:rsidR="00E70CD3" w:rsidRPr="002B2F3F">
        <w:rPr>
          <w:rFonts w:ascii="Arial" w:hAnsi="Arial" w:cs="Arial"/>
          <w:sz w:val="24"/>
          <w:szCs w:val="24"/>
        </w:rPr>
        <w:t xml:space="preserve"> Greater Manchester Pension Fund</w:t>
      </w:r>
      <w:r w:rsidR="00BC08E7">
        <w:rPr>
          <w:rFonts w:ascii="Arial" w:hAnsi="Arial" w:cs="Arial"/>
          <w:sz w:val="24"/>
          <w:szCs w:val="24"/>
        </w:rPr>
        <w:t>,</w:t>
      </w:r>
      <w:r w:rsidR="008A0089">
        <w:rPr>
          <w:rFonts w:ascii="Arial" w:hAnsi="Arial" w:cs="Arial"/>
          <w:sz w:val="24"/>
          <w:szCs w:val="24"/>
        </w:rPr>
        <w:t xml:space="preserve"> Cheshire County Council Fund</w:t>
      </w:r>
      <w:r w:rsidR="00BC08E7">
        <w:rPr>
          <w:rFonts w:ascii="Arial" w:hAnsi="Arial" w:cs="Arial"/>
          <w:sz w:val="24"/>
          <w:szCs w:val="24"/>
        </w:rPr>
        <w:t xml:space="preserve"> and </w:t>
      </w:r>
      <w:r w:rsidR="00F93B71" w:rsidRPr="00F93B71">
        <w:rPr>
          <w:rFonts w:ascii="Arial" w:hAnsi="Arial" w:cs="Arial"/>
          <w:sz w:val="24"/>
          <w:szCs w:val="24"/>
        </w:rPr>
        <w:t>Derbyshire Pension Fund</w:t>
      </w:r>
      <w:r w:rsidR="00E70CD3" w:rsidRPr="002B2F3F">
        <w:rPr>
          <w:rFonts w:ascii="Arial" w:hAnsi="Arial" w:cs="Arial"/>
          <w:sz w:val="24"/>
          <w:szCs w:val="24"/>
        </w:rPr>
        <w:t xml:space="preserve">. </w:t>
      </w:r>
      <w:r w:rsidR="00F93B71" w:rsidRPr="00F93B71">
        <w:rPr>
          <w:rFonts w:ascii="Arial" w:hAnsi="Arial" w:cs="Arial"/>
          <w:sz w:val="24"/>
          <w:szCs w:val="24"/>
        </w:rPr>
        <w:t>Derbyshire Pension Fund</w:t>
      </w:r>
      <w:r w:rsidR="00F93B71">
        <w:rPr>
          <w:rFonts w:ascii="Arial" w:hAnsi="Arial" w:cs="Arial"/>
          <w:sz w:val="24"/>
          <w:szCs w:val="24"/>
        </w:rPr>
        <w:t xml:space="preserve"> </w:t>
      </w:r>
      <w:r w:rsidR="00D56B8D">
        <w:rPr>
          <w:rFonts w:ascii="Arial" w:hAnsi="Arial" w:cs="Arial"/>
          <w:sz w:val="24"/>
          <w:szCs w:val="24"/>
        </w:rPr>
        <w:t xml:space="preserve">is new this year. </w:t>
      </w:r>
      <w:r w:rsidR="00E70CD3" w:rsidRPr="002B2F3F">
        <w:rPr>
          <w:rFonts w:ascii="Arial" w:hAnsi="Arial" w:cs="Arial"/>
          <w:sz w:val="24"/>
          <w:szCs w:val="24"/>
        </w:rPr>
        <w:t>Those schemes are in respect of certain employees to whom The Transfer of Undertakings (Protection of Employment) Regulations (TUPE) applied. The schemes are defined benefit schemes and the assets are held in a separately administered funds. The schemes are multi-employer schemes but it is possible to identify the Trust’s share of the Schemes’ assets and liabilities and these are separately disclosed below.</w:t>
      </w:r>
    </w:p>
    <w:p w14:paraId="6BC8CCB1" w14:textId="77777777" w:rsidR="00E70CD3" w:rsidRPr="002B2F3F" w:rsidRDefault="00E70CD3" w:rsidP="006647C2">
      <w:pPr>
        <w:autoSpaceDE w:val="0"/>
        <w:autoSpaceDN w:val="0"/>
        <w:adjustRightInd w:val="0"/>
        <w:spacing w:after="200" w:line="240" w:lineRule="auto"/>
        <w:jc w:val="both"/>
        <w:rPr>
          <w:rFonts w:ascii="Arial" w:hAnsi="Arial" w:cs="Arial"/>
          <w:sz w:val="24"/>
          <w:szCs w:val="24"/>
        </w:rPr>
      </w:pPr>
      <w:r w:rsidRPr="002B2F3F">
        <w:rPr>
          <w:rFonts w:ascii="Arial" w:hAnsi="Arial" w:cs="Arial"/>
          <w:sz w:val="24"/>
          <w:szCs w:val="24"/>
        </w:rPr>
        <w:t xml:space="preserve">The </w:t>
      </w:r>
      <w:r w:rsidR="00B67447">
        <w:rPr>
          <w:rFonts w:ascii="Arial" w:hAnsi="Arial" w:cs="Arial"/>
          <w:sz w:val="24"/>
          <w:szCs w:val="24"/>
        </w:rPr>
        <w:t>Group</w:t>
      </w:r>
      <w:r w:rsidR="00E91283">
        <w:rPr>
          <w:rFonts w:ascii="Arial" w:hAnsi="Arial" w:cs="Arial"/>
          <w:sz w:val="24"/>
          <w:szCs w:val="24"/>
        </w:rPr>
        <w:t xml:space="preserve"> also had admission agreements, through Prospects Services, </w:t>
      </w:r>
      <w:r w:rsidRPr="002B2F3F">
        <w:rPr>
          <w:rFonts w:ascii="Arial" w:hAnsi="Arial" w:cs="Arial"/>
          <w:sz w:val="24"/>
          <w:szCs w:val="24"/>
        </w:rPr>
        <w:t>with the London Pensions Fund Authority, the City of Bradford Metropolitan District Council responsible for the West Yorkshire Pension Fund, Gloucestershire County Council, Northamptonshire County Council and Wolverhampton City Council responsible for the West Midlands Metropolitan Authorities Pension Fund and Leicestershire County Council all of whom administer funds as part of the Local Government Pension Scheme (LGPS). The LGPS is a multi-employer statutory defined benefit pension scheme and the scheme members have a statutory right to their accrued benefits.</w:t>
      </w:r>
    </w:p>
    <w:p w14:paraId="1161A31B" w14:textId="77777777" w:rsidR="00E70CD3" w:rsidRDefault="00E91283" w:rsidP="006647C2">
      <w:pPr>
        <w:autoSpaceDE w:val="0"/>
        <w:autoSpaceDN w:val="0"/>
        <w:adjustRightInd w:val="0"/>
        <w:spacing w:after="200" w:line="240" w:lineRule="auto"/>
        <w:jc w:val="both"/>
        <w:rPr>
          <w:rFonts w:ascii="Arial" w:hAnsi="Arial" w:cs="Arial"/>
          <w:sz w:val="24"/>
          <w:szCs w:val="24"/>
        </w:rPr>
      </w:pPr>
      <w:r>
        <w:rPr>
          <w:rFonts w:ascii="Arial" w:hAnsi="Arial" w:cs="Arial"/>
          <w:sz w:val="24"/>
          <w:szCs w:val="24"/>
        </w:rPr>
        <w:t xml:space="preserve">The </w:t>
      </w:r>
      <w:r w:rsidR="00B67447">
        <w:rPr>
          <w:rFonts w:ascii="Arial" w:hAnsi="Arial" w:cs="Arial"/>
          <w:sz w:val="24"/>
          <w:szCs w:val="24"/>
        </w:rPr>
        <w:t>Group’s</w:t>
      </w:r>
      <w:r w:rsidR="00D56B8D">
        <w:rPr>
          <w:rFonts w:ascii="Arial" w:hAnsi="Arial" w:cs="Arial"/>
          <w:sz w:val="24"/>
          <w:szCs w:val="24"/>
        </w:rPr>
        <w:t>’</w:t>
      </w:r>
      <w:r w:rsidR="00E70CD3" w:rsidRPr="002B2F3F">
        <w:rPr>
          <w:rFonts w:ascii="Arial" w:hAnsi="Arial" w:cs="Arial"/>
          <w:sz w:val="24"/>
          <w:szCs w:val="24"/>
        </w:rPr>
        <w:t xml:space="preserve"> as</w:t>
      </w:r>
      <w:r w:rsidR="00BC08E7">
        <w:rPr>
          <w:rFonts w:ascii="Arial" w:hAnsi="Arial" w:cs="Arial"/>
          <w:sz w:val="24"/>
          <w:szCs w:val="24"/>
        </w:rPr>
        <w:t>sessed share of the fair value o</w:t>
      </w:r>
      <w:r w:rsidR="00E70CD3" w:rsidRPr="002B2F3F">
        <w:rPr>
          <w:rFonts w:ascii="Arial" w:hAnsi="Arial" w:cs="Arial"/>
          <w:sz w:val="24"/>
          <w:szCs w:val="24"/>
        </w:rPr>
        <w:t xml:space="preserve">f </w:t>
      </w:r>
      <w:r w:rsidR="005076F2">
        <w:rPr>
          <w:rFonts w:ascii="Arial" w:hAnsi="Arial" w:cs="Arial"/>
          <w:sz w:val="24"/>
          <w:szCs w:val="24"/>
        </w:rPr>
        <w:t>the assets of the schemes were:</w:t>
      </w:r>
    </w:p>
    <w:p w14:paraId="69BAFF93" w14:textId="77777777" w:rsidR="006E7C43" w:rsidRDefault="006E7C43" w:rsidP="006E7C43">
      <w:pPr>
        <w:tabs>
          <w:tab w:val="left" w:pos="567"/>
        </w:tabs>
        <w:ind w:left="567" w:hanging="567"/>
        <w:rPr>
          <w:rFonts w:ascii="Arial" w:hAnsi="Arial" w:cs="Arial"/>
          <w:b/>
          <w:i/>
          <w:sz w:val="24"/>
          <w:szCs w:val="24"/>
        </w:rPr>
      </w:pPr>
    </w:p>
    <w:p w14:paraId="45EB9028" w14:textId="77777777" w:rsidR="00C47BA9" w:rsidRDefault="00C47BA9" w:rsidP="006C07DD">
      <w:pPr>
        <w:spacing w:after="0" w:line="240" w:lineRule="auto"/>
        <w:rPr>
          <w:rFonts w:ascii="Arial" w:hAnsi="Arial" w:cs="Arial"/>
          <w:b/>
          <w:i/>
          <w:sz w:val="24"/>
          <w:szCs w:val="24"/>
        </w:rPr>
      </w:pPr>
    </w:p>
    <w:p w14:paraId="79061BA1" w14:textId="77777777" w:rsidR="00C47BA9" w:rsidRDefault="00C47BA9" w:rsidP="006C07DD">
      <w:pPr>
        <w:spacing w:after="0" w:line="240" w:lineRule="auto"/>
        <w:rPr>
          <w:rFonts w:ascii="Arial" w:hAnsi="Arial" w:cs="Arial"/>
          <w:b/>
          <w:i/>
          <w:sz w:val="24"/>
          <w:szCs w:val="24"/>
        </w:rPr>
      </w:pPr>
    </w:p>
    <w:p w14:paraId="7A5EEC2A" w14:textId="77777777" w:rsidR="00C47BA9" w:rsidRDefault="00C47BA9" w:rsidP="006C07DD">
      <w:pPr>
        <w:spacing w:after="0" w:line="240" w:lineRule="auto"/>
        <w:rPr>
          <w:rFonts w:ascii="Arial" w:hAnsi="Arial" w:cs="Arial"/>
          <w:b/>
          <w:i/>
          <w:sz w:val="24"/>
          <w:szCs w:val="24"/>
        </w:rPr>
      </w:pPr>
    </w:p>
    <w:p w14:paraId="2697110E" w14:textId="77777777" w:rsidR="00C47BA9" w:rsidRDefault="00C47BA9" w:rsidP="006C07DD">
      <w:pPr>
        <w:spacing w:after="0" w:line="240" w:lineRule="auto"/>
        <w:rPr>
          <w:rFonts w:ascii="Arial" w:hAnsi="Arial" w:cs="Arial"/>
          <w:b/>
          <w:i/>
          <w:sz w:val="24"/>
          <w:szCs w:val="24"/>
        </w:rPr>
      </w:pPr>
    </w:p>
    <w:p w14:paraId="0C75FB10" w14:textId="77777777" w:rsidR="00C47BA9" w:rsidRDefault="00C47BA9" w:rsidP="006C07DD">
      <w:pPr>
        <w:spacing w:after="0" w:line="240" w:lineRule="auto"/>
        <w:rPr>
          <w:rFonts w:ascii="Arial" w:hAnsi="Arial" w:cs="Arial"/>
          <w:b/>
          <w:i/>
          <w:sz w:val="24"/>
          <w:szCs w:val="24"/>
        </w:rPr>
      </w:pPr>
    </w:p>
    <w:p w14:paraId="252D5866" w14:textId="77777777" w:rsidR="00C47BA9" w:rsidRDefault="00C47BA9" w:rsidP="006C07DD">
      <w:pPr>
        <w:spacing w:after="0" w:line="240" w:lineRule="auto"/>
        <w:rPr>
          <w:rFonts w:ascii="Arial" w:hAnsi="Arial" w:cs="Arial"/>
          <w:b/>
          <w:i/>
          <w:sz w:val="24"/>
          <w:szCs w:val="24"/>
        </w:rPr>
      </w:pPr>
    </w:p>
    <w:p w14:paraId="57A514C0" w14:textId="77777777" w:rsidR="00C47BA9" w:rsidRDefault="00C47BA9" w:rsidP="006C07DD">
      <w:pPr>
        <w:spacing w:after="0" w:line="240" w:lineRule="auto"/>
        <w:rPr>
          <w:rFonts w:ascii="Arial" w:hAnsi="Arial" w:cs="Arial"/>
          <w:b/>
          <w:i/>
          <w:sz w:val="24"/>
          <w:szCs w:val="24"/>
        </w:rPr>
      </w:pPr>
    </w:p>
    <w:p w14:paraId="7319DF77" w14:textId="77777777" w:rsidR="00C47BA9" w:rsidRDefault="00C47BA9" w:rsidP="006C07DD">
      <w:pPr>
        <w:spacing w:after="0" w:line="240" w:lineRule="auto"/>
        <w:rPr>
          <w:rFonts w:ascii="Arial" w:hAnsi="Arial" w:cs="Arial"/>
          <w:b/>
          <w:i/>
          <w:sz w:val="24"/>
          <w:szCs w:val="24"/>
        </w:rPr>
      </w:pPr>
    </w:p>
    <w:p w14:paraId="429ED0A4" w14:textId="77777777" w:rsidR="00C47BA9" w:rsidRDefault="00C47BA9" w:rsidP="006C07DD">
      <w:pPr>
        <w:spacing w:after="0" w:line="240" w:lineRule="auto"/>
        <w:rPr>
          <w:rFonts w:ascii="Arial" w:hAnsi="Arial" w:cs="Arial"/>
          <w:b/>
          <w:i/>
          <w:sz w:val="24"/>
          <w:szCs w:val="24"/>
        </w:rPr>
      </w:pPr>
    </w:p>
    <w:p w14:paraId="61B6F985" w14:textId="77777777" w:rsidR="00C47BA9" w:rsidRDefault="00C47BA9" w:rsidP="006C07DD">
      <w:pPr>
        <w:spacing w:after="0" w:line="240" w:lineRule="auto"/>
        <w:rPr>
          <w:rFonts w:ascii="Arial" w:hAnsi="Arial" w:cs="Arial"/>
          <w:b/>
          <w:i/>
          <w:sz w:val="24"/>
          <w:szCs w:val="24"/>
        </w:rPr>
      </w:pPr>
    </w:p>
    <w:p w14:paraId="438F4A45" w14:textId="77777777" w:rsidR="00C47BA9" w:rsidRDefault="00C47BA9" w:rsidP="006C07DD">
      <w:pPr>
        <w:spacing w:after="0" w:line="240" w:lineRule="auto"/>
        <w:rPr>
          <w:rFonts w:ascii="Arial" w:hAnsi="Arial" w:cs="Arial"/>
          <w:b/>
          <w:i/>
          <w:sz w:val="24"/>
          <w:szCs w:val="24"/>
        </w:rPr>
      </w:pPr>
    </w:p>
    <w:p w14:paraId="6B210292" w14:textId="77777777" w:rsidR="00C47BA9" w:rsidRDefault="00C47BA9" w:rsidP="006C07DD">
      <w:pPr>
        <w:spacing w:after="0" w:line="240" w:lineRule="auto"/>
        <w:rPr>
          <w:rFonts w:ascii="Arial" w:hAnsi="Arial" w:cs="Arial"/>
          <w:b/>
          <w:i/>
          <w:sz w:val="24"/>
          <w:szCs w:val="24"/>
        </w:rPr>
      </w:pPr>
    </w:p>
    <w:p w14:paraId="6C6C7C25" w14:textId="77777777" w:rsidR="00C47BA9" w:rsidRDefault="00C47BA9" w:rsidP="006C07DD">
      <w:pPr>
        <w:spacing w:after="0" w:line="240" w:lineRule="auto"/>
        <w:rPr>
          <w:rFonts w:ascii="Arial" w:hAnsi="Arial" w:cs="Arial"/>
          <w:b/>
          <w:i/>
          <w:sz w:val="24"/>
          <w:szCs w:val="24"/>
        </w:rPr>
      </w:pPr>
    </w:p>
    <w:p w14:paraId="18E380DE" w14:textId="77777777" w:rsidR="00C47BA9" w:rsidRDefault="00C47BA9" w:rsidP="006C07DD">
      <w:pPr>
        <w:spacing w:after="0" w:line="240" w:lineRule="auto"/>
        <w:rPr>
          <w:rFonts w:ascii="Arial" w:hAnsi="Arial" w:cs="Arial"/>
          <w:b/>
          <w:i/>
          <w:sz w:val="24"/>
          <w:szCs w:val="24"/>
        </w:rPr>
      </w:pPr>
    </w:p>
    <w:p w14:paraId="6AD38E00" w14:textId="77777777" w:rsidR="00C47BA9" w:rsidRDefault="00C47BA9" w:rsidP="006C07DD">
      <w:pPr>
        <w:spacing w:after="0" w:line="240" w:lineRule="auto"/>
        <w:rPr>
          <w:rFonts w:ascii="Arial" w:hAnsi="Arial" w:cs="Arial"/>
          <w:b/>
          <w:i/>
          <w:sz w:val="24"/>
          <w:szCs w:val="24"/>
        </w:rPr>
      </w:pPr>
    </w:p>
    <w:p w14:paraId="50FB8F88" w14:textId="77777777" w:rsidR="00C47BA9" w:rsidRDefault="00C47BA9" w:rsidP="006C07DD">
      <w:pPr>
        <w:spacing w:after="0" w:line="240" w:lineRule="auto"/>
        <w:rPr>
          <w:rFonts w:ascii="Arial" w:hAnsi="Arial" w:cs="Arial"/>
          <w:b/>
          <w:i/>
          <w:sz w:val="24"/>
          <w:szCs w:val="24"/>
        </w:rPr>
      </w:pPr>
    </w:p>
    <w:p w14:paraId="5DBE4639" w14:textId="48851AE4" w:rsidR="00C47BA9" w:rsidRDefault="00C47BA9" w:rsidP="006C07DD">
      <w:pPr>
        <w:spacing w:after="0" w:line="240" w:lineRule="auto"/>
        <w:rPr>
          <w:rFonts w:ascii="Arial" w:hAnsi="Arial" w:cs="Arial"/>
          <w:b/>
          <w:i/>
          <w:sz w:val="24"/>
          <w:szCs w:val="24"/>
        </w:rPr>
      </w:pPr>
    </w:p>
    <w:p w14:paraId="35657817" w14:textId="77777777" w:rsidR="00F14892" w:rsidRDefault="00F14892" w:rsidP="006C07DD">
      <w:pPr>
        <w:spacing w:after="0" w:line="240" w:lineRule="auto"/>
        <w:rPr>
          <w:rFonts w:ascii="Arial" w:hAnsi="Arial" w:cs="Arial"/>
          <w:b/>
          <w:i/>
          <w:sz w:val="24"/>
          <w:szCs w:val="24"/>
        </w:rPr>
      </w:pPr>
    </w:p>
    <w:p w14:paraId="6798CF2C" w14:textId="77777777" w:rsidR="00C47BA9" w:rsidRDefault="00C47BA9" w:rsidP="006C07DD">
      <w:pPr>
        <w:spacing w:after="0" w:line="240" w:lineRule="auto"/>
        <w:rPr>
          <w:rFonts w:ascii="Arial" w:hAnsi="Arial" w:cs="Arial"/>
          <w:b/>
          <w:i/>
          <w:sz w:val="24"/>
          <w:szCs w:val="24"/>
        </w:rPr>
      </w:pPr>
    </w:p>
    <w:p w14:paraId="6C50BC59" w14:textId="77777777" w:rsidR="006C07DD" w:rsidRDefault="006C07DD" w:rsidP="006C07DD">
      <w:pPr>
        <w:spacing w:after="0" w:line="240" w:lineRule="auto"/>
        <w:rPr>
          <w:rFonts w:ascii="Arial" w:hAnsi="Arial" w:cs="Arial"/>
          <w:b/>
          <w:i/>
          <w:sz w:val="24"/>
          <w:szCs w:val="24"/>
        </w:rPr>
      </w:pPr>
      <w:r w:rsidRPr="0088736E">
        <w:rPr>
          <w:rFonts w:ascii="Arial" w:hAnsi="Arial" w:cs="Arial"/>
          <w:b/>
          <w:i/>
          <w:sz w:val="24"/>
          <w:szCs w:val="24"/>
        </w:rPr>
        <w:lastRenderedPageBreak/>
        <w:t xml:space="preserve">Notes to the financial </w:t>
      </w:r>
      <w:r>
        <w:rPr>
          <w:rFonts w:ascii="Arial" w:hAnsi="Arial" w:cs="Arial"/>
          <w:b/>
          <w:i/>
          <w:sz w:val="24"/>
          <w:szCs w:val="24"/>
        </w:rPr>
        <w:t>statements</w:t>
      </w:r>
      <w:r w:rsidRPr="0088736E">
        <w:rPr>
          <w:rFonts w:ascii="Arial" w:hAnsi="Arial" w:cs="Arial"/>
          <w:b/>
          <w:i/>
          <w:sz w:val="24"/>
          <w:szCs w:val="24"/>
        </w:rPr>
        <w:t xml:space="preserve"> (continued)</w:t>
      </w:r>
    </w:p>
    <w:p w14:paraId="70569BB7" w14:textId="77777777" w:rsidR="006C07DD" w:rsidRDefault="006C07DD" w:rsidP="006E7C43">
      <w:pPr>
        <w:autoSpaceDE w:val="0"/>
        <w:autoSpaceDN w:val="0"/>
        <w:adjustRightInd w:val="0"/>
        <w:spacing w:after="0" w:line="240" w:lineRule="auto"/>
        <w:rPr>
          <w:rFonts w:ascii="Arial" w:hAnsi="Arial" w:cs="Arial"/>
          <w:b/>
          <w:i/>
          <w:sz w:val="24"/>
          <w:szCs w:val="24"/>
        </w:rPr>
      </w:pPr>
    </w:p>
    <w:p w14:paraId="45A09F36" w14:textId="77777777" w:rsidR="006E7C43" w:rsidRDefault="006E7C43" w:rsidP="006E7C43">
      <w:pPr>
        <w:autoSpaceDE w:val="0"/>
        <w:autoSpaceDN w:val="0"/>
        <w:adjustRightInd w:val="0"/>
        <w:spacing w:after="0" w:line="240" w:lineRule="auto"/>
        <w:rPr>
          <w:rFonts w:ascii="Arial" w:hAnsi="Arial" w:cs="Arial"/>
          <w:b/>
          <w:sz w:val="24"/>
          <w:szCs w:val="24"/>
        </w:rPr>
      </w:pPr>
      <w:r w:rsidRPr="005076F2">
        <w:rPr>
          <w:rFonts w:ascii="Arial" w:hAnsi="Arial" w:cs="Arial"/>
          <w:b/>
          <w:sz w:val="24"/>
          <w:szCs w:val="24"/>
        </w:rPr>
        <w:t>24. Pension commitments (continued)</w:t>
      </w:r>
    </w:p>
    <w:p w14:paraId="3E08AB77" w14:textId="77777777" w:rsidR="00D56B8D" w:rsidRPr="005076F2" w:rsidRDefault="00D56B8D" w:rsidP="005076F2">
      <w:pPr>
        <w:autoSpaceDE w:val="0"/>
        <w:autoSpaceDN w:val="0"/>
        <w:adjustRightInd w:val="0"/>
        <w:spacing w:after="200" w:line="240" w:lineRule="auto"/>
        <w:rPr>
          <w:rFonts w:ascii="Arial" w:hAnsi="Arial" w:cs="Arial"/>
          <w:sz w:val="24"/>
          <w:szCs w:val="24"/>
        </w:rPr>
      </w:pPr>
    </w:p>
    <w:tbl>
      <w:tblPr>
        <w:tblW w:w="9267" w:type="dxa"/>
        <w:tblLook w:val="04A0" w:firstRow="1" w:lastRow="0" w:firstColumn="1" w:lastColumn="0" w:noHBand="0" w:noVBand="1"/>
      </w:tblPr>
      <w:tblGrid>
        <w:gridCol w:w="5670"/>
        <w:gridCol w:w="1418"/>
        <w:gridCol w:w="1073"/>
        <w:gridCol w:w="1106"/>
      </w:tblGrid>
      <w:tr w:rsidR="00C36CB2" w:rsidRPr="00BB0FBF" w14:paraId="1BA6F56B" w14:textId="77777777" w:rsidTr="006647C2">
        <w:trPr>
          <w:trHeight w:val="1155"/>
        </w:trPr>
        <w:tc>
          <w:tcPr>
            <w:tcW w:w="5670" w:type="dxa"/>
            <w:tcBorders>
              <w:top w:val="nil"/>
              <w:left w:val="nil"/>
              <w:bottom w:val="nil"/>
              <w:right w:val="nil"/>
            </w:tcBorders>
            <w:shd w:val="clear" w:color="auto" w:fill="auto"/>
            <w:noWrap/>
            <w:vAlign w:val="center"/>
            <w:hideMark/>
          </w:tcPr>
          <w:p w14:paraId="6DA6CDB1" w14:textId="77777777" w:rsidR="00C36CB2" w:rsidRPr="00A16045" w:rsidRDefault="00A16045" w:rsidP="007729E5">
            <w:pPr>
              <w:spacing w:after="0" w:line="240" w:lineRule="auto"/>
              <w:rPr>
                <w:rFonts w:ascii="Arial" w:eastAsia="Times New Roman" w:hAnsi="Arial" w:cs="Arial"/>
                <w:sz w:val="20"/>
                <w:szCs w:val="20"/>
                <w:lang w:eastAsia="en-GB"/>
              </w:rPr>
            </w:pPr>
            <w:r w:rsidRPr="00A16045">
              <w:rPr>
                <w:rFonts w:ascii="Arial" w:eastAsia="Times New Roman" w:hAnsi="Arial" w:cs="Arial"/>
                <w:sz w:val="20"/>
                <w:szCs w:val="20"/>
                <w:lang w:eastAsia="en-GB"/>
              </w:rPr>
              <w:t xml:space="preserve">Year ended 31 August </w:t>
            </w:r>
            <w:r w:rsidR="0037645F">
              <w:rPr>
                <w:rFonts w:ascii="Arial" w:eastAsia="Times New Roman" w:hAnsi="Arial" w:cs="Arial"/>
                <w:sz w:val="20"/>
                <w:szCs w:val="20"/>
                <w:lang w:eastAsia="en-GB"/>
              </w:rPr>
              <w:t>2020</w:t>
            </w:r>
          </w:p>
        </w:tc>
        <w:tc>
          <w:tcPr>
            <w:tcW w:w="1418" w:type="dxa"/>
            <w:tcBorders>
              <w:top w:val="nil"/>
              <w:left w:val="nil"/>
              <w:bottom w:val="nil"/>
              <w:right w:val="nil"/>
            </w:tcBorders>
            <w:shd w:val="clear" w:color="auto" w:fill="auto"/>
            <w:vAlign w:val="center"/>
            <w:hideMark/>
          </w:tcPr>
          <w:p w14:paraId="332DFADC" w14:textId="77777777" w:rsidR="00C36CB2" w:rsidRPr="00BB0FBF" w:rsidRDefault="00BC08E7" w:rsidP="005229F1">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Total</w:t>
            </w:r>
            <w:r w:rsidR="00C36CB2" w:rsidRPr="00BB0FBF">
              <w:rPr>
                <w:rFonts w:ascii="Arial" w:eastAsia="Times New Roman" w:hAnsi="Arial" w:cs="Arial"/>
                <w:sz w:val="20"/>
                <w:szCs w:val="20"/>
                <w:lang w:eastAsia="en-GB"/>
              </w:rPr>
              <w:t xml:space="preserve"> Share of scheme assets</w:t>
            </w:r>
          </w:p>
        </w:tc>
        <w:tc>
          <w:tcPr>
            <w:tcW w:w="1073" w:type="dxa"/>
            <w:tcBorders>
              <w:top w:val="nil"/>
              <w:left w:val="nil"/>
              <w:bottom w:val="nil"/>
              <w:right w:val="nil"/>
            </w:tcBorders>
            <w:shd w:val="clear" w:color="auto" w:fill="auto"/>
            <w:vAlign w:val="center"/>
            <w:hideMark/>
          </w:tcPr>
          <w:p w14:paraId="05FD91A2" w14:textId="77777777" w:rsidR="00C36CB2" w:rsidRPr="00BB0FBF" w:rsidRDefault="00C36CB2" w:rsidP="005229F1">
            <w:pPr>
              <w:spacing w:after="0" w:line="240" w:lineRule="auto"/>
              <w:jc w:val="right"/>
              <w:rPr>
                <w:rFonts w:ascii="Arial" w:eastAsia="Times New Roman" w:hAnsi="Arial" w:cs="Arial"/>
                <w:sz w:val="20"/>
                <w:szCs w:val="20"/>
                <w:lang w:eastAsia="en-GB"/>
              </w:rPr>
            </w:pPr>
            <w:r w:rsidRPr="00BB0FBF">
              <w:rPr>
                <w:rFonts w:ascii="Arial" w:eastAsia="Times New Roman" w:hAnsi="Arial" w:cs="Arial"/>
                <w:sz w:val="20"/>
                <w:szCs w:val="20"/>
                <w:lang w:eastAsia="en-GB"/>
              </w:rPr>
              <w:t>Present value of scheme liabilities</w:t>
            </w:r>
          </w:p>
        </w:tc>
        <w:tc>
          <w:tcPr>
            <w:tcW w:w="1106" w:type="dxa"/>
            <w:tcBorders>
              <w:top w:val="nil"/>
              <w:left w:val="nil"/>
              <w:bottom w:val="nil"/>
              <w:right w:val="nil"/>
            </w:tcBorders>
            <w:shd w:val="clear" w:color="auto" w:fill="auto"/>
            <w:vAlign w:val="center"/>
            <w:hideMark/>
          </w:tcPr>
          <w:p w14:paraId="6BC8A0CE" w14:textId="77777777" w:rsidR="007C00D5" w:rsidRDefault="00C36CB2" w:rsidP="005229F1">
            <w:pPr>
              <w:spacing w:after="0" w:line="240" w:lineRule="auto"/>
              <w:jc w:val="right"/>
              <w:rPr>
                <w:rFonts w:ascii="Arial" w:eastAsia="Times New Roman" w:hAnsi="Arial" w:cs="Arial"/>
                <w:sz w:val="20"/>
                <w:szCs w:val="20"/>
                <w:lang w:eastAsia="en-GB"/>
              </w:rPr>
            </w:pPr>
            <w:r w:rsidRPr="00BB0FBF">
              <w:rPr>
                <w:rFonts w:ascii="Arial" w:eastAsia="Times New Roman" w:hAnsi="Arial" w:cs="Arial"/>
                <w:sz w:val="20"/>
                <w:szCs w:val="20"/>
                <w:lang w:eastAsia="en-GB"/>
              </w:rPr>
              <w:t xml:space="preserve">Net pension </w:t>
            </w:r>
          </w:p>
          <w:p w14:paraId="0ACDFE71" w14:textId="77777777" w:rsidR="00C36CB2" w:rsidRPr="00BB0FBF" w:rsidRDefault="00C36CB2" w:rsidP="005229F1">
            <w:pPr>
              <w:spacing w:after="0" w:line="240" w:lineRule="auto"/>
              <w:jc w:val="right"/>
              <w:rPr>
                <w:rFonts w:ascii="Arial" w:eastAsia="Times New Roman" w:hAnsi="Arial" w:cs="Arial"/>
                <w:sz w:val="20"/>
                <w:szCs w:val="20"/>
                <w:lang w:eastAsia="en-GB"/>
              </w:rPr>
            </w:pPr>
            <w:r w:rsidRPr="00BB0FBF">
              <w:rPr>
                <w:rFonts w:ascii="Arial" w:eastAsia="Times New Roman" w:hAnsi="Arial" w:cs="Arial"/>
                <w:sz w:val="20"/>
                <w:szCs w:val="20"/>
                <w:lang w:eastAsia="en-GB"/>
              </w:rPr>
              <w:t>(deficit)</w:t>
            </w:r>
            <w:r w:rsidR="00373A6A">
              <w:rPr>
                <w:rFonts w:ascii="Arial" w:eastAsia="Times New Roman" w:hAnsi="Arial" w:cs="Arial"/>
                <w:sz w:val="20"/>
                <w:szCs w:val="20"/>
                <w:lang w:eastAsia="en-GB"/>
              </w:rPr>
              <w:t xml:space="preserve"> / surplus</w:t>
            </w:r>
          </w:p>
        </w:tc>
      </w:tr>
      <w:tr w:rsidR="00C36CB2" w:rsidRPr="00BB0FBF" w14:paraId="6F649BBA" w14:textId="77777777" w:rsidTr="006647C2">
        <w:trPr>
          <w:trHeight w:val="323"/>
        </w:trPr>
        <w:tc>
          <w:tcPr>
            <w:tcW w:w="5670" w:type="dxa"/>
            <w:tcBorders>
              <w:top w:val="nil"/>
              <w:left w:val="nil"/>
              <w:bottom w:val="nil"/>
              <w:right w:val="nil"/>
            </w:tcBorders>
            <w:shd w:val="clear" w:color="auto" w:fill="auto"/>
            <w:noWrap/>
            <w:vAlign w:val="center"/>
            <w:hideMark/>
          </w:tcPr>
          <w:p w14:paraId="6F21BE78" w14:textId="77777777" w:rsidR="00C36CB2" w:rsidRPr="00BB0FBF" w:rsidRDefault="00C36CB2" w:rsidP="007729E5">
            <w:pPr>
              <w:spacing w:after="0" w:line="240" w:lineRule="auto"/>
              <w:rPr>
                <w:rFonts w:ascii="Arial" w:eastAsia="Times New Roman" w:hAnsi="Arial" w:cs="Arial"/>
                <w:sz w:val="20"/>
                <w:szCs w:val="20"/>
                <w:lang w:eastAsia="en-GB"/>
              </w:rPr>
            </w:pPr>
          </w:p>
        </w:tc>
        <w:tc>
          <w:tcPr>
            <w:tcW w:w="1418" w:type="dxa"/>
            <w:tcBorders>
              <w:top w:val="nil"/>
              <w:left w:val="nil"/>
              <w:bottom w:val="nil"/>
              <w:right w:val="nil"/>
            </w:tcBorders>
            <w:shd w:val="clear" w:color="auto" w:fill="auto"/>
            <w:noWrap/>
            <w:vAlign w:val="center"/>
            <w:hideMark/>
          </w:tcPr>
          <w:p w14:paraId="7C94EF10" w14:textId="77777777" w:rsidR="00C36CB2" w:rsidRPr="00BB0FBF" w:rsidRDefault="00C36CB2" w:rsidP="005229F1">
            <w:pPr>
              <w:spacing w:after="0" w:line="240" w:lineRule="auto"/>
              <w:jc w:val="right"/>
              <w:rPr>
                <w:rFonts w:ascii="Times New Roman" w:eastAsia="Times New Roman" w:hAnsi="Times New Roman" w:cs="Times New Roman"/>
                <w:sz w:val="20"/>
                <w:szCs w:val="20"/>
                <w:lang w:eastAsia="en-GB"/>
              </w:rPr>
            </w:pPr>
            <w:r>
              <w:rPr>
                <w:rFonts w:ascii="Arial" w:hAnsi="Arial" w:cs="Arial"/>
                <w:sz w:val="20"/>
                <w:szCs w:val="20"/>
              </w:rPr>
              <w:t>£'000</w:t>
            </w:r>
          </w:p>
        </w:tc>
        <w:tc>
          <w:tcPr>
            <w:tcW w:w="1073" w:type="dxa"/>
            <w:tcBorders>
              <w:top w:val="nil"/>
              <w:left w:val="nil"/>
              <w:bottom w:val="nil"/>
              <w:right w:val="nil"/>
            </w:tcBorders>
            <w:shd w:val="clear" w:color="auto" w:fill="auto"/>
            <w:noWrap/>
            <w:vAlign w:val="center"/>
            <w:hideMark/>
          </w:tcPr>
          <w:p w14:paraId="78A4212F" w14:textId="77777777" w:rsidR="00C36CB2" w:rsidRPr="00BB0FBF" w:rsidRDefault="00C36CB2" w:rsidP="005229F1">
            <w:pPr>
              <w:spacing w:after="0" w:line="240" w:lineRule="auto"/>
              <w:jc w:val="right"/>
              <w:rPr>
                <w:rFonts w:ascii="Times New Roman" w:eastAsia="Times New Roman" w:hAnsi="Times New Roman" w:cs="Times New Roman"/>
                <w:sz w:val="20"/>
                <w:szCs w:val="20"/>
                <w:lang w:eastAsia="en-GB"/>
              </w:rPr>
            </w:pPr>
            <w:r>
              <w:rPr>
                <w:rFonts w:ascii="Arial" w:hAnsi="Arial" w:cs="Arial"/>
                <w:sz w:val="20"/>
                <w:szCs w:val="20"/>
              </w:rPr>
              <w:t>£'000</w:t>
            </w:r>
          </w:p>
        </w:tc>
        <w:tc>
          <w:tcPr>
            <w:tcW w:w="1106" w:type="dxa"/>
            <w:tcBorders>
              <w:top w:val="nil"/>
              <w:left w:val="nil"/>
              <w:bottom w:val="nil"/>
              <w:right w:val="nil"/>
            </w:tcBorders>
            <w:shd w:val="clear" w:color="auto" w:fill="auto"/>
            <w:noWrap/>
            <w:vAlign w:val="center"/>
            <w:hideMark/>
          </w:tcPr>
          <w:p w14:paraId="4B9A0953" w14:textId="77777777" w:rsidR="00C36CB2" w:rsidRPr="00BB0FBF" w:rsidRDefault="00C36CB2" w:rsidP="005229F1">
            <w:pPr>
              <w:spacing w:after="0" w:line="240" w:lineRule="auto"/>
              <w:jc w:val="right"/>
              <w:rPr>
                <w:rFonts w:ascii="Times New Roman" w:eastAsia="Times New Roman" w:hAnsi="Times New Roman" w:cs="Times New Roman"/>
                <w:sz w:val="20"/>
                <w:szCs w:val="20"/>
                <w:lang w:eastAsia="en-GB"/>
              </w:rPr>
            </w:pPr>
            <w:r>
              <w:rPr>
                <w:rFonts w:ascii="Arial" w:hAnsi="Arial" w:cs="Arial"/>
                <w:sz w:val="20"/>
                <w:szCs w:val="20"/>
              </w:rPr>
              <w:t>£'000</w:t>
            </w:r>
          </w:p>
        </w:tc>
      </w:tr>
      <w:tr w:rsidR="00C36CB2" w:rsidRPr="00BB0FBF" w14:paraId="1C75C48C" w14:textId="77777777" w:rsidTr="006647C2">
        <w:trPr>
          <w:trHeight w:val="323"/>
        </w:trPr>
        <w:tc>
          <w:tcPr>
            <w:tcW w:w="5670" w:type="dxa"/>
            <w:tcBorders>
              <w:top w:val="nil"/>
              <w:left w:val="nil"/>
              <w:bottom w:val="nil"/>
              <w:right w:val="nil"/>
            </w:tcBorders>
            <w:shd w:val="clear" w:color="auto" w:fill="auto"/>
            <w:noWrap/>
            <w:vAlign w:val="center"/>
          </w:tcPr>
          <w:p w14:paraId="01B721F7" w14:textId="77777777" w:rsidR="00C36CB2" w:rsidRPr="00BB0FBF" w:rsidRDefault="00C36CB2" w:rsidP="007729E5">
            <w:pPr>
              <w:spacing w:after="0" w:line="240" w:lineRule="auto"/>
              <w:rPr>
                <w:rFonts w:ascii="Arial" w:eastAsia="Times New Roman" w:hAnsi="Arial" w:cs="Arial"/>
                <w:sz w:val="20"/>
                <w:szCs w:val="20"/>
                <w:lang w:eastAsia="en-GB"/>
              </w:rPr>
            </w:pPr>
          </w:p>
        </w:tc>
        <w:tc>
          <w:tcPr>
            <w:tcW w:w="1418" w:type="dxa"/>
            <w:tcBorders>
              <w:top w:val="nil"/>
              <w:left w:val="nil"/>
              <w:bottom w:val="nil"/>
              <w:right w:val="nil"/>
            </w:tcBorders>
            <w:shd w:val="clear" w:color="auto" w:fill="auto"/>
            <w:noWrap/>
            <w:vAlign w:val="center"/>
          </w:tcPr>
          <w:p w14:paraId="699EA9B7" w14:textId="77777777" w:rsidR="00C36CB2" w:rsidRPr="00BB0FBF" w:rsidRDefault="00C36CB2" w:rsidP="005229F1">
            <w:pPr>
              <w:spacing w:after="0" w:line="240" w:lineRule="auto"/>
              <w:jc w:val="right"/>
              <w:rPr>
                <w:rFonts w:ascii="Times New Roman" w:eastAsia="Times New Roman" w:hAnsi="Times New Roman" w:cs="Times New Roman"/>
                <w:sz w:val="20"/>
                <w:szCs w:val="20"/>
                <w:lang w:eastAsia="en-GB"/>
              </w:rPr>
            </w:pPr>
          </w:p>
        </w:tc>
        <w:tc>
          <w:tcPr>
            <w:tcW w:w="1073" w:type="dxa"/>
            <w:tcBorders>
              <w:top w:val="nil"/>
              <w:left w:val="nil"/>
              <w:bottom w:val="nil"/>
              <w:right w:val="nil"/>
            </w:tcBorders>
            <w:shd w:val="clear" w:color="auto" w:fill="auto"/>
            <w:noWrap/>
            <w:vAlign w:val="center"/>
          </w:tcPr>
          <w:p w14:paraId="06E1B90A" w14:textId="77777777" w:rsidR="00C36CB2" w:rsidRPr="00BB0FBF" w:rsidRDefault="00C36CB2" w:rsidP="005229F1">
            <w:pPr>
              <w:spacing w:after="0" w:line="240" w:lineRule="auto"/>
              <w:jc w:val="right"/>
              <w:rPr>
                <w:rFonts w:ascii="Times New Roman" w:eastAsia="Times New Roman" w:hAnsi="Times New Roman" w:cs="Times New Roman"/>
                <w:sz w:val="20"/>
                <w:szCs w:val="20"/>
                <w:lang w:eastAsia="en-GB"/>
              </w:rPr>
            </w:pPr>
          </w:p>
        </w:tc>
        <w:tc>
          <w:tcPr>
            <w:tcW w:w="1106" w:type="dxa"/>
            <w:tcBorders>
              <w:top w:val="nil"/>
              <w:left w:val="nil"/>
              <w:bottom w:val="nil"/>
              <w:right w:val="nil"/>
            </w:tcBorders>
            <w:shd w:val="clear" w:color="auto" w:fill="auto"/>
            <w:noWrap/>
            <w:vAlign w:val="center"/>
          </w:tcPr>
          <w:p w14:paraId="1C8459CD" w14:textId="77777777" w:rsidR="00C36CB2" w:rsidRPr="00BB0FBF" w:rsidRDefault="00C36CB2" w:rsidP="005229F1">
            <w:pPr>
              <w:spacing w:after="0" w:line="240" w:lineRule="auto"/>
              <w:jc w:val="right"/>
              <w:rPr>
                <w:rFonts w:ascii="Times New Roman" w:eastAsia="Times New Roman" w:hAnsi="Times New Roman" w:cs="Times New Roman"/>
                <w:sz w:val="20"/>
                <w:szCs w:val="20"/>
                <w:lang w:eastAsia="en-GB"/>
              </w:rPr>
            </w:pPr>
          </w:p>
        </w:tc>
      </w:tr>
      <w:tr w:rsidR="00543D10" w:rsidRPr="00543D10" w14:paraId="09B1DF52" w14:textId="77777777" w:rsidTr="006647C2">
        <w:trPr>
          <w:trHeight w:val="323"/>
        </w:trPr>
        <w:tc>
          <w:tcPr>
            <w:tcW w:w="5670" w:type="dxa"/>
            <w:tcBorders>
              <w:top w:val="nil"/>
              <w:left w:val="nil"/>
              <w:bottom w:val="nil"/>
              <w:right w:val="nil"/>
            </w:tcBorders>
            <w:shd w:val="clear" w:color="auto" w:fill="auto"/>
            <w:noWrap/>
            <w:vAlign w:val="bottom"/>
            <w:hideMark/>
          </w:tcPr>
          <w:p w14:paraId="6D01F5BD" w14:textId="77777777" w:rsidR="00C36CB2" w:rsidRPr="00543D10" w:rsidRDefault="00C36CB2" w:rsidP="007729E5">
            <w:pPr>
              <w:spacing w:after="0" w:line="240" w:lineRule="auto"/>
              <w:rPr>
                <w:rFonts w:ascii="Arial" w:eastAsia="Times New Roman" w:hAnsi="Arial" w:cs="Arial"/>
                <w:sz w:val="20"/>
                <w:szCs w:val="20"/>
                <w:lang w:eastAsia="en-GB"/>
              </w:rPr>
            </w:pPr>
            <w:r w:rsidRPr="00543D10">
              <w:rPr>
                <w:rFonts w:ascii="Arial" w:eastAsia="Times New Roman" w:hAnsi="Arial" w:cs="Arial"/>
                <w:sz w:val="20"/>
                <w:szCs w:val="20"/>
                <w:lang w:eastAsia="en-GB"/>
              </w:rPr>
              <w:t>South Yorkshire Pension Scheme</w:t>
            </w:r>
            <w:r w:rsidR="000449F6" w:rsidRPr="00543D10">
              <w:rPr>
                <w:rFonts w:ascii="Arial" w:eastAsia="Times New Roman" w:hAnsi="Arial" w:cs="Arial"/>
                <w:sz w:val="20"/>
                <w:szCs w:val="20"/>
                <w:lang w:eastAsia="en-GB"/>
              </w:rPr>
              <w:t xml:space="preserve"> (Shaw Trust)</w:t>
            </w:r>
          </w:p>
        </w:tc>
        <w:tc>
          <w:tcPr>
            <w:tcW w:w="1418" w:type="dxa"/>
            <w:tcBorders>
              <w:top w:val="nil"/>
              <w:left w:val="nil"/>
              <w:bottom w:val="nil"/>
              <w:right w:val="nil"/>
            </w:tcBorders>
            <w:shd w:val="clear" w:color="auto" w:fill="auto"/>
            <w:noWrap/>
            <w:vAlign w:val="center"/>
          </w:tcPr>
          <w:p w14:paraId="7F3D4D6A" w14:textId="77777777" w:rsidR="00C36CB2" w:rsidRPr="00543D10" w:rsidRDefault="007C00D5" w:rsidP="005229F1">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3,037</w:t>
            </w:r>
          </w:p>
        </w:tc>
        <w:tc>
          <w:tcPr>
            <w:tcW w:w="1073" w:type="dxa"/>
            <w:tcBorders>
              <w:top w:val="nil"/>
              <w:left w:val="nil"/>
              <w:bottom w:val="nil"/>
              <w:right w:val="nil"/>
            </w:tcBorders>
            <w:shd w:val="clear" w:color="auto" w:fill="auto"/>
            <w:noWrap/>
            <w:vAlign w:val="center"/>
          </w:tcPr>
          <w:p w14:paraId="6DCFE227" w14:textId="77777777" w:rsidR="00C36CB2" w:rsidRPr="00543D10" w:rsidRDefault="007C00D5" w:rsidP="005229F1">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(3,093)</w:t>
            </w:r>
          </w:p>
        </w:tc>
        <w:tc>
          <w:tcPr>
            <w:tcW w:w="1106" w:type="dxa"/>
            <w:tcBorders>
              <w:top w:val="nil"/>
              <w:left w:val="nil"/>
              <w:bottom w:val="nil"/>
              <w:right w:val="nil"/>
            </w:tcBorders>
            <w:shd w:val="clear" w:color="auto" w:fill="auto"/>
            <w:noWrap/>
            <w:vAlign w:val="center"/>
          </w:tcPr>
          <w:p w14:paraId="5B23DBBE" w14:textId="77777777" w:rsidR="00C36CB2" w:rsidRPr="00543D10" w:rsidRDefault="007C00D5" w:rsidP="005229F1">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(56)</w:t>
            </w:r>
          </w:p>
        </w:tc>
      </w:tr>
      <w:tr w:rsidR="00543D10" w:rsidRPr="00543D10" w14:paraId="7C8F3785" w14:textId="77777777" w:rsidTr="006647C2">
        <w:trPr>
          <w:trHeight w:val="323"/>
        </w:trPr>
        <w:tc>
          <w:tcPr>
            <w:tcW w:w="5670" w:type="dxa"/>
            <w:tcBorders>
              <w:top w:val="nil"/>
              <w:left w:val="nil"/>
              <w:bottom w:val="nil"/>
              <w:right w:val="nil"/>
            </w:tcBorders>
            <w:shd w:val="clear" w:color="auto" w:fill="auto"/>
            <w:noWrap/>
            <w:vAlign w:val="bottom"/>
            <w:hideMark/>
          </w:tcPr>
          <w:p w14:paraId="07D0F15C" w14:textId="77777777" w:rsidR="00C36CB2" w:rsidRPr="00543D10" w:rsidRDefault="00C36CB2" w:rsidP="007729E5">
            <w:pPr>
              <w:spacing w:after="0" w:line="240" w:lineRule="auto"/>
              <w:rPr>
                <w:rFonts w:ascii="Arial" w:eastAsia="Times New Roman" w:hAnsi="Arial" w:cs="Arial"/>
                <w:sz w:val="20"/>
                <w:szCs w:val="20"/>
                <w:lang w:eastAsia="en-GB"/>
              </w:rPr>
            </w:pPr>
            <w:r w:rsidRPr="00543D10">
              <w:rPr>
                <w:rFonts w:ascii="Arial" w:eastAsia="Times New Roman" w:hAnsi="Arial" w:cs="Arial"/>
                <w:sz w:val="20"/>
                <w:szCs w:val="20"/>
                <w:lang w:eastAsia="en-GB"/>
              </w:rPr>
              <w:t>Platinum Pension Scheme</w:t>
            </w:r>
            <w:r w:rsidR="000449F6" w:rsidRPr="00543D10">
              <w:rPr>
                <w:rFonts w:ascii="Arial" w:eastAsia="Times New Roman" w:hAnsi="Arial" w:cs="Arial"/>
                <w:sz w:val="20"/>
                <w:szCs w:val="20"/>
                <w:lang w:eastAsia="en-GB"/>
              </w:rPr>
              <w:t xml:space="preserve"> (Shaw Trust)</w:t>
            </w:r>
          </w:p>
        </w:tc>
        <w:tc>
          <w:tcPr>
            <w:tcW w:w="1418" w:type="dxa"/>
            <w:tcBorders>
              <w:top w:val="nil"/>
              <w:left w:val="nil"/>
              <w:bottom w:val="nil"/>
              <w:right w:val="nil"/>
            </w:tcBorders>
            <w:shd w:val="clear" w:color="auto" w:fill="auto"/>
            <w:noWrap/>
            <w:vAlign w:val="center"/>
          </w:tcPr>
          <w:p w14:paraId="75C7FC1C" w14:textId="77777777" w:rsidR="00C36CB2" w:rsidRPr="00543D10" w:rsidRDefault="007C00D5" w:rsidP="005229F1">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1,243</w:t>
            </w:r>
          </w:p>
        </w:tc>
        <w:tc>
          <w:tcPr>
            <w:tcW w:w="1073" w:type="dxa"/>
            <w:tcBorders>
              <w:top w:val="nil"/>
              <w:left w:val="nil"/>
              <w:bottom w:val="nil"/>
              <w:right w:val="nil"/>
            </w:tcBorders>
            <w:shd w:val="clear" w:color="auto" w:fill="auto"/>
            <w:noWrap/>
            <w:vAlign w:val="center"/>
          </w:tcPr>
          <w:p w14:paraId="141FA607" w14:textId="77777777" w:rsidR="00C36CB2" w:rsidRPr="00543D10" w:rsidRDefault="007C00D5" w:rsidP="005229F1">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(1,202)</w:t>
            </w:r>
          </w:p>
        </w:tc>
        <w:tc>
          <w:tcPr>
            <w:tcW w:w="1106" w:type="dxa"/>
            <w:tcBorders>
              <w:top w:val="nil"/>
              <w:left w:val="nil"/>
              <w:bottom w:val="nil"/>
              <w:right w:val="nil"/>
            </w:tcBorders>
            <w:shd w:val="clear" w:color="auto" w:fill="auto"/>
            <w:noWrap/>
            <w:vAlign w:val="center"/>
          </w:tcPr>
          <w:p w14:paraId="1D3104BB" w14:textId="77777777" w:rsidR="00C36CB2" w:rsidRPr="00543D10" w:rsidRDefault="007C00D5" w:rsidP="005229F1">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41</w:t>
            </w:r>
          </w:p>
        </w:tc>
      </w:tr>
      <w:tr w:rsidR="00543D10" w:rsidRPr="00543D10" w14:paraId="5CD2F3B8" w14:textId="77777777" w:rsidTr="006647C2">
        <w:trPr>
          <w:trHeight w:val="584"/>
        </w:trPr>
        <w:tc>
          <w:tcPr>
            <w:tcW w:w="5670" w:type="dxa"/>
            <w:tcBorders>
              <w:top w:val="nil"/>
              <w:left w:val="nil"/>
              <w:bottom w:val="nil"/>
              <w:right w:val="nil"/>
            </w:tcBorders>
            <w:shd w:val="clear" w:color="auto" w:fill="auto"/>
            <w:vAlign w:val="bottom"/>
            <w:hideMark/>
          </w:tcPr>
          <w:p w14:paraId="1D51F55C" w14:textId="77777777" w:rsidR="00D2091D" w:rsidRPr="00543D10" w:rsidRDefault="00D2091D" w:rsidP="007729E5">
            <w:pPr>
              <w:spacing w:after="0" w:line="240" w:lineRule="auto"/>
              <w:rPr>
                <w:rFonts w:ascii="Arial" w:eastAsia="Times New Roman" w:hAnsi="Arial" w:cs="Arial"/>
                <w:sz w:val="20"/>
                <w:szCs w:val="20"/>
                <w:lang w:eastAsia="en-GB"/>
              </w:rPr>
            </w:pPr>
          </w:p>
          <w:p w14:paraId="6C3E90A1" w14:textId="77777777" w:rsidR="00C36CB2" w:rsidRPr="00543D10" w:rsidRDefault="00C36CB2" w:rsidP="007729E5">
            <w:pPr>
              <w:spacing w:after="0" w:line="240" w:lineRule="auto"/>
              <w:rPr>
                <w:rFonts w:ascii="Arial" w:eastAsia="Times New Roman" w:hAnsi="Arial" w:cs="Arial"/>
                <w:sz w:val="20"/>
                <w:szCs w:val="20"/>
                <w:lang w:eastAsia="en-GB"/>
              </w:rPr>
            </w:pPr>
            <w:r w:rsidRPr="00543D10">
              <w:rPr>
                <w:rFonts w:ascii="Arial" w:eastAsia="Times New Roman" w:hAnsi="Arial" w:cs="Arial"/>
                <w:sz w:val="20"/>
                <w:szCs w:val="20"/>
                <w:lang w:eastAsia="en-GB"/>
              </w:rPr>
              <w:t>Staffordshire Council (LGPS), West Midland  Pension Fund, Greater Manchester Pension Fund</w:t>
            </w:r>
            <w:r w:rsidR="008A0089" w:rsidRPr="00543D10">
              <w:rPr>
                <w:rFonts w:ascii="Arial" w:eastAsia="Times New Roman" w:hAnsi="Arial" w:cs="Arial"/>
                <w:sz w:val="20"/>
                <w:szCs w:val="20"/>
                <w:lang w:eastAsia="en-GB"/>
              </w:rPr>
              <w:t>, Cheshire County Council Fund</w:t>
            </w:r>
            <w:r w:rsidR="000449F6" w:rsidRPr="00543D10">
              <w:rPr>
                <w:rFonts w:ascii="Arial" w:eastAsia="Times New Roman" w:hAnsi="Arial" w:cs="Arial"/>
                <w:sz w:val="20"/>
                <w:szCs w:val="20"/>
                <w:lang w:eastAsia="en-GB"/>
              </w:rPr>
              <w:t xml:space="preserve"> </w:t>
            </w:r>
            <w:r w:rsidR="00072096">
              <w:rPr>
                <w:rFonts w:ascii="Arial" w:eastAsia="Times New Roman" w:hAnsi="Arial" w:cs="Arial"/>
                <w:sz w:val="20"/>
                <w:szCs w:val="20"/>
                <w:lang w:eastAsia="en-GB"/>
              </w:rPr>
              <w:t>and Derbyshire Pension Fund</w:t>
            </w:r>
            <w:r w:rsidR="000449F6" w:rsidRPr="00543D10">
              <w:rPr>
                <w:rFonts w:ascii="Arial" w:eastAsia="Times New Roman" w:hAnsi="Arial" w:cs="Arial"/>
                <w:sz w:val="20"/>
                <w:szCs w:val="20"/>
                <w:lang w:eastAsia="en-GB"/>
              </w:rPr>
              <w:t>(Shaw Education Trust)</w:t>
            </w:r>
          </w:p>
        </w:tc>
        <w:tc>
          <w:tcPr>
            <w:tcW w:w="1418" w:type="dxa"/>
            <w:tcBorders>
              <w:top w:val="nil"/>
              <w:left w:val="nil"/>
              <w:bottom w:val="nil"/>
              <w:right w:val="nil"/>
            </w:tcBorders>
            <w:shd w:val="clear" w:color="auto" w:fill="auto"/>
            <w:noWrap/>
            <w:vAlign w:val="center"/>
          </w:tcPr>
          <w:p w14:paraId="373F51E5" w14:textId="77777777" w:rsidR="00C36CB2" w:rsidRPr="00543D10" w:rsidRDefault="007C00D5" w:rsidP="005229F1">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38,324</w:t>
            </w:r>
          </w:p>
        </w:tc>
        <w:tc>
          <w:tcPr>
            <w:tcW w:w="1073" w:type="dxa"/>
            <w:tcBorders>
              <w:top w:val="nil"/>
              <w:left w:val="nil"/>
              <w:bottom w:val="nil"/>
              <w:right w:val="nil"/>
            </w:tcBorders>
            <w:shd w:val="clear" w:color="auto" w:fill="auto"/>
            <w:noWrap/>
            <w:vAlign w:val="center"/>
          </w:tcPr>
          <w:p w14:paraId="13359D21" w14:textId="77777777" w:rsidR="00C36CB2" w:rsidRPr="00543D10" w:rsidRDefault="007C00D5" w:rsidP="005229F1">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(86,750)</w:t>
            </w:r>
          </w:p>
        </w:tc>
        <w:tc>
          <w:tcPr>
            <w:tcW w:w="1106" w:type="dxa"/>
            <w:tcBorders>
              <w:top w:val="nil"/>
              <w:left w:val="nil"/>
              <w:bottom w:val="nil"/>
              <w:right w:val="nil"/>
            </w:tcBorders>
            <w:shd w:val="clear" w:color="auto" w:fill="auto"/>
            <w:noWrap/>
            <w:vAlign w:val="center"/>
          </w:tcPr>
          <w:p w14:paraId="0AD9B3CA" w14:textId="77777777" w:rsidR="00C36CB2" w:rsidRPr="00543D10" w:rsidRDefault="007C00D5" w:rsidP="005229F1">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(48,426)</w:t>
            </w:r>
          </w:p>
        </w:tc>
      </w:tr>
      <w:tr w:rsidR="00543D10" w:rsidRPr="00543D10" w14:paraId="336A0CD6" w14:textId="77777777" w:rsidTr="006647C2">
        <w:trPr>
          <w:trHeight w:val="1365"/>
        </w:trPr>
        <w:tc>
          <w:tcPr>
            <w:tcW w:w="5670" w:type="dxa"/>
            <w:tcBorders>
              <w:top w:val="nil"/>
              <w:left w:val="nil"/>
              <w:bottom w:val="nil"/>
              <w:right w:val="nil"/>
            </w:tcBorders>
            <w:shd w:val="clear" w:color="auto" w:fill="auto"/>
            <w:vAlign w:val="center"/>
            <w:hideMark/>
          </w:tcPr>
          <w:p w14:paraId="23DCC18C" w14:textId="77777777" w:rsidR="00C36CB2" w:rsidRPr="00543D10" w:rsidRDefault="00E91283" w:rsidP="007729E5">
            <w:pPr>
              <w:spacing w:after="0" w:line="240" w:lineRule="auto"/>
              <w:rPr>
                <w:rFonts w:ascii="Arial" w:eastAsia="Times New Roman" w:hAnsi="Arial" w:cs="Arial"/>
                <w:sz w:val="20"/>
                <w:szCs w:val="20"/>
                <w:lang w:eastAsia="en-GB"/>
              </w:rPr>
            </w:pPr>
            <w:r w:rsidRPr="00543D10">
              <w:rPr>
                <w:rFonts w:ascii="Arial" w:eastAsia="Times New Roman" w:hAnsi="Arial" w:cs="Arial"/>
                <w:sz w:val="20"/>
                <w:szCs w:val="20"/>
                <w:lang w:eastAsia="en-GB"/>
              </w:rPr>
              <w:t>L</w:t>
            </w:r>
            <w:r w:rsidR="00C36CB2" w:rsidRPr="00543D10">
              <w:rPr>
                <w:rFonts w:ascii="Arial" w:eastAsia="Times New Roman" w:hAnsi="Arial" w:cs="Arial"/>
                <w:sz w:val="20"/>
                <w:szCs w:val="20"/>
                <w:lang w:eastAsia="en-GB"/>
              </w:rPr>
              <w:t>ondon Pensions Fund Authority, the City of Bradford Metropolitan District Council, Gloucestershire County Council, Northamptonshire County Council, Wolverhampton City Council and Leicestershire County Council</w:t>
            </w:r>
            <w:r w:rsidR="000449F6" w:rsidRPr="00543D10">
              <w:rPr>
                <w:rFonts w:ascii="Arial" w:eastAsia="Times New Roman" w:hAnsi="Arial" w:cs="Arial"/>
                <w:sz w:val="20"/>
                <w:szCs w:val="20"/>
                <w:lang w:eastAsia="en-GB"/>
              </w:rPr>
              <w:t xml:space="preserve"> (Prospect Services)</w:t>
            </w:r>
          </w:p>
        </w:tc>
        <w:tc>
          <w:tcPr>
            <w:tcW w:w="1418" w:type="dxa"/>
            <w:tcBorders>
              <w:top w:val="nil"/>
              <w:left w:val="nil"/>
              <w:bottom w:val="nil"/>
              <w:right w:val="nil"/>
            </w:tcBorders>
            <w:shd w:val="clear" w:color="auto" w:fill="auto"/>
            <w:noWrap/>
            <w:vAlign w:val="center"/>
          </w:tcPr>
          <w:p w14:paraId="66F9DA52" w14:textId="77777777" w:rsidR="00C36CB2" w:rsidRPr="00543D10" w:rsidRDefault="007C00D5" w:rsidP="005229F1">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135,927</w:t>
            </w:r>
          </w:p>
        </w:tc>
        <w:tc>
          <w:tcPr>
            <w:tcW w:w="1073" w:type="dxa"/>
            <w:tcBorders>
              <w:top w:val="nil"/>
              <w:left w:val="nil"/>
              <w:bottom w:val="nil"/>
              <w:right w:val="nil"/>
            </w:tcBorders>
            <w:shd w:val="clear" w:color="auto" w:fill="auto"/>
            <w:noWrap/>
            <w:vAlign w:val="center"/>
          </w:tcPr>
          <w:p w14:paraId="1A395A0D" w14:textId="77777777" w:rsidR="00C36CB2" w:rsidRPr="00543D10" w:rsidRDefault="007C00D5" w:rsidP="005229F1">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(200,567)</w:t>
            </w:r>
          </w:p>
        </w:tc>
        <w:tc>
          <w:tcPr>
            <w:tcW w:w="1106" w:type="dxa"/>
            <w:tcBorders>
              <w:top w:val="nil"/>
              <w:left w:val="nil"/>
              <w:bottom w:val="nil"/>
              <w:right w:val="nil"/>
            </w:tcBorders>
            <w:shd w:val="clear" w:color="auto" w:fill="auto"/>
            <w:noWrap/>
            <w:vAlign w:val="center"/>
          </w:tcPr>
          <w:p w14:paraId="25406B88" w14:textId="77777777" w:rsidR="00C36CB2" w:rsidRPr="00543D10" w:rsidRDefault="007C00D5" w:rsidP="005229F1">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(64,640)</w:t>
            </w:r>
          </w:p>
        </w:tc>
      </w:tr>
      <w:tr w:rsidR="00543D10" w:rsidRPr="00543D10" w14:paraId="182DBD15" w14:textId="77777777" w:rsidTr="006647C2">
        <w:trPr>
          <w:trHeight w:val="323"/>
        </w:trPr>
        <w:tc>
          <w:tcPr>
            <w:tcW w:w="5670" w:type="dxa"/>
            <w:tcBorders>
              <w:top w:val="single" w:sz="4" w:space="0" w:color="auto"/>
              <w:left w:val="nil"/>
              <w:bottom w:val="single" w:sz="4" w:space="0" w:color="auto"/>
              <w:right w:val="nil"/>
            </w:tcBorders>
            <w:shd w:val="clear" w:color="auto" w:fill="auto"/>
            <w:noWrap/>
            <w:vAlign w:val="center"/>
            <w:hideMark/>
          </w:tcPr>
          <w:p w14:paraId="067B2BB6" w14:textId="77777777" w:rsidR="00C36CB2" w:rsidRPr="00543D10" w:rsidRDefault="00A16045" w:rsidP="007729E5">
            <w:pPr>
              <w:spacing w:after="0" w:line="240" w:lineRule="auto"/>
              <w:rPr>
                <w:rFonts w:ascii="Arial" w:eastAsia="Times New Roman" w:hAnsi="Arial" w:cs="Arial"/>
                <w:sz w:val="20"/>
                <w:szCs w:val="20"/>
                <w:lang w:eastAsia="en-GB"/>
              </w:rPr>
            </w:pPr>
            <w:r w:rsidRPr="00543D10">
              <w:rPr>
                <w:rFonts w:ascii="Arial" w:eastAsia="Times New Roman" w:hAnsi="Arial" w:cs="Arial"/>
                <w:sz w:val="20"/>
                <w:szCs w:val="20"/>
                <w:lang w:eastAsia="en-GB"/>
              </w:rPr>
              <w:t xml:space="preserve">At 31 August </w:t>
            </w:r>
            <w:r w:rsidR="0037645F">
              <w:rPr>
                <w:rFonts w:ascii="Arial" w:eastAsia="Times New Roman" w:hAnsi="Arial" w:cs="Arial"/>
                <w:sz w:val="20"/>
                <w:szCs w:val="20"/>
                <w:lang w:eastAsia="en-GB"/>
              </w:rPr>
              <w:t>2020</w:t>
            </w:r>
          </w:p>
        </w:tc>
        <w:tc>
          <w:tcPr>
            <w:tcW w:w="1418" w:type="dxa"/>
            <w:tcBorders>
              <w:top w:val="single" w:sz="4" w:space="0" w:color="auto"/>
              <w:left w:val="nil"/>
              <w:bottom w:val="single" w:sz="4" w:space="0" w:color="auto"/>
              <w:right w:val="nil"/>
            </w:tcBorders>
            <w:shd w:val="clear" w:color="auto" w:fill="auto"/>
            <w:noWrap/>
            <w:vAlign w:val="center"/>
          </w:tcPr>
          <w:p w14:paraId="3E48A0E9" w14:textId="77777777" w:rsidR="00C36CB2" w:rsidRPr="00543D10" w:rsidRDefault="007C00D5" w:rsidP="005229F1">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178,531</w:t>
            </w:r>
          </w:p>
        </w:tc>
        <w:tc>
          <w:tcPr>
            <w:tcW w:w="1073" w:type="dxa"/>
            <w:tcBorders>
              <w:top w:val="single" w:sz="4" w:space="0" w:color="auto"/>
              <w:left w:val="nil"/>
              <w:bottom w:val="single" w:sz="4" w:space="0" w:color="auto"/>
              <w:right w:val="nil"/>
            </w:tcBorders>
            <w:shd w:val="clear" w:color="auto" w:fill="auto"/>
            <w:noWrap/>
            <w:vAlign w:val="center"/>
          </w:tcPr>
          <w:p w14:paraId="0351E28A" w14:textId="77777777" w:rsidR="00C36CB2" w:rsidRPr="00543D10" w:rsidRDefault="007C00D5" w:rsidP="005229F1">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(291,612)</w:t>
            </w:r>
          </w:p>
        </w:tc>
        <w:tc>
          <w:tcPr>
            <w:tcW w:w="1106" w:type="dxa"/>
            <w:tcBorders>
              <w:top w:val="single" w:sz="4" w:space="0" w:color="auto"/>
              <w:left w:val="nil"/>
              <w:bottom w:val="single" w:sz="4" w:space="0" w:color="auto"/>
              <w:right w:val="nil"/>
            </w:tcBorders>
            <w:shd w:val="clear" w:color="auto" w:fill="auto"/>
            <w:noWrap/>
            <w:vAlign w:val="center"/>
          </w:tcPr>
          <w:p w14:paraId="776C7E14" w14:textId="77777777" w:rsidR="00C36CB2" w:rsidRPr="00543D10" w:rsidRDefault="007C00D5" w:rsidP="005229F1">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(113,081)</w:t>
            </w:r>
          </w:p>
        </w:tc>
      </w:tr>
    </w:tbl>
    <w:p w14:paraId="2DBB83C1" w14:textId="77777777" w:rsidR="00E70CD3" w:rsidRPr="00543D10" w:rsidRDefault="00E70CD3" w:rsidP="00E70CD3">
      <w:pPr>
        <w:autoSpaceDE w:val="0"/>
        <w:autoSpaceDN w:val="0"/>
        <w:adjustRightInd w:val="0"/>
        <w:spacing w:after="0" w:line="240" w:lineRule="auto"/>
        <w:rPr>
          <w:rFonts w:ascii="Arial" w:hAnsi="Arial" w:cs="Arial"/>
          <w:sz w:val="20"/>
          <w:szCs w:val="20"/>
        </w:rPr>
      </w:pPr>
    </w:p>
    <w:p w14:paraId="0DBA54A3" w14:textId="77777777" w:rsidR="00E91283" w:rsidRPr="00543D10" w:rsidRDefault="00E91283" w:rsidP="00E70CD3">
      <w:pPr>
        <w:autoSpaceDE w:val="0"/>
        <w:autoSpaceDN w:val="0"/>
        <w:adjustRightInd w:val="0"/>
        <w:spacing w:after="0" w:line="240" w:lineRule="auto"/>
        <w:rPr>
          <w:rFonts w:ascii="Arial" w:hAnsi="Arial" w:cs="Arial"/>
          <w:sz w:val="20"/>
          <w:szCs w:val="20"/>
        </w:rPr>
      </w:pPr>
    </w:p>
    <w:p w14:paraId="404DBCAB" w14:textId="77777777" w:rsidR="00E91283" w:rsidRDefault="00E91283" w:rsidP="00E70CD3">
      <w:pPr>
        <w:autoSpaceDE w:val="0"/>
        <w:autoSpaceDN w:val="0"/>
        <w:adjustRightInd w:val="0"/>
        <w:spacing w:after="0" w:line="240" w:lineRule="auto"/>
        <w:rPr>
          <w:rFonts w:ascii="Arial" w:hAnsi="Arial" w:cs="Arial"/>
          <w:sz w:val="20"/>
          <w:szCs w:val="20"/>
        </w:rPr>
      </w:pPr>
    </w:p>
    <w:p w14:paraId="014BC298" w14:textId="77777777" w:rsidR="00A16045" w:rsidRDefault="00A16045" w:rsidP="00E91283">
      <w:pPr>
        <w:autoSpaceDE w:val="0"/>
        <w:autoSpaceDN w:val="0"/>
        <w:adjustRightInd w:val="0"/>
        <w:spacing w:after="0" w:line="240" w:lineRule="auto"/>
        <w:rPr>
          <w:rFonts w:ascii="Arial" w:hAnsi="Arial" w:cs="Arial"/>
          <w:b/>
          <w:sz w:val="24"/>
          <w:szCs w:val="24"/>
        </w:rPr>
      </w:pPr>
    </w:p>
    <w:tbl>
      <w:tblPr>
        <w:tblW w:w="9214" w:type="dxa"/>
        <w:tblLook w:val="04A0" w:firstRow="1" w:lastRow="0" w:firstColumn="1" w:lastColumn="0" w:noHBand="0" w:noVBand="1"/>
      </w:tblPr>
      <w:tblGrid>
        <w:gridCol w:w="5387"/>
        <w:gridCol w:w="1417"/>
        <w:gridCol w:w="1276"/>
        <w:gridCol w:w="1134"/>
      </w:tblGrid>
      <w:tr w:rsidR="00A16045" w:rsidRPr="00BB0FBF" w14:paraId="13D56558" w14:textId="77777777" w:rsidTr="00445583">
        <w:trPr>
          <w:trHeight w:val="1155"/>
        </w:trPr>
        <w:tc>
          <w:tcPr>
            <w:tcW w:w="5387" w:type="dxa"/>
            <w:tcBorders>
              <w:top w:val="nil"/>
              <w:left w:val="nil"/>
              <w:bottom w:val="nil"/>
              <w:right w:val="nil"/>
            </w:tcBorders>
            <w:shd w:val="clear" w:color="auto" w:fill="auto"/>
            <w:noWrap/>
            <w:vAlign w:val="center"/>
            <w:hideMark/>
          </w:tcPr>
          <w:p w14:paraId="5274E5DC" w14:textId="77777777" w:rsidR="00A16045" w:rsidRPr="00A16045" w:rsidRDefault="006327DD">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 xml:space="preserve">Year </w:t>
            </w:r>
            <w:r w:rsidR="00A16045" w:rsidRPr="00A16045">
              <w:rPr>
                <w:rFonts w:ascii="Arial" w:eastAsia="Times New Roman" w:hAnsi="Arial" w:cs="Arial"/>
                <w:sz w:val="20"/>
                <w:szCs w:val="20"/>
                <w:lang w:eastAsia="en-GB"/>
              </w:rPr>
              <w:t xml:space="preserve">ended 31 August </w:t>
            </w:r>
            <w:r w:rsidR="0037645F">
              <w:rPr>
                <w:rFonts w:ascii="Arial" w:eastAsia="Times New Roman" w:hAnsi="Arial" w:cs="Arial"/>
                <w:sz w:val="20"/>
                <w:szCs w:val="20"/>
                <w:lang w:eastAsia="en-GB"/>
              </w:rPr>
              <w:t>2019</w:t>
            </w:r>
          </w:p>
        </w:tc>
        <w:tc>
          <w:tcPr>
            <w:tcW w:w="1417" w:type="dxa"/>
            <w:tcBorders>
              <w:top w:val="nil"/>
              <w:left w:val="nil"/>
              <w:bottom w:val="nil"/>
              <w:right w:val="nil"/>
            </w:tcBorders>
            <w:shd w:val="clear" w:color="auto" w:fill="auto"/>
            <w:vAlign w:val="center"/>
            <w:hideMark/>
          </w:tcPr>
          <w:p w14:paraId="69A2FBF1" w14:textId="77777777" w:rsidR="00A16045" w:rsidRPr="00BB0FBF" w:rsidRDefault="00BC08E7" w:rsidP="00A16045">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Total</w:t>
            </w:r>
            <w:r w:rsidR="00A16045" w:rsidRPr="00BB0FBF">
              <w:rPr>
                <w:rFonts w:ascii="Arial" w:eastAsia="Times New Roman" w:hAnsi="Arial" w:cs="Arial"/>
                <w:sz w:val="20"/>
                <w:szCs w:val="20"/>
                <w:lang w:eastAsia="en-GB"/>
              </w:rPr>
              <w:t xml:space="preserve"> Share of scheme assets</w:t>
            </w:r>
          </w:p>
        </w:tc>
        <w:tc>
          <w:tcPr>
            <w:tcW w:w="1276" w:type="dxa"/>
            <w:tcBorders>
              <w:top w:val="nil"/>
              <w:left w:val="nil"/>
              <w:bottom w:val="nil"/>
              <w:right w:val="nil"/>
            </w:tcBorders>
            <w:shd w:val="clear" w:color="auto" w:fill="auto"/>
            <w:vAlign w:val="center"/>
            <w:hideMark/>
          </w:tcPr>
          <w:p w14:paraId="2CA83BBF" w14:textId="77777777" w:rsidR="00A16045" w:rsidRPr="00BB0FBF" w:rsidRDefault="00A16045" w:rsidP="00A16045">
            <w:pPr>
              <w:spacing w:after="0" w:line="240" w:lineRule="auto"/>
              <w:jc w:val="right"/>
              <w:rPr>
                <w:rFonts w:ascii="Arial" w:eastAsia="Times New Roman" w:hAnsi="Arial" w:cs="Arial"/>
                <w:sz w:val="20"/>
                <w:szCs w:val="20"/>
                <w:lang w:eastAsia="en-GB"/>
              </w:rPr>
            </w:pPr>
            <w:r w:rsidRPr="00BB0FBF">
              <w:rPr>
                <w:rFonts w:ascii="Arial" w:eastAsia="Times New Roman" w:hAnsi="Arial" w:cs="Arial"/>
                <w:sz w:val="20"/>
                <w:szCs w:val="20"/>
                <w:lang w:eastAsia="en-GB"/>
              </w:rPr>
              <w:t>Present value of scheme liabilities</w:t>
            </w:r>
          </w:p>
        </w:tc>
        <w:tc>
          <w:tcPr>
            <w:tcW w:w="1134" w:type="dxa"/>
            <w:tcBorders>
              <w:top w:val="nil"/>
              <w:left w:val="nil"/>
              <w:bottom w:val="nil"/>
              <w:right w:val="nil"/>
            </w:tcBorders>
            <w:shd w:val="clear" w:color="auto" w:fill="auto"/>
            <w:vAlign w:val="center"/>
            <w:hideMark/>
          </w:tcPr>
          <w:p w14:paraId="4D08D724" w14:textId="77777777" w:rsidR="00257034" w:rsidRDefault="00257034" w:rsidP="00257034">
            <w:pPr>
              <w:spacing w:after="0" w:line="240" w:lineRule="auto"/>
              <w:jc w:val="right"/>
              <w:rPr>
                <w:rFonts w:ascii="Arial" w:eastAsia="Times New Roman" w:hAnsi="Arial" w:cs="Arial"/>
                <w:sz w:val="20"/>
                <w:szCs w:val="20"/>
                <w:lang w:eastAsia="en-GB"/>
              </w:rPr>
            </w:pPr>
            <w:r w:rsidRPr="00BB0FBF">
              <w:rPr>
                <w:rFonts w:ascii="Arial" w:eastAsia="Times New Roman" w:hAnsi="Arial" w:cs="Arial"/>
                <w:sz w:val="20"/>
                <w:szCs w:val="20"/>
                <w:lang w:eastAsia="en-GB"/>
              </w:rPr>
              <w:t xml:space="preserve">Net pension </w:t>
            </w:r>
          </w:p>
          <w:p w14:paraId="6732683A" w14:textId="77777777" w:rsidR="00A16045" w:rsidRPr="00BB0FBF" w:rsidRDefault="00257034" w:rsidP="00257034">
            <w:pPr>
              <w:spacing w:after="0" w:line="240" w:lineRule="auto"/>
              <w:jc w:val="right"/>
              <w:rPr>
                <w:rFonts w:ascii="Arial" w:eastAsia="Times New Roman" w:hAnsi="Arial" w:cs="Arial"/>
                <w:sz w:val="20"/>
                <w:szCs w:val="20"/>
                <w:lang w:eastAsia="en-GB"/>
              </w:rPr>
            </w:pPr>
            <w:r w:rsidRPr="00BB0FBF">
              <w:rPr>
                <w:rFonts w:ascii="Arial" w:eastAsia="Times New Roman" w:hAnsi="Arial" w:cs="Arial"/>
                <w:sz w:val="20"/>
                <w:szCs w:val="20"/>
                <w:lang w:eastAsia="en-GB"/>
              </w:rPr>
              <w:t>(deficit)</w:t>
            </w:r>
            <w:r>
              <w:rPr>
                <w:rFonts w:ascii="Arial" w:eastAsia="Times New Roman" w:hAnsi="Arial" w:cs="Arial"/>
                <w:sz w:val="20"/>
                <w:szCs w:val="20"/>
                <w:lang w:eastAsia="en-GB"/>
              </w:rPr>
              <w:t xml:space="preserve"> / surplus</w:t>
            </w:r>
          </w:p>
        </w:tc>
      </w:tr>
      <w:tr w:rsidR="00A16045" w:rsidRPr="00BB0FBF" w14:paraId="66A58796" w14:textId="77777777" w:rsidTr="00445583">
        <w:trPr>
          <w:trHeight w:val="323"/>
        </w:trPr>
        <w:tc>
          <w:tcPr>
            <w:tcW w:w="5387" w:type="dxa"/>
            <w:tcBorders>
              <w:top w:val="nil"/>
              <w:left w:val="nil"/>
              <w:bottom w:val="nil"/>
              <w:right w:val="nil"/>
            </w:tcBorders>
            <w:shd w:val="clear" w:color="auto" w:fill="auto"/>
            <w:noWrap/>
            <w:vAlign w:val="center"/>
            <w:hideMark/>
          </w:tcPr>
          <w:p w14:paraId="7C9DA680" w14:textId="77777777" w:rsidR="00A16045" w:rsidRPr="00BB0FBF" w:rsidRDefault="00A16045" w:rsidP="00A16045">
            <w:pPr>
              <w:spacing w:after="0" w:line="240" w:lineRule="auto"/>
              <w:rPr>
                <w:rFonts w:ascii="Arial" w:eastAsia="Times New Roman" w:hAnsi="Arial" w:cs="Arial"/>
                <w:sz w:val="20"/>
                <w:szCs w:val="20"/>
                <w:lang w:eastAsia="en-GB"/>
              </w:rPr>
            </w:pPr>
          </w:p>
        </w:tc>
        <w:tc>
          <w:tcPr>
            <w:tcW w:w="1417" w:type="dxa"/>
            <w:tcBorders>
              <w:top w:val="nil"/>
              <w:left w:val="nil"/>
              <w:bottom w:val="nil"/>
              <w:right w:val="nil"/>
            </w:tcBorders>
            <w:shd w:val="clear" w:color="auto" w:fill="auto"/>
            <w:noWrap/>
            <w:vAlign w:val="center"/>
            <w:hideMark/>
          </w:tcPr>
          <w:p w14:paraId="47096BEB" w14:textId="77777777" w:rsidR="00A16045" w:rsidRPr="00BB0FBF" w:rsidRDefault="00A16045" w:rsidP="00A16045">
            <w:pPr>
              <w:spacing w:after="0" w:line="240" w:lineRule="auto"/>
              <w:jc w:val="right"/>
              <w:rPr>
                <w:rFonts w:ascii="Times New Roman" w:eastAsia="Times New Roman" w:hAnsi="Times New Roman" w:cs="Times New Roman"/>
                <w:sz w:val="20"/>
                <w:szCs w:val="20"/>
                <w:lang w:eastAsia="en-GB"/>
              </w:rPr>
            </w:pPr>
            <w:r>
              <w:rPr>
                <w:rFonts w:ascii="Arial" w:hAnsi="Arial" w:cs="Arial"/>
                <w:sz w:val="20"/>
                <w:szCs w:val="20"/>
              </w:rPr>
              <w:t>£'000</w:t>
            </w:r>
          </w:p>
        </w:tc>
        <w:tc>
          <w:tcPr>
            <w:tcW w:w="1276" w:type="dxa"/>
            <w:tcBorders>
              <w:top w:val="nil"/>
              <w:left w:val="nil"/>
              <w:bottom w:val="nil"/>
              <w:right w:val="nil"/>
            </w:tcBorders>
            <w:shd w:val="clear" w:color="auto" w:fill="auto"/>
            <w:noWrap/>
            <w:vAlign w:val="center"/>
            <w:hideMark/>
          </w:tcPr>
          <w:p w14:paraId="4F7DF41B" w14:textId="77777777" w:rsidR="00A16045" w:rsidRPr="00BB0FBF" w:rsidRDefault="00A16045" w:rsidP="00A16045">
            <w:pPr>
              <w:spacing w:after="0" w:line="240" w:lineRule="auto"/>
              <w:jc w:val="right"/>
              <w:rPr>
                <w:rFonts w:ascii="Times New Roman" w:eastAsia="Times New Roman" w:hAnsi="Times New Roman" w:cs="Times New Roman"/>
                <w:sz w:val="20"/>
                <w:szCs w:val="20"/>
                <w:lang w:eastAsia="en-GB"/>
              </w:rPr>
            </w:pPr>
            <w:r>
              <w:rPr>
                <w:rFonts w:ascii="Arial" w:hAnsi="Arial" w:cs="Arial"/>
                <w:sz w:val="20"/>
                <w:szCs w:val="20"/>
              </w:rPr>
              <w:t>£'000</w:t>
            </w:r>
          </w:p>
        </w:tc>
        <w:tc>
          <w:tcPr>
            <w:tcW w:w="1134" w:type="dxa"/>
            <w:tcBorders>
              <w:top w:val="nil"/>
              <w:left w:val="nil"/>
              <w:bottom w:val="nil"/>
              <w:right w:val="nil"/>
            </w:tcBorders>
            <w:shd w:val="clear" w:color="auto" w:fill="auto"/>
            <w:noWrap/>
            <w:vAlign w:val="center"/>
            <w:hideMark/>
          </w:tcPr>
          <w:p w14:paraId="2E0A9291" w14:textId="77777777" w:rsidR="00A16045" w:rsidRPr="00BB0FBF" w:rsidRDefault="00A16045" w:rsidP="00A16045">
            <w:pPr>
              <w:spacing w:after="0" w:line="240" w:lineRule="auto"/>
              <w:jc w:val="right"/>
              <w:rPr>
                <w:rFonts w:ascii="Times New Roman" w:eastAsia="Times New Roman" w:hAnsi="Times New Roman" w:cs="Times New Roman"/>
                <w:sz w:val="20"/>
                <w:szCs w:val="20"/>
                <w:lang w:eastAsia="en-GB"/>
              </w:rPr>
            </w:pPr>
            <w:r>
              <w:rPr>
                <w:rFonts w:ascii="Arial" w:hAnsi="Arial" w:cs="Arial"/>
                <w:sz w:val="20"/>
                <w:szCs w:val="20"/>
              </w:rPr>
              <w:t>£'000</w:t>
            </w:r>
          </w:p>
        </w:tc>
      </w:tr>
      <w:tr w:rsidR="00A16045" w:rsidRPr="00BB0FBF" w14:paraId="2ADB15BB" w14:textId="77777777" w:rsidTr="00445583">
        <w:trPr>
          <w:trHeight w:val="323"/>
        </w:trPr>
        <w:tc>
          <w:tcPr>
            <w:tcW w:w="5387" w:type="dxa"/>
            <w:tcBorders>
              <w:top w:val="nil"/>
              <w:left w:val="nil"/>
              <w:bottom w:val="nil"/>
              <w:right w:val="nil"/>
            </w:tcBorders>
            <w:shd w:val="clear" w:color="auto" w:fill="auto"/>
            <w:noWrap/>
            <w:vAlign w:val="center"/>
          </w:tcPr>
          <w:p w14:paraId="774F6732" w14:textId="77777777" w:rsidR="00A16045" w:rsidRPr="00BB0FBF" w:rsidRDefault="00A16045" w:rsidP="00A16045">
            <w:pPr>
              <w:spacing w:after="0" w:line="240" w:lineRule="auto"/>
              <w:rPr>
                <w:rFonts w:ascii="Arial" w:eastAsia="Times New Roman" w:hAnsi="Arial" w:cs="Arial"/>
                <w:sz w:val="20"/>
                <w:szCs w:val="20"/>
                <w:lang w:eastAsia="en-GB"/>
              </w:rPr>
            </w:pPr>
          </w:p>
        </w:tc>
        <w:tc>
          <w:tcPr>
            <w:tcW w:w="1417" w:type="dxa"/>
            <w:tcBorders>
              <w:top w:val="nil"/>
              <w:left w:val="nil"/>
              <w:bottom w:val="nil"/>
              <w:right w:val="nil"/>
            </w:tcBorders>
            <w:shd w:val="clear" w:color="auto" w:fill="auto"/>
            <w:noWrap/>
            <w:vAlign w:val="center"/>
          </w:tcPr>
          <w:p w14:paraId="3C36E3F9" w14:textId="77777777" w:rsidR="00A16045" w:rsidRPr="00BB0FBF" w:rsidRDefault="00A16045" w:rsidP="00A16045">
            <w:pPr>
              <w:spacing w:after="0" w:line="240" w:lineRule="auto"/>
              <w:jc w:val="right"/>
              <w:rPr>
                <w:rFonts w:ascii="Times New Roman" w:eastAsia="Times New Roman" w:hAnsi="Times New Roman" w:cs="Times New Roman"/>
                <w:sz w:val="20"/>
                <w:szCs w:val="20"/>
                <w:lang w:eastAsia="en-GB"/>
              </w:rPr>
            </w:pPr>
          </w:p>
        </w:tc>
        <w:tc>
          <w:tcPr>
            <w:tcW w:w="1276" w:type="dxa"/>
            <w:tcBorders>
              <w:top w:val="nil"/>
              <w:left w:val="nil"/>
              <w:bottom w:val="nil"/>
              <w:right w:val="nil"/>
            </w:tcBorders>
            <w:shd w:val="clear" w:color="auto" w:fill="auto"/>
            <w:noWrap/>
            <w:vAlign w:val="center"/>
          </w:tcPr>
          <w:p w14:paraId="20D49635" w14:textId="77777777" w:rsidR="00A16045" w:rsidRPr="00BB0FBF" w:rsidRDefault="00A16045" w:rsidP="00A16045">
            <w:pPr>
              <w:spacing w:after="0" w:line="240" w:lineRule="auto"/>
              <w:jc w:val="right"/>
              <w:rPr>
                <w:rFonts w:ascii="Times New Roman" w:eastAsia="Times New Roman" w:hAnsi="Times New Roman" w:cs="Times New Roman"/>
                <w:sz w:val="20"/>
                <w:szCs w:val="20"/>
                <w:lang w:eastAsia="en-GB"/>
              </w:rPr>
            </w:pPr>
          </w:p>
        </w:tc>
        <w:tc>
          <w:tcPr>
            <w:tcW w:w="1134" w:type="dxa"/>
            <w:tcBorders>
              <w:top w:val="nil"/>
              <w:left w:val="nil"/>
              <w:bottom w:val="nil"/>
              <w:right w:val="nil"/>
            </w:tcBorders>
            <w:shd w:val="clear" w:color="auto" w:fill="auto"/>
            <w:noWrap/>
            <w:vAlign w:val="center"/>
          </w:tcPr>
          <w:p w14:paraId="1693456D" w14:textId="77777777" w:rsidR="00A16045" w:rsidRPr="00BB0FBF" w:rsidRDefault="00A16045" w:rsidP="00A16045">
            <w:pPr>
              <w:spacing w:after="0" w:line="240" w:lineRule="auto"/>
              <w:jc w:val="right"/>
              <w:rPr>
                <w:rFonts w:ascii="Times New Roman" w:eastAsia="Times New Roman" w:hAnsi="Times New Roman" w:cs="Times New Roman"/>
                <w:sz w:val="20"/>
                <w:szCs w:val="20"/>
                <w:lang w:eastAsia="en-GB"/>
              </w:rPr>
            </w:pPr>
          </w:p>
        </w:tc>
      </w:tr>
      <w:tr w:rsidR="00416FDD" w:rsidRPr="00543D10" w14:paraId="1617E419" w14:textId="77777777" w:rsidTr="00445583">
        <w:trPr>
          <w:trHeight w:val="323"/>
        </w:trPr>
        <w:tc>
          <w:tcPr>
            <w:tcW w:w="5387" w:type="dxa"/>
            <w:tcBorders>
              <w:top w:val="nil"/>
              <w:left w:val="nil"/>
              <w:bottom w:val="nil"/>
              <w:right w:val="nil"/>
            </w:tcBorders>
            <w:shd w:val="clear" w:color="auto" w:fill="auto"/>
            <w:noWrap/>
            <w:vAlign w:val="bottom"/>
            <w:hideMark/>
          </w:tcPr>
          <w:p w14:paraId="31DD6414" w14:textId="77777777" w:rsidR="00416FDD" w:rsidRPr="00543D10" w:rsidRDefault="00416FDD" w:rsidP="00416FDD">
            <w:pPr>
              <w:spacing w:after="0" w:line="240" w:lineRule="auto"/>
              <w:rPr>
                <w:rFonts w:ascii="Arial" w:eastAsia="Times New Roman" w:hAnsi="Arial" w:cs="Arial"/>
                <w:sz w:val="20"/>
                <w:szCs w:val="20"/>
                <w:lang w:eastAsia="en-GB"/>
              </w:rPr>
            </w:pPr>
            <w:r w:rsidRPr="00543D10">
              <w:rPr>
                <w:rFonts w:ascii="Arial" w:eastAsia="Times New Roman" w:hAnsi="Arial" w:cs="Arial"/>
                <w:sz w:val="20"/>
                <w:szCs w:val="20"/>
                <w:lang w:eastAsia="en-GB"/>
              </w:rPr>
              <w:t>South Yorkshire Pension Scheme (Shaw Trust)</w:t>
            </w:r>
          </w:p>
        </w:tc>
        <w:tc>
          <w:tcPr>
            <w:tcW w:w="1417" w:type="dxa"/>
            <w:tcBorders>
              <w:top w:val="nil"/>
              <w:left w:val="nil"/>
              <w:bottom w:val="nil"/>
              <w:right w:val="nil"/>
            </w:tcBorders>
            <w:shd w:val="clear" w:color="auto" w:fill="auto"/>
            <w:noWrap/>
            <w:vAlign w:val="center"/>
            <w:hideMark/>
          </w:tcPr>
          <w:p w14:paraId="15550F23" w14:textId="77777777" w:rsidR="00416FDD" w:rsidRPr="00416FDD" w:rsidRDefault="00416FDD" w:rsidP="00416FDD">
            <w:pPr>
              <w:spacing w:after="0" w:line="240" w:lineRule="auto"/>
              <w:jc w:val="right"/>
              <w:rPr>
                <w:rFonts w:ascii="Arial" w:eastAsia="Times New Roman" w:hAnsi="Arial" w:cs="Arial"/>
                <w:sz w:val="20"/>
                <w:szCs w:val="20"/>
                <w:lang w:eastAsia="en-GB"/>
              </w:rPr>
            </w:pPr>
            <w:r w:rsidRPr="00416FDD">
              <w:rPr>
                <w:rFonts w:ascii="Arial" w:eastAsia="Times New Roman" w:hAnsi="Arial" w:cs="Arial"/>
                <w:sz w:val="20"/>
                <w:szCs w:val="20"/>
                <w:lang w:eastAsia="en-GB"/>
              </w:rPr>
              <w:t>3,052</w:t>
            </w:r>
          </w:p>
        </w:tc>
        <w:tc>
          <w:tcPr>
            <w:tcW w:w="1276" w:type="dxa"/>
            <w:tcBorders>
              <w:top w:val="nil"/>
              <w:left w:val="nil"/>
              <w:bottom w:val="nil"/>
              <w:right w:val="nil"/>
            </w:tcBorders>
            <w:shd w:val="clear" w:color="auto" w:fill="auto"/>
            <w:noWrap/>
            <w:vAlign w:val="center"/>
            <w:hideMark/>
          </w:tcPr>
          <w:p w14:paraId="7B326A35" w14:textId="77777777" w:rsidR="00416FDD" w:rsidRPr="00416FDD" w:rsidRDefault="00416FDD" w:rsidP="00416FDD">
            <w:pPr>
              <w:spacing w:after="0" w:line="240" w:lineRule="auto"/>
              <w:jc w:val="right"/>
              <w:rPr>
                <w:rFonts w:ascii="Arial" w:eastAsia="Times New Roman" w:hAnsi="Arial" w:cs="Arial"/>
                <w:sz w:val="20"/>
                <w:szCs w:val="20"/>
                <w:lang w:eastAsia="en-GB"/>
              </w:rPr>
            </w:pPr>
            <w:r w:rsidRPr="00416FDD">
              <w:rPr>
                <w:rFonts w:ascii="Arial" w:eastAsia="Times New Roman" w:hAnsi="Arial" w:cs="Arial"/>
                <w:sz w:val="20"/>
                <w:szCs w:val="20"/>
                <w:lang w:eastAsia="en-GB"/>
              </w:rPr>
              <w:t>(3,072)</w:t>
            </w:r>
          </w:p>
        </w:tc>
        <w:tc>
          <w:tcPr>
            <w:tcW w:w="1134" w:type="dxa"/>
            <w:tcBorders>
              <w:top w:val="nil"/>
              <w:left w:val="nil"/>
              <w:bottom w:val="nil"/>
              <w:right w:val="nil"/>
            </w:tcBorders>
            <w:shd w:val="clear" w:color="auto" w:fill="auto"/>
            <w:noWrap/>
            <w:vAlign w:val="center"/>
            <w:hideMark/>
          </w:tcPr>
          <w:p w14:paraId="582171CF" w14:textId="77777777" w:rsidR="00416FDD" w:rsidRPr="00416FDD" w:rsidRDefault="00416FDD" w:rsidP="00416FDD">
            <w:pPr>
              <w:spacing w:after="0" w:line="240" w:lineRule="auto"/>
              <w:jc w:val="right"/>
              <w:rPr>
                <w:rFonts w:ascii="Arial" w:eastAsia="Times New Roman" w:hAnsi="Arial" w:cs="Arial"/>
                <w:sz w:val="20"/>
                <w:szCs w:val="20"/>
                <w:lang w:eastAsia="en-GB"/>
              </w:rPr>
            </w:pPr>
            <w:r w:rsidRPr="00416FDD">
              <w:rPr>
                <w:rFonts w:ascii="Arial" w:eastAsia="Times New Roman" w:hAnsi="Arial" w:cs="Arial"/>
                <w:sz w:val="20"/>
                <w:szCs w:val="20"/>
                <w:lang w:eastAsia="en-GB"/>
              </w:rPr>
              <w:t>(20)</w:t>
            </w:r>
          </w:p>
        </w:tc>
      </w:tr>
      <w:tr w:rsidR="00416FDD" w:rsidRPr="00543D10" w14:paraId="6152DDEB" w14:textId="77777777" w:rsidTr="00445583">
        <w:trPr>
          <w:trHeight w:val="323"/>
        </w:trPr>
        <w:tc>
          <w:tcPr>
            <w:tcW w:w="5387" w:type="dxa"/>
            <w:tcBorders>
              <w:top w:val="nil"/>
              <w:left w:val="nil"/>
              <w:bottom w:val="nil"/>
              <w:right w:val="nil"/>
            </w:tcBorders>
            <w:shd w:val="clear" w:color="auto" w:fill="auto"/>
            <w:noWrap/>
            <w:vAlign w:val="bottom"/>
            <w:hideMark/>
          </w:tcPr>
          <w:p w14:paraId="2D965B04" w14:textId="77777777" w:rsidR="00416FDD" w:rsidRPr="00543D10" w:rsidRDefault="00416FDD" w:rsidP="00416FDD">
            <w:pPr>
              <w:spacing w:after="0" w:line="240" w:lineRule="auto"/>
              <w:rPr>
                <w:rFonts w:ascii="Arial" w:eastAsia="Times New Roman" w:hAnsi="Arial" w:cs="Arial"/>
                <w:sz w:val="20"/>
                <w:szCs w:val="20"/>
                <w:lang w:eastAsia="en-GB"/>
              </w:rPr>
            </w:pPr>
            <w:r w:rsidRPr="00543D10">
              <w:rPr>
                <w:rFonts w:ascii="Arial" w:eastAsia="Times New Roman" w:hAnsi="Arial" w:cs="Arial"/>
                <w:sz w:val="20"/>
                <w:szCs w:val="20"/>
                <w:lang w:eastAsia="en-GB"/>
              </w:rPr>
              <w:t>Platinum Pension Scheme (Shaw Trust)</w:t>
            </w:r>
          </w:p>
        </w:tc>
        <w:tc>
          <w:tcPr>
            <w:tcW w:w="1417" w:type="dxa"/>
            <w:tcBorders>
              <w:top w:val="nil"/>
              <w:left w:val="nil"/>
              <w:bottom w:val="nil"/>
              <w:right w:val="nil"/>
            </w:tcBorders>
            <w:shd w:val="clear" w:color="auto" w:fill="auto"/>
            <w:noWrap/>
            <w:vAlign w:val="center"/>
            <w:hideMark/>
          </w:tcPr>
          <w:p w14:paraId="7C2E6A50" w14:textId="77777777" w:rsidR="00416FDD" w:rsidRPr="00416FDD" w:rsidRDefault="00416FDD" w:rsidP="00416FDD">
            <w:pPr>
              <w:spacing w:after="0" w:line="240" w:lineRule="auto"/>
              <w:jc w:val="right"/>
              <w:rPr>
                <w:rFonts w:ascii="Arial" w:eastAsia="Times New Roman" w:hAnsi="Arial" w:cs="Arial"/>
                <w:sz w:val="20"/>
                <w:szCs w:val="20"/>
                <w:lang w:eastAsia="en-GB"/>
              </w:rPr>
            </w:pPr>
            <w:r w:rsidRPr="00416FDD">
              <w:rPr>
                <w:rFonts w:ascii="Arial" w:eastAsia="Times New Roman" w:hAnsi="Arial" w:cs="Arial"/>
                <w:sz w:val="20"/>
                <w:szCs w:val="20"/>
                <w:lang w:eastAsia="en-GB"/>
              </w:rPr>
              <w:t>1,247</w:t>
            </w:r>
          </w:p>
        </w:tc>
        <w:tc>
          <w:tcPr>
            <w:tcW w:w="1276" w:type="dxa"/>
            <w:tcBorders>
              <w:top w:val="nil"/>
              <w:left w:val="nil"/>
              <w:bottom w:val="nil"/>
              <w:right w:val="nil"/>
            </w:tcBorders>
            <w:shd w:val="clear" w:color="auto" w:fill="auto"/>
            <w:noWrap/>
            <w:vAlign w:val="center"/>
            <w:hideMark/>
          </w:tcPr>
          <w:p w14:paraId="1BB1724E" w14:textId="77777777" w:rsidR="00416FDD" w:rsidRPr="00416FDD" w:rsidRDefault="00416FDD" w:rsidP="00416FDD">
            <w:pPr>
              <w:spacing w:after="0" w:line="240" w:lineRule="auto"/>
              <w:jc w:val="right"/>
              <w:rPr>
                <w:rFonts w:ascii="Arial" w:eastAsia="Times New Roman" w:hAnsi="Arial" w:cs="Arial"/>
                <w:sz w:val="20"/>
                <w:szCs w:val="20"/>
                <w:lang w:eastAsia="en-GB"/>
              </w:rPr>
            </w:pPr>
            <w:r w:rsidRPr="00416FDD">
              <w:rPr>
                <w:rFonts w:ascii="Arial" w:eastAsia="Times New Roman" w:hAnsi="Arial" w:cs="Arial"/>
                <w:sz w:val="20"/>
                <w:szCs w:val="20"/>
                <w:lang w:eastAsia="en-GB"/>
              </w:rPr>
              <w:t>(1,213)</w:t>
            </w:r>
          </w:p>
        </w:tc>
        <w:tc>
          <w:tcPr>
            <w:tcW w:w="1134" w:type="dxa"/>
            <w:tcBorders>
              <w:top w:val="nil"/>
              <w:left w:val="nil"/>
              <w:bottom w:val="nil"/>
              <w:right w:val="nil"/>
            </w:tcBorders>
            <w:shd w:val="clear" w:color="auto" w:fill="auto"/>
            <w:noWrap/>
            <w:vAlign w:val="center"/>
            <w:hideMark/>
          </w:tcPr>
          <w:p w14:paraId="017ADBE7" w14:textId="77777777" w:rsidR="00416FDD" w:rsidRPr="00416FDD" w:rsidRDefault="00416FDD" w:rsidP="00416FDD">
            <w:pPr>
              <w:spacing w:after="0" w:line="240" w:lineRule="auto"/>
              <w:jc w:val="right"/>
              <w:rPr>
                <w:rFonts w:ascii="Arial" w:eastAsia="Times New Roman" w:hAnsi="Arial" w:cs="Arial"/>
                <w:sz w:val="20"/>
                <w:szCs w:val="20"/>
                <w:lang w:eastAsia="en-GB"/>
              </w:rPr>
            </w:pPr>
            <w:r w:rsidRPr="00416FDD">
              <w:rPr>
                <w:rFonts w:ascii="Arial" w:eastAsia="Times New Roman" w:hAnsi="Arial" w:cs="Arial"/>
                <w:sz w:val="20"/>
                <w:szCs w:val="20"/>
                <w:lang w:eastAsia="en-GB"/>
              </w:rPr>
              <w:t>34</w:t>
            </w:r>
          </w:p>
        </w:tc>
      </w:tr>
      <w:tr w:rsidR="00416FDD" w:rsidRPr="00543D10" w14:paraId="3A095440" w14:textId="77777777" w:rsidTr="00445583">
        <w:trPr>
          <w:trHeight w:val="584"/>
        </w:trPr>
        <w:tc>
          <w:tcPr>
            <w:tcW w:w="5387" w:type="dxa"/>
            <w:tcBorders>
              <w:top w:val="nil"/>
              <w:left w:val="nil"/>
              <w:bottom w:val="nil"/>
              <w:right w:val="nil"/>
            </w:tcBorders>
            <w:shd w:val="clear" w:color="auto" w:fill="auto"/>
            <w:vAlign w:val="bottom"/>
            <w:hideMark/>
          </w:tcPr>
          <w:p w14:paraId="431878A2" w14:textId="77777777" w:rsidR="00416FDD" w:rsidRPr="00543D10" w:rsidRDefault="00416FDD" w:rsidP="00416FDD">
            <w:pPr>
              <w:spacing w:after="0" w:line="240" w:lineRule="auto"/>
              <w:rPr>
                <w:rFonts w:ascii="Arial" w:eastAsia="Times New Roman" w:hAnsi="Arial" w:cs="Arial"/>
                <w:sz w:val="20"/>
                <w:szCs w:val="20"/>
                <w:lang w:eastAsia="en-GB"/>
              </w:rPr>
            </w:pPr>
            <w:r w:rsidRPr="00543D10">
              <w:rPr>
                <w:rFonts w:ascii="Arial" w:eastAsia="Times New Roman" w:hAnsi="Arial" w:cs="Arial"/>
                <w:sz w:val="20"/>
                <w:szCs w:val="20"/>
                <w:lang w:eastAsia="en-GB"/>
              </w:rPr>
              <w:t>Staffordshire Council (LGPS), West Midland  Pension Fund, Greater Manchester Pension Fund</w:t>
            </w:r>
            <w:r w:rsidR="006031ED">
              <w:rPr>
                <w:rFonts w:ascii="Arial" w:eastAsia="Times New Roman" w:hAnsi="Arial" w:cs="Arial"/>
                <w:sz w:val="20"/>
                <w:szCs w:val="20"/>
                <w:lang w:eastAsia="en-GB"/>
              </w:rPr>
              <w:t>, Cheshire Pension Fund and Derbyshire Pension Fund</w:t>
            </w:r>
            <w:r w:rsidRPr="00543D10">
              <w:rPr>
                <w:rFonts w:ascii="Arial" w:eastAsia="Times New Roman" w:hAnsi="Arial" w:cs="Arial"/>
                <w:sz w:val="20"/>
                <w:szCs w:val="20"/>
                <w:lang w:eastAsia="en-GB"/>
              </w:rPr>
              <w:t xml:space="preserve"> (Shaw Education Trust)</w:t>
            </w:r>
          </w:p>
        </w:tc>
        <w:tc>
          <w:tcPr>
            <w:tcW w:w="1417" w:type="dxa"/>
            <w:tcBorders>
              <w:top w:val="nil"/>
              <w:left w:val="nil"/>
              <w:bottom w:val="nil"/>
              <w:right w:val="nil"/>
            </w:tcBorders>
            <w:shd w:val="clear" w:color="auto" w:fill="auto"/>
            <w:noWrap/>
            <w:vAlign w:val="center"/>
            <w:hideMark/>
          </w:tcPr>
          <w:p w14:paraId="1CD8B240" w14:textId="77777777" w:rsidR="00416FDD" w:rsidRPr="00416FDD" w:rsidRDefault="00416FDD" w:rsidP="00416FDD">
            <w:pPr>
              <w:spacing w:after="0" w:line="240" w:lineRule="auto"/>
              <w:jc w:val="right"/>
              <w:rPr>
                <w:rFonts w:ascii="Arial" w:eastAsia="Times New Roman" w:hAnsi="Arial" w:cs="Arial"/>
                <w:sz w:val="20"/>
                <w:szCs w:val="20"/>
                <w:lang w:eastAsia="en-GB"/>
              </w:rPr>
            </w:pPr>
          </w:p>
          <w:p w14:paraId="403AFB18" w14:textId="77777777" w:rsidR="00416FDD" w:rsidRPr="00416FDD" w:rsidRDefault="00416FDD" w:rsidP="00416FDD">
            <w:pPr>
              <w:spacing w:after="0" w:line="240" w:lineRule="auto"/>
              <w:jc w:val="right"/>
              <w:rPr>
                <w:rFonts w:ascii="Arial" w:eastAsia="Times New Roman" w:hAnsi="Arial" w:cs="Arial"/>
                <w:sz w:val="20"/>
                <w:szCs w:val="20"/>
                <w:lang w:eastAsia="en-GB"/>
              </w:rPr>
            </w:pPr>
            <w:r w:rsidRPr="00416FDD">
              <w:rPr>
                <w:rFonts w:ascii="Arial" w:eastAsia="Times New Roman" w:hAnsi="Arial" w:cs="Arial"/>
                <w:sz w:val="20"/>
                <w:szCs w:val="20"/>
                <w:lang w:eastAsia="en-GB"/>
              </w:rPr>
              <w:t>28,958</w:t>
            </w:r>
          </w:p>
        </w:tc>
        <w:tc>
          <w:tcPr>
            <w:tcW w:w="1276" w:type="dxa"/>
            <w:tcBorders>
              <w:top w:val="nil"/>
              <w:left w:val="nil"/>
              <w:bottom w:val="nil"/>
              <w:right w:val="nil"/>
            </w:tcBorders>
            <w:shd w:val="clear" w:color="auto" w:fill="auto"/>
            <w:noWrap/>
            <w:vAlign w:val="center"/>
            <w:hideMark/>
          </w:tcPr>
          <w:p w14:paraId="31BFAA40" w14:textId="77777777" w:rsidR="00416FDD" w:rsidRPr="00416FDD" w:rsidRDefault="00416FDD" w:rsidP="00416FDD">
            <w:pPr>
              <w:spacing w:after="0" w:line="240" w:lineRule="auto"/>
              <w:jc w:val="right"/>
              <w:rPr>
                <w:rFonts w:ascii="Arial" w:eastAsia="Times New Roman" w:hAnsi="Arial" w:cs="Arial"/>
                <w:sz w:val="20"/>
                <w:szCs w:val="20"/>
                <w:lang w:eastAsia="en-GB"/>
              </w:rPr>
            </w:pPr>
          </w:p>
          <w:p w14:paraId="20F32D9F" w14:textId="77777777" w:rsidR="00416FDD" w:rsidRPr="00416FDD" w:rsidRDefault="00416FDD" w:rsidP="00416FDD">
            <w:pPr>
              <w:spacing w:after="0" w:line="240" w:lineRule="auto"/>
              <w:jc w:val="right"/>
              <w:rPr>
                <w:rFonts w:ascii="Arial" w:eastAsia="Times New Roman" w:hAnsi="Arial" w:cs="Arial"/>
                <w:sz w:val="20"/>
                <w:szCs w:val="20"/>
                <w:lang w:eastAsia="en-GB"/>
              </w:rPr>
            </w:pPr>
            <w:r w:rsidRPr="00416FDD">
              <w:rPr>
                <w:rFonts w:ascii="Arial" w:eastAsia="Times New Roman" w:hAnsi="Arial" w:cs="Arial"/>
                <w:sz w:val="20"/>
                <w:szCs w:val="20"/>
                <w:lang w:eastAsia="en-GB"/>
              </w:rPr>
              <w:t>(62,020)</w:t>
            </w:r>
          </w:p>
        </w:tc>
        <w:tc>
          <w:tcPr>
            <w:tcW w:w="1134" w:type="dxa"/>
            <w:tcBorders>
              <w:top w:val="nil"/>
              <w:left w:val="nil"/>
              <w:bottom w:val="nil"/>
              <w:right w:val="nil"/>
            </w:tcBorders>
            <w:shd w:val="clear" w:color="auto" w:fill="auto"/>
            <w:noWrap/>
            <w:vAlign w:val="center"/>
            <w:hideMark/>
          </w:tcPr>
          <w:p w14:paraId="2C29F478" w14:textId="77777777" w:rsidR="00416FDD" w:rsidRPr="00416FDD" w:rsidRDefault="00416FDD" w:rsidP="00416FDD">
            <w:pPr>
              <w:spacing w:after="0" w:line="240" w:lineRule="auto"/>
              <w:jc w:val="right"/>
              <w:rPr>
                <w:rFonts w:ascii="Arial" w:eastAsia="Times New Roman" w:hAnsi="Arial" w:cs="Arial"/>
                <w:sz w:val="20"/>
                <w:szCs w:val="20"/>
                <w:lang w:eastAsia="en-GB"/>
              </w:rPr>
            </w:pPr>
          </w:p>
          <w:p w14:paraId="609472EA" w14:textId="77777777" w:rsidR="00416FDD" w:rsidRPr="00416FDD" w:rsidRDefault="00416FDD" w:rsidP="00416FDD">
            <w:pPr>
              <w:spacing w:after="0" w:line="240" w:lineRule="auto"/>
              <w:jc w:val="right"/>
              <w:rPr>
                <w:rFonts w:ascii="Arial" w:eastAsia="Times New Roman" w:hAnsi="Arial" w:cs="Arial"/>
                <w:sz w:val="20"/>
                <w:szCs w:val="20"/>
                <w:lang w:eastAsia="en-GB"/>
              </w:rPr>
            </w:pPr>
            <w:r w:rsidRPr="00416FDD">
              <w:rPr>
                <w:rFonts w:ascii="Arial" w:eastAsia="Times New Roman" w:hAnsi="Arial" w:cs="Arial"/>
                <w:sz w:val="20"/>
                <w:szCs w:val="20"/>
                <w:lang w:eastAsia="en-GB"/>
              </w:rPr>
              <w:t>(33,062)</w:t>
            </w:r>
          </w:p>
        </w:tc>
      </w:tr>
      <w:tr w:rsidR="00416FDD" w:rsidRPr="00543D10" w14:paraId="2435745C" w14:textId="77777777" w:rsidTr="00445583">
        <w:trPr>
          <w:trHeight w:val="1365"/>
        </w:trPr>
        <w:tc>
          <w:tcPr>
            <w:tcW w:w="5387" w:type="dxa"/>
            <w:tcBorders>
              <w:top w:val="nil"/>
              <w:left w:val="nil"/>
              <w:bottom w:val="nil"/>
              <w:right w:val="nil"/>
            </w:tcBorders>
            <w:shd w:val="clear" w:color="auto" w:fill="auto"/>
            <w:vAlign w:val="center"/>
            <w:hideMark/>
          </w:tcPr>
          <w:p w14:paraId="12F1DB8B" w14:textId="77777777" w:rsidR="00416FDD" w:rsidRPr="00543D10" w:rsidRDefault="00416FDD" w:rsidP="00416FDD">
            <w:pPr>
              <w:spacing w:after="0" w:line="240" w:lineRule="auto"/>
              <w:rPr>
                <w:rFonts w:ascii="Arial" w:eastAsia="Times New Roman" w:hAnsi="Arial" w:cs="Arial"/>
                <w:sz w:val="20"/>
                <w:szCs w:val="20"/>
                <w:lang w:eastAsia="en-GB"/>
              </w:rPr>
            </w:pPr>
            <w:r w:rsidRPr="00543D10">
              <w:rPr>
                <w:rFonts w:ascii="Arial" w:eastAsia="Times New Roman" w:hAnsi="Arial" w:cs="Arial"/>
                <w:sz w:val="20"/>
                <w:szCs w:val="20"/>
                <w:lang w:eastAsia="en-GB"/>
              </w:rPr>
              <w:t>London Pensions Fund Authority, the City of Bradford Metropolitan District Council, Gloucestershire County Council, Northamptonshire County Council, Wolverhampton City Council and Leicestershire County Council (Prospect Services)</w:t>
            </w:r>
          </w:p>
        </w:tc>
        <w:tc>
          <w:tcPr>
            <w:tcW w:w="1417" w:type="dxa"/>
            <w:tcBorders>
              <w:top w:val="nil"/>
              <w:left w:val="nil"/>
              <w:bottom w:val="nil"/>
              <w:right w:val="nil"/>
            </w:tcBorders>
            <w:shd w:val="clear" w:color="auto" w:fill="auto"/>
            <w:noWrap/>
            <w:vAlign w:val="center"/>
            <w:hideMark/>
          </w:tcPr>
          <w:p w14:paraId="63801120" w14:textId="77777777" w:rsidR="00416FDD" w:rsidRPr="00416FDD" w:rsidRDefault="00416FDD" w:rsidP="00416FDD">
            <w:pPr>
              <w:spacing w:after="0" w:line="240" w:lineRule="auto"/>
              <w:jc w:val="right"/>
              <w:rPr>
                <w:rFonts w:ascii="Arial" w:eastAsia="Times New Roman" w:hAnsi="Arial" w:cs="Arial"/>
                <w:sz w:val="20"/>
                <w:szCs w:val="20"/>
                <w:lang w:eastAsia="en-GB"/>
              </w:rPr>
            </w:pPr>
          </w:p>
          <w:p w14:paraId="431DEA37" w14:textId="77777777" w:rsidR="00416FDD" w:rsidRPr="00416FDD" w:rsidRDefault="00416FDD" w:rsidP="00416FDD">
            <w:pPr>
              <w:spacing w:after="0" w:line="240" w:lineRule="auto"/>
              <w:jc w:val="right"/>
              <w:rPr>
                <w:rFonts w:ascii="Arial" w:eastAsia="Times New Roman" w:hAnsi="Arial" w:cs="Arial"/>
                <w:sz w:val="20"/>
                <w:szCs w:val="20"/>
                <w:lang w:eastAsia="en-GB"/>
              </w:rPr>
            </w:pPr>
          </w:p>
          <w:p w14:paraId="6DAF27E7" w14:textId="77777777" w:rsidR="00416FDD" w:rsidRPr="00416FDD" w:rsidRDefault="00416FDD" w:rsidP="00416FDD">
            <w:pPr>
              <w:spacing w:after="0" w:line="240" w:lineRule="auto"/>
              <w:jc w:val="right"/>
              <w:rPr>
                <w:rFonts w:ascii="Arial" w:eastAsia="Times New Roman" w:hAnsi="Arial" w:cs="Arial"/>
                <w:sz w:val="20"/>
                <w:szCs w:val="20"/>
                <w:lang w:eastAsia="en-GB"/>
              </w:rPr>
            </w:pPr>
            <w:r w:rsidRPr="00416FDD">
              <w:rPr>
                <w:rFonts w:ascii="Arial" w:eastAsia="Times New Roman" w:hAnsi="Arial" w:cs="Arial"/>
                <w:sz w:val="20"/>
                <w:szCs w:val="20"/>
                <w:lang w:eastAsia="en-GB"/>
              </w:rPr>
              <w:t>130,612</w:t>
            </w:r>
          </w:p>
        </w:tc>
        <w:tc>
          <w:tcPr>
            <w:tcW w:w="1276" w:type="dxa"/>
            <w:tcBorders>
              <w:top w:val="nil"/>
              <w:left w:val="nil"/>
              <w:bottom w:val="nil"/>
              <w:right w:val="nil"/>
            </w:tcBorders>
            <w:shd w:val="clear" w:color="auto" w:fill="auto"/>
            <w:noWrap/>
            <w:vAlign w:val="center"/>
            <w:hideMark/>
          </w:tcPr>
          <w:p w14:paraId="739AC6A5" w14:textId="77777777" w:rsidR="00416FDD" w:rsidRPr="00416FDD" w:rsidRDefault="00416FDD" w:rsidP="00416FDD">
            <w:pPr>
              <w:spacing w:after="0" w:line="240" w:lineRule="auto"/>
              <w:jc w:val="right"/>
              <w:rPr>
                <w:rFonts w:ascii="Arial" w:eastAsia="Times New Roman" w:hAnsi="Arial" w:cs="Arial"/>
                <w:sz w:val="20"/>
                <w:szCs w:val="20"/>
                <w:lang w:eastAsia="en-GB"/>
              </w:rPr>
            </w:pPr>
          </w:p>
          <w:p w14:paraId="13C3A05B" w14:textId="77777777" w:rsidR="00416FDD" w:rsidRPr="00416FDD" w:rsidRDefault="00416FDD" w:rsidP="00416FDD">
            <w:pPr>
              <w:spacing w:after="0" w:line="240" w:lineRule="auto"/>
              <w:jc w:val="right"/>
              <w:rPr>
                <w:rFonts w:ascii="Arial" w:eastAsia="Times New Roman" w:hAnsi="Arial" w:cs="Arial"/>
                <w:sz w:val="20"/>
                <w:szCs w:val="20"/>
                <w:lang w:eastAsia="en-GB"/>
              </w:rPr>
            </w:pPr>
          </w:p>
          <w:p w14:paraId="52EB72A3" w14:textId="77777777" w:rsidR="00416FDD" w:rsidRPr="00416FDD" w:rsidRDefault="00373A6A" w:rsidP="00416FDD">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(191,</w:t>
            </w:r>
            <w:r w:rsidR="00416FDD" w:rsidRPr="00416FDD">
              <w:rPr>
                <w:rFonts w:ascii="Arial" w:eastAsia="Times New Roman" w:hAnsi="Arial" w:cs="Arial"/>
                <w:sz w:val="20"/>
                <w:szCs w:val="20"/>
                <w:lang w:eastAsia="en-GB"/>
              </w:rPr>
              <w:t>163)</w:t>
            </w:r>
          </w:p>
        </w:tc>
        <w:tc>
          <w:tcPr>
            <w:tcW w:w="1134" w:type="dxa"/>
            <w:tcBorders>
              <w:top w:val="nil"/>
              <w:left w:val="nil"/>
              <w:bottom w:val="nil"/>
              <w:right w:val="nil"/>
            </w:tcBorders>
            <w:shd w:val="clear" w:color="auto" w:fill="auto"/>
            <w:noWrap/>
            <w:vAlign w:val="center"/>
            <w:hideMark/>
          </w:tcPr>
          <w:p w14:paraId="2D99BE2B" w14:textId="77777777" w:rsidR="00416FDD" w:rsidRPr="00416FDD" w:rsidRDefault="00416FDD" w:rsidP="00416FDD">
            <w:pPr>
              <w:spacing w:after="0" w:line="240" w:lineRule="auto"/>
              <w:jc w:val="right"/>
              <w:rPr>
                <w:rFonts w:ascii="Arial" w:eastAsia="Times New Roman" w:hAnsi="Arial" w:cs="Arial"/>
                <w:sz w:val="20"/>
                <w:szCs w:val="20"/>
                <w:lang w:eastAsia="en-GB"/>
              </w:rPr>
            </w:pPr>
          </w:p>
          <w:p w14:paraId="7E21411F" w14:textId="77777777" w:rsidR="00416FDD" w:rsidRPr="00416FDD" w:rsidRDefault="00416FDD" w:rsidP="00416FDD">
            <w:pPr>
              <w:spacing w:after="0" w:line="240" w:lineRule="auto"/>
              <w:jc w:val="right"/>
              <w:rPr>
                <w:rFonts w:ascii="Arial" w:eastAsia="Times New Roman" w:hAnsi="Arial" w:cs="Arial"/>
                <w:sz w:val="20"/>
                <w:szCs w:val="20"/>
                <w:lang w:eastAsia="en-GB"/>
              </w:rPr>
            </w:pPr>
          </w:p>
          <w:p w14:paraId="5CCC49BB" w14:textId="77777777" w:rsidR="00416FDD" w:rsidRPr="00416FDD" w:rsidRDefault="00416FDD" w:rsidP="00416FDD">
            <w:pPr>
              <w:spacing w:after="0" w:line="240" w:lineRule="auto"/>
              <w:jc w:val="right"/>
              <w:rPr>
                <w:rFonts w:ascii="Arial" w:eastAsia="Times New Roman" w:hAnsi="Arial" w:cs="Arial"/>
                <w:sz w:val="20"/>
                <w:szCs w:val="20"/>
                <w:lang w:eastAsia="en-GB"/>
              </w:rPr>
            </w:pPr>
            <w:r w:rsidRPr="00416FDD">
              <w:rPr>
                <w:rFonts w:ascii="Arial" w:eastAsia="Times New Roman" w:hAnsi="Arial" w:cs="Arial"/>
                <w:sz w:val="20"/>
                <w:szCs w:val="20"/>
                <w:lang w:eastAsia="en-GB"/>
              </w:rPr>
              <w:t>(60,551)</w:t>
            </w:r>
          </w:p>
        </w:tc>
      </w:tr>
      <w:tr w:rsidR="00416FDD" w:rsidRPr="00543D10" w14:paraId="307604DA" w14:textId="77777777" w:rsidTr="00445583">
        <w:trPr>
          <w:trHeight w:val="323"/>
        </w:trPr>
        <w:tc>
          <w:tcPr>
            <w:tcW w:w="5387" w:type="dxa"/>
            <w:tcBorders>
              <w:top w:val="single" w:sz="4" w:space="0" w:color="auto"/>
              <w:left w:val="nil"/>
              <w:bottom w:val="single" w:sz="4" w:space="0" w:color="auto"/>
              <w:right w:val="nil"/>
            </w:tcBorders>
            <w:shd w:val="clear" w:color="auto" w:fill="auto"/>
            <w:noWrap/>
            <w:vAlign w:val="center"/>
            <w:hideMark/>
          </w:tcPr>
          <w:p w14:paraId="31BDB6B4" w14:textId="77777777" w:rsidR="00416FDD" w:rsidRPr="00543D10" w:rsidRDefault="00416FDD" w:rsidP="00416FDD">
            <w:pPr>
              <w:spacing w:after="0" w:line="240" w:lineRule="auto"/>
              <w:rPr>
                <w:rFonts w:ascii="Arial" w:eastAsia="Times New Roman" w:hAnsi="Arial" w:cs="Arial"/>
                <w:sz w:val="20"/>
                <w:szCs w:val="20"/>
                <w:lang w:eastAsia="en-GB"/>
              </w:rPr>
            </w:pPr>
            <w:r w:rsidRPr="00543D10">
              <w:rPr>
                <w:rFonts w:ascii="Arial" w:eastAsia="Times New Roman" w:hAnsi="Arial" w:cs="Arial"/>
                <w:sz w:val="20"/>
                <w:szCs w:val="20"/>
                <w:lang w:eastAsia="en-GB"/>
              </w:rPr>
              <w:t xml:space="preserve">At 31 August </w:t>
            </w:r>
            <w:r>
              <w:rPr>
                <w:rFonts w:ascii="Arial" w:eastAsia="Times New Roman" w:hAnsi="Arial" w:cs="Arial"/>
                <w:sz w:val="20"/>
                <w:szCs w:val="20"/>
                <w:lang w:eastAsia="en-GB"/>
              </w:rPr>
              <w:t>2019</w:t>
            </w:r>
          </w:p>
        </w:tc>
        <w:tc>
          <w:tcPr>
            <w:tcW w:w="1417" w:type="dxa"/>
            <w:tcBorders>
              <w:top w:val="single" w:sz="4" w:space="0" w:color="auto"/>
              <w:left w:val="nil"/>
              <w:bottom w:val="single" w:sz="4" w:space="0" w:color="auto"/>
              <w:right w:val="nil"/>
            </w:tcBorders>
            <w:shd w:val="clear" w:color="auto" w:fill="auto"/>
            <w:noWrap/>
            <w:vAlign w:val="center"/>
            <w:hideMark/>
          </w:tcPr>
          <w:p w14:paraId="5616E397" w14:textId="77777777" w:rsidR="00416FDD" w:rsidRPr="00416FDD" w:rsidRDefault="00416FDD" w:rsidP="00416FDD">
            <w:pPr>
              <w:spacing w:after="0" w:line="240" w:lineRule="auto"/>
              <w:jc w:val="right"/>
              <w:rPr>
                <w:rFonts w:ascii="Arial" w:eastAsia="Times New Roman" w:hAnsi="Arial" w:cs="Arial"/>
                <w:bCs/>
                <w:sz w:val="20"/>
                <w:szCs w:val="20"/>
                <w:lang w:eastAsia="en-GB"/>
              </w:rPr>
            </w:pPr>
            <w:r w:rsidRPr="00416FDD">
              <w:rPr>
                <w:rFonts w:ascii="Arial" w:eastAsia="Times New Roman" w:hAnsi="Arial" w:cs="Arial"/>
                <w:bCs/>
                <w:sz w:val="20"/>
                <w:szCs w:val="20"/>
                <w:lang w:eastAsia="en-GB"/>
              </w:rPr>
              <w:t>163,869</w:t>
            </w:r>
          </w:p>
        </w:tc>
        <w:tc>
          <w:tcPr>
            <w:tcW w:w="1276" w:type="dxa"/>
            <w:tcBorders>
              <w:top w:val="single" w:sz="4" w:space="0" w:color="auto"/>
              <w:left w:val="nil"/>
              <w:bottom w:val="single" w:sz="4" w:space="0" w:color="auto"/>
              <w:right w:val="nil"/>
            </w:tcBorders>
            <w:shd w:val="clear" w:color="auto" w:fill="auto"/>
            <w:noWrap/>
            <w:vAlign w:val="center"/>
            <w:hideMark/>
          </w:tcPr>
          <w:p w14:paraId="47260DA5" w14:textId="77777777" w:rsidR="00416FDD" w:rsidRPr="00416FDD" w:rsidRDefault="00416FDD" w:rsidP="00416FDD">
            <w:pPr>
              <w:spacing w:after="0" w:line="240" w:lineRule="auto"/>
              <w:jc w:val="right"/>
              <w:rPr>
                <w:rFonts w:ascii="Arial" w:eastAsia="Times New Roman" w:hAnsi="Arial" w:cs="Arial"/>
                <w:bCs/>
                <w:sz w:val="20"/>
                <w:szCs w:val="20"/>
                <w:lang w:eastAsia="en-GB"/>
              </w:rPr>
            </w:pPr>
            <w:r w:rsidRPr="00416FDD">
              <w:rPr>
                <w:rFonts w:ascii="Arial" w:eastAsia="Times New Roman" w:hAnsi="Arial" w:cs="Arial"/>
                <w:bCs/>
                <w:sz w:val="20"/>
                <w:szCs w:val="20"/>
                <w:lang w:eastAsia="en-GB"/>
              </w:rPr>
              <w:t>(257,468)</w:t>
            </w:r>
          </w:p>
        </w:tc>
        <w:tc>
          <w:tcPr>
            <w:tcW w:w="1134" w:type="dxa"/>
            <w:tcBorders>
              <w:top w:val="single" w:sz="4" w:space="0" w:color="auto"/>
              <w:left w:val="nil"/>
              <w:bottom w:val="single" w:sz="4" w:space="0" w:color="auto"/>
              <w:right w:val="nil"/>
            </w:tcBorders>
            <w:shd w:val="clear" w:color="auto" w:fill="auto"/>
            <w:noWrap/>
            <w:vAlign w:val="center"/>
            <w:hideMark/>
          </w:tcPr>
          <w:p w14:paraId="19E63B1A" w14:textId="77777777" w:rsidR="00416FDD" w:rsidRPr="00416FDD" w:rsidRDefault="00416FDD" w:rsidP="00416FDD">
            <w:pPr>
              <w:spacing w:after="0" w:line="240" w:lineRule="auto"/>
              <w:jc w:val="right"/>
              <w:rPr>
                <w:rFonts w:ascii="Arial" w:eastAsia="Times New Roman" w:hAnsi="Arial" w:cs="Arial"/>
                <w:bCs/>
                <w:sz w:val="20"/>
                <w:szCs w:val="20"/>
                <w:lang w:eastAsia="en-GB"/>
              </w:rPr>
            </w:pPr>
            <w:r w:rsidRPr="00416FDD">
              <w:rPr>
                <w:rFonts w:ascii="Arial" w:eastAsia="Times New Roman" w:hAnsi="Arial" w:cs="Arial"/>
                <w:bCs/>
                <w:sz w:val="20"/>
                <w:szCs w:val="20"/>
                <w:lang w:eastAsia="en-GB"/>
              </w:rPr>
              <w:t>(93,599)</w:t>
            </w:r>
          </w:p>
        </w:tc>
      </w:tr>
    </w:tbl>
    <w:p w14:paraId="3AA4DFB6" w14:textId="77777777" w:rsidR="00A16045" w:rsidRDefault="00A16045" w:rsidP="00E91283">
      <w:pPr>
        <w:autoSpaceDE w:val="0"/>
        <w:autoSpaceDN w:val="0"/>
        <w:adjustRightInd w:val="0"/>
        <w:spacing w:after="0" w:line="240" w:lineRule="auto"/>
        <w:rPr>
          <w:rFonts w:ascii="Arial" w:hAnsi="Arial" w:cs="Arial"/>
          <w:b/>
          <w:sz w:val="24"/>
          <w:szCs w:val="24"/>
        </w:rPr>
      </w:pPr>
    </w:p>
    <w:p w14:paraId="62270BA7" w14:textId="77777777" w:rsidR="006E7C43" w:rsidRDefault="006E7C43" w:rsidP="00E91283">
      <w:pPr>
        <w:autoSpaceDE w:val="0"/>
        <w:autoSpaceDN w:val="0"/>
        <w:adjustRightInd w:val="0"/>
        <w:spacing w:after="0" w:line="240" w:lineRule="auto"/>
        <w:rPr>
          <w:rFonts w:ascii="Arial" w:hAnsi="Arial" w:cs="Arial"/>
          <w:b/>
          <w:sz w:val="24"/>
          <w:szCs w:val="24"/>
        </w:rPr>
      </w:pPr>
    </w:p>
    <w:p w14:paraId="0EF6EAE6" w14:textId="77777777" w:rsidR="006E7C43" w:rsidRDefault="006E7C43" w:rsidP="00E91283">
      <w:pPr>
        <w:autoSpaceDE w:val="0"/>
        <w:autoSpaceDN w:val="0"/>
        <w:adjustRightInd w:val="0"/>
        <w:spacing w:after="0" w:line="240" w:lineRule="auto"/>
        <w:rPr>
          <w:rFonts w:ascii="Arial" w:hAnsi="Arial" w:cs="Arial"/>
          <w:b/>
          <w:sz w:val="24"/>
          <w:szCs w:val="24"/>
        </w:rPr>
      </w:pPr>
    </w:p>
    <w:p w14:paraId="319E3C3E" w14:textId="77777777" w:rsidR="006E7C43" w:rsidRDefault="006E7C43" w:rsidP="00E91283">
      <w:pPr>
        <w:autoSpaceDE w:val="0"/>
        <w:autoSpaceDN w:val="0"/>
        <w:adjustRightInd w:val="0"/>
        <w:spacing w:after="0" w:line="240" w:lineRule="auto"/>
        <w:rPr>
          <w:rFonts w:ascii="Arial" w:hAnsi="Arial" w:cs="Arial"/>
          <w:b/>
          <w:sz w:val="24"/>
          <w:szCs w:val="24"/>
        </w:rPr>
      </w:pPr>
    </w:p>
    <w:p w14:paraId="1E79E354" w14:textId="77777777" w:rsidR="006E7C43" w:rsidRDefault="006E7C43" w:rsidP="006E7C43">
      <w:pPr>
        <w:tabs>
          <w:tab w:val="left" w:pos="567"/>
        </w:tabs>
        <w:ind w:left="567" w:hanging="567"/>
        <w:rPr>
          <w:rFonts w:ascii="Arial" w:hAnsi="Arial" w:cs="Arial"/>
          <w:b/>
          <w:i/>
          <w:sz w:val="24"/>
          <w:szCs w:val="24"/>
        </w:rPr>
      </w:pPr>
    </w:p>
    <w:p w14:paraId="4512C7F6" w14:textId="77777777" w:rsidR="0063306F" w:rsidRDefault="0063306F" w:rsidP="006E7C43">
      <w:pPr>
        <w:tabs>
          <w:tab w:val="left" w:pos="567"/>
        </w:tabs>
        <w:ind w:left="567" w:hanging="567"/>
        <w:rPr>
          <w:rFonts w:ascii="Arial" w:hAnsi="Arial" w:cs="Arial"/>
          <w:b/>
          <w:i/>
          <w:sz w:val="24"/>
          <w:szCs w:val="24"/>
        </w:rPr>
      </w:pPr>
    </w:p>
    <w:p w14:paraId="7C8DF5EA" w14:textId="77777777" w:rsidR="006C07DD" w:rsidRDefault="006C07DD" w:rsidP="006C07DD">
      <w:pPr>
        <w:spacing w:after="0" w:line="240" w:lineRule="auto"/>
        <w:rPr>
          <w:rFonts w:ascii="Arial" w:hAnsi="Arial" w:cs="Arial"/>
          <w:b/>
          <w:i/>
          <w:sz w:val="24"/>
          <w:szCs w:val="24"/>
        </w:rPr>
      </w:pPr>
      <w:r w:rsidRPr="0088736E">
        <w:rPr>
          <w:rFonts w:ascii="Arial" w:hAnsi="Arial" w:cs="Arial"/>
          <w:b/>
          <w:i/>
          <w:sz w:val="24"/>
          <w:szCs w:val="24"/>
        </w:rPr>
        <w:lastRenderedPageBreak/>
        <w:t xml:space="preserve">Notes to the financial </w:t>
      </w:r>
      <w:r>
        <w:rPr>
          <w:rFonts w:ascii="Arial" w:hAnsi="Arial" w:cs="Arial"/>
          <w:b/>
          <w:i/>
          <w:sz w:val="24"/>
          <w:szCs w:val="24"/>
        </w:rPr>
        <w:t>statements</w:t>
      </w:r>
      <w:r w:rsidRPr="0088736E">
        <w:rPr>
          <w:rFonts w:ascii="Arial" w:hAnsi="Arial" w:cs="Arial"/>
          <w:b/>
          <w:i/>
          <w:sz w:val="24"/>
          <w:szCs w:val="24"/>
        </w:rPr>
        <w:t xml:space="preserve"> (continued)</w:t>
      </w:r>
    </w:p>
    <w:p w14:paraId="6D201222" w14:textId="77777777" w:rsidR="006C07DD" w:rsidRDefault="006C07DD" w:rsidP="006E7C43">
      <w:pPr>
        <w:autoSpaceDE w:val="0"/>
        <w:autoSpaceDN w:val="0"/>
        <w:adjustRightInd w:val="0"/>
        <w:spacing w:after="0" w:line="240" w:lineRule="auto"/>
        <w:rPr>
          <w:rFonts w:ascii="Arial" w:hAnsi="Arial" w:cs="Arial"/>
          <w:b/>
          <w:sz w:val="24"/>
          <w:szCs w:val="24"/>
        </w:rPr>
      </w:pPr>
    </w:p>
    <w:p w14:paraId="02649393" w14:textId="77777777" w:rsidR="006E7C43" w:rsidRDefault="006E7C43" w:rsidP="006E7C43">
      <w:pPr>
        <w:autoSpaceDE w:val="0"/>
        <w:autoSpaceDN w:val="0"/>
        <w:adjustRightInd w:val="0"/>
        <w:spacing w:after="0" w:line="240" w:lineRule="auto"/>
        <w:rPr>
          <w:rFonts w:ascii="Arial" w:hAnsi="Arial" w:cs="Arial"/>
          <w:b/>
          <w:sz w:val="24"/>
          <w:szCs w:val="24"/>
        </w:rPr>
      </w:pPr>
      <w:r w:rsidRPr="005076F2">
        <w:rPr>
          <w:rFonts w:ascii="Arial" w:hAnsi="Arial" w:cs="Arial"/>
          <w:b/>
          <w:sz w:val="24"/>
          <w:szCs w:val="24"/>
        </w:rPr>
        <w:t>24. Pension commitments (continued)</w:t>
      </w:r>
    </w:p>
    <w:p w14:paraId="677E0D32" w14:textId="77777777" w:rsidR="006E7C43" w:rsidRPr="00543D10" w:rsidRDefault="006E7C43" w:rsidP="00E91283">
      <w:pPr>
        <w:autoSpaceDE w:val="0"/>
        <w:autoSpaceDN w:val="0"/>
        <w:adjustRightInd w:val="0"/>
        <w:spacing w:after="0" w:line="240" w:lineRule="auto"/>
        <w:rPr>
          <w:rFonts w:ascii="Arial" w:hAnsi="Arial" w:cs="Arial"/>
          <w:b/>
          <w:sz w:val="24"/>
          <w:szCs w:val="24"/>
        </w:rPr>
      </w:pPr>
    </w:p>
    <w:p w14:paraId="69CD2A1B" w14:textId="77777777" w:rsidR="00E91283" w:rsidRPr="00543D10" w:rsidRDefault="00E91283" w:rsidP="00E70CD3">
      <w:pPr>
        <w:autoSpaceDE w:val="0"/>
        <w:autoSpaceDN w:val="0"/>
        <w:adjustRightInd w:val="0"/>
        <w:spacing w:after="0" w:line="240" w:lineRule="auto"/>
        <w:rPr>
          <w:rFonts w:ascii="Arial" w:hAnsi="Arial" w:cs="Arial"/>
          <w:sz w:val="20"/>
          <w:szCs w:val="20"/>
        </w:rPr>
      </w:pPr>
    </w:p>
    <w:p w14:paraId="7ED530B6" w14:textId="77777777" w:rsidR="00C927A2" w:rsidRPr="00543D10" w:rsidRDefault="00C927A2" w:rsidP="00E70CD3">
      <w:pPr>
        <w:autoSpaceDE w:val="0"/>
        <w:autoSpaceDN w:val="0"/>
        <w:adjustRightInd w:val="0"/>
        <w:spacing w:after="0" w:line="240" w:lineRule="auto"/>
        <w:rPr>
          <w:rFonts w:ascii="Arial" w:hAnsi="Arial" w:cs="Arial"/>
          <w:sz w:val="20"/>
          <w:szCs w:val="20"/>
        </w:rPr>
      </w:pPr>
    </w:p>
    <w:tbl>
      <w:tblPr>
        <w:tblW w:w="9231" w:type="dxa"/>
        <w:tblLook w:val="04A0" w:firstRow="1" w:lastRow="0" w:firstColumn="1" w:lastColumn="0" w:noHBand="0" w:noVBand="1"/>
      </w:tblPr>
      <w:tblGrid>
        <w:gridCol w:w="1076"/>
        <w:gridCol w:w="1077"/>
        <w:gridCol w:w="305"/>
        <w:gridCol w:w="1076"/>
        <w:gridCol w:w="1028"/>
        <w:gridCol w:w="999"/>
        <w:gridCol w:w="259"/>
        <w:gridCol w:w="1076"/>
        <w:gridCol w:w="1256"/>
        <w:gridCol w:w="1079"/>
      </w:tblGrid>
      <w:tr w:rsidR="00543D10" w:rsidRPr="00543D10" w14:paraId="59F55E23" w14:textId="77777777" w:rsidTr="009C7539">
        <w:trPr>
          <w:trHeight w:val="337"/>
        </w:trPr>
        <w:tc>
          <w:tcPr>
            <w:tcW w:w="1076" w:type="dxa"/>
            <w:tcBorders>
              <w:top w:val="nil"/>
              <w:left w:val="nil"/>
              <w:bottom w:val="nil"/>
              <w:right w:val="nil"/>
            </w:tcBorders>
            <w:shd w:val="clear" w:color="auto" w:fill="auto"/>
            <w:noWrap/>
            <w:vAlign w:val="bottom"/>
            <w:hideMark/>
          </w:tcPr>
          <w:p w14:paraId="53BAAD54" w14:textId="77777777" w:rsidR="00C927A2" w:rsidRPr="00543D10" w:rsidRDefault="00C927A2" w:rsidP="00C927A2">
            <w:pPr>
              <w:spacing w:after="0" w:line="240" w:lineRule="auto"/>
              <w:rPr>
                <w:rFonts w:ascii="Times New Roman" w:eastAsia="Times New Roman" w:hAnsi="Times New Roman" w:cs="Times New Roman"/>
                <w:sz w:val="24"/>
                <w:szCs w:val="24"/>
                <w:lang w:eastAsia="en-GB"/>
              </w:rPr>
            </w:pPr>
          </w:p>
          <w:p w14:paraId="3B98490E" w14:textId="77777777" w:rsidR="00C927A2" w:rsidRPr="00543D10" w:rsidRDefault="00C927A2" w:rsidP="00C927A2">
            <w:pPr>
              <w:spacing w:after="0" w:line="240" w:lineRule="auto"/>
              <w:rPr>
                <w:rFonts w:ascii="Times New Roman" w:eastAsia="Times New Roman" w:hAnsi="Times New Roman" w:cs="Times New Roman"/>
                <w:sz w:val="24"/>
                <w:szCs w:val="24"/>
                <w:lang w:eastAsia="en-GB"/>
              </w:rPr>
            </w:pPr>
          </w:p>
        </w:tc>
        <w:tc>
          <w:tcPr>
            <w:tcW w:w="1077" w:type="dxa"/>
            <w:tcBorders>
              <w:top w:val="nil"/>
              <w:left w:val="nil"/>
              <w:bottom w:val="nil"/>
              <w:right w:val="nil"/>
            </w:tcBorders>
            <w:shd w:val="clear" w:color="auto" w:fill="auto"/>
            <w:noWrap/>
            <w:vAlign w:val="bottom"/>
            <w:hideMark/>
          </w:tcPr>
          <w:p w14:paraId="5C377A3F" w14:textId="77777777" w:rsidR="00C927A2" w:rsidRPr="00543D10" w:rsidRDefault="00C927A2" w:rsidP="00C927A2">
            <w:pPr>
              <w:spacing w:after="0" w:line="240" w:lineRule="auto"/>
              <w:rPr>
                <w:rFonts w:ascii="Times New Roman" w:eastAsia="Times New Roman" w:hAnsi="Times New Roman" w:cs="Times New Roman"/>
                <w:sz w:val="20"/>
                <w:szCs w:val="20"/>
                <w:lang w:eastAsia="en-GB"/>
              </w:rPr>
            </w:pPr>
          </w:p>
        </w:tc>
        <w:tc>
          <w:tcPr>
            <w:tcW w:w="304" w:type="dxa"/>
            <w:tcBorders>
              <w:top w:val="nil"/>
              <w:left w:val="nil"/>
              <w:bottom w:val="nil"/>
              <w:right w:val="nil"/>
            </w:tcBorders>
            <w:shd w:val="clear" w:color="auto" w:fill="auto"/>
            <w:noWrap/>
            <w:vAlign w:val="bottom"/>
            <w:hideMark/>
          </w:tcPr>
          <w:p w14:paraId="5759ACC2" w14:textId="77777777" w:rsidR="00C927A2" w:rsidRPr="00543D10" w:rsidRDefault="00C927A2" w:rsidP="00C927A2">
            <w:pPr>
              <w:spacing w:after="0" w:line="240" w:lineRule="auto"/>
              <w:rPr>
                <w:rFonts w:ascii="Times New Roman" w:eastAsia="Times New Roman" w:hAnsi="Times New Roman" w:cs="Times New Roman"/>
                <w:sz w:val="20"/>
                <w:szCs w:val="20"/>
                <w:lang w:eastAsia="en-GB"/>
              </w:rPr>
            </w:pPr>
          </w:p>
        </w:tc>
        <w:tc>
          <w:tcPr>
            <w:tcW w:w="1076" w:type="dxa"/>
            <w:tcBorders>
              <w:top w:val="nil"/>
              <w:left w:val="nil"/>
              <w:bottom w:val="nil"/>
              <w:right w:val="nil"/>
            </w:tcBorders>
            <w:shd w:val="clear" w:color="auto" w:fill="auto"/>
            <w:noWrap/>
            <w:vAlign w:val="bottom"/>
            <w:hideMark/>
          </w:tcPr>
          <w:p w14:paraId="26458191" w14:textId="77777777" w:rsidR="00C927A2" w:rsidRPr="00543D10" w:rsidRDefault="00C927A2" w:rsidP="00C927A2">
            <w:pPr>
              <w:spacing w:after="0" w:line="240" w:lineRule="auto"/>
              <w:rPr>
                <w:rFonts w:ascii="Times New Roman" w:eastAsia="Times New Roman" w:hAnsi="Times New Roman" w:cs="Times New Roman"/>
                <w:sz w:val="20"/>
                <w:szCs w:val="20"/>
                <w:lang w:eastAsia="en-GB"/>
              </w:rPr>
            </w:pPr>
          </w:p>
        </w:tc>
        <w:tc>
          <w:tcPr>
            <w:tcW w:w="1028" w:type="dxa"/>
            <w:tcBorders>
              <w:top w:val="nil"/>
              <w:left w:val="nil"/>
              <w:bottom w:val="nil"/>
              <w:right w:val="nil"/>
            </w:tcBorders>
            <w:shd w:val="clear" w:color="auto" w:fill="auto"/>
            <w:noWrap/>
            <w:vAlign w:val="bottom"/>
            <w:hideMark/>
          </w:tcPr>
          <w:p w14:paraId="53887184" w14:textId="77777777" w:rsidR="00C927A2" w:rsidRPr="00543D10" w:rsidRDefault="00C927A2" w:rsidP="00C927A2">
            <w:pPr>
              <w:spacing w:after="0" w:line="240" w:lineRule="auto"/>
              <w:rPr>
                <w:rFonts w:ascii="Times New Roman" w:eastAsia="Times New Roman" w:hAnsi="Times New Roman" w:cs="Times New Roman"/>
                <w:sz w:val="20"/>
                <w:szCs w:val="20"/>
                <w:lang w:eastAsia="en-GB"/>
              </w:rPr>
            </w:pPr>
          </w:p>
        </w:tc>
        <w:tc>
          <w:tcPr>
            <w:tcW w:w="998" w:type="dxa"/>
            <w:tcBorders>
              <w:top w:val="nil"/>
              <w:left w:val="nil"/>
              <w:bottom w:val="nil"/>
              <w:right w:val="nil"/>
            </w:tcBorders>
            <w:shd w:val="clear" w:color="auto" w:fill="auto"/>
            <w:noWrap/>
            <w:vAlign w:val="bottom"/>
            <w:hideMark/>
          </w:tcPr>
          <w:p w14:paraId="3477A6A0" w14:textId="77777777" w:rsidR="00C927A2" w:rsidRPr="00543D10" w:rsidRDefault="00C927A2" w:rsidP="00C927A2">
            <w:pPr>
              <w:spacing w:after="0" w:line="240" w:lineRule="auto"/>
              <w:rPr>
                <w:rFonts w:ascii="Times New Roman" w:eastAsia="Times New Roman" w:hAnsi="Times New Roman" w:cs="Times New Roman"/>
                <w:sz w:val="20"/>
                <w:szCs w:val="20"/>
                <w:lang w:eastAsia="en-GB"/>
              </w:rPr>
            </w:pPr>
          </w:p>
        </w:tc>
        <w:tc>
          <w:tcPr>
            <w:tcW w:w="259" w:type="dxa"/>
            <w:tcBorders>
              <w:top w:val="nil"/>
              <w:left w:val="nil"/>
              <w:bottom w:val="nil"/>
              <w:right w:val="nil"/>
            </w:tcBorders>
            <w:shd w:val="clear" w:color="auto" w:fill="auto"/>
            <w:noWrap/>
            <w:vAlign w:val="bottom"/>
            <w:hideMark/>
          </w:tcPr>
          <w:p w14:paraId="6D402183" w14:textId="77777777" w:rsidR="00C927A2" w:rsidRPr="00543D10" w:rsidRDefault="00C927A2" w:rsidP="00C927A2">
            <w:pPr>
              <w:spacing w:after="0" w:line="240" w:lineRule="auto"/>
              <w:rPr>
                <w:rFonts w:ascii="Times New Roman" w:eastAsia="Times New Roman" w:hAnsi="Times New Roman" w:cs="Times New Roman"/>
                <w:sz w:val="20"/>
                <w:szCs w:val="20"/>
                <w:lang w:eastAsia="en-GB"/>
              </w:rPr>
            </w:pPr>
          </w:p>
        </w:tc>
        <w:tc>
          <w:tcPr>
            <w:tcW w:w="1076" w:type="dxa"/>
            <w:tcBorders>
              <w:top w:val="nil"/>
              <w:left w:val="nil"/>
              <w:bottom w:val="nil"/>
              <w:right w:val="nil"/>
            </w:tcBorders>
            <w:shd w:val="clear" w:color="auto" w:fill="auto"/>
            <w:noWrap/>
            <w:vAlign w:val="center"/>
            <w:hideMark/>
          </w:tcPr>
          <w:p w14:paraId="5052932D" w14:textId="77777777" w:rsidR="00C927A2" w:rsidRPr="00543D10" w:rsidRDefault="00C927A2" w:rsidP="00C927A2">
            <w:pPr>
              <w:spacing w:after="0" w:line="240" w:lineRule="auto"/>
              <w:jc w:val="right"/>
              <w:rPr>
                <w:rFonts w:ascii="Arial" w:eastAsia="Times New Roman" w:hAnsi="Arial" w:cs="Arial"/>
                <w:b/>
                <w:bCs/>
                <w:sz w:val="20"/>
                <w:szCs w:val="20"/>
                <w:lang w:eastAsia="en-GB"/>
              </w:rPr>
            </w:pPr>
            <w:r w:rsidRPr="00543D10">
              <w:rPr>
                <w:rFonts w:ascii="Arial" w:eastAsia="Times New Roman" w:hAnsi="Arial" w:cs="Arial"/>
                <w:b/>
                <w:bCs/>
                <w:sz w:val="20"/>
                <w:szCs w:val="20"/>
                <w:lang w:eastAsia="en-GB"/>
              </w:rPr>
              <w:t>Assets</w:t>
            </w:r>
          </w:p>
        </w:tc>
        <w:tc>
          <w:tcPr>
            <w:tcW w:w="1256" w:type="dxa"/>
            <w:tcBorders>
              <w:top w:val="nil"/>
              <w:left w:val="nil"/>
              <w:bottom w:val="nil"/>
              <w:right w:val="nil"/>
            </w:tcBorders>
            <w:shd w:val="clear" w:color="auto" w:fill="auto"/>
            <w:noWrap/>
            <w:vAlign w:val="center"/>
            <w:hideMark/>
          </w:tcPr>
          <w:p w14:paraId="0AE51778" w14:textId="77777777" w:rsidR="00C927A2" w:rsidRPr="00543D10" w:rsidRDefault="00C927A2" w:rsidP="00C927A2">
            <w:pPr>
              <w:spacing w:after="0" w:line="240" w:lineRule="auto"/>
              <w:jc w:val="right"/>
              <w:rPr>
                <w:rFonts w:ascii="Arial" w:eastAsia="Times New Roman" w:hAnsi="Arial" w:cs="Arial"/>
                <w:b/>
                <w:bCs/>
                <w:sz w:val="20"/>
                <w:szCs w:val="20"/>
                <w:lang w:eastAsia="en-GB"/>
              </w:rPr>
            </w:pPr>
            <w:r w:rsidRPr="00543D10">
              <w:rPr>
                <w:rFonts w:ascii="Arial" w:eastAsia="Times New Roman" w:hAnsi="Arial" w:cs="Arial"/>
                <w:b/>
                <w:bCs/>
                <w:sz w:val="20"/>
                <w:szCs w:val="20"/>
                <w:lang w:eastAsia="en-GB"/>
              </w:rPr>
              <w:t>Liabilities</w:t>
            </w:r>
          </w:p>
        </w:tc>
        <w:tc>
          <w:tcPr>
            <w:tcW w:w="1079" w:type="dxa"/>
            <w:tcBorders>
              <w:top w:val="nil"/>
              <w:left w:val="nil"/>
              <w:bottom w:val="nil"/>
              <w:right w:val="nil"/>
            </w:tcBorders>
            <w:shd w:val="clear" w:color="auto" w:fill="auto"/>
            <w:noWrap/>
            <w:vAlign w:val="center"/>
            <w:hideMark/>
          </w:tcPr>
          <w:p w14:paraId="11C1FC36" w14:textId="77777777" w:rsidR="00C927A2" w:rsidRPr="00543D10" w:rsidRDefault="0037645F" w:rsidP="00C927A2">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2020</w:t>
            </w:r>
            <w:r w:rsidR="00C927A2" w:rsidRPr="00543D10">
              <w:rPr>
                <w:rFonts w:ascii="Arial" w:eastAsia="Times New Roman" w:hAnsi="Arial" w:cs="Arial"/>
                <w:b/>
                <w:bCs/>
                <w:sz w:val="20"/>
                <w:szCs w:val="20"/>
                <w:lang w:eastAsia="en-GB"/>
              </w:rPr>
              <w:t xml:space="preserve"> Total</w:t>
            </w:r>
          </w:p>
        </w:tc>
      </w:tr>
      <w:tr w:rsidR="00543D10" w:rsidRPr="00543D10" w14:paraId="18010DA5" w14:textId="77777777" w:rsidTr="009C7539">
        <w:trPr>
          <w:trHeight w:val="337"/>
        </w:trPr>
        <w:tc>
          <w:tcPr>
            <w:tcW w:w="1076" w:type="dxa"/>
            <w:tcBorders>
              <w:top w:val="nil"/>
              <w:left w:val="nil"/>
              <w:bottom w:val="nil"/>
              <w:right w:val="nil"/>
            </w:tcBorders>
            <w:shd w:val="clear" w:color="auto" w:fill="auto"/>
            <w:noWrap/>
            <w:vAlign w:val="bottom"/>
            <w:hideMark/>
          </w:tcPr>
          <w:p w14:paraId="3529393C" w14:textId="77777777" w:rsidR="00C927A2" w:rsidRPr="00543D10" w:rsidRDefault="00C927A2" w:rsidP="00C927A2">
            <w:pPr>
              <w:spacing w:after="0" w:line="240" w:lineRule="auto"/>
              <w:jc w:val="right"/>
              <w:rPr>
                <w:rFonts w:ascii="Arial" w:eastAsia="Times New Roman" w:hAnsi="Arial" w:cs="Arial"/>
                <w:b/>
                <w:bCs/>
                <w:sz w:val="20"/>
                <w:szCs w:val="20"/>
                <w:lang w:eastAsia="en-GB"/>
              </w:rPr>
            </w:pPr>
          </w:p>
        </w:tc>
        <w:tc>
          <w:tcPr>
            <w:tcW w:w="1077" w:type="dxa"/>
            <w:tcBorders>
              <w:top w:val="nil"/>
              <w:left w:val="nil"/>
              <w:bottom w:val="nil"/>
              <w:right w:val="nil"/>
            </w:tcBorders>
            <w:shd w:val="clear" w:color="auto" w:fill="auto"/>
            <w:noWrap/>
            <w:vAlign w:val="bottom"/>
            <w:hideMark/>
          </w:tcPr>
          <w:p w14:paraId="09858872" w14:textId="77777777" w:rsidR="00C927A2" w:rsidRPr="00543D10" w:rsidRDefault="00C927A2" w:rsidP="00C927A2">
            <w:pPr>
              <w:spacing w:after="0" w:line="240" w:lineRule="auto"/>
              <w:rPr>
                <w:rFonts w:ascii="Times New Roman" w:eastAsia="Times New Roman" w:hAnsi="Times New Roman" w:cs="Times New Roman"/>
                <w:sz w:val="20"/>
                <w:szCs w:val="20"/>
                <w:lang w:eastAsia="en-GB"/>
              </w:rPr>
            </w:pPr>
          </w:p>
        </w:tc>
        <w:tc>
          <w:tcPr>
            <w:tcW w:w="304" w:type="dxa"/>
            <w:tcBorders>
              <w:top w:val="nil"/>
              <w:left w:val="nil"/>
              <w:bottom w:val="nil"/>
              <w:right w:val="nil"/>
            </w:tcBorders>
            <w:shd w:val="clear" w:color="auto" w:fill="auto"/>
            <w:noWrap/>
            <w:vAlign w:val="bottom"/>
            <w:hideMark/>
          </w:tcPr>
          <w:p w14:paraId="62D02221" w14:textId="77777777" w:rsidR="00C927A2" w:rsidRPr="00543D10" w:rsidRDefault="00C927A2" w:rsidP="00C927A2">
            <w:pPr>
              <w:spacing w:after="0" w:line="240" w:lineRule="auto"/>
              <w:rPr>
                <w:rFonts w:ascii="Times New Roman" w:eastAsia="Times New Roman" w:hAnsi="Times New Roman" w:cs="Times New Roman"/>
                <w:sz w:val="20"/>
                <w:szCs w:val="20"/>
                <w:lang w:eastAsia="en-GB"/>
              </w:rPr>
            </w:pPr>
          </w:p>
        </w:tc>
        <w:tc>
          <w:tcPr>
            <w:tcW w:w="1076" w:type="dxa"/>
            <w:tcBorders>
              <w:top w:val="nil"/>
              <w:left w:val="nil"/>
              <w:bottom w:val="nil"/>
              <w:right w:val="nil"/>
            </w:tcBorders>
            <w:shd w:val="clear" w:color="auto" w:fill="auto"/>
            <w:noWrap/>
            <w:vAlign w:val="bottom"/>
            <w:hideMark/>
          </w:tcPr>
          <w:p w14:paraId="65BA25FA" w14:textId="77777777" w:rsidR="00C927A2" w:rsidRPr="00543D10" w:rsidRDefault="00C927A2" w:rsidP="00C927A2">
            <w:pPr>
              <w:spacing w:after="0" w:line="240" w:lineRule="auto"/>
              <w:rPr>
                <w:rFonts w:ascii="Times New Roman" w:eastAsia="Times New Roman" w:hAnsi="Times New Roman" w:cs="Times New Roman"/>
                <w:sz w:val="20"/>
                <w:szCs w:val="20"/>
                <w:lang w:eastAsia="en-GB"/>
              </w:rPr>
            </w:pPr>
          </w:p>
        </w:tc>
        <w:tc>
          <w:tcPr>
            <w:tcW w:w="1028" w:type="dxa"/>
            <w:tcBorders>
              <w:top w:val="nil"/>
              <w:left w:val="nil"/>
              <w:bottom w:val="nil"/>
              <w:right w:val="nil"/>
            </w:tcBorders>
            <w:shd w:val="clear" w:color="auto" w:fill="auto"/>
            <w:noWrap/>
            <w:vAlign w:val="bottom"/>
            <w:hideMark/>
          </w:tcPr>
          <w:p w14:paraId="314FC76E" w14:textId="77777777" w:rsidR="00C927A2" w:rsidRPr="00543D10" w:rsidRDefault="00C927A2" w:rsidP="00C927A2">
            <w:pPr>
              <w:spacing w:after="0" w:line="240" w:lineRule="auto"/>
              <w:rPr>
                <w:rFonts w:ascii="Times New Roman" w:eastAsia="Times New Roman" w:hAnsi="Times New Roman" w:cs="Times New Roman"/>
                <w:sz w:val="20"/>
                <w:szCs w:val="20"/>
                <w:lang w:eastAsia="en-GB"/>
              </w:rPr>
            </w:pPr>
          </w:p>
        </w:tc>
        <w:tc>
          <w:tcPr>
            <w:tcW w:w="998" w:type="dxa"/>
            <w:tcBorders>
              <w:top w:val="nil"/>
              <w:left w:val="nil"/>
              <w:bottom w:val="nil"/>
              <w:right w:val="nil"/>
            </w:tcBorders>
            <w:shd w:val="clear" w:color="auto" w:fill="auto"/>
            <w:noWrap/>
            <w:vAlign w:val="bottom"/>
            <w:hideMark/>
          </w:tcPr>
          <w:p w14:paraId="5CA2981B" w14:textId="77777777" w:rsidR="00C927A2" w:rsidRPr="00543D10" w:rsidRDefault="00C927A2" w:rsidP="00C927A2">
            <w:pPr>
              <w:spacing w:after="0" w:line="240" w:lineRule="auto"/>
              <w:rPr>
                <w:rFonts w:ascii="Times New Roman" w:eastAsia="Times New Roman" w:hAnsi="Times New Roman" w:cs="Times New Roman"/>
                <w:sz w:val="20"/>
                <w:szCs w:val="20"/>
                <w:lang w:eastAsia="en-GB"/>
              </w:rPr>
            </w:pPr>
          </w:p>
        </w:tc>
        <w:tc>
          <w:tcPr>
            <w:tcW w:w="259" w:type="dxa"/>
            <w:tcBorders>
              <w:top w:val="nil"/>
              <w:left w:val="nil"/>
              <w:bottom w:val="nil"/>
              <w:right w:val="nil"/>
            </w:tcBorders>
            <w:shd w:val="clear" w:color="auto" w:fill="auto"/>
            <w:noWrap/>
            <w:vAlign w:val="bottom"/>
            <w:hideMark/>
          </w:tcPr>
          <w:p w14:paraId="64B23925" w14:textId="77777777" w:rsidR="00C927A2" w:rsidRPr="00543D10" w:rsidRDefault="00C927A2" w:rsidP="00C927A2">
            <w:pPr>
              <w:spacing w:after="0" w:line="240" w:lineRule="auto"/>
              <w:rPr>
                <w:rFonts w:ascii="Times New Roman" w:eastAsia="Times New Roman" w:hAnsi="Times New Roman" w:cs="Times New Roman"/>
                <w:sz w:val="20"/>
                <w:szCs w:val="20"/>
                <w:lang w:eastAsia="en-GB"/>
              </w:rPr>
            </w:pPr>
          </w:p>
        </w:tc>
        <w:tc>
          <w:tcPr>
            <w:tcW w:w="1076" w:type="dxa"/>
            <w:tcBorders>
              <w:top w:val="nil"/>
              <w:left w:val="nil"/>
              <w:right w:val="nil"/>
            </w:tcBorders>
            <w:shd w:val="clear" w:color="auto" w:fill="auto"/>
            <w:noWrap/>
            <w:vAlign w:val="center"/>
            <w:hideMark/>
          </w:tcPr>
          <w:p w14:paraId="24472B84" w14:textId="77777777" w:rsidR="00C927A2" w:rsidRPr="00543D10" w:rsidRDefault="00C927A2" w:rsidP="00C927A2">
            <w:pPr>
              <w:spacing w:after="0" w:line="240" w:lineRule="auto"/>
              <w:jc w:val="right"/>
              <w:rPr>
                <w:rFonts w:ascii="Arial" w:eastAsia="Times New Roman" w:hAnsi="Arial" w:cs="Arial"/>
                <w:b/>
                <w:bCs/>
                <w:sz w:val="20"/>
                <w:szCs w:val="20"/>
                <w:lang w:eastAsia="en-GB"/>
              </w:rPr>
            </w:pPr>
            <w:r w:rsidRPr="00543D10">
              <w:rPr>
                <w:rFonts w:ascii="Arial" w:eastAsia="Times New Roman" w:hAnsi="Arial" w:cs="Arial"/>
                <w:b/>
                <w:bCs/>
                <w:sz w:val="20"/>
                <w:szCs w:val="20"/>
                <w:lang w:eastAsia="en-GB"/>
              </w:rPr>
              <w:t>£000</w:t>
            </w:r>
          </w:p>
        </w:tc>
        <w:tc>
          <w:tcPr>
            <w:tcW w:w="1256" w:type="dxa"/>
            <w:tcBorders>
              <w:top w:val="nil"/>
              <w:left w:val="nil"/>
              <w:right w:val="nil"/>
            </w:tcBorders>
            <w:shd w:val="clear" w:color="auto" w:fill="auto"/>
            <w:noWrap/>
            <w:vAlign w:val="center"/>
            <w:hideMark/>
          </w:tcPr>
          <w:p w14:paraId="595D3015" w14:textId="77777777" w:rsidR="00C927A2" w:rsidRPr="00543D10" w:rsidRDefault="00C927A2" w:rsidP="00C927A2">
            <w:pPr>
              <w:spacing w:after="0" w:line="240" w:lineRule="auto"/>
              <w:jc w:val="right"/>
              <w:rPr>
                <w:rFonts w:ascii="Arial" w:eastAsia="Times New Roman" w:hAnsi="Arial" w:cs="Arial"/>
                <w:b/>
                <w:bCs/>
                <w:sz w:val="20"/>
                <w:szCs w:val="20"/>
                <w:lang w:eastAsia="en-GB"/>
              </w:rPr>
            </w:pPr>
            <w:r w:rsidRPr="00543D10">
              <w:rPr>
                <w:rFonts w:ascii="Arial" w:eastAsia="Times New Roman" w:hAnsi="Arial" w:cs="Arial"/>
                <w:b/>
                <w:bCs/>
                <w:sz w:val="20"/>
                <w:szCs w:val="20"/>
                <w:lang w:eastAsia="en-GB"/>
              </w:rPr>
              <w:t>£000</w:t>
            </w:r>
          </w:p>
        </w:tc>
        <w:tc>
          <w:tcPr>
            <w:tcW w:w="1079" w:type="dxa"/>
            <w:tcBorders>
              <w:top w:val="nil"/>
              <w:left w:val="nil"/>
              <w:right w:val="nil"/>
            </w:tcBorders>
            <w:shd w:val="clear" w:color="auto" w:fill="auto"/>
            <w:noWrap/>
            <w:vAlign w:val="center"/>
            <w:hideMark/>
          </w:tcPr>
          <w:p w14:paraId="670A7A41" w14:textId="77777777" w:rsidR="00C927A2" w:rsidRPr="00543D10" w:rsidRDefault="00C927A2" w:rsidP="00C927A2">
            <w:pPr>
              <w:spacing w:after="0" w:line="240" w:lineRule="auto"/>
              <w:jc w:val="right"/>
              <w:rPr>
                <w:rFonts w:ascii="Arial" w:eastAsia="Times New Roman" w:hAnsi="Arial" w:cs="Arial"/>
                <w:b/>
                <w:bCs/>
                <w:sz w:val="20"/>
                <w:szCs w:val="20"/>
                <w:lang w:eastAsia="en-GB"/>
              </w:rPr>
            </w:pPr>
            <w:r w:rsidRPr="00543D10">
              <w:rPr>
                <w:rFonts w:ascii="Arial" w:eastAsia="Times New Roman" w:hAnsi="Arial" w:cs="Arial"/>
                <w:b/>
                <w:bCs/>
                <w:sz w:val="20"/>
                <w:szCs w:val="20"/>
                <w:lang w:eastAsia="en-GB"/>
              </w:rPr>
              <w:t>£000</w:t>
            </w:r>
          </w:p>
        </w:tc>
      </w:tr>
      <w:tr w:rsidR="00416FDD" w:rsidRPr="00543D10" w14:paraId="06A161C9" w14:textId="77777777" w:rsidTr="009C7539">
        <w:trPr>
          <w:trHeight w:val="337"/>
        </w:trPr>
        <w:tc>
          <w:tcPr>
            <w:tcW w:w="4562" w:type="dxa"/>
            <w:gridSpan w:val="5"/>
            <w:tcBorders>
              <w:top w:val="nil"/>
              <w:left w:val="nil"/>
              <w:bottom w:val="nil"/>
              <w:right w:val="nil"/>
            </w:tcBorders>
            <w:shd w:val="clear" w:color="auto" w:fill="auto"/>
            <w:noWrap/>
            <w:vAlign w:val="center"/>
            <w:hideMark/>
          </w:tcPr>
          <w:p w14:paraId="7B753A58" w14:textId="77777777" w:rsidR="00416FDD" w:rsidRPr="00543D10" w:rsidRDefault="00416FDD" w:rsidP="00416FDD">
            <w:pPr>
              <w:spacing w:after="0" w:line="240" w:lineRule="auto"/>
              <w:rPr>
                <w:rFonts w:ascii="Arial" w:eastAsia="Times New Roman" w:hAnsi="Arial" w:cs="Arial"/>
                <w:sz w:val="20"/>
                <w:szCs w:val="20"/>
                <w:lang w:eastAsia="en-GB"/>
              </w:rPr>
            </w:pPr>
            <w:r w:rsidRPr="00543D10">
              <w:rPr>
                <w:rFonts w:ascii="Arial" w:eastAsia="Times New Roman" w:hAnsi="Arial" w:cs="Arial"/>
                <w:sz w:val="20"/>
                <w:szCs w:val="20"/>
                <w:lang w:eastAsia="en-GB"/>
              </w:rPr>
              <w:t xml:space="preserve">Deficit in the scheme as at 1 September </w:t>
            </w:r>
            <w:r>
              <w:rPr>
                <w:rFonts w:ascii="Arial" w:eastAsia="Times New Roman" w:hAnsi="Arial" w:cs="Arial"/>
                <w:sz w:val="20"/>
                <w:szCs w:val="20"/>
                <w:lang w:eastAsia="en-GB"/>
              </w:rPr>
              <w:t>2019</w:t>
            </w:r>
          </w:p>
        </w:tc>
        <w:tc>
          <w:tcPr>
            <w:tcW w:w="998" w:type="dxa"/>
            <w:tcBorders>
              <w:top w:val="nil"/>
              <w:left w:val="nil"/>
              <w:bottom w:val="nil"/>
              <w:right w:val="nil"/>
            </w:tcBorders>
            <w:shd w:val="clear" w:color="auto" w:fill="auto"/>
            <w:noWrap/>
            <w:vAlign w:val="bottom"/>
            <w:hideMark/>
          </w:tcPr>
          <w:p w14:paraId="5B4C4624" w14:textId="77777777" w:rsidR="00416FDD" w:rsidRPr="00543D10" w:rsidRDefault="00416FDD" w:rsidP="00416FDD">
            <w:pPr>
              <w:spacing w:after="0" w:line="240" w:lineRule="auto"/>
              <w:rPr>
                <w:rFonts w:ascii="Arial" w:eastAsia="Times New Roman" w:hAnsi="Arial" w:cs="Arial"/>
                <w:sz w:val="20"/>
                <w:szCs w:val="20"/>
                <w:lang w:eastAsia="en-GB"/>
              </w:rPr>
            </w:pPr>
          </w:p>
        </w:tc>
        <w:tc>
          <w:tcPr>
            <w:tcW w:w="259" w:type="dxa"/>
            <w:tcBorders>
              <w:top w:val="nil"/>
              <w:left w:val="nil"/>
              <w:bottom w:val="nil"/>
              <w:right w:val="nil"/>
            </w:tcBorders>
            <w:shd w:val="clear" w:color="auto" w:fill="auto"/>
            <w:noWrap/>
            <w:vAlign w:val="bottom"/>
            <w:hideMark/>
          </w:tcPr>
          <w:p w14:paraId="182BBCCE" w14:textId="77777777" w:rsidR="00416FDD" w:rsidRPr="00543D10" w:rsidRDefault="00416FDD" w:rsidP="00416FDD">
            <w:pPr>
              <w:spacing w:after="0" w:line="240" w:lineRule="auto"/>
              <w:rPr>
                <w:rFonts w:ascii="Times New Roman" w:eastAsia="Times New Roman" w:hAnsi="Times New Roman" w:cs="Times New Roman"/>
                <w:sz w:val="20"/>
                <w:szCs w:val="20"/>
                <w:lang w:eastAsia="en-GB"/>
              </w:rPr>
            </w:pPr>
          </w:p>
        </w:tc>
        <w:tc>
          <w:tcPr>
            <w:tcW w:w="1076" w:type="dxa"/>
            <w:tcBorders>
              <w:left w:val="nil"/>
              <w:right w:val="nil"/>
            </w:tcBorders>
            <w:shd w:val="clear" w:color="auto" w:fill="auto"/>
            <w:vAlign w:val="bottom"/>
            <w:hideMark/>
          </w:tcPr>
          <w:p w14:paraId="60F6E9A0" w14:textId="77777777" w:rsidR="00416FDD" w:rsidRPr="00416FDD" w:rsidRDefault="00416FDD" w:rsidP="00416FDD">
            <w:pPr>
              <w:spacing w:after="0" w:line="240" w:lineRule="auto"/>
              <w:jc w:val="right"/>
              <w:rPr>
                <w:rFonts w:ascii="Arial" w:eastAsia="Times New Roman" w:hAnsi="Arial" w:cs="Arial"/>
                <w:sz w:val="20"/>
                <w:szCs w:val="20"/>
                <w:lang w:eastAsia="en-GB"/>
              </w:rPr>
            </w:pPr>
            <w:r w:rsidRPr="00416FDD">
              <w:rPr>
                <w:rFonts w:ascii="Arial" w:eastAsia="Times New Roman" w:hAnsi="Arial" w:cs="Arial"/>
                <w:sz w:val="20"/>
                <w:szCs w:val="20"/>
                <w:lang w:eastAsia="en-GB"/>
              </w:rPr>
              <w:t>163,869</w:t>
            </w:r>
          </w:p>
        </w:tc>
        <w:tc>
          <w:tcPr>
            <w:tcW w:w="1256" w:type="dxa"/>
            <w:tcBorders>
              <w:left w:val="nil"/>
              <w:right w:val="nil"/>
            </w:tcBorders>
            <w:shd w:val="clear" w:color="auto" w:fill="auto"/>
            <w:vAlign w:val="bottom"/>
            <w:hideMark/>
          </w:tcPr>
          <w:p w14:paraId="7B6D8134" w14:textId="77777777" w:rsidR="00416FDD" w:rsidRPr="00416FDD" w:rsidRDefault="00416FDD" w:rsidP="00416FDD">
            <w:pPr>
              <w:spacing w:after="0" w:line="240" w:lineRule="auto"/>
              <w:jc w:val="right"/>
              <w:rPr>
                <w:rFonts w:ascii="Arial" w:eastAsia="Times New Roman" w:hAnsi="Arial" w:cs="Arial"/>
                <w:sz w:val="20"/>
                <w:szCs w:val="20"/>
                <w:lang w:eastAsia="en-GB"/>
              </w:rPr>
            </w:pPr>
            <w:r w:rsidRPr="00416FDD">
              <w:rPr>
                <w:rFonts w:ascii="Arial" w:eastAsia="Times New Roman" w:hAnsi="Arial" w:cs="Arial"/>
                <w:sz w:val="20"/>
                <w:szCs w:val="20"/>
                <w:lang w:eastAsia="en-GB"/>
              </w:rPr>
              <w:t>(257,468)</w:t>
            </w:r>
          </w:p>
        </w:tc>
        <w:tc>
          <w:tcPr>
            <w:tcW w:w="1079" w:type="dxa"/>
            <w:tcBorders>
              <w:left w:val="nil"/>
              <w:right w:val="nil"/>
            </w:tcBorders>
            <w:shd w:val="clear" w:color="auto" w:fill="auto"/>
            <w:vAlign w:val="bottom"/>
            <w:hideMark/>
          </w:tcPr>
          <w:p w14:paraId="33029F2D" w14:textId="77777777" w:rsidR="00416FDD" w:rsidRPr="006647C2" w:rsidRDefault="00416FDD" w:rsidP="00416FDD">
            <w:pPr>
              <w:spacing w:after="0" w:line="240" w:lineRule="auto"/>
              <w:jc w:val="right"/>
              <w:rPr>
                <w:rFonts w:ascii="Arial" w:eastAsia="Times New Roman" w:hAnsi="Arial" w:cs="Arial"/>
                <w:b/>
                <w:sz w:val="20"/>
                <w:szCs w:val="20"/>
                <w:lang w:eastAsia="en-GB"/>
              </w:rPr>
            </w:pPr>
            <w:r w:rsidRPr="006647C2">
              <w:rPr>
                <w:rFonts w:ascii="Arial" w:eastAsia="Times New Roman" w:hAnsi="Arial" w:cs="Arial"/>
                <w:b/>
                <w:sz w:val="20"/>
                <w:szCs w:val="20"/>
                <w:lang w:eastAsia="en-GB"/>
              </w:rPr>
              <w:t>(93,599)</w:t>
            </w:r>
          </w:p>
        </w:tc>
      </w:tr>
      <w:tr w:rsidR="00543D10" w:rsidRPr="00543D10" w14:paraId="7E2F2764" w14:textId="77777777" w:rsidTr="009C7539">
        <w:trPr>
          <w:trHeight w:val="309"/>
        </w:trPr>
        <w:tc>
          <w:tcPr>
            <w:tcW w:w="2153" w:type="dxa"/>
            <w:gridSpan w:val="2"/>
            <w:tcBorders>
              <w:left w:val="nil"/>
              <w:bottom w:val="nil"/>
              <w:right w:val="nil"/>
            </w:tcBorders>
            <w:shd w:val="clear" w:color="auto" w:fill="auto"/>
            <w:noWrap/>
            <w:vAlign w:val="bottom"/>
            <w:hideMark/>
          </w:tcPr>
          <w:p w14:paraId="783106BA" w14:textId="77777777" w:rsidR="00C927A2" w:rsidRPr="00543D10" w:rsidRDefault="00C927A2" w:rsidP="00C927A2">
            <w:pPr>
              <w:spacing w:after="0" w:line="240" w:lineRule="auto"/>
              <w:rPr>
                <w:rFonts w:ascii="Arial" w:eastAsia="Times New Roman" w:hAnsi="Arial" w:cs="Arial"/>
                <w:sz w:val="20"/>
                <w:szCs w:val="20"/>
                <w:lang w:eastAsia="en-GB"/>
              </w:rPr>
            </w:pPr>
            <w:r w:rsidRPr="00543D10">
              <w:rPr>
                <w:rFonts w:ascii="Arial" w:eastAsia="Times New Roman" w:hAnsi="Arial" w:cs="Arial"/>
                <w:sz w:val="20"/>
                <w:szCs w:val="20"/>
                <w:lang w:eastAsia="en-GB"/>
              </w:rPr>
              <w:t>Acquired in year</w:t>
            </w:r>
          </w:p>
        </w:tc>
        <w:tc>
          <w:tcPr>
            <w:tcW w:w="304" w:type="dxa"/>
            <w:tcBorders>
              <w:left w:val="nil"/>
              <w:bottom w:val="nil"/>
              <w:right w:val="nil"/>
            </w:tcBorders>
            <w:shd w:val="clear" w:color="auto" w:fill="auto"/>
            <w:noWrap/>
            <w:vAlign w:val="bottom"/>
            <w:hideMark/>
          </w:tcPr>
          <w:p w14:paraId="0BDBFBF1" w14:textId="77777777" w:rsidR="00C927A2" w:rsidRPr="00543D10" w:rsidRDefault="00C927A2" w:rsidP="00C927A2">
            <w:pPr>
              <w:spacing w:after="0" w:line="240" w:lineRule="auto"/>
              <w:rPr>
                <w:rFonts w:ascii="Arial" w:eastAsia="Times New Roman" w:hAnsi="Arial" w:cs="Arial"/>
                <w:sz w:val="20"/>
                <w:szCs w:val="20"/>
                <w:lang w:eastAsia="en-GB"/>
              </w:rPr>
            </w:pPr>
          </w:p>
        </w:tc>
        <w:tc>
          <w:tcPr>
            <w:tcW w:w="1076" w:type="dxa"/>
            <w:tcBorders>
              <w:left w:val="nil"/>
              <w:bottom w:val="nil"/>
              <w:right w:val="nil"/>
            </w:tcBorders>
            <w:shd w:val="clear" w:color="auto" w:fill="auto"/>
            <w:noWrap/>
            <w:vAlign w:val="bottom"/>
            <w:hideMark/>
          </w:tcPr>
          <w:p w14:paraId="115D1576" w14:textId="77777777" w:rsidR="00C927A2" w:rsidRPr="00543D10" w:rsidRDefault="00C927A2" w:rsidP="00C927A2">
            <w:pPr>
              <w:spacing w:after="0" w:line="240" w:lineRule="auto"/>
              <w:rPr>
                <w:rFonts w:ascii="Times New Roman" w:eastAsia="Times New Roman" w:hAnsi="Times New Roman" w:cs="Times New Roman"/>
                <w:sz w:val="20"/>
                <w:szCs w:val="20"/>
                <w:lang w:eastAsia="en-GB"/>
              </w:rPr>
            </w:pPr>
          </w:p>
        </w:tc>
        <w:tc>
          <w:tcPr>
            <w:tcW w:w="1028" w:type="dxa"/>
            <w:tcBorders>
              <w:left w:val="nil"/>
              <w:bottom w:val="nil"/>
              <w:right w:val="nil"/>
            </w:tcBorders>
            <w:shd w:val="clear" w:color="auto" w:fill="auto"/>
            <w:noWrap/>
            <w:vAlign w:val="bottom"/>
            <w:hideMark/>
          </w:tcPr>
          <w:p w14:paraId="3B0CF93A" w14:textId="77777777" w:rsidR="00C927A2" w:rsidRPr="00543D10" w:rsidRDefault="00C927A2" w:rsidP="00C927A2">
            <w:pPr>
              <w:spacing w:after="0" w:line="240" w:lineRule="auto"/>
              <w:rPr>
                <w:rFonts w:ascii="Times New Roman" w:eastAsia="Times New Roman" w:hAnsi="Times New Roman" w:cs="Times New Roman"/>
                <w:sz w:val="20"/>
                <w:szCs w:val="20"/>
                <w:lang w:eastAsia="en-GB"/>
              </w:rPr>
            </w:pPr>
          </w:p>
        </w:tc>
        <w:tc>
          <w:tcPr>
            <w:tcW w:w="998" w:type="dxa"/>
            <w:tcBorders>
              <w:left w:val="nil"/>
              <w:bottom w:val="nil"/>
              <w:right w:val="nil"/>
            </w:tcBorders>
            <w:shd w:val="clear" w:color="auto" w:fill="auto"/>
            <w:noWrap/>
            <w:vAlign w:val="bottom"/>
            <w:hideMark/>
          </w:tcPr>
          <w:p w14:paraId="7BC20A19" w14:textId="77777777" w:rsidR="00C927A2" w:rsidRPr="00543D10" w:rsidRDefault="00C927A2" w:rsidP="00C927A2">
            <w:pPr>
              <w:spacing w:after="0" w:line="240" w:lineRule="auto"/>
              <w:rPr>
                <w:rFonts w:ascii="Times New Roman" w:eastAsia="Times New Roman" w:hAnsi="Times New Roman" w:cs="Times New Roman"/>
                <w:sz w:val="20"/>
                <w:szCs w:val="20"/>
                <w:lang w:eastAsia="en-GB"/>
              </w:rPr>
            </w:pPr>
          </w:p>
        </w:tc>
        <w:tc>
          <w:tcPr>
            <w:tcW w:w="259" w:type="dxa"/>
            <w:tcBorders>
              <w:left w:val="nil"/>
              <w:bottom w:val="nil"/>
              <w:right w:val="nil"/>
            </w:tcBorders>
            <w:shd w:val="clear" w:color="auto" w:fill="auto"/>
            <w:noWrap/>
            <w:vAlign w:val="bottom"/>
            <w:hideMark/>
          </w:tcPr>
          <w:p w14:paraId="5E0A4DBA" w14:textId="77777777" w:rsidR="00C927A2" w:rsidRPr="00543D10" w:rsidRDefault="00C927A2" w:rsidP="00C927A2">
            <w:pPr>
              <w:spacing w:after="0" w:line="240" w:lineRule="auto"/>
              <w:rPr>
                <w:rFonts w:ascii="Times New Roman" w:eastAsia="Times New Roman" w:hAnsi="Times New Roman" w:cs="Times New Roman"/>
                <w:sz w:val="20"/>
                <w:szCs w:val="20"/>
                <w:lang w:eastAsia="en-GB"/>
              </w:rPr>
            </w:pPr>
          </w:p>
        </w:tc>
        <w:tc>
          <w:tcPr>
            <w:tcW w:w="1076" w:type="dxa"/>
            <w:tcBorders>
              <w:left w:val="nil"/>
              <w:bottom w:val="nil"/>
              <w:right w:val="nil"/>
            </w:tcBorders>
            <w:shd w:val="clear" w:color="auto" w:fill="auto"/>
            <w:vAlign w:val="center"/>
          </w:tcPr>
          <w:p w14:paraId="4C54C118" w14:textId="77777777" w:rsidR="00C927A2" w:rsidRPr="00543D10" w:rsidRDefault="007C00D5" w:rsidP="00C927A2">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6,920</w:t>
            </w:r>
          </w:p>
        </w:tc>
        <w:tc>
          <w:tcPr>
            <w:tcW w:w="1256" w:type="dxa"/>
            <w:tcBorders>
              <w:left w:val="nil"/>
              <w:bottom w:val="nil"/>
              <w:right w:val="nil"/>
            </w:tcBorders>
            <w:shd w:val="clear" w:color="auto" w:fill="auto"/>
            <w:vAlign w:val="center"/>
          </w:tcPr>
          <w:p w14:paraId="6A809E77" w14:textId="77777777" w:rsidR="00C927A2" w:rsidRPr="00543D10" w:rsidRDefault="00596336" w:rsidP="00C927A2">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(15,144)</w:t>
            </w:r>
          </w:p>
        </w:tc>
        <w:tc>
          <w:tcPr>
            <w:tcW w:w="1079" w:type="dxa"/>
            <w:tcBorders>
              <w:left w:val="nil"/>
              <w:bottom w:val="nil"/>
              <w:right w:val="nil"/>
            </w:tcBorders>
            <w:shd w:val="clear" w:color="auto" w:fill="auto"/>
            <w:vAlign w:val="center"/>
          </w:tcPr>
          <w:p w14:paraId="634C38E2" w14:textId="77777777" w:rsidR="00C927A2" w:rsidRPr="006647C2" w:rsidRDefault="00596336" w:rsidP="00C927A2">
            <w:pPr>
              <w:spacing w:after="0" w:line="240" w:lineRule="auto"/>
              <w:jc w:val="right"/>
              <w:rPr>
                <w:rFonts w:ascii="Arial" w:eastAsia="Times New Roman" w:hAnsi="Arial" w:cs="Arial"/>
                <w:b/>
                <w:sz w:val="20"/>
                <w:szCs w:val="20"/>
                <w:lang w:eastAsia="en-GB"/>
              </w:rPr>
            </w:pPr>
            <w:r w:rsidRPr="006647C2">
              <w:rPr>
                <w:rFonts w:ascii="Arial" w:eastAsia="Times New Roman" w:hAnsi="Arial" w:cs="Arial"/>
                <w:b/>
                <w:sz w:val="20"/>
                <w:szCs w:val="20"/>
                <w:lang w:eastAsia="en-GB"/>
              </w:rPr>
              <w:t>(8,224)</w:t>
            </w:r>
          </w:p>
        </w:tc>
      </w:tr>
      <w:tr w:rsidR="00543D10" w:rsidRPr="00543D10" w14:paraId="595EFD54" w14:textId="77777777" w:rsidTr="009C7539">
        <w:trPr>
          <w:trHeight w:val="337"/>
        </w:trPr>
        <w:tc>
          <w:tcPr>
            <w:tcW w:w="2153" w:type="dxa"/>
            <w:gridSpan w:val="2"/>
            <w:tcBorders>
              <w:top w:val="nil"/>
              <w:left w:val="nil"/>
              <w:bottom w:val="nil"/>
              <w:right w:val="nil"/>
            </w:tcBorders>
            <w:shd w:val="clear" w:color="auto" w:fill="auto"/>
            <w:noWrap/>
            <w:vAlign w:val="center"/>
            <w:hideMark/>
          </w:tcPr>
          <w:p w14:paraId="720719BE" w14:textId="77777777" w:rsidR="00C927A2" w:rsidRPr="00543D10" w:rsidRDefault="00C927A2" w:rsidP="00C927A2">
            <w:pPr>
              <w:spacing w:after="0" w:line="240" w:lineRule="auto"/>
              <w:rPr>
                <w:rFonts w:ascii="Arial" w:eastAsia="Times New Roman" w:hAnsi="Arial" w:cs="Arial"/>
                <w:sz w:val="20"/>
                <w:szCs w:val="20"/>
                <w:lang w:eastAsia="en-GB"/>
              </w:rPr>
            </w:pPr>
            <w:r w:rsidRPr="00543D10">
              <w:rPr>
                <w:rFonts w:ascii="Arial" w:eastAsia="Times New Roman" w:hAnsi="Arial" w:cs="Arial"/>
                <w:sz w:val="20"/>
                <w:szCs w:val="20"/>
                <w:lang w:eastAsia="en-GB"/>
              </w:rPr>
              <w:t>Benefits paid</w:t>
            </w:r>
          </w:p>
        </w:tc>
        <w:tc>
          <w:tcPr>
            <w:tcW w:w="304" w:type="dxa"/>
            <w:tcBorders>
              <w:top w:val="nil"/>
              <w:left w:val="nil"/>
              <w:bottom w:val="nil"/>
              <w:right w:val="nil"/>
            </w:tcBorders>
            <w:shd w:val="clear" w:color="auto" w:fill="auto"/>
            <w:noWrap/>
            <w:vAlign w:val="bottom"/>
            <w:hideMark/>
          </w:tcPr>
          <w:p w14:paraId="157375F4" w14:textId="77777777" w:rsidR="00C927A2" w:rsidRPr="00543D10" w:rsidRDefault="00C927A2" w:rsidP="00C927A2">
            <w:pPr>
              <w:spacing w:after="0" w:line="240" w:lineRule="auto"/>
              <w:rPr>
                <w:rFonts w:ascii="Arial" w:eastAsia="Times New Roman" w:hAnsi="Arial" w:cs="Arial"/>
                <w:sz w:val="20"/>
                <w:szCs w:val="20"/>
                <w:lang w:eastAsia="en-GB"/>
              </w:rPr>
            </w:pPr>
          </w:p>
        </w:tc>
        <w:tc>
          <w:tcPr>
            <w:tcW w:w="1076" w:type="dxa"/>
            <w:tcBorders>
              <w:top w:val="nil"/>
              <w:left w:val="nil"/>
              <w:bottom w:val="nil"/>
              <w:right w:val="nil"/>
            </w:tcBorders>
            <w:shd w:val="clear" w:color="auto" w:fill="auto"/>
            <w:noWrap/>
            <w:vAlign w:val="bottom"/>
            <w:hideMark/>
          </w:tcPr>
          <w:p w14:paraId="0980C2B9" w14:textId="77777777" w:rsidR="00C927A2" w:rsidRPr="00543D10" w:rsidRDefault="00C927A2" w:rsidP="00C927A2">
            <w:pPr>
              <w:spacing w:after="0" w:line="240" w:lineRule="auto"/>
              <w:rPr>
                <w:rFonts w:ascii="Times New Roman" w:eastAsia="Times New Roman" w:hAnsi="Times New Roman" w:cs="Times New Roman"/>
                <w:sz w:val="20"/>
                <w:szCs w:val="20"/>
                <w:lang w:eastAsia="en-GB"/>
              </w:rPr>
            </w:pPr>
          </w:p>
        </w:tc>
        <w:tc>
          <w:tcPr>
            <w:tcW w:w="1028" w:type="dxa"/>
            <w:tcBorders>
              <w:top w:val="nil"/>
              <w:left w:val="nil"/>
              <w:bottom w:val="nil"/>
              <w:right w:val="nil"/>
            </w:tcBorders>
            <w:shd w:val="clear" w:color="auto" w:fill="auto"/>
            <w:noWrap/>
            <w:vAlign w:val="bottom"/>
            <w:hideMark/>
          </w:tcPr>
          <w:p w14:paraId="2BBAE5B6" w14:textId="77777777" w:rsidR="00C927A2" w:rsidRPr="00543D10" w:rsidRDefault="00C927A2" w:rsidP="00C927A2">
            <w:pPr>
              <w:spacing w:after="0" w:line="240" w:lineRule="auto"/>
              <w:rPr>
                <w:rFonts w:ascii="Times New Roman" w:eastAsia="Times New Roman" w:hAnsi="Times New Roman" w:cs="Times New Roman"/>
                <w:sz w:val="20"/>
                <w:szCs w:val="20"/>
                <w:lang w:eastAsia="en-GB"/>
              </w:rPr>
            </w:pPr>
          </w:p>
        </w:tc>
        <w:tc>
          <w:tcPr>
            <w:tcW w:w="998" w:type="dxa"/>
            <w:tcBorders>
              <w:top w:val="nil"/>
              <w:left w:val="nil"/>
              <w:bottom w:val="nil"/>
              <w:right w:val="nil"/>
            </w:tcBorders>
            <w:shd w:val="clear" w:color="auto" w:fill="auto"/>
            <w:noWrap/>
            <w:vAlign w:val="bottom"/>
            <w:hideMark/>
          </w:tcPr>
          <w:p w14:paraId="3C0B3AEE" w14:textId="77777777" w:rsidR="00C927A2" w:rsidRPr="00543D10" w:rsidRDefault="00C927A2" w:rsidP="00C927A2">
            <w:pPr>
              <w:spacing w:after="0" w:line="240" w:lineRule="auto"/>
              <w:rPr>
                <w:rFonts w:ascii="Times New Roman" w:eastAsia="Times New Roman" w:hAnsi="Times New Roman" w:cs="Times New Roman"/>
                <w:sz w:val="20"/>
                <w:szCs w:val="20"/>
                <w:lang w:eastAsia="en-GB"/>
              </w:rPr>
            </w:pPr>
          </w:p>
        </w:tc>
        <w:tc>
          <w:tcPr>
            <w:tcW w:w="259" w:type="dxa"/>
            <w:tcBorders>
              <w:top w:val="nil"/>
              <w:left w:val="nil"/>
              <w:bottom w:val="nil"/>
              <w:right w:val="nil"/>
            </w:tcBorders>
            <w:shd w:val="clear" w:color="auto" w:fill="auto"/>
            <w:noWrap/>
            <w:vAlign w:val="bottom"/>
            <w:hideMark/>
          </w:tcPr>
          <w:p w14:paraId="15E07EB3" w14:textId="77777777" w:rsidR="00C927A2" w:rsidRPr="00543D10" w:rsidRDefault="00C927A2" w:rsidP="00C927A2">
            <w:pPr>
              <w:spacing w:after="0" w:line="240" w:lineRule="auto"/>
              <w:rPr>
                <w:rFonts w:ascii="Times New Roman" w:eastAsia="Times New Roman" w:hAnsi="Times New Roman" w:cs="Times New Roman"/>
                <w:sz w:val="20"/>
                <w:szCs w:val="20"/>
                <w:lang w:eastAsia="en-GB"/>
              </w:rPr>
            </w:pPr>
          </w:p>
        </w:tc>
        <w:tc>
          <w:tcPr>
            <w:tcW w:w="1076" w:type="dxa"/>
            <w:tcBorders>
              <w:top w:val="nil"/>
              <w:left w:val="nil"/>
              <w:bottom w:val="nil"/>
              <w:right w:val="nil"/>
            </w:tcBorders>
            <w:shd w:val="clear" w:color="auto" w:fill="auto"/>
            <w:vAlign w:val="center"/>
          </w:tcPr>
          <w:p w14:paraId="60696261" w14:textId="77777777" w:rsidR="00C927A2" w:rsidRPr="00543D10" w:rsidRDefault="007C00D5" w:rsidP="0069798A">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(4,776)</w:t>
            </w:r>
          </w:p>
        </w:tc>
        <w:tc>
          <w:tcPr>
            <w:tcW w:w="1256" w:type="dxa"/>
            <w:tcBorders>
              <w:top w:val="nil"/>
              <w:left w:val="nil"/>
              <w:bottom w:val="nil"/>
              <w:right w:val="nil"/>
            </w:tcBorders>
            <w:shd w:val="clear" w:color="auto" w:fill="auto"/>
            <w:vAlign w:val="center"/>
          </w:tcPr>
          <w:p w14:paraId="45F01CC6" w14:textId="77777777" w:rsidR="00C927A2" w:rsidRPr="00543D10" w:rsidRDefault="00596336" w:rsidP="00C927A2">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4,776</w:t>
            </w:r>
          </w:p>
        </w:tc>
        <w:tc>
          <w:tcPr>
            <w:tcW w:w="1079" w:type="dxa"/>
            <w:tcBorders>
              <w:top w:val="nil"/>
              <w:left w:val="nil"/>
              <w:bottom w:val="nil"/>
              <w:right w:val="nil"/>
            </w:tcBorders>
            <w:shd w:val="clear" w:color="auto" w:fill="auto"/>
            <w:vAlign w:val="center"/>
          </w:tcPr>
          <w:p w14:paraId="278CA33C" w14:textId="77777777" w:rsidR="00C927A2" w:rsidRPr="006647C2" w:rsidRDefault="00596336" w:rsidP="0069798A">
            <w:pPr>
              <w:spacing w:after="0" w:line="240" w:lineRule="auto"/>
              <w:jc w:val="right"/>
              <w:rPr>
                <w:rFonts w:ascii="Arial" w:eastAsia="Times New Roman" w:hAnsi="Arial" w:cs="Arial"/>
                <w:b/>
                <w:sz w:val="20"/>
                <w:szCs w:val="20"/>
                <w:lang w:eastAsia="en-GB"/>
              </w:rPr>
            </w:pPr>
            <w:r w:rsidRPr="006647C2">
              <w:rPr>
                <w:rFonts w:ascii="Arial" w:eastAsia="Times New Roman" w:hAnsi="Arial" w:cs="Arial"/>
                <w:b/>
                <w:sz w:val="20"/>
                <w:szCs w:val="20"/>
                <w:lang w:eastAsia="en-GB"/>
              </w:rPr>
              <w:t>-</w:t>
            </w:r>
          </w:p>
        </w:tc>
      </w:tr>
      <w:tr w:rsidR="00543D10" w:rsidRPr="00543D10" w14:paraId="4D24C072" w14:textId="77777777" w:rsidTr="009C7539">
        <w:trPr>
          <w:trHeight w:val="337"/>
        </w:trPr>
        <w:tc>
          <w:tcPr>
            <w:tcW w:w="2458" w:type="dxa"/>
            <w:gridSpan w:val="3"/>
            <w:tcBorders>
              <w:top w:val="nil"/>
              <w:left w:val="nil"/>
              <w:bottom w:val="nil"/>
              <w:right w:val="nil"/>
            </w:tcBorders>
            <w:shd w:val="clear" w:color="auto" w:fill="auto"/>
            <w:noWrap/>
            <w:vAlign w:val="center"/>
            <w:hideMark/>
          </w:tcPr>
          <w:p w14:paraId="2C2952C3" w14:textId="77777777" w:rsidR="00C927A2" w:rsidRPr="00543D10" w:rsidRDefault="00C927A2" w:rsidP="00C927A2">
            <w:pPr>
              <w:spacing w:after="0" w:line="240" w:lineRule="auto"/>
              <w:rPr>
                <w:rFonts w:ascii="Arial" w:eastAsia="Times New Roman" w:hAnsi="Arial" w:cs="Arial"/>
                <w:sz w:val="20"/>
                <w:szCs w:val="20"/>
                <w:lang w:eastAsia="en-GB"/>
              </w:rPr>
            </w:pPr>
            <w:r w:rsidRPr="00543D10">
              <w:rPr>
                <w:rFonts w:ascii="Arial" w:eastAsia="Times New Roman" w:hAnsi="Arial" w:cs="Arial"/>
                <w:sz w:val="20"/>
                <w:szCs w:val="20"/>
                <w:lang w:eastAsia="en-GB"/>
              </w:rPr>
              <w:t>Employer contributions</w:t>
            </w:r>
          </w:p>
        </w:tc>
        <w:tc>
          <w:tcPr>
            <w:tcW w:w="1076" w:type="dxa"/>
            <w:tcBorders>
              <w:top w:val="nil"/>
              <w:left w:val="nil"/>
              <w:bottom w:val="nil"/>
              <w:right w:val="nil"/>
            </w:tcBorders>
            <w:shd w:val="clear" w:color="auto" w:fill="auto"/>
            <w:noWrap/>
            <w:vAlign w:val="bottom"/>
            <w:hideMark/>
          </w:tcPr>
          <w:p w14:paraId="4858D51C" w14:textId="77777777" w:rsidR="00C927A2" w:rsidRPr="00543D10" w:rsidRDefault="00C927A2" w:rsidP="00C927A2">
            <w:pPr>
              <w:spacing w:after="0" w:line="240" w:lineRule="auto"/>
              <w:rPr>
                <w:rFonts w:ascii="Arial" w:eastAsia="Times New Roman" w:hAnsi="Arial" w:cs="Arial"/>
                <w:sz w:val="20"/>
                <w:szCs w:val="20"/>
                <w:lang w:eastAsia="en-GB"/>
              </w:rPr>
            </w:pPr>
          </w:p>
        </w:tc>
        <w:tc>
          <w:tcPr>
            <w:tcW w:w="1028" w:type="dxa"/>
            <w:tcBorders>
              <w:top w:val="nil"/>
              <w:left w:val="nil"/>
              <w:bottom w:val="nil"/>
              <w:right w:val="nil"/>
            </w:tcBorders>
            <w:shd w:val="clear" w:color="auto" w:fill="auto"/>
            <w:noWrap/>
            <w:vAlign w:val="bottom"/>
            <w:hideMark/>
          </w:tcPr>
          <w:p w14:paraId="12F47DF3" w14:textId="77777777" w:rsidR="00C927A2" w:rsidRPr="00543D10" w:rsidRDefault="00C927A2" w:rsidP="00C927A2">
            <w:pPr>
              <w:spacing w:after="0" w:line="240" w:lineRule="auto"/>
              <w:rPr>
                <w:rFonts w:ascii="Times New Roman" w:eastAsia="Times New Roman" w:hAnsi="Times New Roman" w:cs="Times New Roman"/>
                <w:sz w:val="20"/>
                <w:szCs w:val="20"/>
                <w:lang w:eastAsia="en-GB"/>
              </w:rPr>
            </w:pPr>
          </w:p>
        </w:tc>
        <w:tc>
          <w:tcPr>
            <w:tcW w:w="998" w:type="dxa"/>
            <w:tcBorders>
              <w:top w:val="nil"/>
              <w:left w:val="nil"/>
              <w:bottom w:val="nil"/>
              <w:right w:val="nil"/>
            </w:tcBorders>
            <w:shd w:val="clear" w:color="auto" w:fill="auto"/>
            <w:noWrap/>
            <w:vAlign w:val="bottom"/>
            <w:hideMark/>
          </w:tcPr>
          <w:p w14:paraId="48908089" w14:textId="77777777" w:rsidR="00C927A2" w:rsidRPr="00543D10" w:rsidRDefault="00C927A2" w:rsidP="00C927A2">
            <w:pPr>
              <w:spacing w:after="0" w:line="240" w:lineRule="auto"/>
              <w:rPr>
                <w:rFonts w:ascii="Times New Roman" w:eastAsia="Times New Roman" w:hAnsi="Times New Roman" w:cs="Times New Roman"/>
                <w:sz w:val="20"/>
                <w:szCs w:val="20"/>
                <w:lang w:eastAsia="en-GB"/>
              </w:rPr>
            </w:pPr>
          </w:p>
        </w:tc>
        <w:tc>
          <w:tcPr>
            <w:tcW w:w="259" w:type="dxa"/>
            <w:tcBorders>
              <w:top w:val="nil"/>
              <w:left w:val="nil"/>
              <w:bottom w:val="nil"/>
              <w:right w:val="nil"/>
            </w:tcBorders>
            <w:shd w:val="clear" w:color="auto" w:fill="auto"/>
            <w:noWrap/>
            <w:vAlign w:val="bottom"/>
            <w:hideMark/>
          </w:tcPr>
          <w:p w14:paraId="6A9FD684" w14:textId="77777777" w:rsidR="00C927A2" w:rsidRPr="00543D10" w:rsidRDefault="00C927A2" w:rsidP="00C927A2">
            <w:pPr>
              <w:spacing w:after="0" w:line="240" w:lineRule="auto"/>
              <w:rPr>
                <w:rFonts w:ascii="Times New Roman" w:eastAsia="Times New Roman" w:hAnsi="Times New Roman" w:cs="Times New Roman"/>
                <w:sz w:val="20"/>
                <w:szCs w:val="20"/>
                <w:lang w:eastAsia="en-GB"/>
              </w:rPr>
            </w:pPr>
          </w:p>
        </w:tc>
        <w:tc>
          <w:tcPr>
            <w:tcW w:w="1076" w:type="dxa"/>
            <w:tcBorders>
              <w:top w:val="nil"/>
              <w:left w:val="nil"/>
              <w:bottom w:val="nil"/>
              <w:right w:val="nil"/>
            </w:tcBorders>
            <w:shd w:val="clear" w:color="auto" w:fill="auto"/>
            <w:vAlign w:val="center"/>
          </w:tcPr>
          <w:p w14:paraId="10F5827D" w14:textId="77777777" w:rsidR="00C927A2" w:rsidRPr="00543D10" w:rsidRDefault="007C00D5" w:rsidP="0069798A">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4,929</w:t>
            </w:r>
          </w:p>
        </w:tc>
        <w:tc>
          <w:tcPr>
            <w:tcW w:w="1256" w:type="dxa"/>
            <w:tcBorders>
              <w:top w:val="nil"/>
              <w:left w:val="nil"/>
              <w:bottom w:val="nil"/>
              <w:right w:val="nil"/>
            </w:tcBorders>
            <w:shd w:val="clear" w:color="auto" w:fill="auto"/>
            <w:vAlign w:val="center"/>
          </w:tcPr>
          <w:p w14:paraId="359BA48B" w14:textId="77777777" w:rsidR="00C927A2" w:rsidRPr="00543D10" w:rsidRDefault="00596336" w:rsidP="00C927A2">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w:t>
            </w:r>
          </w:p>
        </w:tc>
        <w:tc>
          <w:tcPr>
            <w:tcW w:w="1079" w:type="dxa"/>
            <w:tcBorders>
              <w:top w:val="nil"/>
              <w:left w:val="nil"/>
              <w:bottom w:val="nil"/>
              <w:right w:val="nil"/>
            </w:tcBorders>
            <w:shd w:val="clear" w:color="auto" w:fill="auto"/>
            <w:vAlign w:val="center"/>
          </w:tcPr>
          <w:p w14:paraId="2F0425A4" w14:textId="77777777" w:rsidR="00C927A2" w:rsidRPr="006647C2" w:rsidRDefault="00596336" w:rsidP="0069798A">
            <w:pPr>
              <w:spacing w:after="0" w:line="240" w:lineRule="auto"/>
              <w:jc w:val="right"/>
              <w:rPr>
                <w:rFonts w:ascii="Arial" w:eastAsia="Times New Roman" w:hAnsi="Arial" w:cs="Arial"/>
                <w:b/>
                <w:sz w:val="20"/>
                <w:szCs w:val="20"/>
                <w:lang w:eastAsia="en-GB"/>
              </w:rPr>
            </w:pPr>
            <w:r w:rsidRPr="006647C2">
              <w:rPr>
                <w:rFonts w:ascii="Arial" w:eastAsia="Times New Roman" w:hAnsi="Arial" w:cs="Arial"/>
                <w:b/>
                <w:sz w:val="20"/>
                <w:szCs w:val="20"/>
                <w:lang w:eastAsia="en-GB"/>
              </w:rPr>
              <w:t>4,929</w:t>
            </w:r>
          </w:p>
        </w:tc>
      </w:tr>
      <w:tr w:rsidR="00543D10" w:rsidRPr="00543D10" w14:paraId="44F0DE96" w14:textId="77777777" w:rsidTr="009C7539">
        <w:trPr>
          <w:trHeight w:val="337"/>
        </w:trPr>
        <w:tc>
          <w:tcPr>
            <w:tcW w:w="3534" w:type="dxa"/>
            <w:gridSpan w:val="4"/>
            <w:tcBorders>
              <w:top w:val="nil"/>
              <w:left w:val="nil"/>
              <w:bottom w:val="nil"/>
              <w:right w:val="nil"/>
            </w:tcBorders>
            <w:shd w:val="clear" w:color="auto" w:fill="auto"/>
            <w:noWrap/>
            <w:vAlign w:val="center"/>
            <w:hideMark/>
          </w:tcPr>
          <w:p w14:paraId="15F7B447" w14:textId="77777777" w:rsidR="00C927A2" w:rsidRPr="00543D10" w:rsidRDefault="00C927A2" w:rsidP="00C927A2">
            <w:pPr>
              <w:spacing w:after="0" w:line="240" w:lineRule="auto"/>
              <w:rPr>
                <w:rFonts w:ascii="Arial" w:eastAsia="Times New Roman" w:hAnsi="Arial" w:cs="Arial"/>
                <w:sz w:val="20"/>
                <w:szCs w:val="20"/>
                <w:lang w:eastAsia="en-GB"/>
              </w:rPr>
            </w:pPr>
            <w:r w:rsidRPr="00543D10">
              <w:rPr>
                <w:rFonts w:ascii="Arial" w:eastAsia="Times New Roman" w:hAnsi="Arial" w:cs="Arial"/>
                <w:sz w:val="20"/>
                <w:szCs w:val="20"/>
                <w:lang w:eastAsia="en-GB"/>
              </w:rPr>
              <w:t>Contribution from employees</w:t>
            </w:r>
          </w:p>
        </w:tc>
        <w:tc>
          <w:tcPr>
            <w:tcW w:w="1028" w:type="dxa"/>
            <w:tcBorders>
              <w:top w:val="nil"/>
              <w:left w:val="nil"/>
              <w:bottom w:val="nil"/>
              <w:right w:val="nil"/>
            </w:tcBorders>
            <w:shd w:val="clear" w:color="auto" w:fill="auto"/>
            <w:noWrap/>
            <w:vAlign w:val="bottom"/>
            <w:hideMark/>
          </w:tcPr>
          <w:p w14:paraId="5ACBB99E" w14:textId="77777777" w:rsidR="00C927A2" w:rsidRPr="00543D10" w:rsidRDefault="00C927A2" w:rsidP="00C927A2">
            <w:pPr>
              <w:spacing w:after="0" w:line="240" w:lineRule="auto"/>
              <w:rPr>
                <w:rFonts w:ascii="Arial" w:eastAsia="Times New Roman" w:hAnsi="Arial" w:cs="Arial"/>
                <w:sz w:val="20"/>
                <w:szCs w:val="20"/>
                <w:lang w:eastAsia="en-GB"/>
              </w:rPr>
            </w:pPr>
          </w:p>
        </w:tc>
        <w:tc>
          <w:tcPr>
            <w:tcW w:w="998" w:type="dxa"/>
            <w:tcBorders>
              <w:top w:val="nil"/>
              <w:left w:val="nil"/>
              <w:bottom w:val="nil"/>
              <w:right w:val="nil"/>
            </w:tcBorders>
            <w:shd w:val="clear" w:color="auto" w:fill="auto"/>
            <w:noWrap/>
            <w:vAlign w:val="bottom"/>
            <w:hideMark/>
          </w:tcPr>
          <w:p w14:paraId="549CDA95" w14:textId="77777777" w:rsidR="00C927A2" w:rsidRPr="00543D10" w:rsidRDefault="00C927A2" w:rsidP="00C927A2">
            <w:pPr>
              <w:spacing w:after="0" w:line="240" w:lineRule="auto"/>
              <w:rPr>
                <w:rFonts w:ascii="Times New Roman" w:eastAsia="Times New Roman" w:hAnsi="Times New Roman" w:cs="Times New Roman"/>
                <w:sz w:val="20"/>
                <w:szCs w:val="20"/>
                <w:lang w:eastAsia="en-GB"/>
              </w:rPr>
            </w:pPr>
          </w:p>
        </w:tc>
        <w:tc>
          <w:tcPr>
            <w:tcW w:w="259" w:type="dxa"/>
            <w:tcBorders>
              <w:top w:val="nil"/>
              <w:left w:val="nil"/>
              <w:bottom w:val="nil"/>
              <w:right w:val="nil"/>
            </w:tcBorders>
            <w:shd w:val="clear" w:color="auto" w:fill="auto"/>
            <w:noWrap/>
            <w:vAlign w:val="bottom"/>
            <w:hideMark/>
          </w:tcPr>
          <w:p w14:paraId="207A6D75" w14:textId="77777777" w:rsidR="00C927A2" w:rsidRPr="00543D10" w:rsidRDefault="00C927A2" w:rsidP="00C927A2">
            <w:pPr>
              <w:spacing w:after="0" w:line="240" w:lineRule="auto"/>
              <w:rPr>
                <w:rFonts w:ascii="Times New Roman" w:eastAsia="Times New Roman" w:hAnsi="Times New Roman" w:cs="Times New Roman"/>
                <w:sz w:val="20"/>
                <w:szCs w:val="20"/>
                <w:lang w:eastAsia="en-GB"/>
              </w:rPr>
            </w:pPr>
          </w:p>
        </w:tc>
        <w:tc>
          <w:tcPr>
            <w:tcW w:w="1076" w:type="dxa"/>
            <w:tcBorders>
              <w:top w:val="nil"/>
              <w:left w:val="nil"/>
              <w:bottom w:val="nil"/>
              <w:right w:val="nil"/>
            </w:tcBorders>
            <w:shd w:val="clear" w:color="auto" w:fill="auto"/>
            <w:vAlign w:val="center"/>
          </w:tcPr>
          <w:p w14:paraId="13C5E77D" w14:textId="77777777" w:rsidR="00C927A2" w:rsidRPr="00543D10" w:rsidRDefault="007C00D5" w:rsidP="0069798A">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1,110</w:t>
            </w:r>
          </w:p>
        </w:tc>
        <w:tc>
          <w:tcPr>
            <w:tcW w:w="1256" w:type="dxa"/>
            <w:tcBorders>
              <w:top w:val="nil"/>
              <w:left w:val="nil"/>
              <w:bottom w:val="nil"/>
              <w:right w:val="nil"/>
            </w:tcBorders>
            <w:shd w:val="clear" w:color="auto" w:fill="auto"/>
            <w:vAlign w:val="center"/>
          </w:tcPr>
          <w:p w14:paraId="2A4E72EA" w14:textId="77777777" w:rsidR="00C927A2" w:rsidRPr="00543D10" w:rsidRDefault="00596336" w:rsidP="00C927A2">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(1,110)</w:t>
            </w:r>
          </w:p>
        </w:tc>
        <w:tc>
          <w:tcPr>
            <w:tcW w:w="1079" w:type="dxa"/>
            <w:tcBorders>
              <w:top w:val="nil"/>
              <w:left w:val="nil"/>
              <w:bottom w:val="nil"/>
              <w:right w:val="nil"/>
            </w:tcBorders>
            <w:shd w:val="clear" w:color="auto" w:fill="auto"/>
            <w:vAlign w:val="center"/>
          </w:tcPr>
          <w:p w14:paraId="1E9B3FF2" w14:textId="77777777" w:rsidR="00C927A2" w:rsidRPr="006647C2" w:rsidRDefault="00596336" w:rsidP="00C927A2">
            <w:pPr>
              <w:spacing w:after="0" w:line="240" w:lineRule="auto"/>
              <w:jc w:val="right"/>
              <w:rPr>
                <w:rFonts w:ascii="Arial" w:eastAsia="Times New Roman" w:hAnsi="Arial" w:cs="Arial"/>
                <w:b/>
                <w:sz w:val="20"/>
                <w:szCs w:val="20"/>
                <w:lang w:eastAsia="en-GB"/>
              </w:rPr>
            </w:pPr>
            <w:r w:rsidRPr="006647C2">
              <w:rPr>
                <w:rFonts w:ascii="Arial" w:eastAsia="Times New Roman" w:hAnsi="Arial" w:cs="Arial"/>
                <w:b/>
                <w:sz w:val="20"/>
                <w:szCs w:val="20"/>
                <w:lang w:eastAsia="en-GB"/>
              </w:rPr>
              <w:t>-</w:t>
            </w:r>
          </w:p>
        </w:tc>
      </w:tr>
      <w:tr w:rsidR="00543D10" w:rsidRPr="00543D10" w14:paraId="5EDEC1FE" w14:textId="77777777" w:rsidTr="009C7539">
        <w:trPr>
          <w:trHeight w:val="337"/>
        </w:trPr>
        <w:tc>
          <w:tcPr>
            <w:tcW w:w="3534" w:type="dxa"/>
            <w:gridSpan w:val="4"/>
            <w:tcBorders>
              <w:top w:val="nil"/>
              <w:left w:val="nil"/>
              <w:bottom w:val="nil"/>
              <w:right w:val="nil"/>
            </w:tcBorders>
            <w:shd w:val="clear" w:color="auto" w:fill="auto"/>
            <w:noWrap/>
            <w:vAlign w:val="center"/>
            <w:hideMark/>
          </w:tcPr>
          <w:p w14:paraId="6797F8C1" w14:textId="77777777" w:rsidR="00C927A2" w:rsidRPr="00543D10" w:rsidRDefault="00C927A2" w:rsidP="00C927A2">
            <w:pPr>
              <w:spacing w:after="0" w:line="240" w:lineRule="auto"/>
              <w:rPr>
                <w:rFonts w:ascii="Arial" w:eastAsia="Times New Roman" w:hAnsi="Arial" w:cs="Arial"/>
                <w:sz w:val="20"/>
                <w:szCs w:val="20"/>
                <w:lang w:eastAsia="en-GB"/>
              </w:rPr>
            </w:pPr>
            <w:r w:rsidRPr="00543D10">
              <w:rPr>
                <w:rFonts w:ascii="Arial" w:eastAsia="Times New Roman" w:hAnsi="Arial" w:cs="Arial"/>
                <w:sz w:val="20"/>
                <w:szCs w:val="20"/>
                <w:lang w:eastAsia="en-GB"/>
              </w:rPr>
              <w:t>Administration expenses</w:t>
            </w:r>
          </w:p>
        </w:tc>
        <w:tc>
          <w:tcPr>
            <w:tcW w:w="1028" w:type="dxa"/>
            <w:tcBorders>
              <w:top w:val="nil"/>
              <w:left w:val="nil"/>
              <w:bottom w:val="nil"/>
              <w:right w:val="nil"/>
            </w:tcBorders>
            <w:shd w:val="clear" w:color="auto" w:fill="auto"/>
            <w:noWrap/>
            <w:vAlign w:val="bottom"/>
            <w:hideMark/>
          </w:tcPr>
          <w:p w14:paraId="4C2F0344" w14:textId="77777777" w:rsidR="00C927A2" w:rsidRPr="00543D10" w:rsidRDefault="00C927A2" w:rsidP="00C927A2">
            <w:pPr>
              <w:spacing w:after="0" w:line="240" w:lineRule="auto"/>
              <w:rPr>
                <w:rFonts w:ascii="Arial" w:eastAsia="Times New Roman" w:hAnsi="Arial" w:cs="Arial"/>
                <w:sz w:val="20"/>
                <w:szCs w:val="20"/>
                <w:lang w:eastAsia="en-GB"/>
              </w:rPr>
            </w:pPr>
          </w:p>
        </w:tc>
        <w:tc>
          <w:tcPr>
            <w:tcW w:w="998" w:type="dxa"/>
            <w:tcBorders>
              <w:top w:val="nil"/>
              <w:left w:val="nil"/>
              <w:bottom w:val="nil"/>
              <w:right w:val="nil"/>
            </w:tcBorders>
            <w:shd w:val="clear" w:color="auto" w:fill="auto"/>
            <w:noWrap/>
            <w:vAlign w:val="bottom"/>
            <w:hideMark/>
          </w:tcPr>
          <w:p w14:paraId="429D2AE9" w14:textId="77777777" w:rsidR="00C927A2" w:rsidRPr="00543D10" w:rsidRDefault="00C927A2" w:rsidP="00C927A2">
            <w:pPr>
              <w:spacing w:after="0" w:line="240" w:lineRule="auto"/>
              <w:rPr>
                <w:rFonts w:ascii="Times New Roman" w:eastAsia="Times New Roman" w:hAnsi="Times New Roman" w:cs="Times New Roman"/>
                <w:sz w:val="20"/>
                <w:szCs w:val="20"/>
                <w:lang w:eastAsia="en-GB"/>
              </w:rPr>
            </w:pPr>
          </w:p>
        </w:tc>
        <w:tc>
          <w:tcPr>
            <w:tcW w:w="259" w:type="dxa"/>
            <w:tcBorders>
              <w:top w:val="nil"/>
              <w:left w:val="nil"/>
              <w:bottom w:val="nil"/>
              <w:right w:val="nil"/>
            </w:tcBorders>
            <w:shd w:val="clear" w:color="auto" w:fill="auto"/>
            <w:noWrap/>
            <w:vAlign w:val="bottom"/>
            <w:hideMark/>
          </w:tcPr>
          <w:p w14:paraId="2283F301" w14:textId="77777777" w:rsidR="00C927A2" w:rsidRPr="00543D10" w:rsidRDefault="00C927A2" w:rsidP="00C927A2">
            <w:pPr>
              <w:spacing w:after="0" w:line="240" w:lineRule="auto"/>
              <w:rPr>
                <w:rFonts w:ascii="Times New Roman" w:eastAsia="Times New Roman" w:hAnsi="Times New Roman" w:cs="Times New Roman"/>
                <w:sz w:val="20"/>
                <w:szCs w:val="20"/>
                <w:lang w:eastAsia="en-GB"/>
              </w:rPr>
            </w:pPr>
          </w:p>
        </w:tc>
        <w:tc>
          <w:tcPr>
            <w:tcW w:w="1076" w:type="dxa"/>
            <w:tcBorders>
              <w:top w:val="nil"/>
              <w:left w:val="nil"/>
              <w:bottom w:val="nil"/>
              <w:right w:val="nil"/>
            </w:tcBorders>
            <w:shd w:val="clear" w:color="auto" w:fill="auto"/>
            <w:vAlign w:val="center"/>
          </w:tcPr>
          <w:p w14:paraId="3B0E3658" w14:textId="77777777" w:rsidR="00C927A2" w:rsidRPr="00543D10" w:rsidRDefault="007C00D5" w:rsidP="0069798A">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(174)</w:t>
            </w:r>
          </w:p>
        </w:tc>
        <w:tc>
          <w:tcPr>
            <w:tcW w:w="1256" w:type="dxa"/>
            <w:tcBorders>
              <w:top w:val="nil"/>
              <w:left w:val="nil"/>
              <w:bottom w:val="nil"/>
              <w:right w:val="nil"/>
            </w:tcBorders>
            <w:shd w:val="clear" w:color="auto" w:fill="auto"/>
            <w:vAlign w:val="center"/>
          </w:tcPr>
          <w:p w14:paraId="2B47A4AA" w14:textId="77777777" w:rsidR="00C927A2" w:rsidRPr="00543D10" w:rsidRDefault="00373A6A" w:rsidP="00C927A2">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w:t>
            </w:r>
          </w:p>
        </w:tc>
        <w:tc>
          <w:tcPr>
            <w:tcW w:w="1079" w:type="dxa"/>
            <w:tcBorders>
              <w:top w:val="nil"/>
              <w:left w:val="nil"/>
              <w:bottom w:val="nil"/>
              <w:right w:val="nil"/>
            </w:tcBorders>
            <w:shd w:val="clear" w:color="auto" w:fill="auto"/>
            <w:vAlign w:val="center"/>
          </w:tcPr>
          <w:p w14:paraId="7684C74D" w14:textId="77777777" w:rsidR="00C927A2" w:rsidRPr="006647C2" w:rsidRDefault="00596336" w:rsidP="00C927A2">
            <w:pPr>
              <w:spacing w:after="0" w:line="240" w:lineRule="auto"/>
              <w:jc w:val="right"/>
              <w:rPr>
                <w:rFonts w:ascii="Arial" w:eastAsia="Times New Roman" w:hAnsi="Arial" w:cs="Arial"/>
                <w:b/>
                <w:sz w:val="20"/>
                <w:szCs w:val="20"/>
                <w:lang w:eastAsia="en-GB"/>
              </w:rPr>
            </w:pPr>
            <w:r w:rsidRPr="006647C2">
              <w:rPr>
                <w:rFonts w:ascii="Arial" w:eastAsia="Times New Roman" w:hAnsi="Arial" w:cs="Arial"/>
                <w:b/>
                <w:sz w:val="20"/>
                <w:szCs w:val="20"/>
                <w:lang w:eastAsia="en-GB"/>
              </w:rPr>
              <w:t>(174)</w:t>
            </w:r>
          </w:p>
        </w:tc>
      </w:tr>
      <w:tr w:rsidR="00543D10" w:rsidRPr="00543D10" w14:paraId="73B1FC59" w14:textId="77777777" w:rsidTr="009C7539">
        <w:trPr>
          <w:trHeight w:val="337"/>
        </w:trPr>
        <w:tc>
          <w:tcPr>
            <w:tcW w:w="2153" w:type="dxa"/>
            <w:gridSpan w:val="2"/>
            <w:tcBorders>
              <w:top w:val="nil"/>
              <w:left w:val="nil"/>
              <w:bottom w:val="nil"/>
              <w:right w:val="nil"/>
            </w:tcBorders>
            <w:shd w:val="clear" w:color="auto" w:fill="auto"/>
            <w:noWrap/>
            <w:vAlign w:val="center"/>
            <w:hideMark/>
          </w:tcPr>
          <w:p w14:paraId="22C51234" w14:textId="77777777" w:rsidR="00C927A2" w:rsidRPr="00543D10" w:rsidRDefault="00C927A2" w:rsidP="00C927A2">
            <w:pPr>
              <w:spacing w:after="0" w:line="240" w:lineRule="auto"/>
              <w:rPr>
                <w:rFonts w:ascii="Arial" w:eastAsia="Times New Roman" w:hAnsi="Arial" w:cs="Arial"/>
                <w:sz w:val="20"/>
                <w:szCs w:val="20"/>
                <w:lang w:eastAsia="en-GB"/>
              </w:rPr>
            </w:pPr>
            <w:r w:rsidRPr="00543D10">
              <w:rPr>
                <w:rFonts w:ascii="Arial" w:eastAsia="Times New Roman" w:hAnsi="Arial" w:cs="Arial"/>
                <w:sz w:val="20"/>
                <w:szCs w:val="20"/>
                <w:lang w:eastAsia="en-GB"/>
              </w:rPr>
              <w:t>Current service cost</w:t>
            </w:r>
          </w:p>
        </w:tc>
        <w:tc>
          <w:tcPr>
            <w:tcW w:w="304" w:type="dxa"/>
            <w:tcBorders>
              <w:top w:val="nil"/>
              <w:left w:val="nil"/>
              <w:bottom w:val="nil"/>
              <w:right w:val="nil"/>
            </w:tcBorders>
            <w:shd w:val="clear" w:color="auto" w:fill="auto"/>
            <w:noWrap/>
            <w:vAlign w:val="bottom"/>
            <w:hideMark/>
          </w:tcPr>
          <w:p w14:paraId="7D582210" w14:textId="77777777" w:rsidR="00C927A2" w:rsidRPr="00543D10" w:rsidRDefault="00C927A2" w:rsidP="00C927A2">
            <w:pPr>
              <w:spacing w:after="0" w:line="240" w:lineRule="auto"/>
              <w:rPr>
                <w:rFonts w:ascii="Arial" w:eastAsia="Times New Roman" w:hAnsi="Arial" w:cs="Arial"/>
                <w:sz w:val="20"/>
                <w:szCs w:val="20"/>
                <w:lang w:eastAsia="en-GB"/>
              </w:rPr>
            </w:pPr>
          </w:p>
        </w:tc>
        <w:tc>
          <w:tcPr>
            <w:tcW w:w="1076" w:type="dxa"/>
            <w:tcBorders>
              <w:top w:val="nil"/>
              <w:left w:val="nil"/>
              <w:bottom w:val="nil"/>
              <w:right w:val="nil"/>
            </w:tcBorders>
            <w:shd w:val="clear" w:color="auto" w:fill="auto"/>
            <w:noWrap/>
            <w:vAlign w:val="bottom"/>
            <w:hideMark/>
          </w:tcPr>
          <w:p w14:paraId="391FC376" w14:textId="77777777" w:rsidR="00C927A2" w:rsidRPr="00543D10" w:rsidRDefault="00C927A2" w:rsidP="00C927A2">
            <w:pPr>
              <w:spacing w:after="0" w:line="240" w:lineRule="auto"/>
              <w:rPr>
                <w:rFonts w:ascii="Times New Roman" w:eastAsia="Times New Roman" w:hAnsi="Times New Roman" w:cs="Times New Roman"/>
                <w:sz w:val="20"/>
                <w:szCs w:val="20"/>
                <w:lang w:eastAsia="en-GB"/>
              </w:rPr>
            </w:pPr>
          </w:p>
        </w:tc>
        <w:tc>
          <w:tcPr>
            <w:tcW w:w="1028" w:type="dxa"/>
            <w:tcBorders>
              <w:top w:val="nil"/>
              <w:left w:val="nil"/>
              <w:bottom w:val="nil"/>
              <w:right w:val="nil"/>
            </w:tcBorders>
            <w:shd w:val="clear" w:color="auto" w:fill="auto"/>
            <w:noWrap/>
            <w:vAlign w:val="bottom"/>
            <w:hideMark/>
          </w:tcPr>
          <w:p w14:paraId="129A6541" w14:textId="77777777" w:rsidR="00C927A2" w:rsidRPr="00543D10" w:rsidRDefault="00C927A2" w:rsidP="00C927A2">
            <w:pPr>
              <w:spacing w:after="0" w:line="240" w:lineRule="auto"/>
              <w:rPr>
                <w:rFonts w:ascii="Times New Roman" w:eastAsia="Times New Roman" w:hAnsi="Times New Roman" w:cs="Times New Roman"/>
                <w:sz w:val="20"/>
                <w:szCs w:val="20"/>
                <w:lang w:eastAsia="en-GB"/>
              </w:rPr>
            </w:pPr>
          </w:p>
        </w:tc>
        <w:tc>
          <w:tcPr>
            <w:tcW w:w="998" w:type="dxa"/>
            <w:tcBorders>
              <w:top w:val="nil"/>
              <w:left w:val="nil"/>
              <w:bottom w:val="nil"/>
              <w:right w:val="nil"/>
            </w:tcBorders>
            <w:shd w:val="clear" w:color="auto" w:fill="auto"/>
            <w:noWrap/>
            <w:vAlign w:val="bottom"/>
            <w:hideMark/>
          </w:tcPr>
          <w:p w14:paraId="482B2ADB" w14:textId="77777777" w:rsidR="00C927A2" w:rsidRPr="00543D10" w:rsidRDefault="00C927A2" w:rsidP="00C927A2">
            <w:pPr>
              <w:spacing w:after="0" w:line="240" w:lineRule="auto"/>
              <w:rPr>
                <w:rFonts w:ascii="Times New Roman" w:eastAsia="Times New Roman" w:hAnsi="Times New Roman" w:cs="Times New Roman"/>
                <w:sz w:val="20"/>
                <w:szCs w:val="20"/>
                <w:lang w:eastAsia="en-GB"/>
              </w:rPr>
            </w:pPr>
          </w:p>
        </w:tc>
        <w:tc>
          <w:tcPr>
            <w:tcW w:w="259" w:type="dxa"/>
            <w:tcBorders>
              <w:top w:val="nil"/>
              <w:left w:val="nil"/>
              <w:bottom w:val="nil"/>
              <w:right w:val="nil"/>
            </w:tcBorders>
            <w:shd w:val="clear" w:color="auto" w:fill="auto"/>
            <w:noWrap/>
            <w:vAlign w:val="bottom"/>
            <w:hideMark/>
          </w:tcPr>
          <w:p w14:paraId="3B17EEE6" w14:textId="77777777" w:rsidR="00C927A2" w:rsidRPr="00543D10" w:rsidRDefault="00C927A2" w:rsidP="00C927A2">
            <w:pPr>
              <w:spacing w:after="0" w:line="240" w:lineRule="auto"/>
              <w:rPr>
                <w:rFonts w:ascii="Times New Roman" w:eastAsia="Times New Roman" w:hAnsi="Times New Roman" w:cs="Times New Roman"/>
                <w:sz w:val="20"/>
                <w:szCs w:val="20"/>
                <w:lang w:eastAsia="en-GB"/>
              </w:rPr>
            </w:pPr>
          </w:p>
        </w:tc>
        <w:tc>
          <w:tcPr>
            <w:tcW w:w="1076" w:type="dxa"/>
            <w:tcBorders>
              <w:top w:val="nil"/>
              <w:left w:val="nil"/>
              <w:bottom w:val="nil"/>
              <w:right w:val="nil"/>
            </w:tcBorders>
            <w:shd w:val="clear" w:color="auto" w:fill="auto"/>
            <w:vAlign w:val="center"/>
          </w:tcPr>
          <w:p w14:paraId="2034B124" w14:textId="77777777" w:rsidR="00C927A2" w:rsidRPr="00543D10" w:rsidRDefault="007C00D5" w:rsidP="0069798A">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w:t>
            </w:r>
          </w:p>
        </w:tc>
        <w:tc>
          <w:tcPr>
            <w:tcW w:w="1256" w:type="dxa"/>
            <w:tcBorders>
              <w:top w:val="nil"/>
              <w:left w:val="nil"/>
              <w:bottom w:val="nil"/>
              <w:right w:val="nil"/>
            </w:tcBorders>
            <w:shd w:val="clear" w:color="auto" w:fill="auto"/>
            <w:vAlign w:val="center"/>
          </w:tcPr>
          <w:p w14:paraId="207C85C6" w14:textId="77777777" w:rsidR="00C927A2" w:rsidRPr="00543D10" w:rsidRDefault="00596336" w:rsidP="00C927A2">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(8,008)</w:t>
            </w:r>
          </w:p>
        </w:tc>
        <w:tc>
          <w:tcPr>
            <w:tcW w:w="1079" w:type="dxa"/>
            <w:tcBorders>
              <w:top w:val="nil"/>
              <w:left w:val="nil"/>
              <w:bottom w:val="nil"/>
              <w:right w:val="nil"/>
            </w:tcBorders>
            <w:shd w:val="clear" w:color="auto" w:fill="auto"/>
            <w:vAlign w:val="center"/>
          </w:tcPr>
          <w:p w14:paraId="6424D2A5" w14:textId="77777777" w:rsidR="00C927A2" w:rsidRPr="006647C2" w:rsidRDefault="00596336" w:rsidP="00C927A2">
            <w:pPr>
              <w:spacing w:after="0" w:line="240" w:lineRule="auto"/>
              <w:jc w:val="right"/>
              <w:rPr>
                <w:rFonts w:ascii="Arial" w:eastAsia="Times New Roman" w:hAnsi="Arial" w:cs="Arial"/>
                <w:b/>
                <w:sz w:val="20"/>
                <w:szCs w:val="20"/>
                <w:lang w:eastAsia="en-GB"/>
              </w:rPr>
            </w:pPr>
            <w:r w:rsidRPr="006647C2">
              <w:rPr>
                <w:rFonts w:ascii="Arial" w:eastAsia="Times New Roman" w:hAnsi="Arial" w:cs="Arial"/>
                <w:b/>
                <w:sz w:val="20"/>
                <w:szCs w:val="20"/>
                <w:lang w:eastAsia="en-GB"/>
              </w:rPr>
              <w:t>(8,008)</w:t>
            </w:r>
          </w:p>
        </w:tc>
      </w:tr>
      <w:tr w:rsidR="00543D10" w:rsidRPr="00543D10" w14:paraId="47097F03" w14:textId="77777777" w:rsidTr="009C7539">
        <w:trPr>
          <w:trHeight w:val="309"/>
        </w:trPr>
        <w:tc>
          <w:tcPr>
            <w:tcW w:w="4562" w:type="dxa"/>
            <w:gridSpan w:val="5"/>
            <w:tcBorders>
              <w:top w:val="nil"/>
              <w:left w:val="nil"/>
              <w:bottom w:val="nil"/>
              <w:right w:val="nil"/>
            </w:tcBorders>
            <w:shd w:val="clear" w:color="auto" w:fill="auto"/>
            <w:noWrap/>
            <w:vAlign w:val="bottom"/>
            <w:hideMark/>
          </w:tcPr>
          <w:p w14:paraId="0E2ADE91" w14:textId="77777777" w:rsidR="00C927A2" w:rsidRPr="00543D10" w:rsidRDefault="00C927A2" w:rsidP="00C927A2">
            <w:pPr>
              <w:spacing w:after="0" w:line="240" w:lineRule="auto"/>
              <w:rPr>
                <w:rFonts w:ascii="Arial" w:eastAsia="Times New Roman" w:hAnsi="Arial" w:cs="Arial"/>
                <w:sz w:val="20"/>
                <w:szCs w:val="20"/>
                <w:lang w:eastAsia="en-GB"/>
              </w:rPr>
            </w:pPr>
            <w:r w:rsidRPr="00543D10">
              <w:rPr>
                <w:rFonts w:ascii="Arial" w:eastAsia="Times New Roman" w:hAnsi="Arial" w:cs="Arial"/>
                <w:sz w:val="20"/>
                <w:szCs w:val="20"/>
                <w:lang w:eastAsia="en-GB"/>
              </w:rPr>
              <w:t>Past service costs including curtailments</w:t>
            </w:r>
          </w:p>
        </w:tc>
        <w:tc>
          <w:tcPr>
            <w:tcW w:w="998" w:type="dxa"/>
            <w:tcBorders>
              <w:top w:val="nil"/>
              <w:left w:val="nil"/>
              <w:bottom w:val="nil"/>
              <w:right w:val="nil"/>
            </w:tcBorders>
            <w:shd w:val="clear" w:color="auto" w:fill="auto"/>
            <w:noWrap/>
            <w:vAlign w:val="bottom"/>
            <w:hideMark/>
          </w:tcPr>
          <w:p w14:paraId="1DA91A73" w14:textId="77777777" w:rsidR="00C927A2" w:rsidRPr="00543D10" w:rsidRDefault="00C927A2" w:rsidP="00C927A2">
            <w:pPr>
              <w:spacing w:after="0" w:line="240" w:lineRule="auto"/>
              <w:rPr>
                <w:rFonts w:ascii="Arial" w:eastAsia="Times New Roman" w:hAnsi="Arial" w:cs="Arial"/>
                <w:sz w:val="20"/>
                <w:szCs w:val="20"/>
                <w:lang w:eastAsia="en-GB"/>
              </w:rPr>
            </w:pPr>
          </w:p>
        </w:tc>
        <w:tc>
          <w:tcPr>
            <w:tcW w:w="259" w:type="dxa"/>
            <w:tcBorders>
              <w:top w:val="nil"/>
              <w:left w:val="nil"/>
              <w:bottom w:val="nil"/>
              <w:right w:val="nil"/>
            </w:tcBorders>
            <w:shd w:val="clear" w:color="auto" w:fill="auto"/>
            <w:noWrap/>
            <w:vAlign w:val="bottom"/>
            <w:hideMark/>
          </w:tcPr>
          <w:p w14:paraId="7B6862F9" w14:textId="77777777" w:rsidR="00C927A2" w:rsidRPr="00543D10" w:rsidRDefault="00C927A2" w:rsidP="00C927A2">
            <w:pPr>
              <w:spacing w:after="0" w:line="240" w:lineRule="auto"/>
              <w:rPr>
                <w:rFonts w:ascii="Times New Roman" w:eastAsia="Times New Roman" w:hAnsi="Times New Roman" w:cs="Times New Roman"/>
                <w:sz w:val="20"/>
                <w:szCs w:val="20"/>
                <w:lang w:eastAsia="en-GB"/>
              </w:rPr>
            </w:pPr>
          </w:p>
        </w:tc>
        <w:tc>
          <w:tcPr>
            <w:tcW w:w="1076" w:type="dxa"/>
            <w:tcBorders>
              <w:top w:val="nil"/>
              <w:left w:val="nil"/>
              <w:bottom w:val="nil"/>
              <w:right w:val="nil"/>
            </w:tcBorders>
            <w:shd w:val="clear" w:color="auto" w:fill="auto"/>
            <w:noWrap/>
            <w:vAlign w:val="bottom"/>
          </w:tcPr>
          <w:p w14:paraId="6EA9E94F" w14:textId="77777777" w:rsidR="00C927A2" w:rsidRPr="00543D10" w:rsidRDefault="007C00D5" w:rsidP="00C927A2">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w:t>
            </w:r>
          </w:p>
        </w:tc>
        <w:tc>
          <w:tcPr>
            <w:tcW w:w="1256" w:type="dxa"/>
            <w:tcBorders>
              <w:top w:val="nil"/>
              <w:left w:val="nil"/>
              <w:bottom w:val="nil"/>
              <w:right w:val="nil"/>
            </w:tcBorders>
            <w:shd w:val="clear" w:color="auto" w:fill="auto"/>
            <w:noWrap/>
            <w:vAlign w:val="bottom"/>
          </w:tcPr>
          <w:p w14:paraId="07686979" w14:textId="77777777" w:rsidR="00C927A2" w:rsidRPr="00543D10" w:rsidRDefault="00596336" w:rsidP="00C927A2">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(356)</w:t>
            </w:r>
          </w:p>
        </w:tc>
        <w:tc>
          <w:tcPr>
            <w:tcW w:w="1079" w:type="dxa"/>
            <w:tcBorders>
              <w:top w:val="nil"/>
              <w:left w:val="nil"/>
              <w:bottom w:val="nil"/>
              <w:right w:val="nil"/>
            </w:tcBorders>
            <w:shd w:val="clear" w:color="auto" w:fill="auto"/>
            <w:noWrap/>
            <w:vAlign w:val="bottom"/>
          </w:tcPr>
          <w:p w14:paraId="4BA2FE7A" w14:textId="77777777" w:rsidR="00C927A2" w:rsidRPr="006647C2" w:rsidRDefault="00596336" w:rsidP="00C927A2">
            <w:pPr>
              <w:spacing w:after="0" w:line="240" w:lineRule="auto"/>
              <w:jc w:val="right"/>
              <w:rPr>
                <w:rFonts w:ascii="Arial" w:eastAsia="Times New Roman" w:hAnsi="Arial" w:cs="Arial"/>
                <w:b/>
                <w:sz w:val="20"/>
                <w:szCs w:val="20"/>
                <w:lang w:eastAsia="en-GB"/>
              </w:rPr>
            </w:pPr>
            <w:r w:rsidRPr="006647C2">
              <w:rPr>
                <w:rFonts w:ascii="Arial" w:eastAsia="Times New Roman" w:hAnsi="Arial" w:cs="Arial"/>
                <w:b/>
                <w:sz w:val="20"/>
                <w:szCs w:val="20"/>
                <w:lang w:eastAsia="en-GB"/>
              </w:rPr>
              <w:t>(356)</w:t>
            </w:r>
          </w:p>
        </w:tc>
      </w:tr>
      <w:tr w:rsidR="00543D10" w:rsidRPr="00543D10" w14:paraId="45678C4D" w14:textId="77777777" w:rsidTr="009C7539">
        <w:trPr>
          <w:trHeight w:val="337"/>
        </w:trPr>
        <w:tc>
          <w:tcPr>
            <w:tcW w:w="3534" w:type="dxa"/>
            <w:gridSpan w:val="4"/>
            <w:tcBorders>
              <w:top w:val="nil"/>
              <w:left w:val="nil"/>
              <w:bottom w:val="nil"/>
              <w:right w:val="nil"/>
            </w:tcBorders>
            <w:shd w:val="clear" w:color="auto" w:fill="auto"/>
            <w:noWrap/>
            <w:vAlign w:val="center"/>
            <w:hideMark/>
          </w:tcPr>
          <w:p w14:paraId="525A771F" w14:textId="77777777" w:rsidR="00C927A2" w:rsidRPr="00543D10" w:rsidRDefault="00C927A2" w:rsidP="00C927A2">
            <w:pPr>
              <w:spacing w:after="0" w:line="240" w:lineRule="auto"/>
              <w:rPr>
                <w:rFonts w:ascii="Arial" w:eastAsia="Times New Roman" w:hAnsi="Arial" w:cs="Arial"/>
                <w:sz w:val="20"/>
                <w:szCs w:val="20"/>
                <w:lang w:eastAsia="en-GB"/>
              </w:rPr>
            </w:pPr>
            <w:r w:rsidRPr="00543D10">
              <w:rPr>
                <w:rFonts w:ascii="Arial" w:eastAsia="Times New Roman" w:hAnsi="Arial" w:cs="Arial"/>
                <w:sz w:val="20"/>
                <w:szCs w:val="20"/>
                <w:lang w:eastAsia="en-GB"/>
              </w:rPr>
              <w:t>Interest income / (expense)</w:t>
            </w:r>
          </w:p>
        </w:tc>
        <w:tc>
          <w:tcPr>
            <w:tcW w:w="1028" w:type="dxa"/>
            <w:tcBorders>
              <w:top w:val="nil"/>
              <w:left w:val="nil"/>
              <w:bottom w:val="nil"/>
              <w:right w:val="nil"/>
            </w:tcBorders>
            <w:shd w:val="clear" w:color="auto" w:fill="auto"/>
            <w:noWrap/>
            <w:vAlign w:val="bottom"/>
            <w:hideMark/>
          </w:tcPr>
          <w:p w14:paraId="7398C2B7" w14:textId="77777777" w:rsidR="00C927A2" w:rsidRPr="00543D10" w:rsidRDefault="00C927A2" w:rsidP="00C927A2">
            <w:pPr>
              <w:spacing w:after="0" w:line="240" w:lineRule="auto"/>
              <w:rPr>
                <w:rFonts w:ascii="Arial" w:eastAsia="Times New Roman" w:hAnsi="Arial" w:cs="Arial"/>
                <w:sz w:val="20"/>
                <w:szCs w:val="20"/>
                <w:lang w:eastAsia="en-GB"/>
              </w:rPr>
            </w:pPr>
          </w:p>
        </w:tc>
        <w:tc>
          <w:tcPr>
            <w:tcW w:w="998" w:type="dxa"/>
            <w:tcBorders>
              <w:top w:val="nil"/>
              <w:left w:val="nil"/>
              <w:bottom w:val="nil"/>
              <w:right w:val="nil"/>
            </w:tcBorders>
            <w:shd w:val="clear" w:color="auto" w:fill="auto"/>
            <w:noWrap/>
            <w:vAlign w:val="bottom"/>
            <w:hideMark/>
          </w:tcPr>
          <w:p w14:paraId="4672DA3F" w14:textId="77777777" w:rsidR="00C927A2" w:rsidRPr="00543D10" w:rsidRDefault="00C927A2" w:rsidP="00C927A2">
            <w:pPr>
              <w:spacing w:after="0" w:line="240" w:lineRule="auto"/>
              <w:rPr>
                <w:rFonts w:ascii="Times New Roman" w:eastAsia="Times New Roman" w:hAnsi="Times New Roman" w:cs="Times New Roman"/>
                <w:sz w:val="20"/>
                <w:szCs w:val="20"/>
                <w:lang w:eastAsia="en-GB"/>
              </w:rPr>
            </w:pPr>
          </w:p>
        </w:tc>
        <w:tc>
          <w:tcPr>
            <w:tcW w:w="259" w:type="dxa"/>
            <w:tcBorders>
              <w:top w:val="nil"/>
              <w:left w:val="nil"/>
              <w:bottom w:val="nil"/>
              <w:right w:val="nil"/>
            </w:tcBorders>
            <w:shd w:val="clear" w:color="auto" w:fill="auto"/>
            <w:noWrap/>
            <w:vAlign w:val="bottom"/>
            <w:hideMark/>
          </w:tcPr>
          <w:p w14:paraId="3F2B6ECA" w14:textId="77777777" w:rsidR="00C927A2" w:rsidRPr="00543D10" w:rsidRDefault="00C927A2" w:rsidP="00C927A2">
            <w:pPr>
              <w:spacing w:after="0" w:line="240" w:lineRule="auto"/>
              <w:rPr>
                <w:rFonts w:ascii="Times New Roman" w:eastAsia="Times New Roman" w:hAnsi="Times New Roman" w:cs="Times New Roman"/>
                <w:sz w:val="20"/>
                <w:szCs w:val="20"/>
                <w:lang w:eastAsia="en-GB"/>
              </w:rPr>
            </w:pPr>
          </w:p>
        </w:tc>
        <w:tc>
          <w:tcPr>
            <w:tcW w:w="1076" w:type="dxa"/>
            <w:tcBorders>
              <w:top w:val="nil"/>
              <w:left w:val="nil"/>
              <w:bottom w:val="nil"/>
              <w:right w:val="nil"/>
            </w:tcBorders>
            <w:shd w:val="clear" w:color="auto" w:fill="auto"/>
            <w:vAlign w:val="center"/>
          </w:tcPr>
          <w:p w14:paraId="0046154D" w14:textId="77777777" w:rsidR="00C927A2" w:rsidRPr="00543D10" w:rsidRDefault="007C00D5" w:rsidP="0069798A">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3,388</w:t>
            </w:r>
          </w:p>
        </w:tc>
        <w:tc>
          <w:tcPr>
            <w:tcW w:w="1256" w:type="dxa"/>
            <w:tcBorders>
              <w:top w:val="nil"/>
              <w:left w:val="nil"/>
              <w:bottom w:val="nil"/>
              <w:right w:val="nil"/>
            </w:tcBorders>
            <w:shd w:val="clear" w:color="auto" w:fill="auto"/>
            <w:vAlign w:val="center"/>
          </w:tcPr>
          <w:p w14:paraId="1BABDD41" w14:textId="77777777" w:rsidR="00C927A2" w:rsidRPr="00543D10" w:rsidRDefault="00596336" w:rsidP="00C927A2">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(4,934)</w:t>
            </w:r>
          </w:p>
        </w:tc>
        <w:tc>
          <w:tcPr>
            <w:tcW w:w="1079" w:type="dxa"/>
            <w:tcBorders>
              <w:top w:val="nil"/>
              <w:left w:val="nil"/>
              <w:bottom w:val="nil"/>
              <w:right w:val="nil"/>
            </w:tcBorders>
            <w:shd w:val="clear" w:color="auto" w:fill="auto"/>
            <w:vAlign w:val="center"/>
          </w:tcPr>
          <w:p w14:paraId="2B53B585" w14:textId="77777777" w:rsidR="00C927A2" w:rsidRPr="006647C2" w:rsidRDefault="00596336" w:rsidP="00C927A2">
            <w:pPr>
              <w:spacing w:after="0" w:line="240" w:lineRule="auto"/>
              <w:jc w:val="right"/>
              <w:rPr>
                <w:rFonts w:ascii="Arial" w:eastAsia="Times New Roman" w:hAnsi="Arial" w:cs="Arial"/>
                <w:b/>
                <w:sz w:val="20"/>
                <w:szCs w:val="20"/>
                <w:lang w:eastAsia="en-GB"/>
              </w:rPr>
            </w:pPr>
            <w:r w:rsidRPr="006647C2">
              <w:rPr>
                <w:rFonts w:ascii="Arial" w:eastAsia="Times New Roman" w:hAnsi="Arial" w:cs="Arial"/>
                <w:b/>
                <w:sz w:val="20"/>
                <w:szCs w:val="20"/>
                <w:lang w:eastAsia="en-GB"/>
              </w:rPr>
              <w:t>(1,546)</w:t>
            </w:r>
          </w:p>
        </w:tc>
      </w:tr>
      <w:tr w:rsidR="00543D10" w:rsidRPr="00543D10" w14:paraId="0500F50B" w14:textId="77777777" w:rsidTr="009C7539">
        <w:trPr>
          <w:trHeight w:val="309"/>
        </w:trPr>
        <w:tc>
          <w:tcPr>
            <w:tcW w:w="3534" w:type="dxa"/>
            <w:gridSpan w:val="4"/>
            <w:tcBorders>
              <w:top w:val="nil"/>
              <w:left w:val="nil"/>
              <w:bottom w:val="nil"/>
              <w:right w:val="nil"/>
            </w:tcBorders>
            <w:shd w:val="clear" w:color="auto" w:fill="auto"/>
            <w:noWrap/>
            <w:vAlign w:val="center"/>
            <w:hideMark/>
          </w:tcPr>
          <w:p w14:paraId="307E4FC6" w14:textId="77777777" w:rsidR="00C927A2" w:rsidRPr="00543D10" w:rsidRDefault="00C927A2" w:rsidP="00C927A2">
            <w:pPr>
              <w:spacing w:after="0" w:line="240" w:lineRule="auto"/>
              <w:rPr>
                <w:rFonts w:ascii="Arial" w:eastAsia="Times New Roman" w:hAnsi="Arial" w:cs="Arial"/>
                <w:sz w:val="20"/>
                <w:szCs w:val="20"/>
                <w:lang w:eastAsia="en-GB"/>
              </w:rPr>
            </w:pPr>
            <w:r w:rsidRPr="00543D10">
              <w:rPr>
                <w:rFonts w:ascii="Arial" w:eastAsia="Times New Roman" w:hAnsi="Arial" w:cs="Arial"/>
                <w:sz w:val="20"/>
                <w:szCs w:val="20"/>
                <w:lang w:eastAsia="en-GB"/>
              </w:rPr>
              <w:t>Re-measurement gains / losses</w:t>
            </w:r>
          </w:p>
        </w:tc>
        <w:tc>
          <w:tcPr>
            <w:tcW w:w="1028" w:type="dxa"/>
            <w:tcBorders>
              <w:top w:val="nil"/>
              <w:left w:val="nil"/>
              <w:bottom w:val="nil"/>
              <w:right w:val="nil"/>
            </w:tcBorders>
            <w:shd w:val="clear" w:color="auto" w:fill="auto"/>
            <w:noWrap/>
            <w:vAlign w:val="bottom"/>
            <w:hideMark/>
          </w:tcPr>
          <w:p w14:paraId="78C724AF" w14:textId="77777777" w:rsidR="00C927A2" w:rsidRPr="00543D10" w:rsidRDefault="00C927A2" w:rsidP="00C927A2">
            <w:pPr>
              <w:spacing w:after="0" w:line="240" w:lineRule="auto"/>
              <w:rPr>
                <w:rFonts w:ascii="Arial" w:eastAsia="Times New Roman" w:hAnsi="Arial" w:cs="Arial"/>
                <w:sz w:val="20"/>
                <w:szCs w:val="20"/>
                <w:lang w:eastAsia="en-GB"/>
              </w:rPr>
            </w:pPr>
          </w:p>
        </w:tc>
        <w:tc>
          <w:tcPr>
            <w:tcW w:w="998" w:type="dxa"/>
            <w:tcBorders>
              <w:top w:val="nil"/>
              <w:left w:val="nil"/>
              <w:bottom w:val="nil"/>
              <w:right w:val="nil"/>
            </w:tcBorders>
            <w:shd w:val="clear" w:color="auto" w:fill="auto"/>
            <w:noWrap/>
            <w:vAlign w:val="bottom"/>
            <w:hideMark/>
          </w:tcPr>
          <w:p w14:paraId="0AD751E7" w14:textId="77777777" w:rsidR="00C927A2" w:rsidRPr="00543D10" w:rsidRDefault="00C927A2" w:rsidP="00C927A2">
            <w:pPr>
              <w:spacing w:after="0" w:line="240" w:lineRule="auto"/>
              <w:rPr>
                <w:rFonts w:ascii="Times New Roman" w:eastAsia="Times New Roman" w:hAnsi="Times New Roman" w:cs="Times New Roman"/>
                <w:sz w:val="20"/>
                <w:szCs w:val="20"/>
                <w:lang w:eastAsia="en-GB"/>
              </w:rPr>
            </w:pPr>
          </w:p>
        </w:tc>
        <w:tc>
          <w:tcPr>
            <w:tcW w:w="259" w:type="dxa"/>
            <w:tcBorders>
              <w:top w:val="nil"/>
              <w:left w:val="nil"/>
              <w:bottom w:val="nil"/>
              <w:right w:val="nil"/>
            </w:tcBorders>
            <w:shd w:val="clear" w:color="auto" w:fill="auto"/>
            <w:noWrap/>
            <w:vAlign w:val="bottom"/>
            <w:hideMark/>
          </w:tcPr>
          <w:p w14:paraId="016DB602" w14:textId="77777777" w:rsidR="00C927A2" w:rsidRPr="00543D10" w:rsidRDefault="00C927A2" w:rsidP="00C927A2">
            <w:pPr>
              <w:spacing w:after="0" w:line="240" w:lineRule="auto"/>
              <w:rPr>
                <w:rFonts w:ascii="Times New Roman" w:eastAsia="Times New Roman" w:hAnsi="Times New Roman" w:cs="Times New Roman"/>
                <w:sz w:val="20"/>
                <w:szCs w:val="20"/>
                <w:lang w:eastAsia="en-GB"/>
              </w:rPr>
            </w:pPr>
          </w:p>
        </w:tc>
        <w:tc>
          <w:tcPr>
            <w:tcW w:w="1076" w:type="dxa"/>
            <w:tcBorders>
              <w:top w:val="nil"/>
              <w:left w:val="nil"/>
              <w:bottom w:val="nil"/>
              <w:right w:val="nil"/>
            </w:tcBorders>
            <w:shd w:val="clear" w:color="auto" w:fill="auto"/>
            <w:vAlign w:val="center"/>
          </w:tcPr>
          <w:p w14:paraId="68EC08D8" w14:textId="77777777" w:rsidR="00C927A2" w:rsidRPr="00543D10" w:rsidRDefault="00C927A2" w:rsidP="006647C2">
            <w:pPr>
              <w:spacing w:after="0" w:line="240" w:lineRule="auto"/>
              <w:jc w:val="right"/>
              <w:rPr>
                <w:rFonts w:ascii="Times New Roman" w:eastAsia="Times New Roman" w:hAnsi="Times New Roman" w:cs="Times New Roman"/>
                <w:sz w:val="20"/>
                <w:szCs w:val="20"/>
                <w:lang w:eastAsia="en-GB"/>
              </w:rPr>
            </w:pPr>
          </w:p>
        </w:tc>
        <w:tc>
          <w:tcPr>
            <w:tcW w:w="1256" w:type="dxa"/>
            <w:tcBorders>
              <w:top w:val="nil"/>
              <w:left w:val="nil"/>
              <w:bottom w:val="nil"/>
              <w:right w:val="nil"/>
            </w:tcBorders>
            <w:shd w:val="clear" w:color="auto" w:fill="auto"/>
            <w:vAlign w:val="center"/>
          </w:tcPr>
          <w:p w14:paraId="421C476C" w14:textId="77777777" w:rsidR="00C927A2" w:rsidRPr="00543D10" w:rsidRDefault="00C927A2" w:rsidP="00C927A2">
            <w:pPr>
              <w:spacing w:after="0" w:line="240" w:lineRule="auto"/>
              <w:rPr>
                <w:rFonts w:ascii="Times New Roman" w:eastAsia="Times New Roman" w:hAnsi="Times New Roman" w:cs="Times New Roman"/>
                <w:sz w:val="20"/>
                <w:szCs w:val="20"/>
                <w:lang w:eastAsia="en-GB"/>
              </w:rPr>
            </w:pPr>
          </w:p>
        </w:tc>
        <w:tc>
          <w:tcPr>
            <w:tcW w:w="1079" w:type="dxa"/>
            <w:tcBorders>
              <w:top w:val="nil"/>
              <w:left w:val="nil"/>
              <w:bottom w:val="nil"/>
              <w:right w:val="nil"/>
            </w:tcBorders>
            <w:shd w:val="clear" w:color="auto" w:fill="auto"/>
            <w:vAlign w:val="center"/>
          </w:tcPr>
          <w:p w14:paraId="51ECD054" w14:textId="77777777" w:rsidR="00C927A2" w:rsidRPr="006647C2" w:rsidRDefault="00C927A2" w:rsidP="00C927A2">
            <w:pPr>
              <w:spacing w:after="0" w:line="240" w:lineRule="auto"/>
              <w:rPr>
                <w:rFonts w:ascii="Times New Roman" w:eastAsia="Times New Roman" w:hAnsi="Times New Roman" w:cs="Times New Roman"/>
                <w:b/>
                <w:sz w:val="20"/>
                <w:szCs w:val="20"/>
                <w:lang w:eastAsia="en-GB"/>
              </w:rPr>
            </w:pPr>
          </w:p>
        </w:tc>
      </w:tr>
      <w:tr w:rsidR="00543D10" w:rsidRPr="00543D10" w14:paraId="1842C460" w14:textId="77777777" w:rsidTr="009C7539">
        <w:trPr>
          <w:trHeight w:val="309"/>
        </w:trPr>
        <w:tc>
          <w:tcPr>
            <w:tcW w:w="2458" w:type="dxa"/>
            <w:gridSpan w:val="3"/>
            <w:tcBorders>
              <w:top w:val="nil"/>
              <w:left w:val="nil"/>
              <w:right w:val="nil"/>
            </w:tcBorders>
            <w:shd w:val="clear" w:color="auto" w:fill="auto"/>
            <w:noWrap/>
            <w:vAlign w:val="center"/>
            <w:hideMark/>
          </w:tcPr>
          <w:p w14:paraId="10C56843" w14:textId="77777777" w:rsidR="00C927A2" w:rsidRPr="00543D10" w:rsidRDefault="00C927A2" w:rsidP="00C927A2">
            <w:pPr>
              <w:spacing w:after="0" w:line="240" w:lineRule="auto"/>
              <w:rPr>
                <w:rFonts w:ascii="Arial" w:eastAsia="Times New Roman" w:hAnsi="Arial" w:cs="Arial"/>
                <w:sz w:val="20"/>
                <w:szCs w:val="20"/>
                <w:lang w:eastAsia="en-GB"/>
              </w:rPr>
            </w:pPr>
            <w:r w:rsidRPr="00543D10">
              <w:rPr>
                <w:rFonts w:ascii="Arial" w:eastAsia="Times New Roman" w:hAnsi="Arial" w:cs="Arial"/>
                <w:sz w:val="20"/>
                <w:szCs w:val="20"/>
                <w:lang w:eastAsia="en-GB"/>
              </w:rPr>
              <w:t>- Actuari</w:t>
            </w:r>
            <w:r w:rsidR="00FA6D09">
              <w:rPr>
                <w:rFonts w:ascii="Arial" w:eastAsia="Times New Roman" w:hAnsi="Arial" w:cs="Arial"/>
                <w:sz w:val="20"/>
                <w:szCs w:val="20"/>
                <w:lang w:eastAsia="en-GB"/>
              </w:rPr>
              <w:t>al loss</w:t>
            </w:r>
          </w:p>
        </w:tc>
        <w:tc>
          <w:tcPr>
            <w:tcW w:w="1076" w:type="dxa"/>
            <w:tcBorders>
              <w:top w:val="nil"/>
              <w:left w:val="nil"/>
              <w:right w:val="nil"/>
            </w:tcBorders>
            <w:shd w:val="clear" w:color="auto" w:fill="auto"/>
            <w:noWrap/>
            <w:vAlign w:val="bottom"/>
            <w:hideMark/>
          </w:tcPr>
          <w:p w14:paraId="003D8DD6" w14:textId="77777777" w:rsidR="00C927A2" w:rsidRPr="00543D10" w:rsidRDefault="00C927A2" w:rsidP="00C927A2">
            <w:pPr>
              <w:spacing w:after="0" w:line="240" w:lineRule="auto"/>
              <w:rPr>
                <w:rFonts w:ascii="Arial" w:eastAsia="Times New Roman" w:hAnsi="Arial" w:cs="Arial"/>
                <w:sz w:val="20"/>
                <w:szCs w:val="20"/>
                <w:lang w:eastAsia="en-GB"/>
              </w:rPr>
            </w:pPr>
          </w:p>
        </w:tc>
        <w:tc>
          <w:tcPr>
            <w:tcW w:w="1028" w:type="dxa"/>
            <w:tcBorders>
              <w:top w:val="nil"/>
              <w:left w:val="nil"/>
              <w:right w:val="nil"/>
            </w:tcBorders>
            <w:shd w:val="clear" w:color="auto" w:fill="auto"/>
            <w:noWrap/>
            <w:vAlign w:val="bottom"/>
            <w:hideMark/>
          </w:tcPr>
          <w:p w14:paraId="547706C2" w14:textId="77777777" w:rsidR="00C927A2" w:rsidRPr="00543D10" w:rsidRDefault="00C927A2" w:rsidP="00C927A2">
            <w:pPr>
              <w:spacing w:after="0" w:line="240" w:lineRule="auto"/>
              <w:rPr>
                <w:rFonts w:ascii="Times New Roman" w:eastAsia="Times New Roman" w:hAnsi="Times New Roman" w:cs="Times New Roman"/>
                <w:sz w:val="20"/>
                <w:szCs w:val="20"/>
                <w:lang w:eastAsia="en-GB"/>
              </w:rPr>
            </w:pPr>
          </w:p>
        </w:tc>
        <w:tc>
          <w:tcPr>
            <w:tcW w:w="998" w:type="dxa"/>
            <w:tcBorders>
              <w:top w:val="nil"/>
              <w:left w:val="nil"/>
              <w:right w:val="nil"/>
            </w:tcBorders>
            <w:shd w:val="clear" w:color="auto" w:fill="auto"/>
            <w:noWrap/>
            <w:vAlign w:val="bottom"/>
            <w:hideMark/>
          </w:tcPr>
          <w:p w14:paraId="754B2D45" w14:textId="77777777" w:rsidR="00C927A2" w:rsidRPr="00543D10" w:rsidRDefault="00C927A2" w:rsidP="00C927A2">
            <w:pPr>
              <w:spacing w:after="0" w:line="240" w:lineRule="auto"/>
              <w:rPr>
                <w:rFonts w:ascii="Times New Roman" w:eastAsia="Times New Roman" w:hAnsi="Times New Roman" w:cs="Times New Roman"/>
                <w:sz w:val="20"/>
                <w:szCs w:val="20"/>
                <w:lang w:eastAsia="en-GB"/>
              </w:rPr>
            </w:pPr>
          </w:p>
        </w:tc>
        <w:tc>
          <w:tcPr>
            <w:tcW w:w="259" w:type="dxa"/>
            <w:tcBorders>
              <w:top w:val="nil"/>
              <w:left w:val="nil"/>
              <w:right w:val="nil"/>
            </w:tcBorders>
            <w:shd w:val="clear" w:color="auto" w:fill="auto"/>
            <w:noWrap/>
            <w:vAlign w:val="bottom"/>
            <w:hideMark/>
          </w:tcPr>
          <w:p w14:paraId="6014B4C3" w14:textId="77777777" w:rsidR="00C927A2" w:rsidRPr="00543D10" w:rsidRDefault="00C927A2" w:rsidP="00C927A2">
            <w:pPr>
              <w:spacing w:after="0" w:line="240" w:lineRule="auto"/>
              <w:rPr>
                <w:rFonts w:ascii="Times New Roman" w:eastAsia="Times New Roman" w:hAnsi="Times New Roman" w:cs="Times New Roman"/>
                <w:sz w:val="20"/>
                <w:szCs w:val="20"/>
                <w:lang w:eastAsia="en-GB"/>
              </w:rPr>
            </w:pPr>
          </w:p>
        </w:tc>
        <w:tc>
          <w:tcPr>
            <w:tcW w:w="1076" w:type="dxa"/>
            <w:tcBorders>
              <w:top w:val="nil"/>
              <w:left w:val="nil"/>
              <w:right w:val="nil"/>
            </w:tcBorders>
            <w:shd w:val="clear" w:color="auto" w:fill="auto"/>
            <w:vAlign w:val="center"/>
          </w:tcPr>
          <w:p w14:paraId="1567910E" w14:textId="77777777" w:rsidR="00C927A2" w:rsidRPr="00543D10" w:rsidRDefault="007C00D5" w:rsidP="0069798A">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(2,089)</w:t>
            </w:r>
          </w:p>
        </w:tc>
        <w:tc>
          <w:tcPr>
            <w:tcW w:w="1256" w:type="dxa"/>
            <w:tcBorders>
              <w:top w:val="nil"/>
              <w:left w:val="nil"/>
              <w:right w:val="nil"/>
            </w:tcBorders>
            <w:shd w:val="clear" w:color="auto" w:fill="auto"/>
            <w:vAlign w:val="center"/>
          </w:tcPr>
          <w:p w14:paraId="4134955C" w14:textId="77777777" w:rsidR="00C927A2" w:rsidRPr="00543D10" w:rsidRDefault="00596336" w:rsidP="00C927A2">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(9,114)</w:t>
            </w:r>
          </w:p>
        </w:tc>
        <w:tc>
          <w:tcPr>
            <w:tcW w:w="1079" w:type="dxa"/>
            <w:tcBorders>
              <w:top w:val="nil"/>
              <w:left w:val="nil"/>
              <w:right w:val="nil"/>
            </w:tcBorders>
            <w:shd w:val="clear" w:color="auto" w:fill="auto"/>
            <w:vAlign w:val="center"/>
          </w:tcPr>
          <w:p w14:paraId="1952CB02" w14:textId="77777777" w:rsidR="00C927A2" w:rsidRPr="006647C2" w:rsidRDefault="00596336" w:rsidP="00C927A2">
            <w:pPr>
              <w:spacing w:after="0" w:line="240" w:lineRule="auto"/>
              <w:jc w:val="right"/>
              <w:rPr>
                <w:rFonts w:ascii="Arial" w:eastAsia="Times New Roman" w:hAnsi="Arial" w:cs="Arial"/>
                <w:b/>
                <w:sz w:val="20"/>
                <w:szCs w:val="20"/>
                <w:lang w:eastAsia="en-GB"/>
              </w:rPr>
            </w:pPr>
            <w:r w:rsidRPr="006647C2">
              <w:rPr>
                <w:rFonts w:ascii="Arial" w:eastAsia="Times New Roman" w:hAnsi="Arial" w:cs="Arial"/>
                <w:b/>
                <w:sz w:val="20"/>
                <w:szCs w:val="20"/>
                <w:lang w:eastAsia="en-GB"/>
              </w:rPr>
              <w:t>(11,203)</w:t>
            </w:r>
          </w:p>
        </w:tc>
      </w:tr>
      <w:tr w:rsidR="00596336" w:rsidRPr="00543D10" w14:paraId="0802FE14" w14:textId="77777777" w:rsidTr="009C7539">
        <w:trPr>
          <w:trHeight w:val="309"/>
        </w:trPr>
        <w:tc>
          <w:tcPr>
            <w:tcW w:w="2458" w:type="dxa"/>
            <w:gridSpan w:val="3"/>
            <w:tcBorders>
              <w:top w:val="nil"/>
              <w:left w:val="nil"/>
              <w:right w:val="nil"/>
            </w:tcBorders>
            <w:shd w:val="clear" w:color="auto" w:fill="auto"/>
            <w:noWrap/>
            <w:vAlign w:val="center"/>
          </w:tcPr>
          <w:p w14:paraId="547456A3" w14:textId="77777777" w:rsidR="00596336" w:rsidRPr="00543D10" w:rsidRDefault="00596336" w:rsidP="00596336">
            <w:pPr>
              <w:spacing w:after="0" w:line="240" w:lineRule="auto"/>
              <w:rPr>
                <w:rFonts w:ascii="Arial" w:eastAsia="Times New Roman" w:hAnsi="Arial" w:cs="Arial"/>
                <w:sz w:val="20"/>
                <w:szCs w:val="20"/>
                <w:lang w:eastAsia="en-GB"/>
              </w:rPr>
            </w:pPr>
            <w:r w:rsidRPr="00543D10">
              <w:rPr>
                <w:rFonts w:ascii="Arial" w:eastAsia="Times New Roman" w:hAnsi="Arial" w:cs="Arial"/>
                <w:sz w:val="20"/>
                <w:szCs w:val="20"/>
                <w:lang w:eastAsia="en-GB"/>
              </w:rPr>
              <w:t xml:space="preserve">- </w:t>
            </w:r>
            <w:r>
              <w:rPr>
                <w:rFonts w:ascii="Arial" w:eastAsia="Times New Roman" w:hAnsi="Arial" w:cs="Arial"/>
                <w:sz w:val="20"/>
                <w:szCs w:val="20"/>
                <w:lang w:eastAsia="en-GB"/>
              </w:rPr>
              <w:t>Other assumptions</w:t>
            </w:r>
          </w:p>
        </w:tc>
        <w:tc>
          <w:tcPr>
            <w:tcW w:w="1076" w:type="dxa"/>
            <w:tcBorders>
              <w:top w:val="nil"/>
              <w:left w:val="nil"/>
              <w:right w:val="nil"/>
            </w:tcBorders>
            <w:shd w:val="clear" w:color="auto" w:fill="auto"/>
            <w:noWrap/>
            <w:vAlign w:val="bottom"/>
          </w:tcPr>
          <w:p w14:paraId="0E2C9B29" w14:textId="77777777" w:rsidR="00596336" w:rsidRPr="00543D10" w:rsidRDefault="00596336" w:rsidP="00596336">
            <w:pPr>
              <w:spacing w:after="0" w:line="240" w:lineRule="auto"/>
              <w:rPr>
                <w:rFonts w:ascii="Arial" w:eastAsia="Times New Roman" w:hAnsi="Arial" w:cs="Arial"/>
                <w:sz w:val="20"/>
                <w:szCs w:val="20"/>
                <w:lang w:eastAsia="en-GB"/>
              </w:rPr>
            </w:pPr>
          </w:p>
        </w:tc>
        <w:tc>
          <w:tcPr>
            <w:tcW w:w="1028" w:type="dxa"/>
            <w:tcBorders>
              <w:top w:val="nil"/>
              <w:left w:val="nil"/>
              <w:right w:val="nil"/>
            </w:tcBorders>
            <w:shd w:val="clear" w:color="auto" w:fill="auto"/>
            <w:noWrap/>
            <w:vAlign w:val="bottom"/>
          </w:tcPr>
          <w:p w14:paraId="6049359B" w14:textId="77777777" w:rsidR="00596336" w:rsidRPr="00543D10" w:rsidRDefault="00596336" w:rsidP="00596336">
            <w:pPr>
              <w:spacing w:after="0" w:line="240" w:lineRule="auto"/>
              <w:rPr>
                <w:rFonts w:ascii="Times New Roman" w:eastAsia="Times New Roman" w:hAnsi="Times New Roman" w:cs="Times New Roman"/>
                <w:sz w:val="20"/>
                <w:szCs w:val="20"/>
                <w:lang w:eastAsia="en-GB"/>
              </w:rPr>
            </w:pPr>
          </w:p>
        </w:tc>
        <w:tc>
          <w:tcPr>
            <w:tcW w:w="998" w:type="dxa"/>
            <w:tcBorders>
              <w:top w:val="nil"/>
              <w:left w:val="nil"/>
              <w:right w:val="nil"/>
            </w:tcBorders>
            <w:shd w:val="clear" w:color="auto" w:fill="auto"/>
            <w:noWrap/>
            <w:vAlign w:val="bottom"/>
          </w:tcPr>
          <w:p w14:paraId="739A609C" w14:textId="77777777" w:rsidR="00596336" w:rsidRPr="00543D10" w:rsidRDefault="00596336" w:rsidP="00596336">
            <w:pPr>
              <w:spacing w:after="0" w:line="240" w:lineRule="auto"/>
              <w:rPr>
                <w:rFonts w:ascii="Times New Roman" w:eastAsia="Times New Roman" w:hAnsi="Times New Roman" w:cs="Times New Roman"/>
                <w:sz w:val="20"/>
                <w:szCs w:val="20"/>
                <w:lang w:eastAsia="en-GB"/>
              </w:rPr>
            </w:pPr>
          </w:p>
        </w:tc>
        <w:tc>
          <w:tcPr>
            <w:tcW w:w="259" w:type="dxa"/>
            <w:tcBorders>
              <w:top w:val="nil"/>
              <w:left w:val="nil"/>
              <w:right w:val="nil"/>
            </w:tcBorders>
            <w:shd w:val="clear" w:color="auto" w:fill="auto"/>
            <w:noWrap/>
            <w:vAlign w:val="bottom"/>
          </w:tcPr>
          <w:p w14:paraId="047930B2" w14:textId="77777777" w:rsidR="00596336" w:rsidRPr="00543D10" w:rsidRDefault="00596336" w:rsidP="00596336">
            <w:pPr>
              <w:spacing w:after="0" w:line="240" w:lineRule="auto"/>
              <w:rPr>
                <w:rFonts w:ascii="Times New Roman" w:eastAsia="Times New Roman" w:hAnsi="Times New Roman" w:cs="Times New Roman"/>
                <w:sz w:val="20"/>
                <w:szCs w:val="20"/>
                <w:lang w:eastAsia="en-GB"/>
              </w:rPr>
            </w:pPr>
          </w:p>
        </w:tc>
        <w:tc>
          <w:tcPr>
            <w:tcW w:w="1076" w:type="dxa"/>
            <w:tcBorders>
              <w:top w:val="nil"/>
              <w:left w:val="nil"/>
              <w:right w:val="nil"/>
            </w:tcBorders>
            <w:shd w:val="clear" w:color="auto" w:fill="auto"/>
            <w:vAlign w:val="center"/>
          </w:tcPr>
          <w:p w14:paraId="384DBF0F" w14:textId="77777777" w:rsidR="00596336" w:rsidRDefault="00596336" w:rsidP="00596336">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w:t>
            </w:r>
          </w:p>
        </w:tc>
        <w:tc>
          <w:tcPr>
            <w:tcW w:w="1256" w:type="dxa"/>
            <w:tcBorders>
              <w:top w:val="nil"/>
              <w:left w:val="nil"/>
              <w:right w:val="nil"/>
            </w:tcBorders>
            <w:shd w:val="clear" w:color="auto" w:fill="auto"/>
            <w:vAlign w:val="center"/>
          </w:tcPr>
          <w:p w14:paraId="19A7643D" w14:textId="77777777" w:rsidR="00596336" w:rsidRDefault="00596336" w:rsidP="00596336">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(1,407)</w:t>
            </w:r>
          </w:p>
        </w:tc>
        <w:tc>
          <w:tcPr>
            <w:tcW w:w="1079" w:type="dxa"/>
            <w:tcBorders>
              <w:top w:val="nil"/>
              <w:left w:val="nil"/>
              <w:right w:val="nil"/>
            </w:tcBorders>
            <w:shd w:val="clear" w:color="auto" w:fill="auto"/>
            <w:vAlign w:val="center"/>
          </w:tcPr>
          <w:p w14:paraId="45BD3E11" w14:textId="77777777" w:rsidR="00596336" w:rsidRPr="006647C2" w:rsidRDefault="00596336" w:rsidP="00596336">
            <w:pPr>
              <w:spacing w:after="0" w:line="240" w:lineRule="auto"/>
              <w:jc w:val="right"/>
              <w:rPr>
                <w:rFonts w:ascii="Arial" w:eastAsia="Times New Roman" w:hAnsi="Arial" w:cs="Arial"/>
                <w:b/>
                <w:sz w:val="20"/>
                <w:szCs w:val="20"/>
                <w:lang w:eastAsia="en-GB"/>
              </w:rPr>
            </w:pPr>
            <w:r w:rsidRPr="006647C2">
              <w:rPr>
                <w:rFonts w:ascii="Arial" w:eastAsia="Times New Roman" w:hAnsi="Arial" w:cs="Arial"/>
                <w:b/>
                <w:sz w:val="20"/>
                <w:szCs w:val="20"/>
                <w:lang w:eastAsia="en-GB"/>
              </w:rPr>
              <w:t>(1,407)</w:t>
            </w:r>
          </w:p>
        </w:tc>
      </w:tr>
      <w:tr w:rsidR="00596336" w:rsidRPr="00543D10" w14:paraId="0714DA58" w14:textId="77777777" w:rsidTr="009C7539">
        <w:trPr>
          <w:trHeight w:val="309"/>
        </w:trPr>
        <w:tc>
          <w:tcPr>
            <w:tcW w:w="5561" w:type="dxa"/>
            <w:gridSpan w:val="6"/>
            <w:tcBorders>
              <w:top w:val="nil"/>
              <w:left w:val="nil"/>
              <w:bottom w:val="single" w:sz="4" w:space="0" w:color="auto"/>
              <w:right w:val="nil"/>
            </w:tcBorders>
            <w:shd w:val="clear" w:color="auto" w:fill="auto"/>
            <w:noWrap/>
            <w:vAlign w:val="center"/>
            <w:hideMark/>
          </w:tcPr>
          <w:p w14:paraId="75D9E7F4" w14:textId="77777777" w:rsidR="00596336" w:rsidRPr="00543D10" w:rsidRDefault="00596336" w:rsidP="00596336">
            <w:pPr>
              <w:spacing w:after="0" w:line="240" w:lineRule="auto"/>
              <w:rPr>
                <w:rFonts w:ascii="Arial" w:eastAsia="Times New Roman" w:hAnsi="Arial" w:cs="Arial"/>
                <w:sz w:val="20"/>
                <w:szCs w:val="20"/>
                <w:lang w:eastAsia="en-GB"/>
              </w:rPr>
            </w:pPr>
            <w:r w:rsidRPr="00543D10">
              <w:rPr>
                <w:rFonts w:ascii="Arial" w:eastAsia="Times New Roman" w:hAnsi="Arial" w:cs="Arial"/>
                <w:sz w:val="20"/>
                <w:szCs w:val="20"/>
                <w:lang w:eastAsia="en-GB"/>
              </w:rPr>
              <w:t>- Return on plan assets excluding interest income</w:t>
            </w:r>
          </w:p>
        </w:tc>
        <w:tc>
          <w:tcPr>
            <w:tcW w:w="259" w:type="dxa"/>
            <w:tcBorders>
              <w:top w:val="nil"/>
              <w:left w:val="nil"/>
              <w:bottom w:val="single" w:sz="4" w:space="0" w:color="auto"/>
              <w:right w:val="nil"/>
            </w:tcBorders>
            <w:shd w:val="clear" w:color="auto" w:fill="auto"/>
            <w:noWrap/>
            <w:vAlign w:val="bottom"/>
            <w:hideMark/>
          </w:tcPr>
          <w:p w14:paraId="43A47FAA" w14:textId="77777777" w:rsidR="00596336" w:rsidRPr="00543D10" w:rsidRDefault="00596336" w:rsidP="00596336">
            <w:pPr>
              <w:spacing w:after="0" w:line="240" w:lineRule="auto"/>
              <w:rPr>
                <w:rFonts w:ascii="Arial" w:eastAsia="Times New Roman" w:hAnsi="Arial" w:cs="Arial"/>
                <w:sz w:val="20"/>
                <w:szCs w:val="20"/>
                <w:lang w:eastAsia="en-GB"/>
              </w:rPr>
            </w:pPr>
          </w:p>
        </w:tc>
        <w:tc>
          <w:tcPr>
            <w:tcW w:w="1076" w:type="dxa"/>
            <w:tcBorders>
              <w:top w:val="nil"/>
              <w:left w:val="nil"/>
              <w:bottom w:val="single" w:sz="4" w:space="0" w:color="auto"/>
              <w:right w:val="nil"/>
            </w:tcBorders>
            <w:shd w:val="clear" w:color="auto" w:fill="auto"/>
            <w:noWrap/>
            <w:vAlign w:val="bottom"/>
          </w:tcPr>
          <w:p w14:paraId="18C278B3" w14:textId="77777777" w:rsidR="00596336" w:rsidRPr="00543D10" w:rsidRDefault="00596336" w:rsidP="0069798A">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5,354</w:t>
            </w:r>
          </w:p>
        </w:tc>
        <w:tc>
          <w:tcPr>
            <w:tcW w:w="1256" w:type="dxa"/>
            <w:tcBorders>
              <w:top w:val="nil"/>
              <w:left w:val="nil"/>
              <w:bottom w:val="single" w:sz="4" w:space="0" w:color="auto"/>
              <w:right w:val="nil"/>
            </w:tcBorders>
            <w:shd w:val="clear" w:color="auto" w:fill="auto"/>
            <w:noWrap/>
            <w:vAlign w:val="bottom"/>
          </w:tcPr>
          <w:p w14:paraId="779D19A1" w14:textId="77777777" w:rsidR="00596336" w:rsidRPr="00543D10" w:rsidRDefault="00596336" w:rsidP="0078452D">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1,153</w:t>
            </w:r>
          </w:p>
        </w:tc>
        <w:tc>
          <w:tcPr>
            <w:tcW w:w="1079" w:type="dxa"/>
            <w:tcBorders>
              <w:top w:val="nil"/>
              <w:left w:val="nil"/>
              <w:bottom w:val="single" w:sz="4" w:space="0" w:color="auto"/>
              <w:right w:val="nil"/>
            </w:tcBorders>
            <w:shd w:val="clear" w:color="auto" w:fill="auto"/>
            <w:noWrap/>
            <w:vAlign w:val="bottom"/>
          </w:tcPr>
          <w:p w14:paraId="60ED34F1" w14:textId="77777777" w:rsidR="00596336" w:rsidRPr="006647C2" w:rsidRDefault="00596336" w:rsidP="00596336">
            <w:pPr>
              <w:spacing w:after="0" w:line="240" w:lineRule="auto"/>
              <w:jc w:val="right"/>
              <w:rPr>
                <w:rFonts w:ascii="Arial" w:eastAsia="Times New Roman" w:hAnsi="Arial" w:cs="Arial"/>
                <w:b/>
                <w:sz w:val="20"/>
                <w:szCs w:val="20"/>
                <w:lang w:eastAsia="en-GB"/>
              </w:rPr>
            </w:pPr>
            <w:r w:rsidRPr="006647C2">
              <w:rPr>
                <w:rFonts w:ascii="Arial" w:eastAsia="Times New Roman" w:hAnsi="Arial" w:cs="Arial"/>
                <w:b/>
                <w:sz w:val="20"/>
                <w:szCs w:val="20"/>
                <w:lang w:eastAsia="en-GB"/>
              </w:rPr>
              <w:t>6,507</w:t>
            </w:r>
          </w:p>
        </w:tc>
      </w:tr>
      <w:tr w:rsidR="00596336" w:rsidRPr="00543D10" w14:paraId="797E93AF" w14:textId="77777777" w:rsidTr="009C7539">
        <w:trPr>
          <w:trHeight w:val="309"/>
        </w:trPr>
        <w:tc>
          <w:tcPr>
            <w:tcW w:w="4562" w:type="dxa"/>
            <w:gridSpan w:val="5"/>
            <w:tcBorders>
              <w:top w:val="single" w:sz="4" w:space="0" w:color="auto"/>
              <w:left w:val="nil"/>
              <w:bottom w:val="single" w:sz="4" w:space="0" w:color="auto"/>
              <w:right w:val="nil"/>
            </w:tcBorders>
            <w:shd w:val="clear" w:color="auto" w:fill="auto"/>
            <w:noWrap/>
            <w:vAlign w:val="bottom"/>
            <w:hideMark/>
          </w:tcPr>
          <w:p w14:paraId="46091ECF" w14:textId="77777777" w:rsidR="00596336" w:rsidRPr="00543D10" w:rsidRDefault="00506354" w:rsidP="00596336">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Deficit</w:t>
            </w:r>
            <w:r w:rsidR="00596336" w:rsidRPr="00543D10">
              <w:rPr>
                <w:rFonts w:ascii="Arial" w:eastAsia="Times New Roman" w:hAnsi="Arial" w:cs="Arial"/>
                <w:sz w:val="20"/>
                <w:szCs w:val="20"/>
                <w:lang w:eastAsia="en-GB"/>
              </w:rPr>
              <w:t xml:space="preserve"> in the scheme as at 31 August </w:t>
            </w:r>
            <w:r w:rsidR="00596336">
              <w:rPr>
                <w:rFonts w:ascii="Arial" w:eastAsia="Times New Roman" w:hAnsi="Arial" w:cs="Arial"/>
                <w:sz w:val="20"/>
                <w:szCs w:val="20"/>
                <w:lang w:eastAsia="en-GB"/>
              </w:rPr>
              <w:t>2020</w:t>
            </w:r>
          </w:p>
        </w:tc>
        <w:tc>
          <w:tcPr>
            <w:tcW w:w="998" w:type="dxa"/>
            <w:tcBorders>
              <w:top w:val="single" w:sz="4" w:space="0" w:color="auto"/>
              <w:left w:val="nil"/>
              <w:bottom w:val="single" w:sz="4" w:space="0" w:color="auto"/>
              <w:right w:val="nil"/>
            </w:tcBorders>
            <w:shd w:val="clear" w:color="auto" w:fill="auto"/>
            <w:noWrap/>
            <w:vAlign w:val="bottom"/>
            <w:hideMark/>
          </w:tcPr>
          <w:p w14:paraId="66EFD7EB" w14:textId="77777777" w:rsidR="00596336" w:rsidRPr="00543D10" w:rsidRDefault="00596336" w:rsidP="00596336">
            <w:pPr>
              <w:spacing w:after="0" w:line="240" w:lineRule="auto"/>
              <w:rPr>
                <w:rFonts w:ascii="Arial" w:eastAsia="Times New Roman" w:hAnsi="Arial" w:cs="Arial"/>
                <w:sz w:val="20"/>
                <w:szCs w:val="20"/>
                <w:lang w:eastAsia="en-GB"/>
              </w:rPr>
            </w:pPr>
          </w:p>
        </w:tc>
        <w:tc>
          <w:tcPr>
            <w:tcW w:w="259" w:type="dxa"/>
            <w:tcBorders>
              <w:top w:val="single" w:sz="4" w:space="0" w:color="auto"/>
              <w:left w:val="nil"/>
              <w:bottom w:val="single" w:sz="4" w:space="0" w:color="auto"/>
              <w:right w:val="nil"/>
            </w:tcBorders>
            <w:shd w:val="clear" w:color="auto" w:fill="auto"/>
            <w:noWrap/>
            <w:vAlign w:val="bottom"/>
            <w:hideMark/>
          </w:tcPr>
          <w:p w14:paraId="1A3B41B8" w14:textId="77777777" w:rsidR="00596336" w:rsidRPr="00543D10" w:rsidRDefault="00596336" w:rsidP="00596336">
            <w:pPr>
              <w:spacing w:after="0" w:line="240" w:lineRule="auto"/>
              <w:rPr>
                <w:rFonts w:ascii="Times New Roman" w:eastAsia="Times New Roman" w:hAnsi="Times New Roman" w:cs="Times New Roman"/>
                <w:sz w:val="20"/>
                <w:szCs w:val="20"/>
                <w:lang w:eastAsia="en-GB"/>
              </w:rPr>
            </w:pPr>
          </w:p>
        </w:tc>
        <w:tc>
          <w:tcPr>
            <w:tcW w:w="1076" w:type="dxa"/>
            <w:tcBorders>
              <w:top w:val="single" w:sz="4" w:space="0" w:color="auto"/>
              <w:left w:val="nil"/>
              <w:bottom w:val="single" w:sz="4" w:space="0" w:color="auto"/>
              <w:right w:val="nil"/>
            </w:tcBorders>
            <w:shd w:val="clear" w:color="auto" w:fill="auto"/>
            <w:noWrap/>
            <w:vAlign w:val="bottom"/>
          </w:tcPr>
          <w:p w14:paraId="6E54E02C" w14:textId="77777777" w:rsidR="00596336" w:rsidRPr="00543D10" w:rsidRDefault="00596336" w:rsidP="00596336">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178,531</w:t>
            </w:r>
          </w:p>
        </w:tc>
        <w:tc>
          <w:tcPr>
            <w:tcW w:w="1256" w:type="dxa"/>
            <w:tcBorders>
              <w:top w:val="single" w:sz="4" w:space="0" w:color="auto"/>
              <w:left w:val="nil"/>
              <w:bottom w:val="single" w:sz="4" w:space="0" w:color="auto"/>
              <w:right w:val="nil"/>
            </w:tcBorders>
            <w:shd w:val="clear" w:color="auto" w:fill="auto"/>
            <w:noWrap/>
            <w:vAlign w:val="bottom"/>
          </w:tcPr>
          <w:p w14:paraId="4928D7E4" w14:textId="77777777" w:rsidR="00596336" w:rsidRPr="00543D10" w:rsidRDefault="00596336" w:rsidP="00596336">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(291,612)</w:t>
            </w:r>
          </w:p>
        </w:tc>
        <w:tc>
          <w:tcPr>
            <w:tcW w:w="1079" w:type="dxa"/>
            <w:tcBorders>
              <w:top w:val="single" w:sz="4" w:space="0" w:color="auto"/>
              <w:left w:val="nil"/>
              <w:bottom w:val="single" w:sz="4" w:space="0" w:color="auto"/>
              <w:right w:val="nil"/>
            </w:tcBorders>
            <w:shd w:val="clear" w:color="auto" w:fill="auto"/>
            <w:noWrap/>
            <w:vAlign w:val="bottom"/>
          </w:tcPr>
          <w:p w14:paraId="3EEF32D9" w14:textId="77777777" w:rsidR="00596336" w:rsidRPr="006647C2" w:rsidRDefault="00596336" w:rsidP="00596336">
            <w:pPr>
              <w:spacing w:after="0" w:line="240" w:lineRule="auto"/>
              <w:jc w:val="right"/>
              <w:rPr>
                <w:rFonts w:ascii="Arial" w:eastAsia="Times New Roman" w:hAnsi="Arial" w:cs="Arial"/>
                <w:b/>
                <w:sz w:val="20"/>
                <w:szCs w:val="20"/>
                <w:lang w:eastAsia="en-GB"/>
              </w:rPr>
            </w:pPr>
            <w:r w:rsidRPr="006647C2">
              <w:rPr>
                <w:rFonts w:ascii="Arial" w:eastAsia="Times New Roman" w:hAnsi="Arial" w:cs="Arial"/>
                <w:b/>
                <w:sz w:val="20"/>
                <w:szCs w:val="20"/>
                <w:lang w:eastAsia="en-GB"/>
              </w:rPr>
              <w:t>(113,081)</w:t>
            </w:r>
          </w:p>
        </w:tc>
      </w:tr>
    </w:tbl>
    <w:p w14:paraId="07F48D26" w14:textId="77777777" w:rsidR="00C927A2" w:rsidRDefault="00C927A2" w:rsidP="00E70CD3">
      <w:pPr>
        <w:autoSpaceDE w:val="0"/>
        <w:autoSpaceDN w:val="0"/>
        <w:adjustRightInd w:val="0"/>
        <w:spacing w:after="0" w:line="240" w:lineRule="auto"/>
        <w:rPr>
          <w:rFonts w:ascii="Arial" w:hAnsi="Arial" w:cs="Arial"/>
          <w:sz w:val="20"/>
          <w:szCs w:val="20"/>
        </w:rPr>
      </w:pPr>
    </w:p>
    <w:p w14:paraId="4BD7A5EC" w14:textId="77777777" w:rsidR="00B97A7E" w:rsidRDefault="00B97A7E" w:rsidP="00E70CD3">
      <w:pPr>
        <w:autoSpaceDE w:val="0"/>
        <w:autoSpaceDN w:val="0"/>
        <w:adjustRightInd w:val="0"/>
        <w:spacing w:after="0" w:line="240" w:lineRule="auto"/>
        <w:rPr>
          <w:rFonts w:ascii="Arial" w:hAnsi="Arial" w:cs="Arial"/>
          <w:sz w:val="20"/>
          <w:szCs w:val="20"/>
        </w:rPr>
      </w:pPr>
    </w:p>
    <w:p w14:paraId="2B0534A3" w14:textId="77777777" w:rsidR="00B97A7E" w:rsidRDefault="00B97A7E" w:rsidP="00E70CD3">
      <w:pPr>
        <w:autoSpaceDE w:val="0"/>
        <w:autoSpaceDN w:val="0"/>
        <w:adjustRightInd w:val="0"/>
        <w:spacing w:after="0" w:line="240" w:lineRule="auto"/>
        <w:rPr>
          <w:rFonts w:ascii="Arial" w:hAnsi="Arial" w:cs="Arial"/>
          <w:sz w:val="20"/>
          <w:szCs w:val="20"/>
        </w:rPr>
      </w:pPr>
    </w:p>
    <w:p w14:paraId="01C12C42" w14:textId="77777777" w:rsidR="00B97A7E" w:rsidRDefault="00B97A7E" w:rsidP="00E70CD3">
      <w:pPr>
        <w:autoSpaceDE w:val="0"/>
        <w:autoSpaceDN w:val="0"/>
        <w:adjustRightInd w:val="0"/>
        <w:spacing w:after="0" w:line="240" w:lineRule="auto"/>
        <w:rPr>
          <w:rFonts w:ascii="Arial" w:hAnsi="Arial" w:cs="Arial"/>
          <w:sz w:val="20"/>
          <w:szCs w:val="20"/>
        </w:rPr>
      </w:pPr>
    </w:p>
    <w:p w14:paraId="6ACB87B0" w14:textId="77777777" w:rsidR="000352F1" w:rsidRDefault="000352F1" w:rsidP="000352F1">
      <w:pPr>
        <w:autoSpaceDE w:val="0"/>
        <w:autoSpaceDN w:val="0"/>
        <w:adjustRightInd w:val="0"/>
        <w:spacing w:after="0" w:line="240" w:lineRule="auto"/>
        <w:rPr>
          <w:rFonts w:ascii="Arial" w:hAnsi="Arial" w:cs="Arial"/>
          <w:b/>
          <w:sz w:val="24"/>
          <w:szCs w:val="24"/>
        </w:rPr>
      </w:pPr>
      <w:r>
        <w:rPr>
          <w:rFonts w:ascii="Arial" w:hAnsi="Arial" w:cs="Arial"/>
          <w:b/>
          <w:sz w:val="24"/>
          <w:szCs w:val="24"/>
        </w:rPr>
        <w:t>Company</w:t>
      </w:r>
    </w:p>
    <w:tbl>
      <w:tblPr>
        <w:tblW w:w="9138" w:type="dxa"/>
        <w:tblLook w:val="04A0" w:firstRow="1" w:lastRow="0" w:firstColumn="1" w:lastColumn="0" w:noHBand="0" w:noVBand="1"/>
      </w:tblPr>
      <w:tblGrid>
        <w:gridCol w:w="5426"/>
        <w:gridCol w:w="1427"/>
        <w:gridCol w:w="1285"/>
        <w:gridCol w:w="1000"/>
      </w:tblGrid>
      <w:tr w:rsidR="000352F1" w:rsidRPr="00BB0FBF" w14:paraId="76C1CD68" w14:textId="77777777" w:rsidTr="009C7539">
        <w:trPr>
          <w:trHeight w:val="1163"/>
        </w:trPr>
        <w:tc>
          <w:tcPr>
            <w:tcW w:w="5426" w:type="dxa"/>
            <w:tcBorders>
              <w:top w:val="nil"/>
              <w:left w:val="nil"/>
              <w:bottom w:val="nil"/>
              <w:right w:val="nil"/>
            </w:tcBorders>
            <w:shd w:val="clear" w:color="auto" w:fill="auto"/>
            <w:noWrap/>
            <w:vAlign w:val="center"/>
            <w:hideMark/>
          </w:tcPr>
          <w:p w14:paraId="1D214F1F" w14:textId="77777777" w:rsidR="000352F1" w:rsidRPr="00A16045" w:rsidRDefault="000352F1" w:rsidP="00201E05">
            <w:pPr>
              <w:spacing w:after="0" w:line="240" w:lineRule="auto"/>
              <w:rPr>
                <w:rFonts w:ascii="Arial" w:eastAsia="Times New Roman" w:hAnsi="Arial" w:cs="Arial"/>
                <w:sz w:val="20"/>
                <w:szCs w:val="20"/>
                <w:lang w:eastAsia="en-GB"/>
              </w:rPr>
            </w:pPr>
            <w:r w:rsidRPr="00A16045">
              <w:rPr>
                <w:rFonts w:ascii="Arial" w:eastAsia="Times New Roman" w:hAnsi="Arial" w:cs="Arial"/>
                <w:sz w:val="20"/>
                <w:szCs w:val="20"/>
                <w:lang w:eastAsia="en-GB"/>
              </w:rPr>
              <w:t xml:space="preserve">Year ended 31 August </w:t>
            </w:r>
            <w:r w:rsidR="0037645F">
              <w:rPr>
                <w:rFonts w:ascii="Arial" w:eastAsia="Times New Roman" w:hAnsi="Arial" w:cs="Arial"/>
                <w:sz w:val="20"/>
                <w:szCs w:val="20"/>
                <w:lang w:eastAsia="en-GB"/>
              </w:rPr>
              <w:t>2020</w:t>
            </w:r>
          </w:p>
        </w:tc>
        <w:tc>
          <w:tcPr>
            <w:tcW w:w="1427" w:type="dxa"/>
            <w:tcBorders>
              <w:top w:val="nil"/>
              <w:left w:val="nil"/>
              <w:bottom w:val="nil"/>
              <w:right w:val="nil"/>
            </w:tcBorders>
            <w:shd w:val="clear" w:color="auto" w:fill="auto"/>
            <w:vAlign w:val="center"/>
            <w:hideMark/>
          </w:tcPr>
          <w:p w14:paraId="21E51D1F" w14:textId="77777777" w:rsidR="000352F1" w:rsidRPr="00BB0FBF" w:rsidRDefault="00BC08E7" w:rsidP="00201E05">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Total</w:t>
            </w:r>
            <w:r w:rsidR="000352F1" w:rsidRPr="00BB0FBF">
              <w:rPr>
                <w:rFonts w:ascii="Arial" w:eastAsia="Times New Roman" w:hAnsi="Arial" w:cs="Arial"/>
                <w:sz w:val="20"/>
                <w:szCs w:val="20"/>
                <w:lang w:eastAsia="en-GB"/>
              </w:rPr>
              <w:t xml:space="preserve"> Share of scheme assets</w:t>
            </w:r>
          </w:p>
        </w:tc>
        <w:tc>
          <w:tcPr>
            <w:tcW w:w="1285" w:type="dxa"/>
            <w:tcBorders>
              <w:top w:val="nil"/>
              <w:left w:val="nil"/>
              <w:bottom w:val="nil"/>
              <w:right w:val="nil"/>
            </w:tcBorders>
            <w:shd w:val="clear" w:color="auto" w:fill="auto"/>
            <w:vAlign w:val="center"/>
            <w:hideMark/>
          </w:tcPr>
          <w:p w14:paraId="6D9B0553" w14:textId="77777777" w:rsidR="000352F1" w:rsidRPr="00BB0FBF" w:rsidRDefault="000352F1" w:rsidP="00201E05">
            <w:pPr>
              <w:spacing w:after="0" w:line="240" w:lineRule="auto"/>
              <w:jc w:val="right"/>
              <w:rPr>
                <w:rFonts w:ascii="Arial" w:eastAsia="Times New Roman" w:hAnsi="Arial" w:cs="Arial"/>
                <w:sz w:val="20"/>
                <w:szCs w:val="20"/>
                <w:lang w:eastAsia="en-GB"/>
              </w:rPr>
            </w:pPr>
            <w:r w:rsidRPr="00BB0FBF">
              <w:rPr>
                <w:rFonts w:ascii="Arial" w:eastAsia="Times New Roman" w:hAnsi="Arial" w:cs="Arial"/>
                <w:sz w:val="20"/>
                <w:szCs w:val="20"/>
                <w:lang w:eastAsia="en-GB"/>
              </w:rPr>
              <w:t>Present value of scheme liabilities</w:t>
            </w:r>
          </w:p>
        </w:tc>
        <w:tc>
          <w:tcPr>
            <w:tcW w:w="1000" w:type="dxa"/>
            <w:tcBorders>
              <w:top w:val="nil"/>
              <w:left w:val="nil"/>
              <w:bottom w:val="nil"/>
              <w:right w:val="nil"/>
            </w:tcBorders>
            <w:shd w:val="clear" w:color="auto" w:fill="auto"/>
            <w:vAlign w:val="center"/>
            <w:hideMark/>
          </w:tcPr>
          <w:p w14:paraId="6F2843E6" w14:textId="77777777" w:rsidR="000352F1" w:rsidRPr="00BB0FBF" w:rsidRDefault="000352F1" w:rsidP="00FA6D09">
            <w:pPr>
              <w:spacing w:after="0" w:line="240" w:lineRule="auto"/>
              <w:jc w:val="right"/>
              <w:rPr>
                <w:rFonts w:ascii="Arial" w:eastAsia="Times New Roman" w:hAnsi="Arial" w:cs="Arial"/>
                <w:sz w:val="20"/>
                <w:szCs w:val="20"/>
                <w:lang w:eastAsia="en-GB"/>
              </w:rPr>
            </w:pPr>
            <w:r w:rsidRPr="00BB0FBF">
              <w:rPr>
                <w:rFonts w:ascii="Arial" w:eastAsia="Times New Roman" w:hAnsi="Arial" w:cs="Arial"/>
                <w:sz w:val="20"/>
                <w:szCs w:val="20"/>
                <w:lang w:eastAsia="en-GB"/>
              </w:rPr>
              <w:t>Net pension (deficit)</w:t>
            </w:r>
            <w:r w:rsidR="00FA6D09">
              <w:rPr>
                <w:rFonts w:ascii="Arial" w:eastAsia="Times New Roman" w:hAnsi="Arial" w:cs="Arial"/>
                <w:sz w:val="20"/>
                <w:szCs w:val="20"/>
                <w:lang w:eastAsia="en-GB"/>
              </w:rPr>
              <w:t xml:space="preserve"> / surplus</w:t>
            </w:r>
          </w:p>
        </w:tc>
      </w:tr>
      <w:tr w:rsidR="000352F1" w:rsidRPr="00BB0FBF" w14:paraId="5F3749DC" w14:textId="77777777" w:rsidTr="009C7539">
        <w:trPr>
          <w:trHeight w:val="325"/>
        </w:trPr>
        <w:tc>
          <w:tcPr>
            <w:tcW w:w="5426" w:type="dxa"/>
            <w:tcBorders>
              <w:top w:val="nil"/>
              <w:left w:val="nil"/>
              <w:bottom w:val="nil"/>
              <w:right w:val="nil"/>
            </w:tcBorders>
            <w:shd w:val="clear" w:color="auto" w:fill="auto"/>
            <w:noWrap/>
            <w:vAlign w:val="center"/>
            <w:hideMark/>
          </w:tcPr>
          <w:p w14:paraId="03F1FC8E" w14:textId="77777777" w:rsidR="000352F1" w:rsidRPr="00BB0FBF" w:rsidRDefault="000352F1" w:rsidP="00201E05">
            <w:pPr>
              <w:spacing w:after="0" w:line="240" w:lineRule="auto"/>
              <w:rPr>
                <w:rFonts w:ascii="Arial" w:eastAsia="Times New Roman" w:hAnsi="Arial" w:cs="Arial"/>
                <w:sz w:val="20"/>
                <w:szCs w:val="20"/>
                <w:lang w:eastAsia="en-GB"/>
              </w:rPr>
            </w:pPr>
          </w:p>
        </w:tc>
        <w:tc>
          <w:tcPr>
            <w:tcW w:w="1427" w:type="dxa"/>
            <w:tcBorders>
              <w:top w:val="nil"/>
              <w:left w:val="nil"/>
              <w:bottom w:val="nil"/>
              <w:right w:val="nil"/>
            </w:tcBorders>
            <w:shd w:val="clear" w:color="auto" w:fill="auto"/>
            <w:noWrap/>
            <w:vAlign w:val="center"/>
            <w:hideMark/>
          </w:tcPr>
          <w:p w14:paraId="75728B1B" w14:textId="77777777" w:rsidR="000352F1" w:rsidRPr="00BB0FBF" w:rsidRDefault="000352F1" w:rsidP="00201E05">
            <w:pPr>
              <w:spacing w:after="0" w:line="240" w:lineRule="auto"/>
              <w:jc w:val="right"/>
              <w:rPr>
                <w:rFonts w:ascii="Times New Roman" w:eastAsia="Times New Roman" w:hAnsi="Times New Roman" w:cs="Times New Roman"/>
                <w:sz w:val="20"/>
                <w:szCs w:val="20"/>
                <w:lang w:eastAsia="en-GB"/>
              </w:rPr>
            </w:pPr>
            <w:r>
              <w:rPr>
                <w:rFonts w:ascii="Arial" w:hAnsi="Arial" w:cs="Arial"/>
                <w:sz w:val="20"/>
                <w:szCs w:val="20"/>
              </w:rPr>
              <w:t>£'000</w:t>
            </w:r>
          </w:p>
        </w:tc>
        <w:tc>
          <w:tcPr>
            <w:tcW w:w="1285" w:type="dxa"/>
            <w:tcBorders>
              <w:top w:val="nil"/>
              <w:left w:val="nil"/>
              <w:bottom w:val="nil"/>
              <w:right w:val="nil"/>
            </w:tcBorders>
            <w:shd w:val="clear" w:color="auto" w:fill="auto"/>
            <w:noWrap/>
            <w:vAlign w:val="center"/>
            <w:hideMark/>
          </w:tcPr>
          <w:p w14:paraId="464F7B80" w14:textId="77777777" w:rsidR="000352F1" w:rsidRPr="00BB0FBF" w:rsidRDefault="000352F1" w:rsidP="00201E05">
            <w:pPr>
              <w:spacing w:after="0" w:line="240" w:lineRule="auto"/>
              <w:jc w:val="right"/>
              <w:rPr>
                <w:rFonts w:ascii="Times New Roman" w:eastAsia="Times New Roman" w:hAnsi="Times New Roman" w:cs="Times New Roman"/>
                <w:sz w:val="20"/>
                <w:szCs w:val="20"/>
                <w:lang w:eastAsia="en-GB"/>
              </w:rPr>
            </w:pPr>
            <w:r>
              <w:rPr>
                <w:rFonts w:ascii="Arial" w:hAnsi="Arial" w:cs="Arial"/>
                <w:sz w:val="20"/>
                <w:szCs w:val="20"/>
              </w:rPr>
              <w:t>£'000</w:t>
            </w:r>
          </w:p>
        </w:tc>
        <w:tc>
          <w:tcPr>
            <w:tcW w:w="1000" w:type="dxa"/>
            <w:tcBorders>
              <w:top w:val="nil"/>
              <w:left w:val="nil"/>
              <w:bottom w:val="nil"/>
              <w:right w:val="nil"/>
            </w:tcBorders>
            <w:shd w:val="clear" w:color="auto" w:fill="auto"/>
            <w:noWrap/>
            <w:vAlign w:val="center"/>
            <w:hideMark/>
          </w:tcPr>
          <w:p w14:paraId="7241BE88" w14:textId="77777777" w:rsidR="000352F1" w:rsidRPr="00BB0FBF" w:rsidRDefault="000352F1" w:rsidP="00201E05">
            <w:pPr>
              <w:spacing w:after="0" w:line="240" w:lineRule="auto"/>
              <w:jc w:val="right"/>
              <w:rPr>
                <w:rFonts w:ascii="Times New Roman" w:eastAsia="Times New Roman" w:hAnsi="Times New Roman" w:cs="Times New Roman"/>
                <w:sz w:val="20"/>
                <w:szCs w:val="20"/>
                <w:lang w:eastAsia="en-GB"/>
              </w:rPr>
            </w:pPr>
            <w:r>
              <w:rPr>
                <w:rFonts w:ascii="Arial" w:hAnsi="Arial" w:cs="Arial"/>
                <w:sz w:val="20"/>
                <w:szCs w:val="20"/>
              </w:rPr>
              <w:t>£'000</w:t>
            </w:r>
          </w:p>
        </w:tc>
      </w:tr>
      <w:tr w:rsidR="00543D10" w:rsidRPr="00543D10" w14:paraId="02715D50" w14:textId="77777777" w:rsidTr="009C7539">
        <w:trPr>
          <w:trHeight w:val="325"/>
        </w:trPr>
        <w:tc>
          <w:tcPr>
            <w:tcW w:w="5426" w:type="dxa"/>
            <w:tcBorders>
              <w:top w:val="nil"/>
              <w:left w:val="nil"/>
              <w:bottom w:val="nil"/>
              <w:right w:val="nil"/>
            </w:tcBorders>
            <w:shd w:val="clear" w:color="auto" w:fill="auto"/>
            <w:noWrap/>
            <w:vAlign w:val="center"/>
          </w:tcPr>
          <w:p w14:paraId="671970D5" w14:textId="77777777" w:rsidR="000352F1" w:rsidRPr="00543D10" w:rsidRDefault="000352F1" w:rsidP="00201E05">
            <w:pPr>
              <w:spacing w:after="0" w:line="240" w:lineRule="auto"/>
              <w:rPr>
                <w:rFonts w:ascii="Arial" w:eastAsia="Times New Roman" w:hAnsi="Arial" w:cs="Arial"/>
                <w:sz w:val="20"/>
                <w:szCs w:val="20"/>
                <w:lang w:eastAsia="en-GB"/>
              </w:rPr>
            </w:pPr>
          </w:p>
        </w:tc>
        <w:tc>
          <w:tcPr>
            <w:tcW w:w="1427" w:type="dxa"/>
            <w:tcBorders>
              <w:top w:val="nil"/>
              <w:left w:val="nil"/>
              <w:bottom w:val="nil"/>
              <w:right w:val="nil"/>
            </w:tcBorders>
            <w:shd w:val="clear" w:color="auto" w:fill="auto"/>
            <w:noWrap/>
            <w:vAlign w:val="center"/>
          </w:tcPr>
          <w:p w14:paraId="560A9B81" w14:textId="77777777" w:rsidR="000352F1" w:rsidRPr="00543D10" w:rsidRDefault="000352F1" w:rsidP="00201E05">
            <w:pPr>
              <w:spacing w:after="0" w:line="240" w:lineRule="auto"/>
              <w:jc w:val="right"/>
              <w:rPr>
                <w:rFonts w:ascii="Times New Roman" w:eastAsia="Times New Roman" w:hAnsi="Times New Roman" w:cs="Times New Roman"/>
                <w:sz w:val="20"/>
                <w:szCs w:val="20"/>
                <w:lang w:eastAsia="en-GB"/>
              </w:rPr>
            </w:pPr>
          </w:p>
        </w:tc>
        <w:tc>
          <w:tcPr>
            <w:tcW w:w="1285" w:type="dxa"/>
            <w:tcBorders>
              <w:top w:val="nil"/>
              <w:left w:val="nil"/>
              <w:bottom w:val="nil"/>
              <w:right w:val="nil"/>
            </w:tcBorders>
            <w:shd w:val="clear" w:color="auto" w:fill="auto"/>
            <w:noWrap/>
            <w:vAlign w:val="center"/>
          </w:tcPr>
          <w:p w14:paraId="6FFC94ED" w14:textId="77777777" w:rsidR="000352F1" w:rsidRPr="00543D10" w:rsidRDefault="000352F1" w:rsidP="00201E05">
            <w:pPr>
              <w:spacing w:after="0" w:line="240" w:lineRule="auto"/>
              <w:jc w:val="right"/>
              <w:rPr>
                <w:rFonts w:ascii="Times New Roman" w:eastAsia="Times New Roman" w:hAnsi="Times New Roman" w:cs="Times New Roman"/>
                <w:sz w:val="20"/>
                <w:szCs w:val="20"/>
                <w:lang w:eastAsia="en-GB"/>
              </w:rPr>
            </w:pPr>
          </w:p>
        </w:tc>
        <w:tc>
          <w:tcPr>
            <w:tcW w:w="1000" w:type="dxa"/>
            <w:tcBorders>
              <w:top w:val="nil"/>
              <w:left w:val="nil"/>
              <w:bottom w:val="nil"/>
              <w:right w:val="nil"/>
            </w:tcBorders>
            <w:shd w:val="clear" w:color="auto" w:fill="auto"/>
            <w:noWrap/>
            <w:vAlign w:val="center"/>
          </w:tcPr>
          <w:p w14:paraId="47EA4BF9" w14:textId="77777777" w:rsidR="000352F1" w:rsidRPr="00543D10" w:rsidRDefault="000352F1" w:rsidP="00201E05">
            <w:pPr>
              <w:spacing w:after="0" w:line="240" w:lineRule="auto"/>
              <w:jc w:val="right"/>
              <w:rPr>
                <w:rFonts w:ascii="Times New Roman" w:eastAsia="Times New Roman" w:hAnsi="Times New Roman" w:cs="Times New Roman"/>
                <w:sz w:val="20"/>
                <w:szCs w:val="20"/>
                <w:lang w:eastAsia="en-GB"/>
              </w:rPr>
            </w:pPr>
          </w:p>
        </w:tc>
      </w:tr>
      <w:tr w:rsidR="00543D10" w:rsidRPr="00543D10" w14:paraId="45DD6BC4" w14:textId="77777777" w:rsidTr="009C7539">
        <w:trPr>
          <w:trHeight w:val="325"/>
        </w:trPr>
        <w:tc>
          <w:tcPr>
            <w:tcW w:w="5426" w:type="dxa"/>
            <w:tcBorders>
              <w:top w:val="nil"/>
              <w:left w:val="nil"/>
              <w:bottom w:val="nil"/>
              <w:right w:val="nil"/>
            </w:tcBorders>
            <w:shd w:val="clear" w:color="auto" w:fill="auto"/>
            <w:noWrap/>
            <w:vAlign w:val="bottom"/>
            <w:hideMark/>
          </w:tcPr>
          <w:p w14:paraId="52156EF9" w14:textId="77777777" w:rsidR="000352F1" w:rsidRPr="00543D10" w:rsidRDefault="000352F1" w:rsidP="00201E05">
            <w:pPr>
              <w:spacing w:after="0" w:line="240" w:lineRule="auto"/>
              <w:rPr>
                <w:rFonts w:ascii="Arial" w:eastAsia="Times New Roman" w:hAnsi="Arial" w:cs="Arial"/>
                <w:sz w:val="20"/>
                <w:szCs w:val="20"/>
                <w:lang w:eastAsia="en-GB"/>
              </w:rPr>
            </w:pPr>
            <w:r w:rsidRPr="00543D10">
              <w:rPr>
                <w:rFonts w:ascii="Arial" w:eastAsia="Times New Roman" w:hAnsi="Arial" w:cs="Arial"/>
                <w:sz w:val="20"/>
                <w:szCs w:val="20"/>
                <w:lang w:eastAsia="en-GB"/>
              </w:rPr>
              <w:t>South Yorkshire Pension Scheme</w:t>
            </w:r>
          </w:p>
        </w:tc>
        <w:tc>
          <w:tcPr>
            <w:tcW w:w="1427" w:type="dxa"/>
            <w:tcBorders>
              <w:top w:val="nil"/>
              <w:left w:val="nil"/>
              <w:bottom w:val="nil"/>
              <w:right w:val="nil"/>
            </w:tcBorders>
            <w:shd w:val="clear" w:color="auto" w:fill="auto"/>
            <w:noWrap/>
            <w:vAlign w:val="center"/>
          </w:tcPr>
          <w:p w14:paraId="1B4F270B" w14:textId="77777777" w:rsidR="000352F1" w:rsidRPr="00543D10" w:rsidRDefault="00596336" w:rsidP="00201E05">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3,037</w:t>
            </w:r>
          </w:p>
        </w:tc>
        <w:tc>
          <w:tcPr>
            <w:tcW w:w="1285" w:type="dxa"/>
            <w:tcBorders>
              <w:top w:val="nil"/>
              <w:left w:val="nil"/>
              <w:bottom w:val="nil"/>
              <w:right w:val="nil"/>
            </w:tcBorders>
            <w:shd w:val="clear" w:color="auto" w:fill="auto"/>
            <w:noWrap/>
            <w:vAlign w:val="center"/>
          </w:tcPr>
          <w:p w14:paraId="4699A0A5" w14:textId="77777777" w:rsidR="000352F1" w:rsidRPr="00543D10" w:rsidRDefault="00596336" w:rsidP="00201E05">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(3,093)</w:t>
            </w:r>
          </w:p>
        </w:tc>
        <w:tc>
          <w:tcPr>
            <w:tcW w:w="1000" w:type="dxa"/>
            <w:tcBorders>
              <w:top w:val="nil"/>
              <w:left w:val="nil"/>
              <w:bottom w:val="nil"/>
              <w:right w:val="nil"/>
            </w:tcBorders>
            <w:shd w:val="clear" w:color="auto" w:fill="auto"/>
            <w:noWrap/>
            <w:vAlign w:val="center"/>
          </w:tcPr>
          <w:p w14:paraId="0EB4B701" w14:textId="77777777" w:rsidR="000352F1" w:rsidRPr="00543D10" w:rsidRDefault="00596336" w:rsidP="00201E05">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(56)</w:t>
            </w:r>
          </w:p>
        </w:tc>
      </w:tr>
      <w:tr w:rsidR="00543D10" w:rsidRPr="00543D10" w14:paraId="60EF5D6B" w14:textId="77777777" w:rsidTr="009C7539">
        <w:trPr>
          <w:trHeight w:val="325"/>
        </w:trPr>
        <w:tc>
          <w:tcPr>
            <w:tcW w:w="5426" w:type="dxa"/>
            <w:tcBorders>
              <w:top w:val="nil"/>
              <w:left w:val="nil"/>
              <w:bottom w:val="nil"/>
              <w:right w:val="nil"/>
            </w:tcBorders>
            <w:shd w:val="clear" w:color="auto" w:fill="auto"/>
            <w:noWrap/>
            <w:vAlign w:val="bottom"/>
            <w:hideMark/>
          </w:tcPr>
          <w:p w14:paraId="5A7C2634" w14:textId="77777777" w:rsidR="000352F1" w:rsidRPr="00543D10" w:rsidRDefault="000352F1" w:rsidP="00201E05">
            <w:pPr>
              <w:spacing w:after="0" w:line="240" w:lineRule="auto"/>
              <w:rPr>
                <w:rFonts w:ascii="Arial" w:eastAsia="Times New Roman" w:hAnsi="Arial" w:cs="Arial"/>
                <w:sz w:val="20"/>
                <w:szCs w:val="20"/>
                <w:lang w:eastAsia="en-GB"/>
              </w:rPr>
            </w:pPr>
            <w:r w:rsidRPr="00543D10">
              <w:rPr>
                <w:rFonts w:ascii="Arial" w:eastAsia="Times New Roman" w:hAnsi="Arial" w:cs="Arial"/>
                <w:sz w:val="20"/>
                <w:szCs w:val="20"/>
                <w:lang w:eastAsia="en-GB"/>
              </w:rPr>
              <w:t>Platinum Pension Scheme</w:t>
            </w:r>
          </w:p>
        </w:tc>
        <w:tc>
          <w:tcPr>
            <w:tcW w:w="1427" w:type="dxa"/>
            <w:tcBorders>
              <w:top w:val="nil"/>
              <w:left w:val="nil"/>
              <w:bottom w:val="nil"/>
              <w:right w:val="nil"/>
            </w:tcBorders>
            <w:shd w:val="clear" w:color="auto" w:fill="auto"/>
            <w:noWrap/>
            <w:vAlign w:val="center"/>
          </w:tcPr>
          <w:p w14:paraId="67D27739" w14:textId="77777777" w:rsidR="000352F1" w:rsidRPr="00543D10" w:rsidRDefault="00596336" w:rsidP="00201E05">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1,243</w:t>
            </w:r>
          </w:p>
        </w:tc>
        <w:tc>
          <w:tcPr>
            <w:tcW w:w="1285" w:type="dxa"/>
            <w:tcBorders>
              <w:top w:val="nil"/>
              <w:left w:val="nil"/>
              <w:bottom w:val="nil"/>
              <w:right w:val="nil"/>
            </w:tcBorders>
            <w:shd w:val="clear" w:color="auto" w:fill="auto"/>
            <w:noWrap/>
            <w:vAlign w:val="center"/>
          </w:tcPr>
          <w:p w14:paraId="1034B9D9" w14:textId="77777777" w:rsidR="000352F1" w:rsidRPr="00543D10" w:rsidRDefault="00596336" w:rsidP="00201E05">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(1,202)</w:t>
            </w:r>
          </w:p>
        </w:tc>
        <w:tc>
          <w:tcPr>
            <w:tcW w:w="1000" w:type="dxa"/>
            <w:tcBorders>
              <w:top w:val="nil"/>
              <w:left w:val="nil"/>
              <w:bottom w:val="nil"/>
              <w:right w:val="nil"/>
            </w:tcBorders>
            <w:shd w:val="clear" w:color="auto" w:fill="auto"/>
            <w:noWrap/>
            <w:vAlign w:val="center"/>
          </w:tcPr>
          <w:p w14:paraId="51CA8223" w14:textId="77777777" w:rsidR="000352F1" w:rsidRPr="00543D10" w:rsidRDefault="00596336" w:rsidP="00201E05">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41</w:t>
            </w:r>
          </w:p>
        </w:tc>
      </w:tr>
      <w:tr w:rsidR="000352F1" w:rsidRPr="00543D10" w14:paraId="07FE6FC6" w14:textId="77777777" w:rsidTr="009C7539">
        <w:trPr>
          <w:trHeight w:val="325"/>
        </w:trPr>
        <w:tc>
          <w:tcPr>
            <w:tcW w:w="5426" w:type="dxa"/>
            <w:tcBorders>
              <w:top w:val="single" w:sz="4" w:space="0" w:color="auto"/>
              <w:left w:val="nil"/>
              <w:bottom w:val="single" w:sz="4" w:space="0" w:color="auto"/>
              <w:right w:val="nil"/>
            </w:tcBorders>
            <w:shd w:val="clear" w:color="auto" w:fill="auto"/>
            <w:noWrap/>
            <w:vAlign w:val="center"/>
            <w:hideMark/>
          </w:tcPr>
          <w:p w14:paraId="59DFB081" w14:textId="77777777" w:rsidR="000352F1" w:rsidRPr="00543D10" w:rsidRDefault="000352F1" w:rsidP="00201E05">
            <w:pPr>
              <w:spacing w:after="0" w:line="240" w:lineRule="auto"/>
              <w:rPr>
                <w:rFonts w:ascii="Arial" w:eastAsia="Times New Roman" w:hAnsi="Arial" w:cs="Arial"/>
                <w:sz w:val="20"/>
                <w:szCs w:val="20"/>
                <w:lang w:eastAsia="en-GB"/>
              </w:rPr>
            </w:pPr>
            <w:r w:rsidRPr="00543D10">
              <w:rPr>
                <w:rFonts w:ascii="Arial" w:eastAsia="Times New Roman" w:hAnsi="Arial" w:cs="Arial"/>
                <w:sz w:val="20"/>
                <w:szCs w:val="20"/>
                <w:lang w:eastAsia="en-GB"/>
              </w:rPr>
              <w:t xml:space="preserve">At 31 August </w:t>
            </w:r>
            <w:r w:rsidR="0037645F">
              <w:rPr>
                <w:rFonts w:ascii="Arial" w:eastAsia="Times New Roman" w:hAnsi="Arial" w:cs="Arial"/>
                <w:sz w:val="20"/>
                <w:szCs w:val="20"/>
                <w:lang w:eastAsia="en-GB"/>
              </w:rPr>
              <w:t>2020</w:t>
            </w:r>
          </w:p>
        </w:tc>
        <w:tc>
          <w:tcPr>
            <w:tcW w:w="1427" w:type="dxa"/>
            <w:tcBorders>
              <w:top w:val="single" w:sz="4" w:space="0" w:color="auto"/>
              <w:left w:val="nil"/>
              <w:bottom w:val="single" w:sz="4" w:space="0" w:color="auto"/>
              <w:right w:val="nil"/>
            </w:tcBorders>
            <w:shd w:val="clear" w:color="auto" w:fill="auto"/>
            <w:noWrap/>
            <w:vAlign w:val="center"/>
          </w:tcPr>
          <w:p w14:paraId="75832E82" w14:textId="77777777" w:rsidR="000352F1" w:rsidRPr="00543D10" w:rsidRDefault="00596336" w:rsidP="00201E05">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4,280</w:t>
            </w:r>
          </w:p>
        </w:tc>
        <w:tc>
          <w:tcPr>
            <w:tcW w:w="1285" w:type="dxa"/>
            <w:tcBorders>
              <w:top w:val="single" w:sz="4" w:space="0" w:color="auto"/>
              <w:left w:val="nil"/>
              <w:bottom w:val="single" w:sz="4" w:space="0" w:color="auto"/>
              <w:right w:val="nil"/>
            </w:tcBorders>
            <w:shd w:val="clear" w:color="auto" w:fill="auto"/>
            <w:noWrap/>
            <w:vAlign w:val="center"/>
          </w:tcPr>
          <w:p w14:paraId="449C35C6" w14:textId="77777777" w:rsidR="000352F1" w:rsidRPr="00543D10" w:rsidRDefault="00596336" w:rsidP="00012B53">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(4,295)</w:t>
            </w:r>
          </w:p>
        </w:tc>
        <w:tc>
          <w:tcPr>
            <w:tcW w:w="1000" w:type="dxa"/>
            <w:tcBorders>
              <w:top w:val="single" w:sz="4" w:space="0" w:color="auto"/>
              <w:left w:val="nil"/>
              <w:bottom w:val="single" w:sz="4" w:space="0" w:color="auto"/>
              <w:right w:val="nil"/>
            </w:tcBorders>
            <w:shd w:val="clear" w:color="auto" w:fill="auto"/>
            <w:noWrap/>
            <w:vAlign w:val="center"/>
          </w:tcPr>
          <w:p w14:paraId="37C7D335" w14:textId="77777777" w:rsidR="000352F1" w:rsidRPr="00543D10" w:rsidRDefault="00596336" w:rsidP="00201E05">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(15)</w:t>
            </w:r>
          </w:p>
        </w:tc>
      </w:tr>
    </w:tbl>
    <w:p w14:paraId="4712B866" w14:textId="77777777" w:rsidR="000352F1" w:rsidRPr="00543D10" w:rsidRDefault="000352F1" w:rsidP="000352F1">
      <w:pPr>
        <w:autoSpaceDE w:val="0"/>
        <w:autoSpaceDN w:val="0"/>
        <w:adjustRightInd w:val="0"/>
        <w:spacing w:after="0" w:line="240" w:lineRule="auto"/>
        <w:rPr>
          <w:rFonts w:ascii="Arial" w:hAnsi="Arial" w:cs="Arial"/>
          <w:b/>
          <w:sz w:val="24"/>
          <w:szCs w:val="24"/>
        </w:rPr>
      </w:pPr>
    </w:p>
    <w:tbl>
      <w:tblPr>
        <w:tblW w:w="9214" w:type="dxa"/>
        <w:tblLook w:val="04A0" w:firstRow="1" w:lastRow="0" w:firstColumn="1" w:lastColumn="0" w:noHBand="0" w:noVBand="1"/>
      </w:tblPr>
      <w:tblGrid>
        <w:gridCol w:w="5387"/>
        <w:gridCol w:w="1417"/>
        <w:gridCol w:w="1276"/>
        <w:gridCol w:w="1134"/>
      </w:tblGrid>
      <w:tr w:rsidR="00543D10" w:rsidRPr="00543D10" w14:paraId="2F5467CD" w14:textId="77777777" w:rsidTr="00201E05">
        <w:trPr>
          <w:trHeight w:val="1155"/>
        </w:trPr>
        <w:tc>
          <w:tcPr>
            <w:tcW w:w="5387" w:type="dxa"/>
            <w:tcBorders>
              <w:top w:val="nil"/>
              <w:left w:val="nil"/>
              <w:bottom w:val="nil"/>
              <w:right w:val="nil"/>
            </w:tcBorders>
            <w:shd w:val="clear" w:color="auto" w:fill="auto"/>
            <w:noWrap/>
            <w:vAlign w:val="center"/>
            <w:hideMark/>
          </w:tcPr>
          <w:p w14:paraId="3439071C" w14:textId="77777777" w:rsidR="000352F1" w:rsidRPr="00543D10" w:rsidRDefault="006327DD">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 xml:space="preserve">Year ended </w:t>
            </w:r>
            <w:r w:rsidR="000352F1" w:rsidRPr="00543D10">
              <w:rPr>
                <w:rFonts w:ascii="Arial" w:eastAsia="Times New Roman" w:hAnsi="Arial" w:cs="Arial"/>
                <w:sz w:val="20"/>
                <w:szCs w:val="20"/>
                <w:lang w:eastAsia="en-GB"/>
              </w:rPr>
              <w:t xml:space="preserve">31 August </w:t>
            </w:r>
            <w:r w:rsidR="0037645F">
              <w:rPr>
                <w:rFonts w:ascii="Arial" w:eastAsia="Times New Roman" w:hAnsi="Arial" w:cs="Arial"/>
                <w:sz w:val="20"/>
                <w:szCs w:val="20"/>
                <w:lang w:eastAsia="en-GB"/>
              </w:rPr>
              <w:t>2019</w:t>
            </w:r>
          </w:p>
        </w:tc>
        <w:tc>
          <w:tcPr>
            <w:tcW w:w="1417" w:type="dxa"/>
            <w:tcBorders>
              <w:top w:val="nil"/>
              <w:left w:val="nil"/>
              <w:bottom w:val="nil"/>
              <w:right w:val="nil"/>
            </w:tcBorders>
            <w:shd w:val="clear" w:color="auto" w:fill="auto"/>
            <w:vAlign w:val="center"/>
            <w:hideMark/>
          </w:tcPr>
          <w:p w14:paraId="0AD27FC9" w14:textId="77777777" w:rsidR="000352F1" w:rsidRPr="00543D10" w:rsidRDefault="000352F1" w:rsidP="00BC08E7">
            <w:pPr>
              <w:spacing w:after="0" w:line="240" w:lineRule="auto"/>
              <w:jc w:val="right"/>
              <w:rPr>
                <w:rFonts w:ascii="Arial" w:eastAsia="Times New Roman" w:hAnsi="Arial" w:cs="Arial"/>
                <w:sz w:val="20"/>
                <w:szCs w:val="20"/>
                <w:lang w:eastAsia="en-GB"/>
              </w:rPr>
            </w:pPr>
            <w:r w:rsidRPr="00543D10">
              <w:rPr>
                <w:rFonts w:ascii="Arial" w:eastAsia="Times New Roman" w:hAnsi="Arial" w:cs="Arial"/>
                <w:sz w:val="20"/>
                <w:szCs w:val="20"/>
                <w:lang w:eastAsia="en-GB"/>
              </w:rPr>
              <w:t>Total Share of scheme assets</w:t>
            </w:r>
          </w:p>
        </w:tc>
        <w:tc>
          <w:tcPr>
            <w:tcW w:w="1276" w:type="dxa"/>
            <w:tcBorders>
              <w:top w:val="nil"/>
              <w:left w:val="nil"/>
              <w:bottom w:val="nil"/>
              <w:right w:val="nil"/>
            </w:tcBorders>
            <w:shd w:val="clear" w:color="auto" w:fill="auto"/>
            <w:vAlign w:val="center"/>
            <w:hideMark/>
          </w:tcPr>
          <w:p w14:paraId="487D07DA" w14:textId="77777777" w:rsidR="000352F1" w:rsidRPr="00543D10" w:rsidRDefault="000352F1" w:rsidP="00201E05">
            <w:pPr>
              <w:spacing w:after="0" w:line="240" w:lineRule="auto"/>
              <w:jc w:val="right"/>
              <w:rPr>
                <w:rFonts w:ascii="Arial" w:eastAsia="Times New Roman" w:hAnsi="Arial" w:cs="Arial"/>
                <w:sz w:val="20"/>
                <w:szCs w:val="20"/>
                <w:lang w:eastAsia="en-GB"/>
              </w:rPr>
            </w:pPr>
            <w:r w:rsidRPr="00543D10">
              <w:rPr>
                <w:rFonts w:ascii="Arial" w:eastAsia="Times New Roman" w:hAnsi="Arial" w:cs="Arial"/>
                <w:sz w:val="20"/>
                <w:szCs w:val="20"/>
                <w:lang w:eastAsia="en-GB"/>
              </w:rPr>
              <w:t>Present value of scheme liabilities</w:t>
            </w:r>
          </w:p>
        </w:tc>
        <w:tc>
          <w:tcPr>
            <w:tcW w:w="1134" w:type="dxa"/>
            <w:tcBorders>
              <w:top w:val="nil"/>
              <w:left w:val="nil"/>
              <w:bottom w:val="nil"/>
              <w:right w:val="nil"/>
            </w:tcBorders>
            <w:shd w:val="clear" w:color="auto" w:fill="auto"/>
            <w:vAlign w:val="center"/>
            <w:hideMark/>
          </w:tcPr>
          <w:p w14:paraId="7FA31B1F" w14:textId="77777777" w:rsidR="000352F1" w:rsidRPr="00543D10" w:rsidRDefault="00FA6D09" w:rsidP="00201E05">
            <w:pPr>
              <w:spacing w:after="0" w:line="240" w:lineRule="auto"/>
              <w:jc w:val="right"/>
              <w:rPr>
                <w:rFonts w:ascii="Arial" w:eastAsia="Times New Roman" w:hAnsi="Arial" w:cs="Arial"/>
                <w:sz w:val="20"/>
                <w:szCs w:val="20"/>
                <w:lang w:eastAsia="en-GB"/>
              </w:rPr>
            </w:pPr>
            <w:r w:rsidRPr="00BB0FBF">
              <w:rPr>
                <w:rFonts w:ascii="Arial" w:eastAsia="Times New Roman" w:hAnsi="Arial" w:cs="Arial"/>
                <w:sz w:val="20"/>
                <w:szCs w:val="20"/>
                <w:lang w:eastAsia="en-GB"/>
              </w:rPr>
              <w:t>Net pension (deficit)</w:t>
            </w:r>
            <w:r>
              <w:rPr>
                <w:rFonts w:ascii="Arial" w:eastAsia="Times New Roman" w:hAnsi="Arial" w:cs="Arial"/>
                <w:sz w:val="20"/>
                <w:szCs w:val="20"/>
                <w:lang w:eastAsia="en-GB"/>
              </w:rPr>
              <w:t xml:space="preserve"> / surplus</w:t>
            </w:r>
          </w:p>
        </w:tc>
      </w:tr>
      <w:tr w:rsidR="00543D10" w:rsidRPr="00543D10" w14:paraId="55B4AEB9" w14:textId="77777777" w:rsidTr="00201E05">
        <w:trPr>
          <w:trHeight w:val="323"/>
        </w:trPr>
        <w:tc>
          <w:tcPr>
            <w:tcW w:w="5387" w:type="dxa"/>
            <w:tcBorders>
              <w:top w:val="nil"/>
              <w:left w:val="nil"/>
              <w:bottom w:val="nil"/>
              <w:right w:val="nil"/>
            </w:tcBorders>
            <w:shd w:val="clear" w:color="auto" w:fill="auto"/>
            <w:noWrap/>
            <w:vAlign w:val="center"/>
            <w:hideMark/>
          </w:tcPr>
          <w:p w14:paraId="541F00E8" w14:textId="77777777" w:rsidR="000352F1" w:rsidRPr="00543D10" w:rsidRDefault="000352F1" w:rsidP="00201E05">
            <w:pPr>
              <w:spacing w:after="0" w:line="240" w:lineRule="auto"/>
              <w:rPr>
                <w:rFonts w:ascii="Arial" w:eastAsia="Times New Roman" w:hAnsi="Arial" w:cs="Arial"/>
                <w:sz w:val="20"/>
                <w:szCs w:val="20"/>
                <w:lang w:eastAsia="en-GB"/>
              </w:rPr>
            </w:pPr>
          </w:p>
        </w:tc>
        <w:tc>
          <w:tcPr>
            <w:tcW w:w="1417" w:type="dxa"/>
            <w:tcBorders>
              <w:top w:val="nil"/>
              <w:left w:val="nil"/>
              <w:bottom w:val="nil"/>
              <w:right w:val="nil"/>
            </w:tcBorders>
            <w:shd w:val="clear" w:color="auto" w:fill="auto"/>
            <w:noWrap/>
            <w:vAlign w:val="center"/>
            <w:hideMark/>
          </w:tcPr>
          <w:p w14:paraId="4472B187" w14:textId="77777777" w:rsidR="000352F1" w:rsidRPr="00543D10" w:rsidRDefault="000352F1" w:rsidP="00201E05">
            <w:pPr>
              <w:spacing w:after="0" w:line="240" w:lineRule="auto"/>
              <w:jc w:val="right"/>
              <w:rPr>
                <w:rFonts w:ascii="Times New Roman" w:eastAsia="Times New Roman" w:hAnsi="Times New Roman" w:cs="Times New Roman"/>
                <w:sz w:val="20"/>
                <w:szCs w:val="20"/>
                <w:lang w:eastAsia="en-GB"/>
              </w:rPr>
            </w:pPr>
            <w:r w:rsidRPr="00543D10">
              <w:rPr>
                <w:rFonts w:ascii="Arial" w:hAnsi="Arial" w:cs="Arial"/>
                <w:sz w:val="20"/>
                <w:szCs w:val="20"/>
              </w:rPr>
              <w:t>£'000</w:t>
            </w:r>
          </w:p>
        </w:tc>
        <w:tc>
          <w:tcPr>
            <w:tcW w:w="1276" w:type="dxa"/>
            <w:tcBorders>
              <w:top w:val="nil"/>
              <w:left w:val="nil"/>
              <w:bottom w:val="nil"/>
              <w:right w:val="nil"/>
            </w:tcBorders>
            <w:shd w:val="clear" w:color="auto" w:fill="auto"/>
            <w:noWrap/>
            <w:vAlign w:val="center"/>
            <w:hideMark/>
          </w:tcPr>
          <w:p w14:paraId="7F115B6F" w14:textId="77777777" w:rsidR="000352F1" w:rsidRPr="00543D10" w:rsidRDefault="000352F1" w:rsidP="00201E05">
            <w:pPr>
              <w:spacing w:after="0" w:line="240" w:lineRule="auto"/>
              <w:jc w:val="right"/>
              <w:rPr>
                <w:rFonts w:ascii="Times New Roman" w:eastAsia="Times New Roman" w:hAnsi="Times New Roman" w:cs="Times New Roman"/>
                <w:sz w:val="20"/>
                <w:szCs w:val="20"/>
                <w:lang w:eastAsia="en-GB"/>
              </w:rPr>
            </w:pPr>
            <w:r w:rsidRPr="00543D10">
              <w:rPr>
                <w:rFonts w:ascii="Arial" w:hAnsi="Arial" w:cs="Arial"/>
                <w:sz w:val="20"/>
                <w:szCs w:val="20"/>
              </w:rPr>
              <w:t>£'000</w:t>
            </w:r>
          </w:p>
        </w:tc>
        <w:tc>
          <w:tcPr>
            <w:tcW w:w="1134" w:type="dxa"/>
            <w:tcBorders>
              <w:top w:val="nil"/>
              <w:left w:val="nil"/>
              <w:bottom w:val="nil"/>
              <w:right w:val="nil"/>
            </w:tcBorders>
            <w:shd w:val="clear" w:color="auto" w:fill="auto"/>
            <w:noWrap/>
            <w:vAlign w:val="center"/>
            <w:hideMark/>
          </w:tcPr>
          <w:p w14:paraId="57EDB7E5" w14:textId="77777777" w:rsidR="000352F1" w:rsidRPr="00543D10" w:rsidRDefault="000352F1" w:rsidP="00201E05">
            <w:pPr>
              <w:spacing w:after="0" w:line="240" w:lineRule="auto"/>
              <w:jc w:val="right"/>
              <w:rPr>
                <w:rFonts w:ascii="Times New Roman" w:eastAsia="Times New Roman" w:hAnsi="Times New Roman" w:cs="Times New Roman"/>
                <w:sz w:val="20"/>
                <w:szCs w:val="20"/>
                <w:lang w:eastAsia="en-GB"/>
              </w:rPr>
            </w:pPr>
            <w:r w:rsidRPr="00543D10">
              <w:rPr>
                <w:rFonts w:ascii="Arial" w:hAnsi="Arial" w:cs="Arial"/>
                <w:sz w:val="20"/>
                <w:szCs w:val="20"/>
              </w:rPr>
              <w:t>£'000</w:t>
            </w:r>
          </w:p>
        </w:tc>
      </w:tr>
      <w:tr w:rsidR="00543D10" w:rsidRPr="00543D10" w14:paraId="0F4DDB90" w14:textId="77777777" w:rsidTr="00201E05">
        <w:trPr>
          <w:trHeight w:val="323"/>
        </w:trPr>
        <w:tc>
          <w:tcPr>
            <w:tcW w:w="5387" w:type="dxa"/>
            <w:tcBorders>
              <w:top w:val="nil"/>
              <w:left w:val="nil"/>
              <w:bottom w:val="nil"/>
              <w:right w:val="nil"/>
            </w:tcBorders>
            <w:shd w:val="clear" w:color="auto" w:fill="auto"/>
            <w:noWrap/>
            <w:vAlign w:val="center"/>
          </w:tcPr>
          <w:p w14:paraId="0F9FC394" w14:textId="77777777" w:rsidR="000352F1" w:rsidRPr="00543D10" w:rsidRDefault="000352F1" w:rsidP="00201E05">
            <w:pPr>
              <w:spacing w:after="0" w:line="240" w:lineRule="auto"/>
              <w:rPr>
                <w:rFonts w:ascii="Arial" w:eastAsia="Times New Roman" w:hAnsi="Arial" w:cs="Arial"/>
                <w:sz w:val="20"/>
                <w:szCs w:val="20"/>
                <w:lang w:eastAsia="en-GB"/>
              </w:rPr>
            </w:pPr>
          </w:p>
        </w:tc>
        <w:tc>
          <w:tcPr>
            <w:tcW w:w="1417" w:type="dxa"/>
            <w:tcBorders>
              <w:top w:val="nil"/>
              <w:left w:val="nil"/>
              <w:bottom w:val="nil"/>
              <w:right w:val="nil"/>
            </w:tcBorders>
            <w:shd w:val="clear" w:color="auto" w:fill="auto"/>
            <w:noWrap/>
            <w:vAlign w:val="center"/>
          </w:tcPr>
          <w:p w14:paraId="7F1ECC78" w14:textId="77777777" w:rsidR="000352F1" w:rsidRPr="00543D10" w:rsidRDefault="000352F1" w:rsidP="00201E05">
            <w:pPr>
              <w:spacing w:after="0" w:line="240" w:lineRule="auto"/>
              <w:jc w:val="right"/>
              <w:rPr>
                <w:rFonts w:ascii="Times New Roman" w:eastAsia="Times New Roman" w:hAnsi="Times New Roman" w:cs="Times New Roman"/>
                <w:sz w:val="20"/>
                <w:szCs w:val="20"/>
                <w:lang w:eastAsia="en-GB"/>
              </w:rPr>
            </w:pPr>
          </w:p>
        </w:tc>
        <w:tc>
          <w:tcPr>
            <w:tcW w:w="1276" w:type="dxa"/>
            <w:tcBorders>
              <w:top w:val="nil"/>
              <w:left w:val="nil"/>
              <w:bottom w:val="nil"/>
              <w:right w:val="nil"/>
            </w:tcBorders>
            <w:shd w:val="clear" w:color="auto" w:fill="auto"/>
            <w:noWrap/>
            <w:vAlign w:val="center"/>
          </w:tcPr>
          <w:p w14:paraId="5B971147" w14:textId="77777777" w:rsidR="000352F1" w:rsidRPr="00543D10" w:rsidRDefault="000352F1" w:rsidP="00201E05">
            <w:pPr>
              <w:spacing w:after="0" w:line="240" w:lineRule="auto"/>
              <w:jc w:val="right"/>
              <w:rPr>
                <w:rFonts w:ascii="Times New Roman" w:eastAsia="Times New Roman" w:hAnsi="Times New Roman" w:cs="Times New Roman"/>
                <w:sz w:val="20"/>
                <w:szCs w:val="20"/>
                <w:lang w:eastAsia="en-GB"/>
              </w:rPr>
            </w:pPr>
          </w:p>
        </w:tc>
        <w:tc>
          <w:tcPr>
            <w:tcW w:w="1134" w:type="dxa"/>
            <w:tcBorders>
              <w:top w:val="nil"/>
              <w:left w:val="nil"/>
              <w:bottom w:val="nil"/>
              <w:right w:val="nil"/>
            </w:tcBorders>
            <w:shd w:val="clear" w:color="auto" w:fill="auto"/>
            <w:noWrap/>
            <w:vAlign w:val="center"/>
          </w:tcPr>
          <w:p w14:paraId="4D7EAA08" w14:textId="77777777" w:rsidR="000352F1" w:rsidRPr="00543D10" w:rsidRDefault="000352F1" w:rsidP="00201E05">
            <w:pPr>
              <w:spacing w:after="0" w:line="240" w:lineRule="auto"/>
              <w:jc w:val="right"/>
              <w:rPr>
                <w:rFonts w:ascii="Times New Roman" w:eastAsia="Times New Roman" w:hAnsi="Times New Roman" w:cs="Times New Roman"/>
                <w:sz w:val="20"/>
                <w:szCs w:val="20"/>
                <w:lang w:eastAsia="en-GB"/>
              </w:rPr>
            </w:pPr>
          </w:p>
        </w:tc>
      </w:tr>
      <w:tr w:rsidR="00416FDD" w:rsidRPr="00543D10" w14:paraId="0D5C30C7" w14:textId="77777777" w:rsidTr="00201E05">
        <w:trPr>
          <w:trHeight w:val="323"/>
        </w:trPr>
        <w:tc>
          <w:tcPr>
            <w:tcW w:w="5387" w:type="dxa"/>
            <w:tcBorders>
              <w:top w:val="nil"/>
              <w:left w:val="nil"/>
              <w:bottom w:val="nil"/>
              <w:right w:val="nil"/>
            </w:tcBorders>
            <w:shd w:val="clear" w:color="auto" w:fill="auto"/>
            <w:noWrap/>
            <w:vAlign w:val="bottom"/>
            <w:hideMark/>
          </w:tcPr>
          <w:p w14:paraId="38ECD0F2" w14:textId="77777777" w:rsidR="00416FDD" w:rsidRPr="00543D10" w:rsidRDefault="00416FDD" w:rsidP="00416FDD">
            <w:pPr>
              <w:spacing w:after="0" w:line="240" w:lineRule="auto"/>
              <w:rPr>
                <w:rFonts w:ascii="Arial" w:eastAsia="Times New Roman" w:hAnsi="Arial" w:cs="Arial"/>
                <w:sz w:val="20"/>
                <w:szCs w:val="20"/>
                <w:lang w:eastAsia="en-GB"/>
              </w:rPr>
            </w:pPr>
            <w:r w:rsidRPr="00543D10">
              <w:rPr>
                <w:rFonts w:ascii="Arial" w:eastAsia="Times New Roman" w:hAnsi="Arial" w:cs="Arial"/>
                <w:sz w:val="20"/>
                <w:szCs w:val="20"/>
                <w:lang w:eastAsia="en-GB"/>
              </w:rPr>
              <w:t>South Yorkshire Pension Scheme</w:t>
            </w:r>
          </w:p>
        </w:tc>
        <w:tc>
          <w:tcPr>
            <w:tcW w:w="1417" w:type="dxa"/>
            <w:tcBorders>
              <w:top w:val="nil"/>
              <w:left w:val="nil"/>
              <w:bottom w:val="nil"/>
              <w:right w:val="nil"/>
            </w:tcBorders>
            <w:shd w:val="clear" w:color="auto" w:fill="auto"/>
            <w:noWrap/>
            <w:vAlign w:val="center"/>
            <w:hideMark/>
          </w:tcPr>
          <w:p w14:paraId="70189F24" w14:textId="77777777" w:rsidR="00416FDD" w:rsidRPr="00416FDD" w:rsidRDefault="00416FDD" w:rsidP="00416FDD">
            <w:pPr>
              <w:spacing w:after="0" w:line="240" w:lineRule="auto"/>
              <w:jc w:val="right"/>
              <w:rPr>
                <w:rFonts w:ascii="Arial" w:eastAsia="Times New Roman" w:hAnsi="Arial" w:cs="Arial"/>
                <w:sz w:val="20"/>
                <w:szCs w:val="20"/>
                <w:lang w:eastAsia="en-GB"/>
              </w:rPr>
            </w:pPr>
            <w:r w:rsidRPr="00416FDD">
              <w:rPr>
                <w:rFonts w:ascii="Arial" w:eastAsia="Times New Roman" w:hAnsi="Arial" w:cs="Arial"/>
                <w:sz w:val="20"/>
                <w:szCs w:val="20"/>
                <w:lang w:eastAsia="en-GB"/>
              </w:rPr>
              <w:t>3,052</w:t>
            </w:r>
          </w:p>
        </w:tc>
        <w:tc>
          <w:tcPr>
            <w:tcW w:w="1276" w:type="dxa"/>
            <w:tcBorders>
              <w:top w:val="nil"/>
              <w:left w:val="nil"/>
              <w:bottom w:val="nil"/>
              <w:right w:val="nil"/>
            </w:tcBorders>
            <w:shd w:val="clear" w:color="auto" w:fill="auto"/>
            <w:noWrap/>
            <w:vAlign w:val="center"/>
            <w:hideMark/>
          </w:tcPr>
          <w:p w14:paraId="7B9E1000" w14:textId="77777777" w:rsidR="00416FDD" w:rsidRPr="00416FDD" w:rsidRDefault="00416FDD" w:rsidP="00416FDD">
            <w:pPr>
              <w:spacing w:after="0" w:line="240" w:lineRule="auto"/>
              <w:jc w:val="right"/>
              <w:rPr>
                <w:rFonts w:ascii="Arial" w:eastAsia="Times New Roman" w:hAnsi="Arial" w:cs="Arial"/>
                <w:sz w:val="20"/>
                <w:szCs w:val="20"/>
                <w:lang w:eastAsia="en-GB"/>
              </w:rPr>
            </w:pPr>
            <w:r w:rsidRPr="00416FDD">
              <w:rPr>
                <w:rFonts w:ascii="Arial" w:eastAsia="Times New Roman" w:hAnsi="Arial" w:cs="Arial"/>
                <w:sz w:val="20"/>
                <w:szCs w:val="20"/>
                <w:lang w:eastAsia="en-GB"/>
              </w:rPr>
              <w:t>(3,072)</w:t>
            </w:r>
          </w:p>
        </w:tc>
        <w:tc>
          <w:tcPr>
            <w:tcW w:w="1134" w:type="dxa"/>
            <w:tcBorders>
              <w:top w:val="nil"/>
              <w:left w:val="nil"/>
              <w:bottom w:val="nil"/>
              <w:right w:val="nil"/>
            </w:tcBorders>
            <w:shd w:val="clear" w:color="auto" w:fill="auto"/>
            <w:noWrap/>
            <w:vAlign w:val="center"/>
            <w:hideMark/>
          </w:tcPr>
          <w:p w14:paraId="79D8CDCD" w14:textId="77777777" w:rsidR="00416FDD" w:rsidRPr="00416FDD" w:rsidRDefault="00416FDD" w:rsidP="00416FDD">
            <w:pPr>
              <w:spacing w:after="0" w:line="240" w:lineRule="auto"/>
              <w:jc w:val="right"/>
              <w:rPr>
                <w:rFonts w:ascii="Arial" w:eastAsia="Times New Roman" w:hAnsi="Arial" w:cs="Arial"/>
                <w:sz w:val="20"/>
                <w:szCs w:val="20"/>
                <w:lang w:eastAsia="en-GB"/>
              </w:rPr>
            </w:pPr>
            <w:r w:rsidRPr="00416FDD">
              <w:rPr>
                <w:rFonts w:ascii="Arial" w:eastAsia="Times New Roman" w:hAnsi="Arial" w:cs="Arial"/>
                <w:sz w:val="20"/>
                <w:szCs w:val="20"/>
                <w:lang w:eastAsia="en-GB"/>
              </w:rPr>
              <w:t>(20)</w:t>
            </w:r>
          </w:p>
        </w:tc>
      </w:tr>
      <w:tr w:rsidR="00416FDD" w:rsidRPr="00543D10" w14:paraId="429CB2A8" w14:textId="77777777" w:rsidTr="00201E05">
        <w:trPr>
          <w:trHeight w:val="323"/>
        </w:trPr>
        <w:tc>
          <w:tcPr>
            <w:tcW w:w="5387" w:type="dxa"/>
            <w:tcBorders>
              <w:top w:val="nil"/>
              <w:left w:val="nil"/>
              <w:bottom w:val="nil"/>
              <w:right w:val="nil"/>
            </w:tcBorders>
            <w:shd w:val="clear" w:color="auto" w:fill="auto"/>
            <w:noWrap/>
            <w:vAlign w:val="bottom"/>
            <w:hideMark/>
          </w:tcPr>
          <w:p w14:paraId="24C80D26" w14:textId="77777777" w:rsidR="00416FDD" w:rsidRPr="00543D10" w:rsidRDefault="00416FDD" w:rsidP="00416FDD">
            <w:pPr>
              <w:spacing w:after="0" w:line="240" w:lineRule="auto"/>
              <w:rPr>
                <w:rFonts w:ascii="Arial" w:eastAsia="Times New Roman" w:hAnsi="Arial" w:cs="Arial"/>
                <w:sz w:val="20"/>
                <w:szCs w:val="20"/>
                <w:lang w:eastAsia="en-GB"/>
              </w:rPr>
            </w:pPr>
            <w:r w:rsidRPr="00543D10">
              <w:rPr>
                <w:rFonts w:ascii="Arial" w:eastAsia="Times New Roman" w:hAnsi="Arial" w:cs="Arial"/>
                <w:sz w:val="20"/>
                <w:szCs w:val="20"/>
                <w:lang w:eastAsia="en-GB"/>
              </w:rPr>
              <w:t>Platinum Pension Scheme</w:t>
            </w:r>
          </w:p>
        </w:tc>
        <w:tc>
          <w:tcPr>
            <w:tcW w:w="1417" w:type="dxa"/>
            <w:tcBorders>
              <w:top w:val="nil"/>
              <w:left w:val="nil"/>
              <w:bottom w:val="nil"/>
              <w:right w:val="nil"/>
            </w:tcBorders>
            <w:shd w:val="clear" w:color="auto" w:fill="auto"/>
            <w:noWrap/>
            <w:vAlign w:val="center"/>
            <w:hideMark/>
          </w:tcPr>
          <w:p w14:paraId="29AD2FE4" w14:textId="77777777" w:rsidR="00416FDD" w:rsidRPr="00416FDD" w:rsidRDefault="00416FDD" w:rsidP="00416FDD">
            <w:pPr>
              <w:spacing w:after="0" w:line="240" w:lineRule="auto"/>
              <w:jc w:val="right"/>
              <w:rPr>
                <w:rFonts w:ascii="Arial" w:eastAsia="Times New Roman" w:hAnsi="Arial" w:cs="Arial"/>
                <w:sz w:val="20"/>
                <w:szCs w:val="20"/>
                <w:lang w:eastAsia="en-GB"/>
              </w:rPr>
            </w:pPr>
            <w:r w:rsidRPr="00416FDD">
              <w:rPr>
                <w:rFonts w:ascii="Arial" w:eastAsia="Times New Roman" w:hAnsi="Arial" w:cs="Arial"/>
                <w:sz w:val="20"/>
                <w:szCs w:val="20"/>
                <w:lang w:eastAsia="en-GB"/>
              </w:rPr>
              <w:t>1,247</w:t>
            </w:r>
          </w:p>
        </w:tc>
        <w:tc>
          <w:tcPr>
            <w:tcW w:w="1276" w:type="dxa"/>
            <w:tcBorders>
              <w:top w:val="nil"/>
              <w:left w:val="nil"/>
              <w:bottom w:val="nil"/>
              <w:right w:val="nil"/>
            </w:tcBorders>
            <w:shd w:val="clear" w:color="auto" w:fill="auto"/>
            <w:noWrap/>
            <w:vAlign w:val="center"/>
            <w:hideMark/>
          </w:tcPr>
          <w:p w14:paraId="7413036F" w14:textId="77777777" w:rsidR="00416FDD" w:rsidRPr="00416FDD" w:rsidRDefault="00416FDD" w:rsidP="00416FDD">
            <w:pPr>
              <w:spacing w:after="0" w:line="240" w:lineRule="auto"/>
              <w:jc w:val="right"/>
              <w:rPr>
                <w:rFonts w:ascii="Arial" w:eastAsia="Times New Roman" w:hAnsi="Arial" w:cs="Arial"/>
                <w:sz w:val="20"/>
                <w:szCs w:val="20"/>
                <w:lang w:eastAsia="en-GB"/>
              </w:rPr>
            </w:pPr>
            <w:r w:rsidRPr="00416FDD">
              <w:rPr>
                <w:rFonts w:ascii="Arial" w:eastAsia="Times New Roman" w:hAnsi="Arial" w:cs="Arial"/>
                <w:sz w:val="20"/>
                <w:szCs w:val="20"/>
                <w:lang w:eastAsia="en-GB"/>
              </w:rPr>
              <w:t>(1,213)</w:t>
            </w:r>
          </w:p>
        </w:tc>
        <w:tc>
          <w:tcPr>
            <w:tcW w:w="1134" w:type="dxa"/>
            <w:tcBorders>
              <w:top w:val="nil"/>
              <w:left w:val="nil"/>
              <w:bottom w:val="nil"/>
              <w:right w:val="nil"/>
            </w:tcBorders>
            <w:shd w:val="clear" w:color="auto" w:fill="auto"/>
            <w:noWrap/>
            <w:vAlign w:val="center"/>
            <w:hideMark/>
          </w:tcPr>
          <w:p w14:paraId="1877AFB7" w14:textId="77777777" w:rsidR="00416FDD" w:rsidRPr="00416FDD" w:rsidRDefault="00416FDD" w:rsidP="00416FDD">
            <w:pPr>
              <w:spacing w:after="0" w:line="240" w:lineRule="auto"/>
              <w:jc w:val="right"/>
              <w:rPr>
                <w:rFonts w:ascii="Arial" w:eastAsia="Times New Roman" w:hAnsi="Arial" w:cs="Arial"/>
                <w:sz w:val="20"/>
                <w:szCs w:val="20"/>
                <w:lang w:eastAsia="en-GB"/>
              </w:rPr>
            </w:pPr>
            <w:r w:rsidRPr="00416FDD">
              <w:rPr>
                <w:rFonts w:ascii="Arial" w:eastAsia="Times New Roman" w:hAnsi="Arial" w:cs="Arial"/>
                <w:sz w:val="20"/>
                <w:szCs w:val="20"/>
                <w:lang w:eastAsia="en-GB"/>
              </w:rPr>
              <w:t>34</w:t>
            </w:r>
          </w:p>
        </w:tc>
      </w:tr>
      <w:tr w:rsidR="00416FDD" w:rsidRPr="00543D10" w14:paraId="51C68245" w14:textId="77777777" w:rsidTr="00201E05">
        <w:trPr>
          <w:trHeight w:val="323"/>
        </w:trPr>
        <w:tc>
          <w:tcPr>
            <w:tcW w:w="5387" w:type="dxa"/>
            <w:tcBorders>
              <w:top w:val="single" w:sz="4" w:space="0" w:color="auto"/>
              <w:left w:val="nil"/>
              <w:bottom w:val="single" w:sz="4" w:space="0" w:color="auto"/>
              <w:right w:val="nil"/>
            </w:tcBorders>
            <w:shd w:val="clear" w:color="auto" w:fill="auto"/>
            <w:noWrap/>
            <w:vAlign w:val="center"/>
            <w:hideMark/>
          </w:tcPr>
          <w:p w14:paraId="107EB332" w14:textId="77777777" w:rsidR="00416FDD" w:rsidRPr="00543D10" w:rsidRDefault="00416FDD" w:rsidP="00416FDD">
            <w:pPr>
              <w:spacing w:after="0" w:line="240" w:lineRule="auto"/>
              <w:rPr>
                <w:rFonts w:ascii="Arial" w:eastAsia="Times New Roman" w:hAnsi="Arial" w:cs="Arial"/>
                <w:sz w:val="20"/>
                <w:szCs w:val="20"/>
                <w:lang w:eastAsia="en-GB"/>
              </w:rPr>
            </w:pPr>
            <w:r w:rsidRPr="00543D10">
              <w:rPr>
                <w:rFonts w:ascii="Arial" w:eastAsia="Times New Roman" w:hAnsi="Arial" w:cs="Arial"/>
                <w:sz w:val="20"/>
                <w:szCs w:val="20"/>
                <w:lang w:eastAsia="en-GB"/>
              </w:rPr>
              <w:t>At 31 August 201</w:t>
            </w:r>
            <w:r w:rsidR="006327DD">
              <w:rPr>
                <w:rFonts w:ascii="Arial" w:eastAsia="Times New Roman" w:hAnsi="Arial" w:cs="Arial"/>
                <w:sz w:val="20"/>
                <w:szCs w:val="20"/>
                <w:lang w:eastAsia="en-GB"/>
              </w:rPr>
              <w:t>9</w:t>
            </w:r>
          </w:p>
        </w:tc>
        <w:tc>
          <w:tcPr>
            <w:tcW w:w="1417" w:type="dxa"/>
            <w:tcBorders>
              <w:top w:val="single" w:sz="4" w:space="0" w:color="auto"/>
              <w:left w:val="nil"/>
              <w:bottom w:val="single" w:sz="4" w:space="0" w:color="auto"/>
              <w:right w:val="nil"/>
            </w:tcBorders>
            <w:shd w:val="clear" w:color="auto" w:fill="auto"/>
            <w:noWrap/>
            <w:vAlign w:val="center"/>
            <w:hideMark/>
          </w:tcPr>
          <w:p w14:paraId="67AD48AC" w14:textId="77777777" w:rsidR="00416FDD" w:rsidRPr="00416FDD" w:rsidRDefault="00416FDD" w:rsidP="00416FDD">
            <w:pPr>
              <w:spacing w:after="0" w:line="240" w:lineRule="auto"/>
              <w:jc w:val="right"/>
              <w:rPr>
                <w:rFonts w:ascii="Arial" w:eastAsia="Times New Roman" w:hAnsi="Arial" w:cs="Arial"/>
                <w:bCs/>
                <w:sz w:val="20"/>
                <w:szCs w:val="20"/>
                <w:lang w:eastAsia="en-GB"/>
              </w:rPr>
            </w:pPr>
            <w:r w:rsidRPr="00416FDD">
              <w:rPr>
                <w:rFonts w:ascii="Arial" w:eastAsia="Times New Roman" w:hAnsi="Arial" w:cs="Arial"/>
                <w:bCs/>
                <w:sz w:val="20"/>
                <w:szCs w:val="20"/>
                <w:lang w:eastAsia="en-GB"/>
              </w:rPr>
              <w:t>4,299</w:t>
            </w:r>
          </w:p>
        </w:tc>
        <w:tc>
          <w:tcPr>
            <w:tcW w:w="1276" w:type="dxa"/>
            <w:tcBorders>
              <w:top w:val="single" w:sz="4" w:space="0" w:color="auto"/>
              <w:left w:val="nil"/>
              <w:bottom w:val="single" w:sz="4" w:space="0" w:color="auto"/>
              <w:right w:val="nil"/>
            </w:tcBorders>
            <w:shd w:val="clear" w:color="auto" w:fill="auto"/>
            <w:noWrap/>
            <w:vAlign w:val="center"/>
            <w:hideMark/>
          </w:tcPr>
          <w:p w14:paraId="7DC9E192" w14:textId="77777777" w:rsidR="00416FDD" w:rsidRPr="00416FDD" w:rsidRDefault="00416FDD" w:rsidP="00416FDD">
            <w:pPr>
              <w:spacing w:after="0" w:line="240" w:lineRule="auto"/>
              <w:jc w:val="right"/>
              <w:rPr>
                <w:rFonts w:ascii="Arial" w:eastAsia="Times New Roman" w:hAnsi="Arial" w:cs="Arial"/>
                <w:bCs/>
                <w:sz w:val="20"/>
                <w:szCs w:val="20"/>
                <w:lang w:eastAsia="en-GB"/>
              </w:rPr>
            </w:pPr>
            <w:r w:rsidRPr="00416FDD">
              <w:rPr>
                <w:rFonts w:ascii="Arial" w:eastAsia="Times New Roman" w:hAnsi="Arial" w:cs="Arial"/>
                <w:bCs/>
                <w:sz w:val="20"/>
                <w:szCs w:val="20"/>
                <w:lang w:eastAsia="en-GB"/>
              </w:rPr>
              <w:t>(4,285)</w:t>
            </w:r>
          </w:p>
        </w:tc>
        <w:tc>
          <w:tcPr>
            <w:tcW w:w="1134" w:type="dxa"/>
            <w:tcBorders>
              <w:top w:val="single" w:sz="4" w:space="0" w:color="auto"/>
              <w:left w:val="nil"/>
              <w:bottom w:val="single" w:sz="4" w:space="0" w:color="auto"/>
              <w:right w:val="nil"/>
            </w:tcBorders>
            <w:shd w:val="clear" w:color="auto" w:fill="auto"/>
            <w:noWrap/>
            <w:vAlign w:val="center"/>
            <w:hideMark/>
          </w:tcPr>
          <w:p w14:paraId="44DF9E3E" w14:textId="77777777" w:rsidR="00416FDD" w:rsidRPr="00416FDD" w:rsidRDefault="00416FDD" w:rsidP="00416FDD">
            <w:pPr>
              <w:spacing w:after="0" w:line="240" w:lineRule="auto"/>
              <w:jc w:val="right"/>
              <w:rPr>
                <w:rFonts w:ascii="Arial" w:eastAsia="Times New Roman" w:hAnsi="Arial" w:cs="Arial"/>
                <w:bCs/>
                <w:sz w:val="20"/>
                <w:szCs w:val="20"/>
                <w:lang w:eastAsia="en-GB"/>
              </w:rPr>
            </w:pPr>
            <w:r w:rsidRPr="00416FDD">
              <w:rPr>
                <w:rFonts w:ascii="Arial" w:eastAsia="Times New Roman" w:hAnsi="Arial" w:cs="Arial"/>
                <w:bCs/>
                <w:sz w:val="20"/>
                <w:szCs w:val="20"/>
                <w:lang w:eastAsia="en-GB"/>
              </w:rPr>
              <w:t>14</w:t>
            </w:r>
          </w:p>
        </w:tc>
      </w:tr>
    </w:tbl>
    <w:p w14:paraId="4780716D" w14:textId="77777777" w:rsidR="00576404" w:rsidRPr="00543D10" w:rsidRDefault="00576404" w:rsidP="005076F2">
      <w:pPr>
        <w:tabs>
          <w:tab w:val="left" w:pos="567"/>
        </w:tabs>
        <w:ind w:left="567" w:hanging="567"/>
        <w:rPr>
          <w:rFonts w:ascii="Arial" w:hAnsi="Arial" w:cs="Arial"/>
          <w:b/>
          <w:i/>
          <w:sz w:val="24"/>
          <w:szCs w:val="24"/>
        </w:rPr>
      </w:pPr>
    </w:p>
    <w:p w14:paraId="258C2CB4" w14:textId="77777777" w:rsidR="006C07DD" w:rsidRDefault="006C07DD" w:rsidP="006C07DD">
      <w:pPr>
        <w:spacing w:after="0" w:line="240" w:lineRule="auto"/>
        <w:rPr>
          <w:rFonts w:ascii="Arial" w:hAnsi="Arial" w:cs="Arial"/>
          <w:b/>
          <w:i/>
          <w:sz w:val="24"/>
          <w:szCs w:val="24"/>
        </w:rPr>
      </w:pPr>
      <w:r w:rsidRPr="0088736E">
        <w:rPr>
          <w:rFonts w:ascii="Arial" w:hAnsi="Arial" w:cs="Arial"/>
          <w:b/>
          <w:i/>
          <w:sz w:val="24"/>
          <w:szCs w:val="24"/>
        </w:rPr>
        <w:lastRenderedPageBreak/>
        <w:t xml:space="preserve">Notes to the financial </w:t>
      </w:r>
      <w:r>
        <w:rPr>
          <w:rFonts w:ascii="Arial" w:hAnsi="Arial" w:cs="Arial"/>
          <w:b/>
          <w:i/>
          <w:sz w:val="24"/>
          <w:szCs w:val="24"/>
        </w:rPr>
        <w:t>statements</w:t>
      </w:r>
      <w:r w:rsidRPr="0088736E">
        <w:rPr>
          <w:rFonts w:ascii="Arial" w:hAnsi="Arial" w:cs="Arial"/>
          <w:b/>
          <w:i/>
          <w:sz w:val="24"/>
          <w:szCs w:val="24"/>
        </w:rPr>
        <w:t xml:space="preserve"> (continued)</w:t>
      </w:r>
    </w:p>
    <w:p w14:paraId="0D9BC185" w14:textId="77777777" w:rsidR="006C07DD" w:rsidRDefault="006C07DD" w:rsidP="006E7C43">
      <w:pPr>
        <w:autoSpaceDE w:val="0"/>
        <w:autoSpaceDN w:val="0"/>
        <w:adjustRightInd w:val="0"/>
        <w:spacing w:after="0" w:line="240" w:lineRule="auto"/>
        <w:rPr>
          <w:rFonts w:ascii="Arial" w:hAnsi="Arial" w:cs="Arial"/>
          <w:b/>
          <w:sz w:val="24"/>
          <w:szCs w:val="24"/>
        </w:rPr>
      </w:pPr>
    </w:p>
    <w:p w14:paraId="2B5BD3C6" w14:textId="77777777" w:rsidR="006E7C43" w:rsidRDefault="006E7C43" w:rsidP="006E7C43">
      <w:pPr>
        <w:autoSpaceDE w:val="0"/>
        <w:autoSpaceDN w:val="0"/>
        <w:adjustRightInd w:val="0"/>
        <w:spacing w:after="0" w:line="240" w:lineRule="auto"/>
        <w:rPr>
          <w:rFonts w:ascii="Arial" w:hAnsi="Arial" w:cs="Arial"/>
          <w:b/>
          <w:sz w:val="24"/>
          <w:szCs w:val="24"/>
        </w:rPr>
      </w:pPr>
      <w:r w:rsidRPr="005076F2">
        <w:rPr>
          <w:rFonts w:ascii="Arial" w:hAnsi="Arial" w:cs="Arial"/>
          <w:b/>
          <w:sz w:val="24"/>
          <w:szCs w:val="24"/>
        </w:rPr>
        <w:t>24. Pension commitments (continued)</w:t>
      </w:r>
    </w:p>
    <w:p w14:paraId="7CD81F34" w14:textId="77777777" w:rsidR="006E7C43" w:rsidRDefault="006E7C43" w:rsidP="006E7C43">
      <w:pPr>
        <w:autoSpaceDE w:val="0"/>
        <w:autoSpaceDN w:val="0"/>
        <w:adjustRightInd w:val="0"/>
        <w:spacing w:after="0" w:line="240" w:lineRule="auto"/>
        <w:rPr>
          <w:rFonts w:ascii="Arial" w:hAnsi="Arial" w:cs="Arial"/>
          <w:b/>
          <w:sz w:val="24"/>
          <w:szCs w:val="24"/>
        </w:rPr>
      </w:pPr>
    </w:p>
    <w:p w14:paraId="0A320AA6" w14:textId="77777777" w:rsidR="008C1D01" w:rsidRPr="00543D10" w:rsidRDefault="00A54371" w:rsidP="005076F2">
      <w:pPr>
        <w:tabs>
          <w:tab w:val="left" w:pos="567"/>
        </w:tabs>
        <w:ind w:left="567" w:hanging="567"/>
        <w:rPr>
          <w:rFonts w:ascii="Arial" w:hAnsi="Arial" w:cs="Arial"/>
          <w:b/>
          <w:sz w:val="24"/>
          <w:szCs w:val="24"/>
        </w:rPr>
      </w:pPr>
      <w:r w:rsidRPr="00543D10">
        <w:rPr>
          <w:rFonts w:ascii="Arial" w:hAnsi="Arial" w:cs="Arial"/>
          <w:b/>
          <w:sz w:val="24"/>
          <w:szCs w:val="24"/>
        </w:rPr>
        <w:t>South Yorkshire P</w:t>
      </w:r>
      <w:r w:rsidR="008C1D01" w:rsidRPr="00543D10">
        <w:rPr>
          <w:rFonts w:ascii="Arial" w:hAnsi="Arial" w:cs="Arial"/>
          <w:b/>
          <w:sz w:val="24"/>
          <w:szCs w:val="24"/>
        </w:rPr>
        <w:t>ension Scheme</w:t>
      </w:r>
    </w:p>
    <w:p w14:paraId="3CCF466A" w14:textId="77777777" w:rsidR="008C1D01" w:rsidRPr="008C1D01" w:rsidRDefault="008C1D01" w:rsidP="005076F2">
      <w:pPr>
        <w:tabs>
          <w:tab w:val="left" w:pos="567"/>
        </w:tabs>
        <w:ind w:left="567" w:hanging="567"/>
        <w:rPr>
          <w:rFonts w:ascii="Arial" w:hAnsi="Arial" w:cs="Arial"/>
          <w:b/>
          <w:sz w:val="24"/>
          <w:szCs w:val="24"/>
        </w:rPr>
      </w:pPr>
    </w:p>
    <w:tbl>
      <w:tblPr>
        <w:tblW w:w="9192" w:type="dxa"/>
        <w:tblLook w:val="04A0" w:firstRow="1" w:lastRow="0" w:firstColumn="1" w:lastColumn="0" w:noHBand="0" w:noVBand="1"/>
      </w:tblPr>
      <w:tblGrid>
        <w:gridCol w:w="4373"/>
        <w:gridCol w:w="670"/>
        <w:gridCol w:w="959"/>
        <w:gridCol w:w="1211"/>
        <w:gridCol w:w="991"/>
        <w:gridCol w:w="988"/>
      </w:tblGrid>
      <w:tr w:rsidR="008C1D01" w:rsidRPr="00A42EEB" w14:paraId="2F4DEEE5" w14:textId="77777777" w:rsidTr="006647C2">
        <w:trPr>
          <w:trHeight w:val="323"/>
        </w:trPr>
        <w:tc>
          <w:tcPr>
            <w:tcW w:w="4373" w:type="dxa"/>
            <w:tcBorders>
              <w:top w:val="nil"/>
              <w:left w:val="nil"/>
              <w:bottom w:val="single" w:sz="4" w:space="0" w:color="auto"/>
              <w:right w:val="nil"/>
            </w:tcBorders>
            <w:shd w:val="clear" w:color="auto" w:fill="auto"/>
            <w:noWrap/>
            <w:vAlign w:val="center"/>
            <w:hideMark/>
          </w:tcPr>
          <w:p w14:paraId="76CD2E9D" w14:textId="77777777" w:rsidR="008C1D01" w:rsidRPr="00A42EEB" w:rsidRDefault="008C1D01" w:rsidP="00F0231D">
            <w:pPr>
              <w:spacing w:after="0" w:line="240" w:lineRule="auto"/>
              <w:rPr>
                <w:rFonts w:ascii="Arial" w:eastAsia="Times New Roman" w:hAnsi="Arial" w:cs="Arial"/>
                <w:sz w:val="20"/>
                <w:szCs w:val="20"/>
                <w:lang w:eastAsia="en-GB"/>
              </w:rPr>
            </w:pPr>
            <w:r w:rsidRPr="00A42EEB">
              <w:rPr>
                <w:rFonts w:ascii="Arial" w:eastAsia="Times New Roman" w:hAnsi="Arial" w:cs="Arial"/>
                <w:sz w:val="20"/>
                <w:szCs w:val="20"/>
                <w:lang w:eastAsia="en-GB"/>
              </w:rPr>
              <w:t> </w:t>
            </w:r>
          </w:p>
        </w:tc>
        <w:tc>
          <w:tcPr>
            <w:tcW w:w="670" w:type="dxa"/>
            <w:tcBorders>
              <w:top w:val="nil"/>
              <w:left w:val="nil"/>
              <w:bottom w:val="single" w:sz="4" w:space="0" w:color="auto"/>
              <w:right w:val="nil"/>
            </w:tcBorders>
            <w:shd w:val="clear" w:color="auto" w:fill="auto"/>
            <w:noWrap/>
            <w:vAlign w:val="bottom"/>
            <w:hideMark/>
          </w:tcPr>
          <w:p w14:paraId="388242A2" w14:textId="77777777" w:rsidR="008C1D01" w:rsidRPr="00A42EEB" w:rsidRDefault="008C1D01" w:rsidP="00F0231D">
            <w:pPr>
              <w:spacing w:after="0" w:line="240" w:lineRule="auto"/>
              <w:rPr>
                <w:rFonts w:ascii="Arial" w:eastAsia="Times New Roman" w:hAnsi="Arial" w:cs="Arial"/>
                <w:sz w:val="20"/>
                <w:szCs w:val="20"/>
                <w:lang w:eastAsia="en-GB"/>
              </w:rPr>
            </w:pPr>
            <w:r w:rsidRPr="00A42EEB">
              <w:rPr>
                <w:rFonts w:ascii="Arial" w:eastAsia="Times New Roman" w:hAnsi="Arial" w:cs="Arial"/>
                <w:sz w:val="20"/>
                <w:szCs w:val="20"/>
                <w:lang w:eastAsia="en-GB"/>
              </w:rPr>
              <w:t> </w:t>
            </w:r>
          </w:p>
        </w:tc>
        <w:tc>
          <w:tcPr>
            <w:tcW w:w="959" w:type="dxa"/>
            <w:tcBorders>
              <w:top w:val="nil"/>
              <w:left w:val="nil"/>
              <w:bottom w:val="single" w:sz="4" w:space="0" w:color="auto"/>
              <w:right w:val="nil"/>
            </w:tcBorders>
            <w:shd w:val="clear" w:color="auto" w:fill="auto"/>
            <w:noWrap/>
            <w:vAlign w:val="bottom"/>
            <w:hideMark/>
          </w:tcPr>
          <w:p w14:paraId="78431598" w14:textId="77777777" w:rsidR="008C1D01" w:rsidRPr="00A42EEB" w:rsidRDefault="008C1D01" w:rsidP="00F0231D">
            <w:pPr>
              <w:spacing w:after="0" w:line="240" w:lineRule="auto"/>
              <w:rPr>
                <w:rFonts w:ascii="Arial" w:eastAsia="Times New Roman" w:hAnsi="Arial" w:cs="Arial"/>
                <w:sz w:val="20"/>
                <w:szCs w:val="20"/>
                <w:lang w:eastAsia="en-GB"/>
              </w:rPr>
            </w:pPr>
            <w:r w:rsidRPr="00A42EEB">
              <w:rPr>
                <w:rFonts w:ascii="Arial" w:eastAsia="Times New Roman" w:hAnsi="Arial" w:cs="Arial"/>
                <w:sz w:val="20"/>
                <w:szCs w:val="20"/>
                <w:lang w:eastAsia="en-GB"/>
              </w:rPr>
              <w:t> </w:t>
            </w:r>
          </w:p>
        </w:tc>
        <w:tc>
          <w:tcPr>
            <w:tcW w:w="1211" w:type="dxa"/>
            <w:tcBorders>
              <w:top w:val="nil"/>
              <w:left w:val="nil"/>
              <w:bottom w:val="single" w:sz="4" w:space="0" w:color="auto"/>
              <w:right w:val="nil"/>
            </w:tcBorders>
            <w:shd w:val="clear" w:color="auto" w:fill="auto"/>
            <w:noWrap/>
            <w:vAlign w:val="bottom"/>
            <w:hideMark/>
          </w:tcPr>
          <w:p w14:paraId="40A052C4" w14:textId="77777777" w:rsidR="008C1D01" w:rsidRPr="00A42EEB" w:rsidRDefault="008C1D01" w:rsidP="00F0231D">
            <w:pPr>
              <w:spacing w:after="0" w:line="240" w:lineRule="auto"/>
              <w:rPr>
                <w:rFonts w:ascii="Arial" w:eastAsia="Times New Roman" w:hAnsi="Arial" w:cs="Arial"/>
                <w:sz w:val="20"/>
                <w:szCs w:val="20"/>
                <w:lang w:eastAsia="en-GB"/>
              </w:rPr>
            </w:pPr>
            <w:r w:rsidRPr="00A42EEB">
              <w:rPr>
                <w:rFonts w:ascii="Arial" w:eastAsia="Times New Roman" w:hAnsi="Arial" w:cs="Arial"/>
                <w:sz w:val="20"/>
                <w:szCs w:val="20"/>
                <w:lang w:eastAsia="en-GB"/>
              </w:rPr>
              <w:t> </w:t>
            </w:r>
          </w:p>
        </w:tc>
        <w:tc>
          <w:tcPr>
            <w:tcW w:w="991" w:type="dxa"/>
            <w:tcBorders>
              <w:top w:val="nil"/>
              <w:left w:val="nil"/>
              <w:bottom w:val="single" w:sz="4" w:space="0" w:color="auto"/>
              <w:right w:val="nil"/>
            </w:tcBorders>
            <w:shd w:val="clear" w:color="auto" w:fill="auto"/>
            <w:noWrap/>
            <w:vAlign w:val="center"/>
            <w:hideMark/>
          </w:tcPr>
          <w:p w14:paraId="61940E6E" w14:textId="77777777" w:rsidR="008C1D01" w:rsidRPr="00A42EEB" w:rsidRDefault="0037645F" w:rsidP="00F0231D">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2020</w:t>
            </w:r>
          </w:p>
        </w:tc>
        <w:tc>
          <w:tcPr>
            <w:tcW w:w="988" w:type="dxa"/>
            <w:tcBorders>
              <w:top w:val="nil"/>
              <w:left w:val="nil"/>
              <w:bottom w:val="single" w:sz="4" w:space="0" w:color="auto"/>
              <w:right w:val="nil"/>
            </w:tcBorders>
            <w:shd w:val="clear" w:color="auto" w:fill="auto"/>
            <w:noWrap/>
            <w:vAlign w:val="center"/>
            <w:hideMark/>
          </w:tcPr>
          <w:p w14:paraId="07FA7B04" w14:textId="77777777" w:rsidR="008C1D01" w:rsidRPr="00A42EEB" w:rsidRDefault="0037645F" w:rsidP="00F0231D">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2019</w:t>
            </w:r>
          </w:p>
        </w:tc>
      </w:tr>
      <w:tr w:rsidR="00416FDD" w:rsidRPr="00A42EEB" w14:paraId="5C6CC14F" w14:textId="77777777" w:rsidTr="006647C2">
        <w:trPr>
          <w:trHeight w:val="323"/>
        </w:trPr>
        <w:tc>
          <w:tcPr>
            <w:tcW w:w="4373" w:type="dxa"/>
            <w:tcBorders>
              <w:top w:val="nil"/>
              <w:left w:val="nil"/>
              <w:bottom w:val="nil"/>
              <w:right w:val="nil"/>
            </w:tcBorders>
            <w:shd w:val="clear" w:color="auto" w:fill="auto"/>
            <w:noWrap/>
            <w:vAlign w:val="center"/>
            <w:hideMark/>
          </w:tcPr>
          <w:p w14:paraId="5BD281A2" w14:textId="77777777" w:rsidR="00416FDD" w:rsidRPr="00A42EEB" w:rsidRDefault="00416FDD" w:rsidP="00416FDD">
            <w:pPr>
              <w:spacing w:after="0" w:line="240" w:lineRule="auto"/>
              <w:rPr>
                <w:rFonts w:ascii="Arial" w:eastAsia="Times New Roman" w:hAnsi="Arial" w:cs="Arial"/>
                <w:sz w:val="20"/>
                <w:szCs w:val="20"/>
                <w:lang w:eastAsia="en-GB"/>
              </w:rPr>
            </w:pPr>
            <w:r w:rsidRPr="00A42EEB">
              <w:rPr>
                <w:rFonts w:ascii="Arial" w:eastAsia="Times New Roman" w:hAnsi="Arial" w:cs="Arial"/>
                <w:sz w:val="20"/>
                <w:szCs w:val="20"/>
                <w:lang w:eastAsia="en-GB"/>
              </w:rPr>
              <w:t>Expected rate of salary increases</w:t>
            </w:r>
          </w:p>
        </w:tc>
        <w:tc>
          <w:tcPr>
            <w:tcW w:w="670" w:type="dxa"/>
            <w:tcBorders>
              <w:top w:val="nil"/>
              <w:left w:val="nil"/>
              <w:bottom w:val="nil"/>
              <w:right w:val="nil"/>
            </w:tcBorders>
            <w:shd w:val="clear" w:color="auto" w:fill="auto"/>
            <w:noWrap/>
            <w:vAlign w:val="bottom"/>
            <w:hideMark/>
          </w:tcPr>
          <w:p w14:paraId="35C417C4" w14:textId="77777777" w:rsidR="00416FDD" w:rsidRPr="00A42EEB" w:rsidRDefault="00416FDD" w:rsidP="00416FDD">
            <w:pPr>
              <w:spacing w:after="0" w:line="240" w:lineRule="auto"/>
              <w:rPr>
                <w:rFonts w:ascii="Arial" w:eastAsia="Times New Roman" w:hAnsi="Arial" w:cs="Arial"/>
                <w:sz w:val="20"/>
                <w:szCs w:val="20"/>
                <w:lang w:eastAsia="en-GB"/>
              </w:rPr>
            </w:pPr>
          </w:p>
        </w:tc>
        <w:tc>
          <w:tcPr>
            <w:tcW w:w="959" w:type="dxa"/>
            <w:tcBorders>
              <w:top w:val="nil"/>
              <w:left w:val="nil"/>
              <w:bottom w:val="nil"/>
              <w:right w:val="nil"/>
            </w:tcBorders>
            <w:shd w:val="clear" w:color="auto" w:fill="auto"/>
            <w:noWrap/>
            <w:vAlign w:val="bottom"/>
            <w:hideMark/>
          </w:tcPr>
          <w:p w14:paraId="3ED093F8" w14:textId="77777777" w:rsidR="00416FDD" w:rsidRPr="00A42EEB" w:rsidRDefault="00416FDD" w:rsidP="00416FDD">
            <w:pPr>
              <w:spacing w:after="0" w:line="240" w:lineRule="auto"/>
              <w:rPr>
                <w:rFonts w:ascii="Times New Roman" w:eastAsia="Times New Roman" w:hAnsi="Times New Roman" w:cs="Times New Roman"/>
                <w:sz w:val="20"/>
                <w:szCs w:val="20"/>
                <w:lang w:eastAsia="en-GB"/>
              </w:rPr>
            </w:pPr>
          </w:p>
        </w:tc>
        <w:tc>
          <w:tcPr>
            <w:tcW w:w="1211" w:type="dxa"/>
            <w:tcBorders>
              <w:top w:val="nil"/>
              <w:left w:val="nil"/>
              <w:bottom w:val="nil"/>
              <w:right w:val="nil"/>
            </w:tcBorders>
            <w:shd w:val="clear" w:color="auto" w:fill="auto"/>
            <w:noWrap/>
            <w:vAlign w:val="bottom"/>
            <w:hideMark/>
          </w:tcPr>
          <w:p w14:paraId="62C95BCC" w14:textId="77777777" w:rsidR="00416FDD" w:rsidRPr="00A42EEB" w:rsidRDefault="00416FDD" w:rsidP="00416FDD">
            <w:pPr>
              <w:spacing w:after="0" w:line="240" w:lineRule="auto"/>
              <w:rPr>
                <w:rFonts w:ascii="Times New Roman" w:eastAsia="Times New Roman" w:hAnsi="Times New Roman" w:cs="Times New Roman"/>
                <w:sz w:val="20"/>
                <w:szCs w:val="20"/>
                <w:lang w:eastAsia="en-GB"/>
              </w:rPr>
            </w:pPr>
          </w:p>
        </w:tc>
        <w:tc>
          <w:tcPr>
            <w:tcW w:w="991" w:type="dxa"/>
            <w:tcBorders>
              <w:top w:val="nil"/>
              <w:left w:val="nil"/>
              <w:bottom w:val="nil"/>
              <w:right w:val="nil"/>
            </w:tcBorders>
            <w:shd w:val="clear" w:color="auto" w:fill="auto"/>
            <w:noWrap/>
            <w:vAlign w:val="center"/>
            <w:hideMark/>
          </w:tcPr>
          <w:p w14:paraId="61D37E9E" w14:textId="77777777" w:rsidR="00416FDD" w:rsidRPr="00A42EEB" w:rsidRDefault="00416FDD" w:rsidP="00416FDD">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3.</w:t>
            </w:r>
            <w:r w:rsidR="00AF5B75">
              <w:rPr>
                <w:rFonts w:ascii="Arial" w:eastAsia="Times New Roman" w:hAnsi="Arial" w:cs="Arial"/>
                <w:b/>
                <w:bCs/>
                <w:sz w:val="20"/>
                <w:szCs w:val="20"/>
                <w:lang w:eastAsia="en-GB"/>
              </w:rPr>
              <w:t>6</w:t>
            </w:r>
            <w:r>
              <w:rPr>
                <w:rFonts w:ascii="Arial" w:eastAsia="Times New Roman" w:hAnsi="Arial" w:cs="Arial"/>
                <w:b/>
                <w:bCs/>
                <w:sz w:val="20"/>
                <w:szCs w:val="20"/>
                <w:lang w:eastAsia="en-GB"/>
              </w:rPr>
              <w:t>5%</w:t>
            </w:r>
          </w:p>
        </w:tc>
        <w:tc>
          <w:tcPr>
            <w:tcW w:w="988" w:type="dxa"/>
            <w:tcBorders>
              <w:top w:val="nil"/>
              <w:left w:val="nil"/>
              <w:bottom w:val="nil"/>
              <w:right w:val="nil"/>
            </w:tcBorders>
            <w:shd w:val="clear" w:color="auto" w:fill="auto"/>
            <w:noWrap/>
            <w:vAlign w:val="center"/>
            <w:hideMark/>
          </w:tcPr>
          <w:p w14:paraId="09AD679E" w14:textId="77777777" w:rsidR="00416FDD" w:rsidRPr="00416FDD" w:rsidRDefault="00416FDD" w:rsidP="00416FDD">
            <w:pPr>
              <w:spacing w:after="0" w:line="240" w:lineRule="auto"/>
              <w:jc w:val="right"/>
              <w:rPr>
                <w:rFonts w:ascii="Arial" w:eastAsia="Times New Roman" w:hAnsi="Arial" w:cs="Arial"/>
                <w:sz w:val="20"/>
                <w:szCs w:val="20"/>
                <w:lang w:eastAsia="en-GB"/>
              </w:rPr>
            </w:pPr>
            <w:r w:rsidRPr="00416FDD">
              <w:rPr>
                <w:rFonts w:ascii="Arial" w:eastAsia="Times New Roman" w:hAnsi="Arial" w:cs="Arial"/>
                <w:bCs/>
                <w:sz w:val="20"/>
                <w:szCs w:val="20"/>
                <w:lang w:eastAsia="en-GB"/>
              </w:rPr>
              <w:t>3.55%</w:t>
            </w:r>
          </w:p>
        </w:tc>
      </w:tr>
      <w:tr w:rsidR="00416FDD" w:rsidRPr="00A42EEB" w14:paraId="65BD3971" w14:textId="77777777" w:rsidTr="006647C2">
        <w:trPr>
          <w:trHeight w:val="323"/>
        </w:trPr>
        <w:tc>
          <w:tcPr>
            <w:tcW w:w="6002" w:type="dxa"/>
            <w:gridSpan w:val="3"/>
            <w:tcBorders>
              <w:top w:val="nil"/>
              <w:left w:val="nil"/>
              <w:bottom w:val="nil"/>
              <w:right w:val="nil"/>
            </w:tcBorders>
            <w:shd w:val="clear" w:color="auto" w:fill="auto"/>
            <w:noWrap/>
            <w:vAlign w:val="center"/>
            <w:hideMark/>
          </w:tcPr>
          <w:p w14:paraId="5340D448" w14:textId="77777777" w:rsidR="00416FDD" w:rsidRPr="00A42EEB" w:rsidRDefault="00416FDD" w:rsidP="00416FDD">
            <w:pPr>
              <w:spacing w:after="0" w:line="240" w:lineRule="auto"/>
              <w:rPr>
                <w:rFonts w:ascii="Arial" w:eastAsia="Times New Roman" w:hAnsi="Arial" w:cs="Arial"/>
                <w:sz w:val="20"/>
                <w:szCs w:val="20"/>
                <w:lang w:eastAsia="en-GB"/>
              </w:rPr>
            </w:pPr>
            <w:r w:rsidRPr="00A42EEB">
              <w:rPr>
                <w:rFonts w:ascii="Arial" w:eastAsia="Times New Roman" w:hAnsi="Arial" w:cs="Arial"/>
                <w:sz w:val="20"/>
                <w:szCs w:val="20"/>
                <w:lang w:eastAsia="en-GB"/>
              </w:rPr>
              <w:t>Expected rate of increase of pensions in payments</w:t>
            </w:r>
          </w:p>
        </w:tc>
        <w:tc>
          <w:tcPr>
            <w:tcW w:w="1211" w:type="dxa"/>
            <w:tcBorders>
              <w:top w:val="nil"/>
              <w:left w:val="nil"/>
              <w:bottom w:val="nil"/>
              <w:right w:val="nil"/>
            </w:tcBorders>
            <w:shd w:val="clear" w:color="auto" w:fill="auto"/>
            <w:noWrap/>
            <w:vAlign w:val="bottom"/>
            <w:hideMark/>
          </w:tcPr>
          <w:p w14:paraId="791CAD2A" w14:textId="77777777" w:rsidR="00416FDD" w:rsidRPr="00A42EEB" w:rsidRDefault="00416FDD" w:rsidP="00416FDD">
            <w:pPr>
              <w:spacing w:after="0" w:line="240" w:lineRule="auto"/>
              <w:rPr>
                <w:rFonts w:ascii="Arial" w:eastAsia="Times New Roman" w:hAnsi="Arial" w:cs="Arial"/>
                <w:sz w:val="20"/>
                <w:szCs w:val="20"/>
                <w:lang w:eastAsia="en-GB"/>
              </w:rPr>
            </w:pPr>
          </w:p>
        </w:tc>
        <w:tc>
          <w:tcPr>
            <w:tcW w:w="991" w:type="dxa"/>
            <w:tcBorders>
              <w:top w:val="nil"/>
              <w:left w:val="nil"/>
              <w:bottom w:val="nil"/>
              <w:right w:val="nil"/>
            </w:tcBorders>
            <w:shd w:val="clear" w:color="auto" w:fill="auto"/>
            <w:noWrap/>
            <w:vAlign w:val="center"/>
            <w:hideMark/>
          </w:tcPr>
          <w:p w14:paraId="5C2C0A62" w14:textId="77777777" w:rsidR="00416FDD" w:rsidRPr="00A42EEB" w:rsidRDefault="00416FDD" w:rsidP="00416FDD">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2.</w:t>
            </w:r>
            <w:r w:rsidR="00AF5B75">
              <w:rPr>
                <w:rFonts w:ascii="Arial" w:eastAsia="Times New Roman" w:hAnsi="Arial" w:cs="Arial"/>
                <w:b/>
                <w:bCs/>
                <w:sz w:val="20"/>
                <w:szCs w:val="20"/>
                <w:lang w:eastAsia="en-GB"/>
              </w:rPr>
              <w:t>5</w:t>
            </w:r>
            <w:r w:rsidRPr="00A42EEB">
              <w:rPr>
                <w:rFonts w:ascii="Arial" w:eastAsia="Times New Roman" w:hAnsi="Arial" w:cs="Arial"/>
                <w:b/>
                <w:bCs/>
                <w:sz w:val="20"/>
                <w:szCs w:val="20"/>
                <w:lang w:eastAsia="en-GB"/>
              </w:rPr>
              <w:t>%</w:t>
            </w:r>
          </w:p>
        </w:tc>
        <w:tc>
          <w:tcPr>
            <w:tcW w:w="988" w:type="dxa"/>
            <w:tcBorders>
              <w:top w:val="nil"/>
              <w:left w:val="nil"/>
              <w:bottom w:val="nil"/>
              <w:right w:val="nil"/>
            </w:tcBorders>
            <w:shd w:val="clear" w:color="auto" w:fill="auto"/>
            <w:noWrap/>
            <w:vAlign w:val="center"/>
            <w:hideMark/>
          </w:tcPr>
          <w:p w14:paraId="2097419F" w14:textId="77777777" w:rsidR="00416FDD" w:rsidRPr="00416FDD" w:rsidRDefault="00416FDD" w:rsidP="00416FDD">
            <w:pPr>
              <w:spacing w:after="0" w:line="240" w:lineRule="auto"/>
              <w:jc w:val="right"/>
              <w:rPr>
                <w:rFonts w:ascii="Arial" w:eastAsia="Times New Roman" w:hAnsi="Arial" w:cs="Arial"/>
                <w:sz w:val="20"/>
                <w:szCs w:val="20"/>
                <w:lang w:eastAsia="en-GB"/>
              </w:rPr>
            </w:pPr>
            <w:r w:rsidRPr="00416FDD">
              <w:rPr>
                <w:rFonts w:ascii="Arial" w:eastAsia="Times New Roman" w:hAnsi="Arial" w:cs="Arial"/>
                <w:sz w:val="20"/>
                <w:szCs w:val="20"/>
                <w:lang w:eastAsia="en-GB"/>
              </w:rPr>
              <w:t>2.</w:t>
            </w:r>
            <w:r w:rsidR="00AF5B75">
              <w:rPr>
                <w:rFonts w:ascii="Arial" w:eastAsia="Times New Roman" w:hAnsi="Arial" w:cs="Arial"/>
                <w:sz w:val="20"/>
                <w:szCs w:val="20"/>
                <w:lang w:eastAsia="en-GB"/>
              </w:rPr>
              <w:t>4</w:t>
            </w:r>
            <w:r w:rsidRPr="00416FDD">
              <w:rPr>
                <w:rFonts w:ascii="Arial" w:eastAsia="Times New Roman" w:hAnsi="Arial" w:cs="Arial"/>
                <w:sz w:val="20"/>
                <w:szCs w:val="20"/>
                <w:lang w:eastAsia="en-GB"/>
              </w:rPr>
              <w:t>%</w:t>
            </w:r>
          </w:p>
        </w:tc>
      </w:tr>
      <w:tr w:rsidR="00416FDD" w:rsidRPr="00A42EEB" w14:paraId="600CBC9C" w14:textId="77777777" w:rsidTr="006647C2">
        <w:trPr>
          <w:trHeight w:val="323"/>
        </w:trPr>
        <w:tc>
          <w:tcPr>
            <w:tcW w:w="4373" w:type="dxa"/>
            <w:tcBorders>
              <w:top w:val="nil"/>
              <w:left w:val="nil"/>
              <w:bottom w:val="nil"/>
              <w:right w:val="nil"/>
            </w:tcBorders>
            <w:shd w:val="clear" w:color="auto" w:fill="auto"/>
            <w:noWrap/>
            <w:vAlign w:val="center"/>
            <w:hideMark/>
          </w:tcPr>
          <w:p w14:paraId="2751853C" w14:textId="77777777" w:rsidR="00416FDD" w:rsidRPr="00A42EEB" w:rsidRDefault="00416FDD" w:rsidP="00416FDD">
            <w:pPr>
              <w:spacing w:after="0" w:line="240" w:lineRule="auto"/>
              <w:rPr>
                <w:rFonts w:ascii="Arial" w:eastAsia="Times New Roman" w:hAnsi="Arial" w:cs="Arial"/>
                <w:sz w:val="20"/>
                <w:szCs w:val="20"/>
                <w:lang w:eastAsia="en-GB"/>
              </w:rPr>
            </w:pPr>
            <w:r w:rsidRPr="00A42EEB">
              <w:rPr>
                <w:rFonts w:ascii="Arial" w:eastAsia="Times New Roman" w:hAnsi="Arial" w:cs="Arial"/>
                <w:sz w:val="20"/>
                <w:szCs w:val="20"/>
                <w:lang w:eastAsia="en-GB"/>
              </w:rPr>
              <w:t>Rate of inflation</w:t>
            </w:r>
          </w:p>
        </w:tc>
        <w:tc>
          <w:tcPr>
            <w:tcW w:w="670" w:type="dxa"/>
            <w:tcBorders>
              <w:top w:val="nil"/>
              <w:left w:val="nil"/>
              <w:bottom w:val="nil"/>
              <w:right w:val="nil"/>
            </w:tcBorders>
            <w:shd w:val="clear" w:color="auto" w:fill="auto"/>
            <w:noWrap/>
            <w:vAlign w:val="bottom"/>
            <w:hideMark/>
          </w:tcPr>
          <w:p w14:paraId="7D7118D3" w14:textId="77777777" w:rsidR="00416FDD" w:rsidRPr="00A42EEB" w:rsidRDefault="00416FDD" w:rsidP="00416FDD">
            <w:pPr>
              <w:spacing w:after="0" w:line="240" w:lineRule="auto"/>
              <w:rPr>
                <w:rFonts w:ascii="Arial" w:eastAsia="Times New Roman" w:hAnsi="Arial" w:cs="Arial"/>
                <w:sz w:val="20"/>
                <w:szCs w:val="20"/>
                <w:lang w:eastAsia="en-GB"/>
              </w:rPr>
            </w:pPr>
          </w:p>
        </w:tc>
        <w:tc>
          <w:tcPr>
            <w:tcW w:w="959" w:type="dxa"/>
            <w:tcBorders>
              <w:top w:val="nil"/>
              <w:left w:val="nil"/>
              <w:bottom w:val="nil"/>
              <w:right w:val="nil"/>
            </w:tcBorders>
            <w:shd w:val="clear" w:color="auto" w:fill="auto"/>
            <w:noWrap/>
            <w:vAlign w:val="bottom"/>
            <w:hideMark/>
          </w:tcPr>
          <w:p w14:paraId="76D2422C" w14:textId="77777777" w:rsidR="00416FDD" w:rsidRPr="00A42EEB" w:rsidRDefault="00416FDD" w:rsidP="00416FDD">
            <w:pPr>
              <w:spacing w:after="0" w:line="240" w:lineRule="auto"/>
              <w:rPr>
                <w:rFonts w:ascii="Times New Roman" w:eastAsia="Times New Roman" w:hAnsi="Times New Roman" w:cs="Times New Roman"/>
                <w:sz w:val="20"/>
                <w:szCs w:val="20"/>
                <w:lang w:eastAsia="en-GB"/>
              </w:rPr>
            </w:pPr>
          </w:p>
        </w:tc>
        <w:tc>
          <w:tcPr>
            <w:tcW w:w="1211" w:type="dxa"/>
            <w:tcBorders>
              <w:top w:val="nil"/>
              <w:left w:val="nil"/>
              <w:bottom w:val="nil"/>
              <w:right w:val="nil"/>
            </w:tcBorders>
            <w:shd w:val="clear" w:color="auto" w:fill="auto"/>
            <w:noWrap/>
            <w:vAlign w:val="bottom"/>
            <w:hideMark/>
          </w:tcPr>
          <w:p w14:paraId="7B4184FF" w14:textId="77777777" w:rsidR="00416FDD" w:rsidRPr="00A42EEB" w:rsidRDefault="00416FDD" w:rsidP="00416FDD">
            <w:pPr>
              <w:spacing w:after="0" w:line="240" w:lineRule="auto"/>
              <w:rPr>
                <w:rFonts w:ascii="Times New Roman" w:eastAsia="Times New Roman" w:hAnsi="Times New Roman" w:cs="Times New Roman"/>
                <w:sz w:val="20"/>
                <w:szCs w:val="20"/>
                <w:lang w:eastAsia="en-GB"/>
              </w:rPr>
            </w:pPr>
          </w:p>
        </w:tc>
        <w:tc>
          <w:tcPr>
            <w:tcW w:w="991" w:type="dxa"/>
            <w:tcBorders>
              <w:top w:val="nil"/>
              <w:left w:val="nil"/>
              <w:bottom w:val="nil"/>
              <w:right w:val="nil"/>
            </w:tcBorders>
            <w:shd w:val="clear" w:color="auto" w:fill="auto"/>
            <w:noWrap/>
            <w:vAlign w:val="center"/>
            <w:hideMark/>
          </w:tcPr>
          <w:p w14:paraId="1B9823F3" w14:textId="77777777" w:rsidR="00416FDD" w:rsidRPr="00A42EEB" w:rsidRDefault="00416FDD" w:rsidP="00416FDD">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2.</w:t>
            </w:r>
            <w:r w:rsidR="00AF5B75">
              <w:rPr>
                <w:rFonts w:ascii="Arial" w:eastAsia="Times New Roman" w:hAnsi="Arial" w:cs="Arial"/>
                <w:b/>
                <w:bCs/>
                <w:sz w:val="20"/>
                <w:szCs w:val="20"/>
                <w:lang w:eastAsia="en-GB"/>
              </w:rPr>
              <w:t>4</w:t>
            </w:r>
            <w:r w:rsidRPr="00A42EEB">
              <w:rPr>
                <w:rFonts w:ascii="Arial" w:eastAsia="Times New Roman" w:hAnsi="Arial" w:cs="Arial"/>
                <w:b/>
                <w:bCs/>
                <w:sz w:val="20"/>
                <w:szCs w:val="20"/>
                <w:lang w:eastAsia="en-GB"/>
              </w:rPr>
              <w:t>%</w:t>
            </w:r>
          </w:p>
        </w:tc>
        <w:tc>
          <w:tcPr>
            <w:tcW w:w="988" w:type="dxa"/>
            <w:tcBorders>
              <w:top w:val="nil"/>
              <w:left w:val="nil"/>
              <w:bottom w:val="nil"/>
              <w:right w:val="nil"/>
            </w:tcBorders>
            <w:shd w:val="clear" w:color="auto" w:fill="auto"/>
            <w:noWrap/>
            <w:vAlign w:val="center"/>
            <w:hideMark/>
          </w:tcPr>
          <w:p w14:paraId="36A7D7C0" w14:textId="77777777" w:rsidR="00416FDD" w:rsidRPr="00416FDD" w:rsidRDefault="00416FDD" w:rsidP="00416FDD">
            <w:pPr>
              <w:spacing w:after="0" w:line="240" w:lineRule="auto"/>
              <w:jc w:val="right"/>
              <w:rPr>
                <w:rFonts w:ascii="Arial" w:eastAsia="Times New Roman" w:hAnsi="Arial" w:cs="Arial"/>
                <w:sz w:val="20"/>
                <w:szCs w:val="20"/>
                <w:lang w:eastAsia="en-GB"/>
              </w:rPr>
            </w:pPr>
            <w:r w:rsidRPr="00416FDD">
              <w:rPr>
                <w:rFonts w:ascii="Arial" w:eastAsia="Times New Roman" w:hAnsi="Arial" w:cs="Arial"/>
                <w:bCs/>
                <w:sz w:val="20"/>
                <w:szCs w:val="20"/>
                <w:lang w:eastAsia="en-GB"/>
              </w:rPr>
              <w:t>2.3%</w:t>
            </w:r>
          </w:p>
        </w:tc>
      </w:tr>
      <w:tr w:rsidR="00416FDD" w:rsidRPr="00A42EEB" w14:paraId="1103A1FF" w14:textId="77777777" w:rsidTr="006647C2">
        <w:trPr>
          <w:trHeight w:val="323"/>
        </w:trPr>
        <w:tc>
          <w:tcPr>
            <w:tcW w:w="4373" w:type="dxa"/>
            <w:tcBorders>
              <w:top w:val="nil"/>
              <w:left w:val="nil"/>
              <w:bottom w:val="nil"/>
              <w:right w:val="nil"/>
            </w:tcBorders>
            <w:shd w:val="clear" w:color="auto" w:fill="auto"/>
            <w:noWrap/>
            <w:vAlign w:val="center"/>
            <w:hideMark/>
          </w:tcPr>
          <w:p w14:paraId="63ACA109" w14:textId="77777777" w:rsidR="00416FDD" w:rsidRPr="00A42EEB" w:rsidRDefault="00416FDD" w:rsidP="00416FDD">
            <w:pPr>
              <w:spacing w:after="0" w:line="240" w:lineRule="auto"/>
              <w:rPr>
                <w:rFonts w:ascii="Arial" w:eastAsia="Times New Roman" w:hAnsi="Arial" w:cs="Arial"/>
                <w:sz w:val="20"/>
                <w:szCs w:val="20"/>
                <w:lang w:eastAsia="en-GB"/>
              </w:rPr>
            </w:pPr>
            <w:r w:rsidRPr="00A42EEB">
              <w:rPr>
                <w:rFonts w:ascii="Arial" w:eastAsia="Times New Roman" w:hAnsi="Arial" w:cs="Arial"/>
                <w:sz w:val="20"/>
                <w:szCs w:val="20"/>
                <w:lang w:eastAsia="en-GB"/>
              </w:rPr>
              <w:t>Discount rate</w:t>
            </w:r>
          </w:p>
        </w:tc>
        <w:tc>
          <w:tcPr>
            <w:tcW w:w="670" w:type="dxa"/>
            <w:tcBorders>
              <w:top w:val="nil"/>
              <w:left w:val="nil"/>
              <w:bottom w:val="nil"/>
              <w:right w:val="nil"/>
            </w:tcBorders>
            <w:shd w:val="clear" w:color="auto" w:fill="auto"/>
            <w:noWrap/>
            <w:vAlign w:val="bottom"/>
            <w:hideMark/>
          </w:tcPr>
          <w:p w14:paraId="70AAB37A" w14:textId="77777777" w:rsidR="00416FDD" w:rsidRPr="00A42EEB" w:rsidRDefault="00416FDD" w:rsidP="00416FDD">
            <w:pPr>
              <w:spacing w:after="0" w:line="240" w:lineRule="auto"/>
              <w:rPr>
                <w:rFonts w:ascii="Arial" w:eastAsia="Times New Roman" w:hAnsi="Arial" w:cs="Arial"/>
                <w:sz w:val="20"/>
                <w:szCs w:val="20"/>
                <w:lang w:eastAsia="en-GB"/>
              </w:rPr>
            </w:pPr>
          </w:p>
        </w:tc>
        <w:tc>
          <w:tcPr>
            <w:tcW w:w="959" w:type="dxa"/>
            <w:tcBorders>
              <w:top w:val="nil"/>
              <w:left w:val="nil"/>
              <w:bottom w:val="nil"/>
              <w:right w:val="nil"/>
            </w:tcBorders>
            <w:shd w:val="clear" w:color="auto" w:fill="auto"/>
            <w:noWrap/>
            <w:vAlign w:val="bottom"/>
            <w:hideMark/>
          </w:tcPr>
          <w:p w14:paraId="5FB44E06" w14:textId="77777777" w:rsidR="00416FDD" w:rsidRPr="00A42EEB" w:rsidRDefault="00416FDD" w:rsidP="00416FDD">
            <w:pPr>
              <w:spacing w:after="0" w:line="240" w:lineRule="auto"/>
              <w:rPr>
                <w:rFonts w:ascii="Times New Roman" w:eastAsia="Times New Roman" w:hAnsi="Times New Roman" w:cs="Times New Roman"/>
                <w:sz w:val="20"/>
                <w:szCs w:val="20"/>
                <w:lang w:eastAsia="en-GB"/>
              </w:rPr>
            </w:pPr>
          </w:p>
        </w:tc>
        <w:tc>
          <w:tcPr>
            <w:tcW w:w="1211" w:type="dxa"/>
            <w:tcBorders>
              <w:top w:val="nil"/>
              <w:left w:val="nil"/>
              <w:bottom w:val="nil"/>
              <w:right w:val="nil"/>
            </w:tcBorders>
            <w:shd w:val="clear" w:color="auto" w:fill="auto"/>
            <w:noWrap/>
            <w:vAlign w:val="bottom"/>
            <w:hideMark/>
          </w:tcPr>
          <w:p w14:paraId="23221C04" w14:textId="77777777" w:rsidR="00416FDD" w:rsidRPr="00A42EEB" w:rsidRDefault="00416FDD" w:rsidP="00416FDD">
            <w:pPr>
              <w:spacing w:after="0" w:line="240" w:lineRule="auto"/>
              <w:rPr>
                <w:rFonts w:ascii="Times New Roman" w:eastAsia="Times New Roman" w:hAnsi="Times New Roman" w:cs="Times New Roman"/>
                <w:sz w:val="20"/>
                <w:szCs w:val="20"/>
                <w:lang w:eastAsia="en-GB"/>
              </w:rPr>
            </w:pPr>
          </w:p>
        </w:tc>
        <w:tc>
          <w:tcPr>
            <w:tcW w:w="991" w:type="dxa"/>
            <w:tcBorders>
              <w:top w:val="nil"/>
              <w:left w:val="nil"/>
              <w:bottom w:val="nil"/>
              <w:right w:val="nil"/>
            </w:tcBorders>
            <w:shd w:val="clear" w:color="auto" w:fill="auto"/>
            <w:noWrap/>
            <w:vAlign w:val="center"/>
            <w:hideMark/>
          </w:tcPr>
          <w:p w14:paraId="6E998524" w14:textId="77777777" w:rsidR="00416FDD" w:rsidRPr="00A42EEB" w:rsidRDefault="00416FDD" w:rsidP="00416FDD">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1.</w:t>
            </w:r>
            <w:r w:rsidR="00AF5B75">
              <w:rPr>
                <w:rFonts w:ascii="Arial" w:eastAsia="Times New Roman" w:hAnsi="Arial" w:cs="Arial"/>
                <w:b/>
                <w:bCs/>
                <w:sz w:val="20"/>
                <w:szCs w:val="20"/>
                <w:lang w:eastAsia="en-GB"/>
              </w:rPr>
              <w:t>7</w:t>
            </w:r>
            <w:r w:rsidRPr="00A42EEB">
              <w:rPr>
                <w:rFonts w:ascii="Arial" w:eastAsia="Times New Roman" w:hAnsi="Arial" w:cs="Arial"/>
                <w:b/>
                <w:bCs/>
                <w:sz w:val="20"/>
                <w:szCs w:val="20"/>
                <w:lang w:eastAsia="en-GB"/>
              </w:rPr>
              <w:t>%</w:t>
            </w:r>
          </w:p>
        </w:tc>
        <w:tc>
          <w:tcPr>
            <w:tcW w:w="988" w:type="dxa"/>
            <w:tcBorders>
              <w:top w:val="nil"/>
              <w:left w:val="nil"/>
              <w:bottom w:val="nil"/>
              <w:right w:val="nil"/>
            </w:tcBorders>
            <w:shd w:val="clear" w:color="auto" w:fill="auto"/>
            <w:noWrap/>
            <w:vAlign w:val="center"/>
            <w:hideMark/>
          </w:tcPr>
          <w:p w14:paraId="12959F0E" w14:textId="77777777" w:rsidR="00416FDD" w:rsidRPr="00416FDD" w:rsidRDefault="00416FDD" w:rsidP="00416FDD">
            <w:pPr>
              <w:spacing w:after="0" w:line="240" w:lineRule="auto"/>
              <w:jc w:val="right"/>
              <w:rPr>
                <w:rFonts w:ascii="Arial" w:eastAsia="Times New Roman" w:hAnsi="Arial" w:cs="Arial"/>
                <w:sz w:val="20"/>
                <w:szCs w:val="20"/>
                <w:lang w:eastAsia="en-GB"/>
              </w:rPr>
            </w:pPr>
            <w:r w:rsidRPr="00416FDD">
              <w:rPr>
                <w:rFonts w:ascii="Arial" w:eastAsia="Times New Roman" w:hAnsi="Arial" w:cs="Arial"/>
                <w:bCs/>
                <w:sz w:val="20"/>
                <w:szCs w:val="20"/>
                <w:lang w:eastAsia="en-GB"/>
              </w:rPr>
              <w:t>1.8%</w:t>
            </w:r>
          </w:p>
        </w:tc>
      </w:tr>
      <w:tr w:rsidR="00416FDD" w:rsidRPr="00A42EEB" w14:paraId="51988F60" w14:textId="77777777" w:rsidTr="006647C2">
        <w:trPr>
          <w:trHeight w:val="323"/>
        </w:trPr>
        <w:tc>
          <w:tcPr>
            <w:tcW w:w="4373" w:type="dxa"/>
            <w:tcBorders>
              <w:top w:val="nil"/>
              <w:left w:val="nil"/>
              <w:bottom w:val="nil"/>
              <w:right w:val="nil"/>
            </w:tcBorders>
            <w:shd w:val="clear" w:color="auto" w:fill="auto"/>
            <w:noWrap/>
            <w:vAlign w:val="center"/>
            <w:hideMark/>
          </w:tcPr>
          <w:p w14:paraId="536A792B" w14:textId="77777777" w:rsidR="00416FDD" w:rsidRPr="00A42EEB" w:rsidRDefault="00416FDD" w:rsidP="00416FDD">
            <w:pPr>
              <w:spacing w:after="0" w:line="240" w:lineRule="auto"/>
              <w:rPr>
                <w:rFonts w:ascii="Arial" w:eastAsia="Times New Roman" w:hAnsi="Arial" w:cs="Arial"/>
                <w:sz w:val="20"/>
                <w:szCs w:val="20"/>
                <w:lang w:eastAsia="en-GB"/>
              </w:rPr>
            </w:pPr>
          </w:p>
        </w:tc>
        <w:tc>
          <w:tcPr>
            <w:tcW w:w="670" w:type="dxa"/>
            <w:tcBorders>
              <w:top w:val="nil"/>
              <w:left w:val="nil"/>
              <w:bottom w:val="nil"/>
              <w:right w:val="nil"/>
            </w:tcBorders>
            <w:shd w:val="clear" w:color="auto" w:fill="auto"/>
            <w:noWrap/>
            <w:vAlign w:val="bottom"/>
            <w:hideMark/>
          </w:tcPr>
          <w:p w14:paraId="36B7560A" w14:textId="77777777" w:rsidR="00416FDD" w:rsidRPr="00A42EEB" w:rsidRDefault="00416FDD" w:rsidP="00416FDD">
            <w:pPr>
              <w:spacing w:after="0" w:line="240" w:lineRule="auto"/>
              <w:rPr>
                <w:rFonts w:ascii="Times New Roman" w:eastAsia="Times New Roman" w:hAnsi="Times New Roman" w:cs="Times New Roman"/>
                <w:sz w:val="20"/>
                <w:szCs w:val="20"/>
                <w:lang w:eastAsia="en-GB"/>
              </w:rPr>
            </w:pPr>
          </w:p>
        </w:tc>
        <w:tc>
          <w:tcPr>
            <w:tcW w:w="959" w:type="dxa"/>
            <w:tcBorders>
              <w:top w:val="nil"/>
              <w:left w:val="nil"/>
              <w:bottom w:val="nil"/>
              <w:right w:val="nil"/>
            </w:tcBorders>
            <w:shd w:val="clear" w:color="auto" w:fill="auto"/>
            <w:noWrap/>
            <w:vAlign w:val="bottom"/>
            <w:hideMark/>
          </w:tcPr>
          <w:p w14:paraId="326C9B4B" w14:textId="77777777" w:rsidR="00416FDD" w:rsidRPr="00A42EEB" w:rsidRDefault="00416FDD" w:rsidP="00416FDD">
            <w:pPr>
              <w:spacing w:after="0" w:line="240" w:lineRule="auto"/>
              <w:rPr>
                <w:rFonts w:ascii="Times New Roman" w:eastAsia="Times New Roman" w:hAnsi="Times New Roman" w:cs="Times New Roman"/>
                <w:sz w:val="20"/>
                <w:szCs w:val="20"/>
                <w:lang w:eastAsia="en-GB"/>
              </w:rPr>
            </w:pPr>
          </w:p>
        </w:tc>
        <w:tc>
          <w:tcPr>
            <w:tcW w:w="1211" w:type="dxa"/>
            <w:tcBorders>
              <w:top w:val="nil"/>
              <w:left w:val="nil"/>
              <w:bottom w:val="nil"/>
              <w:right w:val="nil"/>
            </w:tcBorders>
            <w:shd w:val="clear" w:color="auto" w:fill="auto"/>
            <w:noWrap/>
            <w:vAlign w:val="bottom"/>
            <w:hideMark/>
          </w:tcPr>
          <w:p w14:paraId="0B8E6809" w14:textId="77777777" w:rsidR="00416FDD" w:rsidRPr="00A42EEB" w:rsidRDefault="00416FDD" w:rsidP="00416FDD">
            <w:pPr>
              <w:spacing w:after="0" w:line="240" w:lineRule="auto"/>
              <w:rPr>
                <w:rFonts w:ascii="Times New Roman" w:eastAsia="Times New Roman" w:hAnsi="Times New Roman" w:cs="Times New Roman"/>
                <w:sz w:val="20"/>
                <w:szCs w:val="20"/>
                <w:lang w:eastAsia="en-GB"/>
              </w:rPr>
            </w:pPr>
          </w:p>
        </w:tc>
        <w:tc>
          <w:tcPr>
            <w:tcW w:w="991" w:type="dxa"/>
            <w:tcBorders>
              <w:top w:val="nil"/>
              <w:left w:val="nil"/>
              <w:bottom w:val="nil"/>
              <w:right w:val="nil"/>
            </w:tcBorders>
            <w:shd w:val="clear" w:color="auto" w:fill="auto"/>
            <w:noWrap/>
            <w:vAlign w:val="center"/>
            <w:hideMark/>
          </w:tcPr>
          <w:p w14:paraId="7139E84D" w14:textId="77777777" w:rsidR="00416FDD" w:rsidRPr="00A42EEB" w:rsidRDefault="00416FDD" w:rsidP="00416FDD">
            <w:pPr>
              <w:spacing w:after="0" w:line="240" w:lineRule="auto"/>
              <w:jc w:val="right"/>
              <w:rPr>
                <w:rFonts w:ascii="Times New Roman" w:eastAsia="Times New Roman" w:hAnsi="Times New Roman" w:cs="Times New Roman"/>
                <w:sz w:val="20"/>
                <w:szCs w:val="20"/>
                <w:lang w:eastAsia="en-GB"/>
              </w:rPr>
            </w:pPr>
          </w:p>
        </w:tc>
        <w:tc>
          <w:tcPr>
            <w:tcW w:w="988" w:type="dxa"/>
            <w:tcBorders>
              <w:top w:val="nil"/>
              <w:left w:val="nil"/>
              <w:bottom w:val="nil"/>
              <w:right w:val="nil"/>
            </w:tcBorders>
            <w:shd w:val="clear" w:color="auto" w:fill="auto"/>
            <w:noWrap/>
            <w:vAlign w:val="center"/>
            <w:hideMark/>
          </w:tcPr>
          <w:p w14:paraId="5591B34E" w14:textId="77777777" w:rsidR="00416FDD" w:rsidRPr="00416FDD" w:rsidRDefault="00416FDD" w:rsidP="00416FDD">
            <w:pPr>
              <w:spacing w:after="0" w:line="240" w:lineRule="auto"/>
              <w:jc w:val="right"/>
              <w:rPr>
                <w:rFonts w:ascii="Times New Roman" w:eastAsia="Times New Roman" w:hAnsi="Times New Roman" w:cs="Times New Roman"/>
                <w:sz w:val="20"/>
                <w:szCs w:val="20"/>
                <w:lang w:eastAsia="en-GB"/>
              </w:rPr>
            </w:pPr>
          </w:p>
        </w:tc>
      </w:tr>
      <w:tr w:rsidR="00416FDD" w:rsidRPr="00A42EEB" w14:paraId="423721E9" w14:textId="77777777" w:rsidTr="006647C2">
        <w:trPr>
          <w:trHeight w:val="323"/>
        </w:trPr>
        <w:tc>
          <w:tcPr>
            <w:tcW w:w="6002" w:type="dxa"/>
            <w:gridSpan w:val="3"/>
            <w:tcBorders>
              <w:top w:val="nil"/>
              <w:left w:val="nil"/>
              <w:bottom w:val="nil"/>
              <w:right w:val="nil"/>
            </w:tcBorders>
            <w:shd w:val="clear" w:color="auto" w:fill="auto"/>
            <w:noWrap/>
            <w:vAlign w:val="center"/>
            <w:hideMark/>
          </w:tcPr>
          <w:p w14:paraId="64C1401F" w14:textId="77777777" w:rsidR="00416FDD" w:rsidRPr="00A42EEB" w:rsidRDefault="00416FDD" w:rsidP="00416FDD">
            <w:pPr>
              <w:spacing w:after="0" w:line="240" w:lineRule="auto"/>
              <w:rPr>
                <w:rFonts w:ascii="Arial" w:eastAsia="Times New Roman" w:hAnsi="Arial" w:cs="Arial"/>
                <w:sz w:val="20"/>
                <w:szCs w:val="20"/>
                <w:lang w:eastAsia="en-GB"/>
              </w:rPr>
            </w:pPr>
            <w:r w:rsidRPr="00A42EEB">
              <w:rPr>
                <w:rFonts w:ascii="Arial" w:eastAsia="Times New Roman" w:hAnsi="Arial" w:cs="Arial"/>
                <w:sz w:val="20"/>
                <w:szCs w:val="20"/>
                <w:lang w:eastAsia="en-GB"/>
              </w:rPr>
              <w:t>The mortality assumptions used were as follows:</w:t>
            </w:r>
          </w:p>
        </w:tc>
        <w:tc>
          <w:tcPr>
            <w:tcW w:w="1211" w:type="dxa"/>
            <w:tcBorders>
              <w:top w:val="nil"/>
              <w:left w:val="nil"/>
              <w:bottom w:val="nil"/>
              <w:right w:val="nil"/>
            </w:tcBorders>
            <w:shd w:val="clear" w:color="auto" w:fill="auto"/>
            <w:noWrap/>
            <w:vAlign w:val="bottom"/>
            <w:hideMark/>
          </w:tcPr>
          <w:p w14:paraId="64C5D4D4" w14:textId="77777777" w:rsidR="00416FDD" w:rsidRPr="00A42EEB" w:rsidRDefault="00416FDD" w:rsidP="00416FDD">
            <w:pPr>
              <w:spacing w:after="0" w:line="240" w:lineRule="auto"/>
              <w:rPr>
                <w:rFonts w:ascii="Arial" w:eastAsia="Times New Roman" w:hAnsi="Arial" w:cs="Arial"/>
                <w:sz w:val="20"/>
                <w:szCs w:val="20"/>
                <w:lang w:eastAsia="en-GB"/>
              </w:rPr>
            </w:pPr>
          </w:p>
        </w:tc>
        <w:tc>
          <w:tcPr>
            <w:tcW w:w="991" w:type="dxa"/>
            <w:tcBorders>
              <w:top w:val="nil"/>
              <w:left w:val="nil"/>
              <w:bottom w:val="nil"/>
              <w:right w:val="nil"/>
            </w:tcBorders>
            <w:shd w:val="clear" w:color="auto" w:fill="auto"/>
            <w:noWrap/>
            <w:vAlign w:val="center"/>
            <w:hideMark/>
          </w:tcPr>
          <w:p w14:paraId="1482B49E" w14:textId="77777777" w:rsidR="00416FDD" w:rsidRPr="00A42EEB" w:rsidRDefault="00416FDD" w:rsidP="00416FDD">
            <w:pPr>
              <w:spacing w:after="0" w:line="240" w:lineRule="auto"/>
              <w:jc w:val="right"/>
              <w:rPr>
                <w:rFonts w:ascii="Times New Roman" w:eastAsia="Times New Roman" w:hAnsi="Times New Roman" w:cs="Times New Roman"/>
                <w:sz w:val="20"/>
                <w:szCs w:val="20"/>
                <w:lang w:eastAsia="en-GB"/>
              </w:rPr>
            </w:pPr>
          </w:p>
        </w:tc>
        <w:tc>
          <w:tcPr>
            <w:tcW w:w="988" w:type="dxa"/>
            <w:tcBorders>
              <w:top w:val="nil"/>
              <w:left w:val="nil"/>
              <w:bottom w:val="nil"/>
              <w:right w:val="nil"/>
            </w:tcBorders>
            <w:shd w:val="clear" w:color="auto" w:fill="auto"/>
            <w:noWrap/>
            <w:vAlign w:val="center"/>
            <w:hideMark/>
          </w:tcPr>
          <w:p w14:paraId="7557BE94" w14:textId="77777777" w:rsidR="00416FDD" w:rsidRPr="00416FDD" w:rsidRDefault="00416FDD" w:rsidP="00416FDD">
            <w:pPr>
              <w:spacing w:after="0" w:line="240" w:lineRule="auto"/>
              <w:jc w:val="right"/>
              <w:rPr>
                <w:rFonts w:ascii="Times New Roman" w:eastAsia="Times New Roman" w:hAnsi="Times New Roman" w:cs="Times New Roman"/>
                <w:sz w:val="20"/>
                <w:szCs w:val="20"/>
                <w:lang w:eastAsia="en-GB"/>
              </w:rPr>
            </w:pPr>
          </w:p>
        </w:tc>
      </w:tr>
      <w:tr w:rsidR="00416FDD" w:rsidRPr="00A42EEB" w14:paraId="51E8AE97" w14:textId="77777777" w:rsidTr="006647C2">
        <w:trPr>
          <w:trHeight w:val="323"/>
        </w:trPr>
        <w:tc>
          <w:tcPr>
            <w:tcW w:w="4373" w:type="dxa"/>
            <w:tcBorders>
              <w:top w:val="nil"/>
              <w:left w:val="nil"/>
              <w:bottom w:val="nil"/>
              <w:right w:val="nil"/>
            </w:tcBorders>
            <w:shd w:val="clear" w:color="auto" w:fill="auto"/>
            <w:noWrap/>
            <w:vAlign w:val="center"/>
            <w:hideMark/>
          </w:tcPr>
          <w:p w14:paraId="581CC215" w14:textId="77777777" w:rsidR="00416FDD" w:rsidRPr="00A42EEB" w:rsidRDefault="00416FDD" w:rsidP="00416FDD">
            <w:pPr>
              <w:spacing w:after="0" w:line="240" w:lineRule="auto"/>
              <w:rPr>
                <w:rFonts w:ascii="Times New Roman" w:eastAsia="Times New Roman" w:hAnsi="Times New Roman" w:cs="Times New Roman"/>
                <w:sz w:val="20"/>
                <w:szCs w:val="20"/>
                <w:lang w:eastAsia="en-GB"/>
              </w:rPr>
            </w:pPr>
          </w:p>
        </w:tc>
        <w:tc>
          <w:tcPr>
            <w:tcW w:w="670" w:type="dxa"/>
            <w:tcBorders>
              <w:top w:val="nil"/>
              <w:left w:val="nil"/>
              <w:bottom w:val="nil"/>
              <w:right w:val="nil"/>
            </w:tcBorders>
            <w:shd w:val="clear" w:color="auto" w:fill="auto"/>
            <w:noWrap/>
            <w:vAlign w:val="bottom"/>
            <w:hideMark/>
          </w:tcPr>
          <w:p w14:paraId="624E82AF" w14:textId="77777777" w:rsidR="00416FDD" w:rsidRPr="00A42EEB" w:rsidRDefault="00416FDD" w:rsidP="00416FDD">
            <w:pPr>
              <w:spacing w:after="0" w:line="240" w:lineRule="auto"/>
              <w:rPr>
                <w:rFonts w:ascii="Times New Roman" w:eastAsia="Times New Roman" w:hAnsi="Times New Roman" w:cs="Times New Roman"/>
                <w:sz w:val="20"/>
                <w:szCs w:val="20"/>
                <w:lang w:eastAsia="en-GB"/>
              </w:rPr>
            </w:pPr>
          </w:p>
        </w:tc>
        <w:tc>
          <w:tcPr>
            <w:tcW w:w="959" w:type="dxa"/>
            <w:tcBorders>
              <w:top w:val="nil"/>
              <w:left w:val="nil"/>
              <w:bottom w:val="nil"/>
              <w:right w:val="nil"/>
            </w:tcBorders>
            <w:shd w:val="clear" w:color="auto" w:fill="auto"/>
            <w:noWrap/>
            <w:vAlign w:val="bottom"/>
            <w:hideMark/>
          </w:tcPr>
          <w:p w14:paraId="78F8525B" w14:textId="77777777" w:rsidR="00416FDD" w:rsidRPr="00A42EEB" w:rsidRDefault="00416FDD" w:rsidP="00416FDD">
            <w:pPr>
              <w:spacing w:after="0" w:line="240" w:lineRule="auto"/>
              <w:rPr>
                <w:rFonts w:ascii="Times New Roman" w:eastAsia="Times New Roman" w:hAnsi="Times New Roman" w:cs="Times New Roman"/>
                <w:sz w:val="20"/>
                <w:szCs w:val="20"/>
                <w:lang w:eastAsia="en-GB"/>
              </w:rPr>
            </w:pPr>
          </w:p>
        </w:tc>
        <w:tc>
          <w:tcPr>
            <w:tcW w:w="1211" w:type="dxa"/>
            <w:tcBorders>
              <w:top w:val="nil"/>
              <w:left w:val="nil"/>
              <w:bottom w:val="nil"/>
              <w:right w:val="nil"/>
            </w:tcBorders>
            <w:shd w:val="clear" w:color="auto" w:fill="auto"/>
            <w:noWrap/>
            <w:vAlign w:val="bottom"/>
            <w:hideMark/>
          </w:tcPr>
          <w:p w14:paraId="697C64A4" w14:textId="77777777" w:rsidR="00416FDD" w:rsidRPr="00A42EEB" w:rsidRDefault="00416FDD" w:rsidP="00416FDD">
            <w:pPr>
              <w:spacing w:after="0" w:line="240" w:lineRule="auto"/>
              <w:rPr>
                <w:rFonts w:ascii="Times New Roman" w:eastAsia="Times New Roman" w:hAnsi="Times New Roman" w:cs="Times New Roman"/>
                <w:sz w:val="20"/>
                <w:szCs w:val="20"/>
                <w:lang w:eastAsia="en-GB"/>
              </w:rPr>
            </w:pPr>
          </w:p>
        </w:tc>
        <w:tc>
          <w:tcPr>
            <w:tcW w:w="991" w:type="dxa"/>
            <w:tcBorders>
              <w:top w:val="nil"/>
              <w:left w:val="nil"/>
              <w:bottom w:val="nil"/>
              <w:right w:val="nil"/>
            </w:tcBorders>
            <w:shd w:val="clear" w:color="auto" w:fill="auto"/>
            <w:noWrap/>
            <w:vAlign w:val="center"/>
            <w:hideMark/>
          </w:tcPr>
          <w:p w14:paraId="642DE3E2" w14:textId="77777777" w:rsidR="00416FDD" w:rsidRPr="00A42EEB" w:rsidRDefault="00416FDD" w:rsidP="00416FDD">
            <w:pPr>
              <w:spacing w:after="0" w:line="240" w:lineRule="auto"/>
              <w:jc w:val="right"/>
              <w:rPr>
                <w:rFonts w:ascii="Times New Roman" w:eastAsia="Times New Roman" w:hAnsi="Times New Roman" w:cs="Times New Roman"/>
                <w:sz w:val="20"/>
                <w:szCs w:val="20"/>
                <w:lang w:eastAsia="en-GB"/>
              </w:rPr>
            </w:pPr>
          </w:p>
        </w:tc>
        <w:tc>
          <w:tcPr>
            <w:tcW w:w="988" w:type="dxa"/>
            <w:tcBorders>
              <w:top w:val="nil"/>
              <w:left w:val="nil"/>
              <w:bottom w:val="nil"/>
              <w:right w:val="nil"/>
            </w:tcBorders>
            <w:shd w:val="clear" w:color="auto" w:fill="auto"/>
            <w:noWrap/>
            <w:vAlign w:val="center"/>
            <w:hideMark/>
          </w:tcPr>
          <w:p w14:paraId="4F8C3C0D" w14:textId="77777777" w:rsidR="00416FDD" w:rsidRPr="00416FDD" w:rsidRDefault="00416FDD" w:rsidP="00416FDD">
            <w:pPr>
              <w:spacing w:after="0" w:line="240" w:lineRule="auto"/>
              <w:jc w:val="right"/>
              <w:rPr>
                <w:rFonts w:ascii="Times New Roman" w:eastAsia="Times New Roman" w:hAnsi="Times New Roman" w:cs="Times New Roman"/>
                <w:sz w:val="20"/>
                <w:szCs w:val="20"/>
                <w:lang w:eastAsia="en-GB"/>
              </w:rPr>
            </w:pPr>
          </w:p>
        </w:tc>
      </w:tr>
      <w:tr w:rsidR="00022375" w:rsidRPr="00A42EEB" w14:paraId="53602280" w14:textId="77777777" w:rsidTr="006647C2">
        <w:trPr>
          <w:trHeight w:val="323"/>
        </w:trPr>
        <w:tc>
          <w:tcPr>
            <w:tcW w:w="4373" w:type="dxa"/>
            <w:tcBorders>
              <w:top w:val="nil"/>
              <w:left w:val="nil"/>
              <w:bottom w:val="nil"/>
              <w:right w:val="nil"/>
            </w:tcBorders>
            <w:shd w:val="clear" w:color="auto" w:fill="auto"/>
            <w:noWrap/>
            <w:vAlign w:val="center"/>
            <w:hideMark/>
          </w:tcPr>
          <w:p w14:paraId="667EB7F6" w14:textId="77777777" w:rsidR="00022375" w:rsidRPr="00A42EEB" w:rsidRDefault="00022375" w:rsidP="00022375">
            <w:pPr>
              <w:spacing w:after="0" w:line="240" w:lineRule="auto"/>
              <w:rPr>
                <w:rFonts w:ascii="Arial" w:eastAsia="Times New Roman" w:hAnsi="Arial" w:cs="Arial"/>
                <w:sz w:val="20"/>
                <w:szCs w:val="20"/>
                <w:lang w:eastAsia="en-GB"/>
              </w:rPr>
            </w:pPr>
            <w:r w:rsidRPr="00DA5F44">
              <w:rPr>
                <w:rFonts w:ascii="Arial" w:eastAsia="Times New Roman" w:hAnsi="Arial" w:cs="Arial"/>
                <w:sz w:val="20"/>
                <w:szCs w:val="20"/>
                <w:lang w:eastAsia="en-GB"/>
              </w:rPr>
              <w:t>Longevity at age 65 for current pen</w:t>
            </w:r>
            <w:r>
              <w:rPr>
                <w:rFonts w:ascii="Arial" w:eastAsia="Times New Roman" w:hAnsi="Arial" w:cs="Arial"/>
                <w:sz w:val="20"/>
                <w:szCs w:val="20"/>
                <w:lang w:eastAsia="en-GB"/>
              </w:rPr>
              <w:t>s</w:t>
            </w:r>
            <w:r w:rsidRPr="00DA5F44">
              <w:rPr>
                <w:rFonts w:ascii="Arial" w:eastAsia="Times New Roman" w:hAnsi="Arial" w:cs="Arial"/>
                <w:sz w:val="20"/>
                <w:szCs w:val="20"/>
                <w:lang w:eastAsia="en-GB"/>
              </w:rPr>
              <w:t>ioners</w:t>
            </w:r>
          </w:p>
        </w:tc>
        <w:tc>
          <w:tcPr>
            <w:tcW w:w="670" w:type="dxa"/>
            <w:tcBorders>
              <w:top w:val="nil"/>
              <w:left w:val="nil"/>
              <w:bottom w:val="nil"/>
              <w:right w:val="nil"/>
            </w:tcBorders>
            <w:shd w:val="clear" w:color="auto" w:fill="auto"/>
            <w:noWrap/>
            <w:vAlign w:val="bottom"/>
            <w:hideMark/>
          </w:tcPr>
          <w:p w14:paraId="266441CB" w14:textId="77777777" w:rsidR="00022375" w:rsidRPr="00A42EEB" w:rsidRDefault="00022375" w:rsidP="00022375">
            <w:pPr>
              <w:spacing w:after="0" w:line="240" w:lineRule="auto"/>
              <w:rPr>
                <w:rFonts w:ascii="Arial" w:eastAsia="Times New Roman" w:hAnsi="Arial" w:cs="Arial"/>
                <w:sz w:val="20"/>
                <w:szCs w:val="20"/>
                <w:lang w:eastAsia="en-GB"/>
              </w:rPr>
            </w:pPr>
          </w:p>
        </w:tc>
        <w:tc>
          <w:tcPr>
            <w:tcW w:w="959" w:type="dxa"/>
            <w:tcBorders>
              <w:top w:val="nil"/>
              <w:left w:val="nil"/>
              <w:bottom w:val="nil"/>
              <w:right w:val="nil"/>
            </w:tcBorders>
            <w:shd w:val="clear" w:color="auto" w:fill="auto"/>
            <w:noWrap/>
            <w:vAlign w:val="bottom"/>
            <w:hideMark/>
          </w:tcPr>
          <w:p w14:paraId="6F3CD206" w14:textId="77777777" w:rsidR="00022375" w:rsidRPr="00A42EEB" w:rsidRDefault="00022375" w:rsidP="00022375">
            <w:pPr>
              <w:spacing w:after="0" w:line="240" w:lineRule="auto"/>
              <w:rPr>
                <w:rFonts w:ascii="Times New Roman" w:eastAsia="Times New Roman" w:hAnsi="Times New Roman" w:cs="Times New Roman"/>
                <w:sz w:val="20"/>
                <w:szCs w:val="20"/>
                <w:lang w:eastAsia="en-GB"/>
              </w:rPr>
            </w:pPr>
          </w:p>
        </w:tc>
        <w:tc>
          <w:tcPr>
            <w:tcW w:w="1211" w:type="dxa"/>
            <w:tcBorders>
              <w:top w:val="nil"/>
              <w:left w:val="nil"/>
              <w:bottom w:val="nil"/>
              <w:right w:val="nil"/>
            </w:tcBorders>
            <w:shd w:val="clear" w:color="auto" w:fill="auto"/>
            <w:noWrap/>
            <w:vAlign w:val="bottom"/>
            <w:hideMark/>
          </w:tcPr>
          <w:p w14:paraId="0B5222C0" w14:textId="77777777" w:rsidR="00022375" w:rsidRPr="00A42EEB" w:rsidRDefault="00022375" w:rsidP="00022375">
            <w:pPr>
              <w:spacing w:after="0" w:line="240" w:lineRule="auto"/>
              <w:rPr>
                <w:rFonts w:ascii="Times New Roman" w:eastAsia="Times New Roman" w:hAnsi="Times New Roman" w:cs="Times New Roman"/>
                <w:sz w:val="20"/>
                <w:szCs w:val="20"/>
                <w:lang w:eastAsia="en-GB"/>
              </w:rPr>
            </w:pPr>
          </w:p>
        </w:tc>
        <w:tc>
          <w:tcPr>
            <w:tcW w:w="991" w:type="dxa"/>
            <w:tcBorders>
              <w:top w:val="nil"/>
              <w:left w:val="nil"/>
              <w:bottom w:val="nil"/>
              <w:right w:val="nil"/>
            </w:tcBorders>
            <w:shd w:val="clear" w:color="auto" w:fill="auto"/>
            <w:noWrap/>
            <w:vAlign w:val="center"/>
            <w:hideMark/>
          </w:tcPr>
          <w:p w14:paraId="690BC8E2" w14:textId="77777777" w:rsidR="00022375" w:rsidRPr="00A42EEB" w:rsidRDefault="00022375" w:rsidP="00022375">
            <w:pPr>
              <w:spacing w:after="0" w:line="240" w:lineRule="auto"/>
              <w:jc w:val="right"/>
              <w:rPr>
                <w:rFonts w:ascii="Times New Roman" w:eastAsia="Times New Roman" w:hAnsi="Times New Roman" w:cs="Times New Roman"/>
                <w:sz w:val="20"/>
                <w:szCs w:val="20"/>
                <w:lang w:eastAsia="en-GB"/>
              </w:rPr>
            </w:pPr>
          </w:p>
        </w:tc>
        <w:tc>
          <w:tcPr>
            <w:tcW w:w="988" w:type="dxa"/>
            <w:tcBorders>
              <w:top w:val="nil"/>
              <w:left w:val="nil"/>
              <w:bottom w:val="nil"/>
              <w:right w:val="nil"/>
            </w:tcBorders>
            <w:shd w:val="clear" w:color="auto" w:fill="auto"/>
            <w:noWrap/>
            <w:vAlign w:val="center"/>
            <w:hideMark/>
          </w:tcPr>
          <w:p w14:paraId="04267B98" w14:textId="77777777" w:rsidR="00022375" w:rsidRPr="00416FDD" w:rsidRDefault="00022375" w:rsidP="00022375">
            <w:pPr>
              <w:spacing w:after="0" w:line="240" w:lineRule="auto"/>
              <w:jc w:val="right"/>
              <w:rPr>
                <w:rFonts w:ascii="Times New Roman" w:eastAsia="Times New Roman" w:hAnsi="Times New Roman" w:cs="Times New Roman"/>
                <w:sz w:val="20"/>
                <w:szCs w:val="20"/>
                <w:lang w:eastAsia="en-GB"/>
              </w:rPr>
            </w:pPr>
          </w:p>
        </w:tc>
      </w:tr>
      <w:tr w:rsidR="00022375" w:rsidRPr="00A42EEB" w14:paraId="12D0AE64" w14:textId="77777777" w:rsidTr="006647C2">
        <w:trPr>
          <w:trHeight w:val="323"/>
        </w:trPr>
        <w:tc>
          <w:tcPr>
            <w:tcW w:w="4373" w:type="dxa"/>
            <w:tcBorders>
              <w:top w:val="nil"/>
              <w:left w:val="nil"/>
              <w:bottom w:val="nil"/>
              <w:right w:val="nil"/>
            </w:tcBorders>
            <w:shd w:val="clear" w:color="auto" w:fill="auto"/>
            <w:noWrap/>
            <w:vAlign w:val="center"/>
            <w:hideMark/>
          </w:tcPr>
          <w:p w14:paraId="2A186FC1" w14:textId="77777777" w:rsidR="00022375" w:rsidRPr="00A42EEB" w:rsidRDefault="00022375">
            <w:pPr>
              <w:spacing w:after="0" w:line="240" w:lineRule="auto"/>
              <w:rPr>
                <w:rFonts w:ascii="Arial" w:eastAsia="Times New Roman" w:hAnsi="Arial" w:cs="Arial"/>
                <w:sz w:val="20"/>
                <w:szCs w:val="20"/>
                <w:lang w:eastAsia="en-GB"/>
              </w:rPr>
            </w:pPr>
            <w:r w:rsidRPr="00DA5F44">
              <w:rPr>
                <w:rFonts w:ascii="Arial" w:eastAsia="Times New Roman" w:hAnsi="Arial" w:cs="Arial"/>
                <w:sz w:val="20"/>
                <w:szCs w:val="20"/>
                <w:lang w:eastAsia="en-GB"/>
              </w:rPr>
              <w:t>- Men</w:t>
            </w:r>
          </w:p>
        </w:tc>
        <w:tc>
          <w:tcPr>
            <w:tcW w:w="670" w:type="dxa"/>
            <w:tcBorders>
              <w:top w:val="nil"/>
              <w:left w:val="nil"/>
              <w:bottom w:val="nil"/>
              <w:right w:val="nil"/>
            </w:tcBorders>
            <w:shd w:val="clear" w:color="auto" w:fill="auto"/>
            <w:noWrap/>
            <w:vAlign w:val="bottom"/>
            <w:hideMark/>
          </w:tcPr>
          <w:p w14:paraId="0683FE22" w14:textId="77777777" w:rsidR="00022375" w:rsidRPr="00A42EEB" w:rsidRDefault="00022375">
            <w:pPr>
              <w:spacing w:after="0" w:line="240" w:lineRule="auto"/>
              <w:rPr>
                <w:rFonts w:ascii="Arial" w:eastAsia="Times New Roman" w:hAnsi="Arial" w:cs="Arial"/>
                <w:sz w:val="20"/>
                <w:szCs w:val="20"/>
                <w:lang w:eastAsia="en-GB"/>
              </w:rPr>
            </w:pPr>
          </w:p>
        </w:tc>
        <w:tc>
          <w:tcPr>
            <w:tcW w:w="959" w:type="dxa"/>
            <w:tcBorders>
              <w:top w:val="nil"/>
              <w:left w:val="nil"/>
              <w:bottom w:val="nil"/>
              <w:right w:val="nil"/>
            </w:tcBorders>
            <w:shd w:val="clear" w:color="auto" w:fill="auto"/>
            <w:noWrap/>
            <w:vAlign w:val="bottom"/>
            <w:hideMark/>
          </w:tcPr>
          <w:p w14:paraId="10B9089D" w14:textId="77777777" w:rsidR="00022375" w:rsidRPr="00A42EEB" w:rsidRDefault="00022375">
            <w:pPr>
              <w:spacing w:after="0" w:line="240" w:lineRule="auto"/>
              <w:rPr>
                <w:rFonts w:ascii="Times New Roman" w:eastAsia="Times New Roman" w:hAnsi="Times New Roman" w:cs="Times New Roman"/>
                <w:sz w:val="20"/>
                <w:szCs w:val="20"/>
                <w:lang w:eastAsia="en-GB"/>
              </w:rPr>
            </w:pPr>
          </w:p>
        </w:tc>
        <w:tc>
          <w:tcPr>
            <w:tcW w:w="1211" w:type="dxa"/>
            <w:tcBorders>
              <w:top w:val="nil"/>
              <w:left w:val="nil"/>
              <w:bottom w:val="nil"/>
              <w:right w:val="nil"/>
            </w:tcBorders>
            <w:shd w:val="clear" w:color="auto" w:fill="auto"/>
            <w:noWrap/>
            <w:vAlign w:val="bottom"/>
            <w:hideMark/>
          </w:tcPr>
          <w:p w14:paraId="258C3399" w14:textId="77777777" w:rsidR="00022375" w:rsidRPr="00A42EEB" w:rsidRDefault="00022375">
            <w:pPr>
              <w:spacing w:after="0" w:line="240" w:lineRule="auto"/>
              <w:rPr>
                <w:rFonts w:ascii="Times New Roman" w:eastAsia="Times New Roman" w:hAnsi="Times New Roman" w:cs="Times New Roman"/>
                <w:sz w:val="20"/>
                <w:szCs w:val="20"/>
                <w:lang w:eastAsia="en-GB"/>
              </w:rPr>
            </w:pPr>
          </w:p>
        </w:tc>
        <w:tc>
          <w:tcPr>
            <w:tcW w:w="991" w:type="dxa"/>
            <w:tcBorders>
              <w:top w:val="nil"/>
              <w:left w:val="nil"/>
              <w:bottom w:val="nil"/>
              <w:right w:val="nil"/>
            </w:tcBorders>
            <w:shd w:val="clear" w:color="auto" w:fill="auto"/>
            <w:noWrap/>
            <w:vAlign w:val="center"/>
            <w:hideMark/>
          </w:tcPr>
          <w:p w14:paraId="0EA42FC7" w14:textId="77777777" w:rsidR="00022375" w:rsidRPr="00A42EEB" w:rsidRDefault="00022375">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87.4</w:t>
            </w:r>
          </w:p>
        </w:tc>
        <w:tc>
          <w:tcPr>
            <w:tcW w:w="988" w:type="dxa"/>
            <w:tcBorders>
              <w:top w:val="nil"/>
              <w:left w:val="nil"/>
              <w:bottom w:val="nil"/>
              <w:right w:val="nil"/>
            </w:tcBorders>
            <w:shd w:val="clear" w:color="auto" w:fill="auto"/>
            <w:noWrap/>
            <w:vAlign w:val="center"/>
            <w:hideMark/>
          </w:tcPr>
          <w:p w14:paraId="4BC9ABCD" w14:textId="77777777" w:rsidR="00022375" w:rsidRPr="00416FDD" w:rsidRDefault="00022375">
            <w:pPr>
              <w:spacing w:after="0" w:line="240" w:lineRule="auto"/>
              <w:jc w:val="right"/>
              <w:rPr>
                <w:rFonts w:ascii="Arial" w:eastAsia="Times New Roman" w:hAnsi="Arial" w:cs="Arial"/>
                <w:sz w:val="20"/>
                <w:szCs w:val="20"/>
                <w:lang w:eastAsia="en-GB"/>
              </w:rPr>
            </w:pPr>
            <w:r>
              <w:rPr>
                <w:rFonts w:ascii="Arial" w:eastAsia="Times New Roman" w:hAnsi="Arial" w:cs="Arial"/>
                <w:bCs/>
                <w:sz w:val="20"/>
                <w:szCs w:val="20"/>
                <w:lang w:eastAsia="en-GB"/>
              </w:rPr>
              <w:t>88</w:t>
            </w:r>
            <w:r w:rsidRPr="00416FDD">
              <w:rPr>
                <w:rFonts w:ascii="Arial" w:eastAsia="Times New Roman" w:hAnsi="Arial" w:cs="Arial"/>
                <w:bCs/>
                <w:sz w:val="20"/>
                <w:szCs w:val="20"/>
                <w:lang w:eastAsia="en-GB"/>
              </w:rPr>
              <w:t>.1</w:t>
            </w:r>
          </w:p>
        </w:tc>
      </w:tr>
      <w:tr w:rsidR="00022375" w:rsidRPr="00A42EEB" w14:paraId="546310F7" w14:textId="77777777" w:rsidTr="006647C2">
        <w:trPr>
          <w:trHeight w:val="323"/>
        </w:trPr>
        <w:tc>
          <w:tcPr>
            <w:tcW w:w="4373" w:type="dxa"/>
            <w:tcBorders>
              <w:top w:val="nil"/>
              <w:left w:val="nil"/>
              <w:bottom w:val="nil"/>
              <w:right w:val="nil"/>
            </w:tcBorders>
            <w:shd w:val="clear" w:color="auto" w:fill="auto"/>
            <w:noWrap/>
            <w:vAlign w:val="center"/>
            <w:hideMark/>
          </w:tcPr>
          <w:p w14:paraId="6ABF00C7" w14:textId="77777777" w:rsidR="00022375" w:rsidRPr="00A42EEB" w:rsidRDefault="00022375">
            <w:pPr>
              <w:spacing w:after="0" w:line="240" w:lineRule="auto"/>
              <w:rPr>
                <w:rFonts w:ascii="Arial" w:eastAsia="Times New Roman" w:hAnsi="Arial" w:cs="Arial"/>
                <w:sz w:val="20"/>
                <w:szCs w:val="20"/>
                <w:lang w:eastAsia="en-GB"/>
              </w:rPr>
            </w:pPr>
            <w:r w:rsidRPr="00DA5F44">
              <w:rPr>
                <w:rFonts w:ascii="Arial" w:eastAsia="Times New Roman" w:hAnsi="Arial" w:cs="Arial"/>
                <w:sz w:val="20"/>
                <w:szCs w:val="20"/>
                <w:lang w:eastAsia="en-GB"/>
              </w:rPr>
              <w:t>- Women</w:t>
            </w:r>
          </w:p>
        </w:tc>
        <w:tc>
          <w:tcPr>
            <w:tcW w:w="670" w:type="dxa"/>
            <w:tcBorders>
              <w:top w:val="nil"/>
              <w:left w:val="nil"/>
              <w:bottom w:val="nil"/>
              <w:right w:val="nil"/>
            </w:tcBorders>
            <w:shd w:val="clear" w:color="auto" w:fill="auto"/>
            <w:noWrap/>
            <w:vAlign w:val="bottom"/>
            <w:hideMark/>
          </w:tcPr>
          <w:p w14:paraId="3C8DB2F3" w14:textId="77777777" w:rsidR="00022375" w:rsidRPr="00A42EEB" w:rsidRDefault="00022375">
            <w:pPr>
              <w:spacing w:after="0" w:line="240" w:lineRule="auto"/>
              <w:rPr>
                <w:rFonts w:ascii="Arial" w:eastAsia="Times New Roman" w:hAnsi="Arial" w:cs="Arial"/>
                <w:sz w:val="20"/>
                <w:szCs w:val="20"/>
                <w:lang w:eastAsia="en-GB"/>
              </w:rPr>
            </w:pPr>
          </w:p>
        </w:tc>
        <w:tc>
          <w:tcPr>
            <w:tcW w:w="959" w:type="dxa"/>
            <w:tcBorders>
              <w:top w:val="nil"/>
              <w:left w:val="nil"/>
              <w:bottom w:val="nil"/>
              <w:right w:val="nil"/>
            </w:tcBorders>
            <w:shd w:val="clear" w:color="auto" w:fill="auto"/>
            <w:noWrap/>
            <w:vAlign w:val="bottom"/>
            <w:hideMark/>
          </w:tcPr>
          <w:p w14:paraId="2316FA42" w14:textId="77777777" w:rsidR="00022375" w:rsidRPr="00A42EEB" w:rsidRDefault="00022375">
            <w:pPr>
              <w:spacing w:after="0" w:line="240" w:lineRule="auto"/>
              <w:rPr>
                <w:rFonts w:ascii="Times New Roman" w:eastAsia="Times New Roman" w:hAnsi="Times New Roman" w:cs="Times New Roman"/>
                <w:sz w:val="20"/>
                <w:szCs w:val="20"/>
                <w:lang w:eastAsia="en-GB"/>
              </w:rPr>
            </w:pPr>
          </w:p>
        </w:tc>
        <w:tc>
          <w:tcPr>
            <w:tcW w:w="1211" w:type="dxa"/>
            <w:tcBorders>
              <w:top w:val="nil"/>
              <w:left w:val="nil"/>
              <w:bottom w:val="nil"/>
              <w:right w:val="nil"/>
            </w:tcBorders>
            <w:shd w:val="clear" w:color="auto" w:fill="auto"/>
            <w:noWrap/>
            <w:vAlign w:val="bottom"/>
            <w:hideMark/>
          </w:tcPr>
          <w:p w14:paraId="438B719F" w14:textId="77777777" w:rsidR="00022375" w:rsidRPr="00A42EEB" w:rsidRDefault="00022375">
            <w:pPr>
              <w:spacing w:after="0" w:line="240" w:lineRule="auto"/>
              <w:rPr>
                <w:rFonts w:ascii="Times New Roman" w:eastAsia="Times New Roman" w:hAnsi="Times New Roman" w:cs="Times New Roman"/>
                <w:sz w:val="20"/>
                <w:szCs w:val="20"/>
                <w:lang w:eastAsia="en-GB"/>
              </w:rPr>
            </w:pPr>
          </w:p>
        </w:tc>
        <w:tc>
          <w:tcPr>
            <w:tcW w:w="991" w:type="dxa"/>
            <w:tcBorders>
              <w:top w:val="nil"/>
              <w:left w:val="nil"/>
              <w:bottom w:val="nil"/>
              <w:right w:val="nil"/>
            </w:tcBorders>
            <w:shd w:val="clear" w:color="auto" w:fill="auto"/>
            <w:noWrap/>
            <w:vAlign w:val="center"/>
            <w:hideMark/>
          </w:tcPr>
          <w:p w14:paraId="5792AAB7" w14:textId="77777777" w:rsidR="00022375" w:rsidRPr="00A42EEB" w:rsidRDefault="00022375">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90.2</w:t>
            </w:r>
          </w:p>
        </w:tc>
        <w:tc>
          <w:tcPr>
            <w:tcW w:w="988" w:type="dxa"/>
            <w:tcBorders>
              <w:top w:val="nil"/>
              <w:left w:val="nil"/>
              <w:bottom w:val="nil"/>
              <w:right w:val="nil"/>
            </w:tcBorders>
            <w:shd w:val="clear" w:color="auto" w:fill="auto"/>
            <w:noWrap/>
            <w:vAlign w:val="center"/>
            <w:hideMark/>
          </w:tcPr>
          <w:p w14:paraId="30AC1309" w14:textId="77777777" w:rsidR="00022375" w:rsidRPr="00416FDD" w:rsidRDefault="00022375">
            <w:pPr>
              <w:spacing w:after="0" w:line="240" w:lineRule="auto"/>
              <w:jc w:val="right"/>
              <w:rPr>
                <w:rFonts w:ascii="Arial" w:eastAsia="Times New Roman" w:hAnsi="Arial" w:cs="Arial"/>
                <w:sz w:val="20"/>
                <w:szCs w:val="20"/>
                <w:lang w:eastAsia="en-GB"/>
              </w:rPr>
            </w:pPr>
            <w:r>
              <w:rPr>
                <w:rFonts w:ascii="Arial" w:eastAsia="Times New Roman" w:hAnsi="Arial" w:cs="Arial"/>
                <w:bCs/>
                <w:sz w:val="20"/>
                <w:szCs w:val="20"/>
                <w:lang w:eastAsia="en-GB"/>
              </w:rPr>
              <w:t>90.9</w:t>
            </w:r>
          </w:p>
        </w:tc>
      </w:tr>
      <w:tr w:rsidR="00022375" w:rsidRPr="00A42EEB" w14:paraId="26486474" w14:textId="77777777" w:rsidTr="006647C2">
        <w:trPr>
          <w:trHeight w:val="323"/>
        </w:trPr>
        <w:tc>
          <w:tcPr>
            <w:tcW w:w="4373" w:type="dxa"/>
            <w:tcBorders>
              <w:top w:val="nil"/>
              <w:left w:val="nil"/>
              <w:bottom w:val="nil"/>
              <w:right w:val="nil"/>
            </w:tcBorders>
            <w:shd w:val="clear" w:color="auto" w:fill="auto"/>
            <w:noWrap/>
            <w:vAlign w:val="center"/>
            <w:hideMark/>
          </w:tcPr>
          <w:p w14:paraId="778EC59E" w14:textId="77777777" w:rsidR="00022375" w:rsidRPr="00A42EEB" w:rsidRDefault="00022375" w:rsidP="00022375">
            <w:pPr>
              <w:spacing w:after="0" w:line="240" w:lineRule="auto"/>
              <w:rPr>
                <w:rFonts w:ascii="Arial" w:eastAsia="Times New Roman" w:hAnsi="Arial" w:cs="Arial"/>
                <w:sz w:val="20"/>
                <w:szCs w:val="20"/>
                <w:lang w:eastAsia="en-GB"/>
              </w:rPr>
            </w:pPr>
            <w:r w:rsidRPr="00DA5F44">
              <w:rPr>
                <w:rFonts w:ascii="Arial" w:eastAsia="Times New Roman" w:hAnsi="Arial" w:cs="Arial"/>
                <w:sz w:val="20"/>
                <w:szCs w:val="20"/>
                <w:lang w:eastAsia="en-GB"/>
              </w:rPr>
              <w:t>Longevity at 65 for future pensioners:</w:t>
            </w:r>
          </w:p>
        </w:tc>
        <w:tc>
          <w:tcPr>
            <w:tcW w:w="670" w:type="dxa"/>
            <w:tcBorders>
              <w:top w:val="nil"/>
              <w:left w:val="nil"/>
              <w:bottom w:val="nil"/>
              <w:right w:val="nil"/>
            </w:tcBorders>
            <w:shd w:val="clear" w:color="auto" w:fill="auto"/>
            <w:noWrap/>
            <w:vAlign w:val="bottom"/>
            <w:hideMark/>
          </w:tcPr>
          <w:p w14:paraId="3B404233" w14:textId="77777777" w:rsidR="00022375" w:rsidRPr="00A42EEB" w:rsidRDefault="00022375" w:rsidP="00022375">
            <w:pPr>
              <w:spacing w:after="0" w:line="240" w:lineRule="auto"/>
              <w:rPr>
                <w:rFonts w:ascii="Arial" w:eastAsia="Times New Roman" w:hAnsi="Arial" w:cs="Arial"/>
                <w:sz w:val="20"/>
                <w:szCs w:val="20"/>
                <w:lang w:eastAsia="en-GB"/>
              </w:rPr>
            </w:pPr>
          </w:p>
        </w:tc>
        <w:tc>
          <w:tcPr>
            <w:tcW w:w="959" w:type="dxa"/>
            <w:tcBorders>
              <w:top w:val="nil"/>
              <w:left w:val="nil"/>
              <w:bottom w:val="nil"/>
              <w:right w:val="nil"/>
            </w:tcBorders>
            <w:shd w:val="clear" w:color="auto" w:fill="auto"/>
            <w:noWrap/>
            <w:vAlign w:val="bottom"/>
            <w:hideMark/>
          </w:tcPr>
          <w:p w14:paraId="2B38657C" w14:textId="77777777" w:rsidR="00022375" w:rsidRPr="00A42EEB" w:rsidRDefault="00022375" w:rsidP="00022375">
            <w:pPr>
              <w:spacing w:after="0" w:line="240" w:lineRule="auto"/>
              <w:rPr>
                <w:rFonts w:ascii="Times New Roman" w:eastAsia="Times New Roman" w:hAnsi="Times New Roman" w:cs="Times New Roman"/>
                <w:sz w:val="20"/>
                <w:szCs w:val="20"/>
                <w:lang w:eastAsia="en-GB"/>
              </w:rPr>
            </w:pPr>
          </w:p>
        </w:tc>
        <w:tc>
          <w:tcPr>
            <w:tcW w:w="1211" w:type="dxa"/>
            <w:tcBorders>
              <w:top w:val="nil"/>
              <w:left w:val="nil"/>
              <w:bottom w:val="nil"/>
              <w:right w:val="nil"/>
            </w:tcBorders>
            <w:shd w:val="clear" w:color="auto" w:fill="auto"/>
            <w:noWrap/>
            <w:vAlign w:val="bottom"/>
            <w:hideMark/>
          </w:tcPr>
          <w:p w14:paraId="2D9A2069" w14:textId="77777777" w:rsidR="00022375" w:rsidRPr="00A42EEB" w:rsidRDefault="00022375" w:rsidP="00022375">
            <w:pPr>
              <w:spacing w:after="0" w:line="240" w:lineRule="auto"/>
              <w:rPr>
                <w:rFonts w:ascii="Times New Roman" w:eastAsia="Times New Roman" w:hAnsi="Times New Roman" w:cs="Times New Roman"/>
                <w:sz w:val="20"/>
                <w:szCs w:val="20"/>
                <w:lang w:eastAsia="en-GB"/>
              </w:rPr>
            </w:pPr>
          </w:p>
        </w:tc>
        <w:tc>
          <w:tcPr>
            <w:tcW w:w="991" w:type="dxa"/>
            <w:tcBorders>
              <w:top w:val="nil"/>
              <w:left w:val="nil"/>
              <w:bottom w:val="nil"/>
              <w:right w:val="nil"/>
            </w:tcBorders>
            <w:shd w:val="clear" w:color="auto" w:fill="auto"/>
            <w:noWrap/>
            <w:vAlign w:val="center"/>
            <w:hideMark/>
          </w:tcPr>
          <w:p w14:paraId="0CDA383C" w14:textId="77777777" w:rsidR="00022375" w:rsidRPr="00A42EEB" w:rsidRDefault="00022375" w:rsidP="00022375">
            <w:pPr>
              <w:spacing w:after="0" w:line="240" w:lineRule="auto"/>
              <w:jc w:val="right"/>
              <w:rPr>
                <w:rFonts w:ascii="Times New Roman" w:eastAsia="Times New Roman" w:hAnsi="Times New Roman" w:cs="Times New Roman"/>
                <w:sz w:val="20"/>
                <w:szCs w:val="20"/>
                <w:lang w:eastAsia="en-GB"/>
              </w:rPr>
            </w:pPr>
          </w:p>
        </w:tc>
        <w:tc>
          <w:tcPr>
            <w:tcW w:w="988" w:type="dxa"/>
            <w:tcBorders>
              <w:top w:val="nil"/>
              <w:left w:val="nil"/>
              <w:bottom w:val="nil"/>
              <w:right w:val="nil"/>
            </w:tcBorders>
            <w:shd w:val="clear" w:color="auto" w:fill="auto"/>
            <w:noWrap/>
            <w:vAlign w:val="center"/>
            <w:hideMark/>
          </w:tcPr>
          <w:p w14:paraId="2AAC1257" w14:textId="77777777" w:rsidR="00022375" w:rsidRPr="00416FDD" w:rsidRDefault="00022375" w:rsidP="00022375">
            <w:pPr>
              <w:spacing w:after="0" w:line="240" w:lineRule="auto"/>
              <w:jc w:val="right"/>
              <w:rPr>
                <w:rFonts w:ascii="Times New Roman" w:eastAsia="Times New Roman" w:hAnsi="Times New Roman" w:cs="Times New Roman"/>
                <w:sz w:val="20"/>
                <w:szCs w:val="20"/>
                <w:lang w:eastAsia="en-GB"/>
              </w:rPr>
            </w:pPr>
          </w:p>
        </w:tc>
      </w:tr>
      <w:tr w:rsidR="00022375" w:rsidRPr="00A42EEB" w14:paraId="234E5273" w14:textId="77777777" w:rsidTr="00161381">
        <w:trPr>
          <w:trHeight w:val="323"/>
        </w:trPr>
        <w:tc>
          <w:tcPr>
            <w:tcW w:w="4373" w:type="dxa"/>
            <w:tcBorders>
              <w:top w:val="nil"/>
              <w:left w:val="nil"/>
              <w:bottom w:val="nil"/>
              <w:right w:val="nil"/>
            </w:tcBorders>
            <w:shd w:val="clear" w:color="auto" w:fill="auto"/>
            <w:noWrap/>
            <w:vAlign w:val="center"/>
            <w:hideMark/>
          </w:tcPr>
          <w:p w14:paraId="42428F9B" w14:textId="77777777" w:rsidR="00022375" w:rsidRPr="00A42EEB" w:rsidRDefault="00022375" w:rsidP="00022375">
            <w:pPr>
              <w:spacing w:after="0" w:line="240" w:lineRule="auto"/>
              <w:rPr>
                <w:rFonts w:ascii="Arial" w:eastAsia="Times New Roman" w:hAnsi="Arial" w:cs="Arial"/>
                <w:sz w:val="20"/>
                <w:szCs w:val="20"/>
                <w:lang w:eastAsia="en-GB"/>
              </w:rPr>
            </w:pPr>
            <w:r w:rsidRPr="00DA5F44">
              <w:rPr>
                <w:rFonts w:ascii="Arial" w:eastAsia="Times New Roman" w:hAnsi="Arial" w:cs="Arial"/>
                <w:sz w:val="20"/>
                <w:szCs w:val="20"/>
                <w:lang w:eastAsia="en-GB"/>
              </w:rPr>
              <w:t>- Men</w:t>
            </w:r>
          </w:p>
        </w:tc>
        <w:tc>
          <w:tcPr>
            <w:tcW w:w="670" w:type="dxa"/>
            <w:tcBorders>
              <w:top w:val="nil"/>
              <w:left w:val="nil"/>
              <w:bottom w:val="nil"/>
              <w:right w:val="nil"/>
            </w:tcBorders>
            <w:shd w:val="clear" w:color="auto" w:fill="auto"/>
            <w:noWrap/>
            <w:vAlign w:val="bottom"/>
            <w:hideMark/>
          </w:tcPr>
          <w:p w14:paraId="0E8C0281" w14:textId="77777777" w:rsidR="00022375" w:rsidRPr="00A42EEB" w:rsidRDefault="00022375" w:rsidP="00022375">
            <w:pPr>
              <w:spacing w:after="0" w:line="240" w:lineRule="auto"/>
              <w:rPr>
                <w:rFonts w:ascii="Arial" w:eastAsia="Times New Roman" w:hAnsi="Arial" w:cs="Arial"/>
                <w:sz w:val="20"/>
                <w:szCs w:val="20"/>
                <w:lang w:eastAsia="en-GB"/>
              </w:rPr>
            </w:pPr>
          </w:p>
        </w:tc>
        <w:tc>
          <w:tcPr>
            <w:tcW w:w="959" w:type="dxa"/>
            <w:tcBorders>
              <w:top w:val="nil"/>
              <w:left w:val="nil"/>
              <w:bottom w:val="nil"/>
              <w:right w:val="nil"/>
            </w:tcBorders>
            <w:shd w:val="clear" w:color="auto" w:fill="auto"/>
            <w:noWrap/>
            <w:vAlign w:val="bottom"/>
            <w:hideMark/>
          </w:tcPr>
          <w:p w14:paraId="2C48D67F" w14:textId="77777777" w:rsidR="00022375" w:rsidRPr="00A42EEB" w:rsidRDefault="00022375" w:rsidP="00022375">
            <w:pPr>
              <w:spacing w:after="0" w:line="240" w:lineRule="auto"/>
              <w:rPr>
                <w:rFonts w:ascii="Times New Roman" w:eastAsia="Times New Roman" w:hAnsi="Times New Roman" w:cs="Times New Roman"/>
                <w:sz w:val="20"/>
                <w:szCs w:val="20"/>
                <w:lang w:eastAsia="en-GB"/>
              </w:rPr>
            </w:pPr>
          </w:p>
        </w:tc>
        <w:tc>
          <w:tcPr>
            <w:tcW w:w="1211" w:type="dxa"/>
            <w:tcBorders>
              <w:top w:val="nil"/>
              <w:left w:val="nil"/>
              <w:bottom w:val="nil"/>
              <w:right w:val="nil"/>
            </w:tcBorders>
            <w:shd w:val="clear" w:color="auto" w:fill="auto"/>
            <w:noWrap/>
            <w:vAlign w:val="bottom"/>
            <w:hideMark/>
          </w:tcPr>
          <w:p w14:paraId="0159927E" w14:textId="77777777" w:rsidR="00022375" w:rsidRPr="00A42EEB" w:rsidRDefault="00022375" w:rsidP="00022375">
            <w:pPr>
              <w:spacing w:after="0" w:line="240" w:lineRule="auto"/>
              <w:rPr>
                <w:rFonts w:ascii="Times New Roman" w:eastAsia="Times New Roman" w:hAnsi="Times New Roman" w:cs="Times New Roman"/>
                <w:sz w:val="20"/>
                <w:szCs w:val="20"/>
                <w:lang w:eastAsia="en-GB"/>
              </w:rPr>
            </w:pPr>
          </w:p>
        </w:tc>
        <w:tc>
          <w:tcPr>
            <w:tcW w:w="991" w:type="dxa"/>
            <w:tcBorders>
              <w:top w:val="nil"/>
              <w:left w:val="nil"/>
              <w:bottom w:val="nil"/>
              <w:right w:val="nil"/>
            </w:tcBorders>
            <w:shd w:val="clear" w:color="auto" w:fill="auto"/>
            <w:noWrap/>
            <w:vAlign w:val="center"/>
          </w:tcPr>
          <w:p w14:paraId="6455A2C5" w14:textId="77777777" w:rsidR="00022375" w:rsidRPr="00A42EEB" w:rsidRDefault="00022375" w:rsidP="00022375">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88.9</w:t>
            </w:r>
          </w:p>
        </w:tc>
        <w:tc>
          <w:tcPr>
            <w:tcW w:w="988" w:type="dxa"/>
            <w:tcBorders>
              <w:top w:val="nil"/>
              <w:left w:val="nil"/>
              <w:bottom w:val="nil"/>
              <w:right w:val="nil"/>
            </w:tcBorders>
            <w:shd w:val="clear" w:color="auto" w:fill="auto"/>
            <w:noWrap/>
            <w:vAlign w:val="center"/>
          </w:tcPr>
          <w:p w14:paraId="445245D8" w14:textId="77777777" w:rsidR="00022375" w:rsidRPr="00416FDD" w:rsidRDefault="00022375" w:rsidP="00022375">
            <w:pPr>
              <w:spacing w:after="0" w:line="240" w:lineRule="auto"/>
              <w:jc w:val="right"/>
              <w:rPr>
                <w:rFonts w:ascii="Arial" w:eastAsia="Times New Roman" w:hAnsi="Arial" w:cs="Arial"/>
                <w:sz w:val="20"/>
                <w:szCs w:val="20"/>
                <w:lang w:eastAsia="en-GB"/>
              </w:rPr>
            </w:pPr>
            <w:r>
              <w:rPr>
                <w:rFonts w:ascii="Arial" w:eastAsia="Times New Roman" w:hAnsi="Arial" w:cs="Arial"/>
                <w:bCs/>
                <w:sz w:val="20"/>
                <w:szCs w:val="20"/>
                <w:lang w:eastAsia="en-GB"/>
              </w:rPr>
              <w:t>90.3</w:t>
            </w:r>
          </w:p>
        </w:tc>
      </w:tr>
      <w:tr w:rsidR="00022375" w:rsidRPr="00A42EEB" w14:paraId="7BF3FA94" w14:textId="77777777" w:rsidTr="00161381">
        <w:trPr>
          <w:trHeight w:val="323"/>
        </w:trPr>
        <w:tc>
          <w:tcPr>
            <w:tcW w:w="4373" w:type="dxa"/>
            <w:tcBorders>
              <w:top w:val="nil"/>
              <w:left w:val="nil"/>
              <w:bottom w:val="single" w:sz="4" w:space="0" w:color="auto"/>
              <w:right w:val="nil"/>
            </w:tcBorders>
            <w:shd w:val="clear" w:color="auto" w:fill="auto"/>
            <w:noWrap/>
            <w:vAlign w:val="center"/>
            <w:hideMark/>
          </w:tcPr>
          <w:p w14:paraId="0EBDDD99" w14:textId="77777777" w:rsidR="00022375" w:rsidRPr="00A42EEB" w:rsidRDefault="00022375" w:rsidP="00022375">
            <w:pPr>
              <w:spacing w:after="0" w:line="240" w:lineRule="auto"/>
              <w:rPr>
                <w:rFonts w:ascii="Arial" w:eastAsia="Times New Roman" w:hAnsi="Arial" w:cs="Arial"/>
                <w:sz w:val="20"/>
                <w:szCs w:val="20"/>
                <w:lang w:eastAsia="en-GB"/>
              </w:rPr>
            </w:pPr>
            <w:r w:rsidRPr="00DA5F44">
              <w:rPr>
                <w:rFonts w:ascii="Arial" w:eastAsia="Times New Roman" w:hAnsi="Arial" w:cs="Arial"/>
                <w:sz w:val="20"/>
                <w:szCs w:val="20"/>
                <w:lang w:eastAsia="en-GB"/>
              </w:rPr>
              <w:t>- Women</w:t>
            </w:r>
          </w:p>
        </w:tc>
        <w:tc>
          <w:tcPr>
            <w:tcW w:w="670" w:type="dxa"/>
            <w:tcBorders>
              <w:top w:val="nil"/>
              <w:left w:val="nil"/>
              <w:bottom w:val="single" w:sz="4" w:space="0" w:color="auto"/>
              <w:right w:val="nil"/>
            </w:tcBorders>
            <w:shd w:val="clear" w:color="auto" w:fill="auto"/>
            <w:noWrap/>
            <w:vAlign w:val="bottom"/>
            <w:hideMark/>
          </w:tcPr>
          <w:p w14:paraId="24EAE590" w14:textId="77777777" w:rsidR="00022375" w:rsidRPr="00A42EEB" w:rsidRDefault="00022375" w:rsidP="00022375">
            <w:pPr>
              <w:spacing w:after="0" w:line="240" w:lineRule="auto"/>
              <w:rPr>
                <w:rFonts w:ascii="Arial" w:eastAsia="Times New Roman" w:hAnsi="Arial" w:cs="Arial"/>
                <w:sz w:val="20"/>
                <w:szCs w:val="20"/>
                <w:lang w:eastAsia="en-GB"/>
              </w:rPr>
            </w:pPr>
            <w:r w:rsidRPr="00DA5F44">
              <w:rPr>
                <w:rFonts w:ascii="Arial" w:eastAsia="Times New Roman" w:hAnsi="Arial" w:cs="Arial"/>
                <w:sz w:val="20"/>
                <w:szCs w:val="20"/>
                <w:lang w:eastAsia="en-GB"/>
              </w:rPr>
              <w:t> </w:t>
            </w:r>
          </w:p>
        </w:tc>
        <w:tc>
          <w:tcPr>
            <w:tcW w:w="959" w:type="dxa"/>
            <w:tcBorders>
              <w:top w:val="nil"/>
              <w:left w:val="nil"/>
              <w:bottom w:val="single" w:sz="4" w:space="0" w:color="auto"/>
              <w:right w:val="nil"/>
            </w:tcBorders>
            <w:shd w:val="clear" w:color="auto" w:fill="auto"/>
            <w:noWrap/>
            <w:vAlign w:val="bottom"/>
            <w:hideMark/>
          </w:tcPr>
          <w:p w14:paraId="62759AE1" w14:textId="77777777" w:rsidR="00022375" w:rsidRPr="00A42EEB" w:rsidRDefault="00022375" w:rsidP="00022375">
            <w:pPr>
              <w:spacing w:after="0" w:line="240" w:lineRule="auto"/>
              <w:rPr>
                <w:rFonts w:ascii="Arial" w:eastAsia="Times New Roman" w:hAnsi="Arial" w:cs="Arial"/>
                <w:sz w:val="20"/>
                <w:szCs w:val="20"/>
                <w:lang w:eastAsia="en-GB"/>
              </w:rPr>
            </w:pPr>
            <w:r w:rsidRPr="00DA5F44">
              <w:rPr>
                <w:rFonts w:ascii="Arial" w:eastAsia="Times New Roman" w:hAnsi="Arial" w:cs="Arial"/>
                <w:sz w:val="20"/>
                <w:szCs w:val="20"/>
                <w:lang w:eastAsia="en-GB"/>
              </w:rPr>
              <w:t> </w:t>
            </w:r>
          </w:p>
        </w:tc>
        <w:tc>
          <w:tcPr>
            <w:tcW w:w="1211" w:type="dxa"/>
            <w:tcBorders>
              <w:top w:val="nil"/>
              <w:left w:val="nil"/>
              <w:bottom w:val="single" w:sz="4" w:space="0" w:color="auto"/>
              <w:right w:val="nil"/>
            </w:tcBorders>
            <w:shd w:val="clear" w:color="auto" w:fill="auto"/>
            <w:noWrap/>
            <w:vAlign w:val="bottom"/>
            <w:hideMark/>
          </w:tcPr>
          <w:p w14:paraId="54C39436" w14:textId="77777777" w:rsidR="00022375" w:rsidRPr="00A42EEB" w:rsidRDefault="00022375" w:rsidP="00022375">
            <w:pPr>
              <w:spacing w:after="0" w:line="240" w:lineRule="auto"/>
              <w:rPr>
                <w:rFonts w:ascii="Arial" w:eastAsia="Times New Roman" w:hAnsi="Arial" w:cs="Arial"/>
                <w:sz w:val="20"/>
                <w:szCs w:val="20"/>
                <w:lang w:eastAsia="en-GB"/>
              </w:rPr>
            </w:pPr>
            <w:r w:rsidRPr="00DA5F44">
              <w:rPr>
                <w:rFonts w:ascii="Arial" w:eastAsia="Times New Roman" w:hAnsi="Arial" w:cs="Arial"/>
                <w:sz w:val="20"/>
                <w:szCs w:val="20"/>
                <w:lang w:eastAsia="en-GB"/>
              </w:rPr>
              <w:t> </w:t>
            </w:r>
          </w:p>
        </w:tc>
        <w:tc>
          <w:tcPr>
            <w:tcW w:w="991" w:type="dxa"/>
            <w:tcBorders>
              <w:top w:val="nil"/>
              <w:left w:val="nil"/>
              <w:bottom w:val="single" w:sz="4" w:space="0" w:color="auto"/>
              <w:right w:val="nil"/>
            </w:tcBorders>
            <w:shd w:val="clear" w:color="auto" w:fill="auto"/>
            <w:noWrap/>
            <w:vAlign w:val="center"/>
          </w:tcPr>
          <w:p w14:paraId="6E19B9BA" w14:textId="77777777" w:rsidR="00022375" w:rsidRPr="00A42EEB" w:rsidRDefault="00022375" w:rsidP="00022375">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92.1</w:t>
            </w:r>
          </w:p>
        </w:tc>
        <w:tc>
          <w:tcPr>
            <w:tcW w:w="988" w:type="dxa"/>
            <w:tcBorders>
              <w:top w:val="nil"/>
              <w:left w:val="nil"/>
              <w:bottom w:val="single" w:sz="4" w:space="0" w:color="auto"/>
              <w:right w:val="nil"/>
            </w:tcBorders>
            <w:shd w:val="clear" w:color="auto" w:fill="auto"/>
            <w:noWrap/>
            <w:vAlign w:val="center"/>
          </w:tcPr>
          <w:p w14:paraId="6BF6F3CD" w14:textId="77777777" w:rsidR="00022375" w:rsidRPr="00416FDD" w:rsidRDefault="00022375" w:rsidP="00022375">
            <w:pPr>
              <w:spacing w:after="0" w:line="240" w:lineRule="auto"/>
              <w:jc w:val="right"/>
              <w:rPr>
                <w:rFonts w:ascii="Arial" w:eastAsia="Times New Roman" w:hAnsi="Arial" w:cs="Arial"/>
                <w:sz w:val="20"/>
                <w:szCs w:val="20"/>
                <w:lang w:eastAsia="en-GB"/>
              </w:rPr>
            </w:pPr>
            <w:r>
              <w:rPr>
                <w:rFonts w:ascii="Arial" w:eastAsia="Times New Roman" w:hAnsi="Arial" w:cs="Arial"/>
                <w:bCs/>
                <w:sz w:val="20"/>
                <w:szCs w:val="20"/>
                <w:lang w:eastAsia="en-GB"/>
              </w:rPr>
              <w:t>93.3</w:t>
            </w:r>
          </w:p>
        </w:tc>
      </w:tr>
      <w:tr w:rsidR="008C1D01" w:rsidRPr="00A42EEB" w14:paraId="344A268B" w14:textId="77777777" w:rsidTr="006647C2">
        <w:trPr>
          <w:trHeight w:val="255"/>
        </w:trPr>
        <w:tc>
          <w:tcPr>
            <w:tcW w:w="4373" w:type="dxa"/>
            <w:tcBorders>
              <w:top w:val="nil"/>
              <w:left w:val="nil"/>
              <w:bottom w:val="nil"/>
              <w:right w:val="nil"/>
            </w:tcBorders>
            <w:shd w:val="clear" w:color="auto" w:fill="auto"/>
            <w:noWrap/>
            <w:vAlign w:val="center"/>
            <w:hideMark/>
          </w:tcPr>
          <w:p w14:paraId="59E0EA63" w14:textId="77777777" w:rsidR="008C1D01" w:rsidRDefault="008C1D01" w:rsidP="00F0231D">
            <w:pPr>
              <w:spacing w:after="0" w:line="240" w:lineRule="auto"/>
              <w:rPr>
                <w:rFonts w:ascii="Arial" w:eastAsia="Times New Roman" w:hAnsi="Arial" w:cs="Arial"/>
                <w:sz w:val="20"/>
                <w:szCs w:val="20"/>
                <w:lang w:eastAsia="en-GB"/>
              </w:rPr>
            </w:pPr>
          </w:p>
          <w:p w14:paraId="248CC417" w14:textId="77777777" w:rsidR="008C1D01" w:rsidRDefault="008C1D01" w:rsidP="00F0231D">
            <w:pPr>
              <w:spacing w:after="0" w:line="240" w:lineRule="auto"/>
              <w:rPr>
                <w:rFonts w:ascii="Arial" w:eastAsia="Times New Roman" w:hAnsi="Arial" w:cs="Arial"/>
                <w:sz w:val="20"/>
                <w:szCs w:val="20"/>
                <w:lang w:eastAsia="en-GB"/>
              </w:rPr>
            </w:pPr>
          </w:p>
          <w:p w14:paraId="474B5DF4" w14:textId="77777777" w:rsidR="00022375" w:rsidRPr="00A42EEB" w:rsidRDefault="00022375" w:rsidP="00F0231D">
            <w:pPr>
              <w:spacing w:after="0" w:line="240" w:lineRule="auto"/>
              <w:rPr>
                <w:rFonts w:ascii="Arial" w:eastAsia="Times New Roman" w:hAnsi="Arial" w:cs="Arial"/>
                <w:sz w:val="20"/>
                <w:szCs w:val="20"/>
                <w:lang w:eastAsia="en-GB"/>
              </w:rPr>
            </w:pPr>
          </w:p>
        </w:tc>
        <w:tc>
          <w:tcPr>
            <w:tcW w:w="670" w:type="dxa"/>
            <w:tcBorders>
              <w:top w:val="nil"/>
              <w:left w:val="nil"/>
              <w:bottom w:val="nil"/>
              <w:right w:val="nil"/>
            </w:tcBorders>
            <w:shd w:val="clear" w:color="auto" w:fill="auto"/>
            <w:noWrap/>
            <w:vAlign w:val="center"/>
            <w:hideMark/>
          </w:tcPr>
          <w:p w14:paraId="31602AF0" w14:textId="77777777" w:rsidR="008C1D01" w:rsidRPr="00A42EEB" w:rsidRDefault="008C1D01" w:rsidP="00F0231D">
            <w:pPr>
              <w:spacing w:after="0" w:line="240" w:lineRule="auto"/>
              <w:rPr>
                <w:rFonts w:ascii="Times New Roman" w:eastAsia="Times New Roman" w:hAnsi="Times New Roman" w:cs="Times New Roman"/>
                <w:sz w:val="20"/>
                <w:szCs w:val="20"/>
                <w:lang w:eastAsia="en-GB"/>
              </w:rPr>
            </w:pPr>
          </w:p>
        </w:tc>
        <w:tc>
          <w:tcPr>
            <w:tcW w:w="959" w:type="dxa"/>
            <w:tcBorders>
              <w:top w:val="nil"/>
              <w:left w:val="nil"/>
              <w:bottom w:val="nil"/>
              <w:right w:val="nil"/>
            </w:tcBorders>
            <w:shd w:val="clear" w:color="auto" w:fill="auto"/>
            <w:noWrap/>
            <w:vAlign w:val="center"/>
            <w:hideMark/>
          </w:tcPr>
          <w:p w14:paraId="515C1619" w14:textId="77777777" w:rsidR="008C1D01" w:rsidRPr="00A42EEB" w:rsidRDefault="008C1D01" w:rsidP="00F0231D">
            <w:pPr>
              <w:spacing w:after="0" w:line="240" w:lineRule="auto"/>
              <w:rPr>
                <w:rFonts w:ascii="Times New Roman" w:eastAsia="Times New Roman" w:hAnsi="Times New Roman" w:cs="Times New Roman"/>
                <w:sz w:val="20"/>
                <w:szCs w:val="20"/>
                <w:lang w:eastAsia="en-GB"/>
              </w:rPr>
            </w:pPr>
          </w:p>
        </w:tc>
        <w:tc>
          <w:tcPr>
            <w:tcW w:w="1211" w:type="dxa"/>
            <w:tcBorders>
              <w:top w:val="nil"/>
              <w:left w:val="nil"/>
              <w:bottom w:val="nil"/>
              <w:right w:val="nil"/>
            </w:tcBorders>
            <w:shd w:val="clear" w:color="auto" w:fill="auto"/>
            <w:noWrap/>
            <w:vAlign w:val="center"/>
            <w:hideMark/>
          </w:tcPr>
          <w:p w14:paraId="54C89FE9" w14:textId="77777777" w:rsidR="008C1D01" w:rsidRPr="00A42EEB" w:rsidRDefault="008C1D01" w:rsidP="00F0231D">
            <w:pPr>
              <w:spacing w:after="0" w:line="240" w:lineRule="auto"/>
              <w:rPr>
                <w:rFonts w:ascii="Times New Roman" w:eastAsia="Times New Roman" w:hAnsi="Times New Roman" w:cs="Times New Roman"/>
                <w:sz w:val="20"/>
                <w:szCs w:val="20"/>
                <w:lang w:eastAsia="en-GB"/>
              </w:rPr>
            </w:pPr>
          </w:p>
        </w:tc>
        <w:tc>
          <w:tcPr>
            <w:tcW w:w="991" w:type="dxa"/>
            <w:tcBorders>
              <w:top w:val="nil"/>
              <w:left w:val="nil"/>
              <w:bottom w:val="nil"/>
              <w:right w:val="nil"/>
            </w:tcBorders>
            <w:shd w:val="clear" w:color="auto" w:fill="auto"/>
            <w:noWrap/>
            <w:vAlign w:val="center"/>
            <w:hideMark/>
          </w:tcPr>
          <w:p w14:paraId="2FAB9DE3" w14:textId="77777777" w:rsidR="008C1D01" w:rsidRPr="00A42EEB" w:rsidRDefault="008C1D01" w:rsidP="00F0231D">
            <w:pPr>
              <w:spacing w:after="0" w:line="240" w:lineRule="auto"/>
              <w:rPr>
                <w:rFonts w:ascii="Times New Roman" w:eastAsia="Times New Roman" w:hAnsi="Times New Roman" w:cs="Times New Roman"/>
                <w:sz w:val="20"/>
                <w:szCs w:val="20"/>
                <w:lang w:eastAsia="en-GB"/>
              </w:rPr>
            </w:pPr>
          </w:p>
        </w:tc>
        <w:tc>
          <w:tcPr>
            <w:tcW w:w="988" w:type="dxa"/>
            <w:tcBorders>
              <w:top w:val="nil"/>
              <w:left w:val="nil"/>
              <w:bottom w:val="nil"/>
              <w:right w:val="nil"/>
            </w:tcBorders>
            <w:shd w:val="clear" w:color="auto" w:fill="auto"/>
            <w:noWrap/>
            <w:vAlign w:val="center"/>
            <w:hideMark/>
          </w:tcPr>
          <w:p w14:paraId="65D4EB0C" w14:textId="77777777" w:rsidR="008C1D01" w:rsidRPr="00A42EEB" w:rsidRDefault="008C1D01" w:rsidP="00F0231D">
            <w:pPr>
              <w:spacing w:after="0" w:line="240" w:lineRule="auto"/>
              <w:rPr>
                <w:rFonts w:ascii="Times New Roman" w:eastAsia="Times New Roman" w:hAnsi="Times New Roman" w:cs="Times New Roman"/>
                <w:sz w:val="20"/>
                <w:szCs w:val="20"/>
                <w:lang w:eastAsia="en-GB"/>
              </w:rPr>
            </w:pPr>
          </w:p>
        </w:tc>
      </w:tr>
      <w:tr w:rsidR="008C1D01" w:rsidRPr="00A42EEB" w14:paraId="35D7FEF6" w14:textId="77777777" w:rsidTr="006647C2">
        <w:trPr>
          <w:trHeight w:val="323"/>
        </w:trPr>
        <w:tc>
          <w:tcPr>
            <w:tcW w:w="6002" w:type="dxa"/>
            <w:gridSpan w:val="3"/>
            <w:tcBorders>
              <w:top w:val="nil"/>
              <w:left w:val="nil"/>
              <w:bottom w:val="nil"/>
              <w:right w:val="nil"/>
            </w:tcBorders>
            <w:shd w:val="clear" w:color="auto" w:fill="auto"/>
            <w:noWrap/>
            <w:vAlign w:val="center"/>
            <w:hideMark/>
          </w:tcPr>
          <w:p w14:paraId="1BB56DA7" w14:textId="77777777" w:rsidR="008C1D01" w:rsidRDefault="008C1D01" w:rsidP="00F0231D">
            <w:pPr>
              <w:spacing w:after="0" w:line="240" w:lineRule="auto"/>
              <w:rPr>
                <w:rFonts w:ascii="Arial" w:eastAsia="Times New Roman" w:hAnsi="Arial" w:cs="Arial"/>
                <w:b/>
                <w:bCs/>
                <w:sz w:val="20"/>
                <w:szCs w:val="20"/>
                <w:lang w:eastAsia="en-GB"/>
              </w:rPr>
            </w:pPr>
          </w:p>
          <w:p w14:paraId="1A3C5A44" w14:textId="77777777" w:rsidR="008C1D01" w:rsidRPr="00A42EEB" w:rsidRDefault="008C1D01" w:rsidP="00F0231D">
            <w:pPr>
              <w:spacing w:after="0" w:line="240" w:lineRule="auto"/>
              <w:rPr>
                <w:rFonts w:ascii="Arial" w:eastAsia="Times New Roman" w:hAnsi="Arial" w:cs="Arial"/>
                <w:b/>
                <w:bCs/>
                <w:sz w:val="20"/>
                <w:szCs w:val="20"/>
                <w:lang w:eastAsia="en-GB"/>
              </w:rPr>
            </w:pPr>
            <w:r w:rsidRPr="00A42EEB">
              <w:rPr>
                <w:rFonts w:ascii="Arial" w:eastAsia="Times New Roman" w:hAnsi="Arial" w:cs="Arial"/>
                <w:b/>
                <w:bCs/>
                <w:sz w:val="20"/>
                <w:szCs w:val="20"/>
                <w:lang w:eastAsia="en-GB"/>
              </w:rPr>
              <w:t>Reconciliation of scheme assets and liabilities:</w:t>
            </w:r>
          </w:p>
        </w:tc>
        <w:tc>
          <w:tcPr>
            <w:tcW w:w="1211" w:type="dxa"/>
            <w:tcBorders>
              <w:top w:val="nil"/>
              <w:left w:val="nil"/>
              <w:bottom w:val="nil"/>
              <w:right w:val="nil"/>
            </w:tcBorders>
            <w:shd w:val="clear" w:color="auto" w:fill="auto"/>
            <w:noWrap/>
            <w:vAlign w:val="center"/>
            <w:hideMark/>
          </w:tcPr>
          <w:p w14:paraId="185F97D4" w14:textId="77777777" w:rsidR="008C1D01" w:rsidRPr="00A42EEB" w:rsidRDefault="008C1D01" w:rsidP="00F0231D">
            <w:pPr>
              <w:spacing w:after="0" w:line="240" w:lineRule="auto"/>
              <w:rPr>
                <w:rFonts w:ascii="Arial" w:eastAsia="Times New Roman" w:hAnsi="Arial" w:cs="Arial"/>
                <w:b/>
                <w:bCs/>
                <w:sz w:val="20"/>
                <w:szCs w:val="20"/>
                <w:lang w:eastAsia="en-GB"/>
              </w:rPr>
            </w:pPr>
          </w:p>
        </w:tc>
        <w:tc>
          <w:tcPr>
            <w:tcW w:w="991" w:type="dxa"/>
            <w:tcBorders>
              <w:top w:val="nil"/>
              <w:left w:val="nil"/>
              <w:bottom w:val="nil"/>
              <w:right w:val="nil"/>
            </w:tcBorders>
            <w:shd w:val="clear" w:color="auto" w:fill="auto"/>
            <w:noWrap/>
            <w:vAlign w:val="center"/>
            <w:hideMark/>
          </w:tcPr>
          <w:p w14:paraId="2650718A" w14:textId="77777777" w:rsidR="008C1D01" w:rsidRPr="00A42EEB" w:rsidRDefault="008C1D01" w:rsidP="00F0231D">
            <w:pPr>
              <w:spacing w:after="0" w:line="240" w:lineRule="auto"/>
              <w:rPr>
                <w:rFonts w:ascii="Times New Roman" w:eastAsia="Times New Roman" w:hAnsi="Times New Roman" w:cs="Times New Roman"/>
                <w:sz w:val="20"/>
                <w:szCs w:val="20"/>
                <w:lang w:eastAsia="en-GB"/>
              </w:rPr>
            </w:pPr>
          </w:p>
        </w:tc>
        <w:tc>
          <w:tcPr>
            <w:tcW w:w="988" w:type="dxa"/>
            <w:tcBorders>
              <w:top w:val="nil"/>
              <w:left w:val="nil"/>
              <w:bottom w:val="nil"/>
              <w:right w:val="nil"/>
            </w:tcBorders>
            <w:shd w:val="clear" w:color="auto" w:fill="auto"/>
            <w:noWrap/>
            <w:vAlign w:val="center"/>
            <w:hideMark/>
          </w:tcPr>
          <w:p w14:paraId="77208695" w14:textId="77777777" w:rsidR="008C1D01" w:rsidRPr="00A42EEB" w:rsidRDefault="008C1D01" w:rsidP="00F0231D">
            <w:pPr>
              <w:spacing w:after="0" w:line="240" w:lineRule="auto"/>
              <w:rPr>
                <w:rFonts w:ascii="Times New Roman" w:eastAsia="Times New Roman" w:hAnsi="Times New Roman" w:cs="Times New Roman"/>
                <w:sz w:val="20"/>
                <w:szCs w:val="20"/>
                <w:lang w:eastAsia="en-GB"/>
              </w:rPr>
            </w:pPr>
          </w:p>
        </w:tc>
      </w:tr>
      <w:tr w:rsidR="008C1D01" w:rsidRPr="00A42EEB" w14:paraId="7948B425" w14:textId="77777777" w:rsidTr="006647C2">
        <w:trPr>
          <w:trHeight w:val="323"/>
        </w:trPr>
        <w:tc>
          <w:tcPr>
            <w:tcW w:w="4373" w:type="dxa"/>
            <w:tcBorders>
              <w:top w:val="nil"/>
              <w:left w:val="nil"/>
              <w:bottom w:val="nil"/>
              <w:right w:val="nil"/>
            </w:tcBorders>
            <w:shd w:val="clear" w:color="auto" w:fill="auto"/>
            <w:noWrap/>
            <w:vAlign w:val="center"/>
            <w:hideMark/>
          </w:tcPr>
          <w:p w14:paraId="3A5CEE85" w14:textId="77777777" w:rsidR="008C1D01" w:rsidRPr="00A42EEB" w:rsidRDefault="008C1D01" w:rsidP="00F0231D">
            <w:pPr>
              <w:spacing w:after="0" w:line="240" w:lineRule="auto"/>
              <w:rPr>
                <w:rFonts w:ascii="Times New Roman" w:eastAsia="Times New Roman" w:hAnsi="Times New Roman" w:cs="Times New Roman"/>
                <w:sz w:val="20"/>
                <w:szCs w:val="20"/>
                <w:lang w:eastAsia="en-GB"/>
              </w:rPr>
            </w:pPr>
          </w:p>
        </w:tc>
        <w:tc>
          <w:tcPr>
            <w:tcW w:w="670" w:type="dxa"/>
            <w:tcBorders>
              <w:top w:val="nil"/>
              <w:left w:val="nil"/>
              <w:bottom w:val="nil"/>
              <w:right w:val="nil"/>
            </w:tcBorders>
            <w:shd w:val="clear" w:color="auto" w:fill="auto"/>
            <w:noWrap/>
            <w:vAlign w:val="bottom"/>
            <w:hideMark/>
          </w:tcPr>
          <w:p w14:paraId="1A374547" w14:textId="77777777" w:rsidR="008C1D01" w:rsidRPr="00A42EEB" w:rsidRDefault="008C1D01" w:rsidP="00F0231D">
            <w:pPr>
              <w:spacing w:after="0" w:line="240" w:lineRule="auto"/>
              <w:rPr>
                <w:rFonts w:ascii="Times New Roman" w:eastAsia="Times New Roman" w:hAnsi="Times New Roman" w:cs="Times New Roman"/>
                <w:sz w:val="20"/>
                <w:szCs w:val="20"/>
                <w:lang w:eastAsia="en-GB"/>
              </w:rPr>
            </w:pPr>
          </w:p>
        </w:tc>
        <w:tc>
          <w:tcPr>
            <w:tcW w:w="959" w:type="dxa"/>
            <w:tcBorders>
              <w:top w:val="nil"/>
              <w:left w:val="nil"/>
              <w:bottom w:val="nil"/>
              <w:right w:val="nil"/>
            </w:tcBorders>
            <w:shd w:val="clear" w:color="auto" w:fill="auto"/>
            <w:noWrap/>
            <w:vAlign w:val="center"/>
            <w:hideMark/>
          </w:tcPr>
          <w:p w14:paraId="556969EB" w14:textId="77777777" w:rsidR="008C1D01" w:rsidRPr="00A42EEB" w:rsidRDefault="008C1D01" w:rsidP="00F0231D">
            <w:pPr>
              <w:spacing w:after="0" w:line="240" w:lineRule="auto"/>
              <w:jc w:val="right"/>
              <w:rPr>
                <w:rFonts w:ascii="Arial" w:eastAsia="Times New Roman" w:hAnsi="Arial" w:cs="Arial"/>
                <w:b/>
                <w:bCs/>
                <w:sz w:val="20"/>
                <w:szCs w:val="20"/>
                <w:lang w:eastAsia="en-GB"/>
              </w:rPr>
            </w:pPr>
            <w:r w:rsidRPr="00A42EEB">
              <w:rPr>
                <w:rFonts w:ascii="Arial" w:eastAsia="Times New Roman" w:hAnsi="Arial" w:cs="Arial"/>
                <w:b/>
                <w:bCs/>
                <w:sz w:val="20"/>
                <w:szCs w:val="20"/>
                <w:lang w:eastAsia="en-GB"/>
              </w:rPr>
              <w:t>Assets</w:t>
            </w:r>
          </w:p>
        </w:tc>
        <w:tc>
          <w:tcPr>
            <w:tcW w:w="1211" w:type="dxa"/>
            <w:tcBorders>
              <w:top w:val="nil"/>
              <w:left w:val="nil"/>
              <w:bottom w:val="nil"/>
              <w:right w:val="nil"/>
            </w:tcBorders>
            <w:shd w:val="clear" w:color="auto" w:fill="auto"/>
            <w:noWrap/>
            <w:vAlign w:val="center"/>
            <w:hideMark/>
          </w:tcPr>
          <w:p w14:paraId="48112DE5" w14:textId="77777777" w:rsidR="008C1D01" w:rsidRPr="00A42EEB" w:rsidRDefault="008C1D01" w:rsidP="00F0231D">
            <w:pPr>
              <w:spacing w:after="0" w:line="240" w:lineRule="auto"/>
              <w:jc w:val="right"/>
              <w:rPr>
                <w:rFonts w:ascii="Arial" w:eastAsia="Times New Roman" w:hAnsi="Arial" w:cs="Arial"/>
                <w:b/>
                <w:bCs/>
                <w:sz w:val="20"/>
                <w:szCs w:val="20"/>
                <w:lang w:eastAsia="en-GB"/>
              </w:rPr>
            </w:pPr>
            <w:r w:rsidRPr="00A42EEB">
              <w:rPr>
                <w:rFonts w:ascii="Arial" w:eastAsia="Times New Roman" w:hAnsi="Arial" w:cs="Arial"/>
                <w:b/>
                <w:bCs/>
                <w:sz w:val="20"/>
                <w:szCs w:val="20"/>
                <w:lang w:eastAsia="en-GB"/>
              </w:rPr>
              <w:t>Liabilities</w:t>
            </w:r>
          </w:p>
        </w:tc>
        <w:tc>
          <w:tcPr>
            <w:tcW w:w="991" w:type="dxa"/>
            <w:tcBorders>
              <w:top w:val="nil"/>
              <w:left w:val="nil"/>
              <w:bottom w:val="nil"/>
              <w:right w:val="nil"/>
            </w:tcBorders>
            <w:shd w:val="clear" w:color="auto" w:fill="auto"/>
            <w:noWrap/>
            <w:vAlign w:val="center"/>
            <w:hideMark/>
          </w:tcPr>
          <w:p w14:paraId="561A75A5" w14:textId="77777777" w:rsidR="008C1D01" w:rsidRPr="00A42EEB" w:rsidRDefault="008C1D01" w:rsidP="00F0231D">
            <w:pPr>
              <w:spacing w:after="0" w:line="240" w:lineRule="auto"/>
              <w:jc w:val="right"/>
              <w:rPr>
                <w:rFonts w:ascii="Arial" w:eastAsia="Times New Roman" w:hAnsi="Arial" w:cs="Arial"/>
                <w:b/>
                <w:bCs/>
                <w:sz w:val="20"/>
                <w:szCs w:val="20"/>
                <w:lang w:eastAsia="en-GB"/>
              </w:rPr>
            </w:pPr>
            <w:r w:rsidRPr="00A42EEB">
              <w:rPr>
                <w:rFonts w:ascii="Arial" w:eastAsia="Times New Roman" w:hAnsi="Arial" w:cs="Arial"/>
                <w:b/>
                <w:bCs/>
                <w:sz w:val="20"/>
                <w:szCs w:val="20"/>
                <w:lang w:eastAsia="en-GB"/>
              </w:rPr>
              <w:t>Total</w:t>
            </w:r>
          </w:p>
        </w:tc>
        <w:tc>
          <w:tcPr>
            <w:tcW w:w="988" w:type="dxa"/>
            <w:tcBorders>
              <w:top w:val="nil"/>
              <w:left w:val="nil"/>
              <w:bottom w:val="nil"/>
              <w:right w:val="nil"/>
            </w:tcBorders>
            <w:shd w:val="clear" w:color="auto" w:fill="auto"/>
            <w:noWrap/>
            <w:vAlign w:val="center"/>
            <w:hideMark/>
          </w:tcPr>
          <w:p w14:paraId="50201168" w14:textId="77777777" w:rsidR="008C1D01" w:rsidRPr="00A42EEB" w:rsidRDefault="0037645F" w:rsidP="00F0231D">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2019</w:t>
            </w:r>
          </w:p>
        </w:tc>
      </w:tr>
      <w:tr w:rsidR="008C1D01" w:rsidRPr="00A42EEB" w14:paraId="139508AD" w14:textId="77777777" w:rsidTr="00D379F4">
        <w:trPr>
          <w:trHeight w:val="323"/>
        </w:trPr>
        <w:tc>
          <w:tcPr>
            <w:tcW w:w="4373" w:type="dxa"/>
            <w:tcBorders>
              <w:top w:val="nil"/>
              <w:left w:val="nil"/>
              <w:bottom w:val="single" w:sz="4" w:space="0" w:color="auto"/>
              <w:right w:val="nil"/>
            </w:tcBorders>
            <w:shd w:val="clear" w:color="auto" w:fill="auto"/>
            <w:noWrap/>
            <w:vAlign w:val="center"/>
            <w:hideMark/>
          </w:tcPr>
          <w:p w14:paraId="7533E8D3" w14:textId="77777777" w:rsidR="008C1D01" w:rsidRPr="00A42EEB" w:rsidRDefault="008C1D01" w:rsidP="00F0231D">
            <w:pPr>
              <w:spacing w:after="0" w:line="240" w:lineRule="auto"/>
              <w:rPr>
                <w:rFonts w:ascii="Arial" w:eastAsia="Times New Roman" w:hAnsi="Arial" w:cs="Arial"/>
                <w:sz w:val="20"/>
                <w:szCs w:val="20"/>
                <w:lang w:eastAsia="en-GB"/>
              </w:rPr>
            </w:pPr>
            <w:r w:rsidRPr="00A42EEB">
              <w:rPr>
                <w:rFonts w:ascii="Arial" w:eastAsia="Times New Roman" w:hAnsi="Arial" w:cs="Arial"/>
                <w:sz w:val="20"/>
                <w:szCs w:val="20"/>
                <w:lang w:eastAsia="en-GB"/>
              </w:rPr>
              <w:t> </w:t>
            </w:r>
          </w:p>
        </w:tc>
        <w:tc>
          <w:tcPr>
            <w:tcW w:w="670" w:type="dxa"/>
            <w:tcBorders>
              <w:top w:val="nil"/>
              <w:left w:val="nil"/>
              <w:bottom w:val="single" w:sz="4" w:space="0" w:color="auto"/>
              <w:right w:val="nil"/>
            </w:tcBorders>
            <w:shd w:val="clear" w:color="auto" w:fill="auto"/>
            <w:noWrap/>
            <w:vAlign w:val="bottom"/>
            <w:hideMark/>
          </w:tcPr>
          <w:p w14:paraId="6377CA61" w14:textId="77777777" w:rsidR="008C1D01" w:rsidRPr="00A42EEB" w:rsidRDefault="008C1D01" w:rsidP="00F0231D">
            <w:pPr>
              <w:spacing w:after="0" w:line="240" w:lineRule="auto"/>
              <w:rPr>
                <w:rFonts w:ascii="Arial" w:eastAsia="Times New Roman" w:hAnsi="Arial" w:cs="Arial"/>
                <w:sz w:val="20"/>
                <w:szCs w:val="20"/>
                <w:lang w:eastAsia="en-GB"/>
              </w:rPr>
            </w:pPr>
            <w:r w:rsidRPr="00A42EEB">
              <w:rPr>
                <w:rFonts w:ascii="Arial" w:eastAsia="Times New Roman" w:hAnsi="Arial" w:cs="Arial"/>
                <w:sz w:val="20"/>
                <w:szCs w:val="20"/>
                <w:lang w:eastAsia="en-GB"/>
              </w:rPr>
              <w:t> </w:t>
            </w:r>
          </w:p>
        </w:tc>
        <w:tc>
          <w:tcPr>
            <w:tcW w:w="959" w:type="dxa"/>
            <w:tcBorders>
              <w:top w:val="nil"/>
              <w:left w:val="nil"/>
              <w:bottom w:val="single" w:sz="4" w:space="0" w:color="auto"/>
              <w:right w:val="nil"/>
            </w:tcBorders>
            <w:shd w:val="clear" w:color="auto" w:fill="auto"/>
            <w:noWrap/>
            <w:vAlign w:val="center"/>
            <w:hideMark/>
          </w:tcPr>
          <w:p w14:paraId="059BE274" w14:textId="77777777" w:rsidR="008C1D01" w:rsidRPr="00A42EEB" w:rsidRDefault="008C1D01" w:rsidP="00F0231D">
            <w:pPr>
              <w:spacing w:after="0" w:line="240" w:lineRule="auto"/>
              <w:jc w:val="right"/>
              <w:rPr>
                <w:rFonts w:ascii="Arial" w:eastAsia="Times New Roman" w:hAnsi="Arial" w:cs="Arial"/>
                <w:b/>
                <w:bCs/>
                <w:sz w:val="20"/>
                <w:szCs w:val="20"/>
                <w:lang w:eastAsia="en-GB"/>
              </w:rPr>
            </w:pPr>
            <w:r w:rsidRPr="00A42EEB">
              <w:rPr>
                <w:rFonts w:ascii="Arial" w:eastAsia="Times New Roman" w:hAnsi="Arial" w:cs="Arial"/>
                <w:b/>
                <w:bCs/>
                <w:sz w:val="20"/>
                <w:szCs w:val="20"/>
                <w:lang w:eastAsia="en-GB"/>
              </w:rPr>
              <w:t>£000</w:t>
            </w:r>
          </w:p>
        </w:tc>
        <w:tc>
          <w:tcPr>
            <w:tcW w:w="1211" w:type="dxa"/>
            <w:tcBorders>
              <w:top w:val="nil"/>
              <w:left w:val="nil"/>
              <w:bottom w:val="single" w:sz="4" w:space="0" w:color="auto"/>
              <w:right w:val="nil"/>
            </w:tcBorders>
            <w:shd w:val="clear" w:color="auto" w:fill="auto"/>
            <w:noWrap/>
            <w:vAlign w:val="center"/>
            <w:hideMark/>
          </w:tcPr>
          <w:p w14:paraId="484B2F3E" w14:textId="77777777" w:rsidR="008C1D01" w:rsidRPr="00A42EEB" w:rsidRDefault="008C1D01" w:rsidP="00F0231D">
            <w:pPr>
              <w:spacing w:after="0" w:line="240" w:lineRule="auto"/>
              <w:jc w:val="right"/>
              <w:rPr>
                <w:rFonts w:ascii="Arial" w:eastAsia="Times New Roman" w:hAnsi="Arial" w:cs="Arial"/>
                <w:b/>
                <w:bCs/>
                <w:sz w:val="20"/>
                <w:szCs w:val="20"/>
                <w:lang w:eastAsia="en-GB"/>
              </w:rPr>
            </w:pPr>
            <w:r w:rsidRPr="00A42EEB">
              <w:rPr>
                <w:rFonts w:ascii="Arial" w:eastAsia="Times New Roman" w:hAnsi="Arial" w:cs="Arial"/>
                <w:b/>
                <w:bCs/>
                <w:sz w:val="20"/>
                <w:szCs w:val="20"/>
                <w:lang w:eastAsia="en-GB"/>
              </w:rPr>
              <w:t>£000</w:t>
            </w:r>
          </w:p>
        </w:tc>
        <w:tc>
          <w:tcPr>
            <w:tcW w:w="991" w:type="dxa"/>
            <w:tcBorders>
              <w:top w:val="nil"/>
              <w:left w:val="nil"/>
              <w:bottom w:val="single" w:sz="4" w:space="0" w:color="auto"/>
              <w:right w:val="nil"/>
            </w:tcBorders>
            <w:shd w:val="clear" w:color="auto" w:fill="auto"/>
            <w:noWrap/>
            <w:vAlign w:val="center"/>
            <w:hideMark/>
          </w:tcPr>
          <w:p w14:paraId="076032B8" w14:textId="77777777" w:rsidR="008C1D01" w:rsidRPr="00A42EEB" w:rsidRDefault="008C1D01" w:rsidP="00F0231D">
            <w:pPr>
              <w:spacing w:after="0" w:line="240" w:lineRule="auto"/>
              <w:jc w:val="right"/>
              <w:rPr>
                <w:rFonts w:ascii="Arial" w:eastAsia="Times New Roman" w:hAnsi="Arial" w:cs="Arial"/>
                <w:b/>
                <w:bCs/>
                <w:sz w:val="20"/>
                <w:szCs w:val="20"/>
                <w:lang w:eastAsia="en-GB"/>
              </w:rPr>
            </w:pPr>
            <w:r w:rsidRPr="00A42EEB">
              <w:rPr>
                <w:rFonts w:ascii="Arial" w:eastAsia="Times New Roman" w:hAnsi="Arial" w:cs="Arial"/>
                <w:b/>
                <w:bCs/>
                <w:sz w:val="20"/>
                <w:szCs w:val="20"/>
                <w:lang w:eastAsia="en-GB"/>
              </w:rPr>
              <w:t>£000</w:t>
            </w:r>
          </w:p>
        </w:tc>
        <w:tc>
          <w:tcPr>
            <w:tcW w:w="988" w:type="dxa"/>
            <w:tcBorders>
              <w:top w:val="nil"/>
              <w:left w:val="nil"/>
              <w:bottom w:val="single" w:sz="4" w:space="0" w:color="auto"/>
              <w:right w:val="nil"/>
            </w:tcBorders>
            <w:shd w:val="clear" w:color="auto" w:fill="auto"/>
            <w:noWrap/>
            <w:vAlign w:val="center"/>
            <w:hideMark/>
          </w:tcPr>
          <w:p w14:paraId="1086847A" w14:textId="77777777" w:rsidR="008C1D01" w:rsidRPr="00A42EEB" w:rsidRDefault="008C1D01" w:rsidP="00F0231D">
            <w:pPr>
              <w:spacing w:after="0" w:line="240" w:lineRule="auto"/>
              <w:jc w:val="right"/>
              <w:rPr>
                <w:rFonts w:ascii="Arial" w:eastAsia="Times New Roman" w:hAnsi="Arial" w:cs="Arial"/>
                <w:sz w:val="20"/>
                <w:szCs w:val="20"/>
                <w:lang w:eastAsia="en-GB"/>
              </w:rPr>
            </w:pPr>
            <w:r w:rsidRPr="00A42EEB">
              <w:rPr>
                <w:rFonts w:ascii="Arial" w:eastAsia="Times New Roman" w:hAnsi="Arial" w:cs="Arial"/>
                <w:sz w:val="20"/>
                <w:szCs w:val="20"/>
                <w:lang w:eastAsia="en-GB"/>
              </w:rPr>
              <w:t>£'000</w:t>
            </w:r>
          </w:p>
        </w:tc>
      </w:tr>
      <w:tr w:rsidR="00416FDD" w:rsidRPr="00543D10" w14:paraId="557C0F9C" w14:textId="77777777" w:rsidTr="00D379F4">
        <w:trPr>
          <w:trHeight w:val="323"/>
        </w:trPr>
        <w:tc>
          <w:tcPr>
            <w:tcW w:w="4373" w:type="dxa"/>
            <w:tcBorders>
              <w:top w:val="nil"/>
              <w:left w:val="nil"/>
              <w:bottom w:val="nil"/>
              <w:right w:val="nil"/>
            </w:tcBorders>
            <w:shd w:val="clear" w:color="auto" w:fill="auto"/>
            <w:noWrap/>
            <w:vAlign w:val="center"/>
            <w:hideMark/>
          </w:tcPr>
          <w:p w14:paraId="577A8BD8" w14:textId="77777777" w:rsidR="00416FDD" w:rsidRPr="00543D10" w:rsidRDefault="00416FDD" w:rsidP="00416FDD">
            <w:pPr>
              <w:spacing w:after="0" w:line="240" w:lineRule="auto"/>
              <w:rPr>
                <w:rFonts w:ascii="Arial" w:eastAsia="Times New Roman" w:hAnsi="Arial" w:cs="Arial"/>
                <w:sz w:val="20"/>
                <w:szCs w:val="20"/>
                <w:lang w:eastAsia="en-GB"/>
              </w:rPr>
            </w:pPr>
            <w:r w:rsidRPr="00543D10">
              <w:rPr>
                <w:rFonts w:ascii="Arial" w:eastAsia="Times New Roman" w:hAnsi="Arial" w:cs="Arial"/>
                <w:sz w:val="20"/>
                <w:szCs w:val="20"/>
                <w:lang w:eastAsia="en-GB"/>
              </w:rPr>
              <w:t xml:space="preserve">Deficit in the scheme as at 1 September </w:t>
            </w:r>
            <w:r>
              <w:rPr>
                <w:rFonts w:ascii="Arial" w:eastAsia="Times New Roman" w:hAnsi="Arial" w:cs="Arial"/>
                <w:sz w:val="20"/>
                <w:szCs w:val="20"/>
                <w:lang w:eastAsia="en-GB"/>
              </w:rPr>
              <w:t>2019</w:t>
            </w:r>
          </w:p>
        </w:tc>
        <w:tc>
          <w:tcPr>
            <w:tcW w:w="670" w:type="dxa"/>
            <w:tcBorders>
              <w:top w:val="nil"/>
              <w:left w:val="nil"/>
              <w:bottom w:val="nil"/>
              <w:right w:val="nil"/>
            </w:tcBorders>
            <w:shd w:val="clear" w:color="auto" w:fill="auto"/>
            <w:noWrap/>
            <w:vAlign w:val="bottom"/>
            <w:hideMark/>
          </w:tcPr>
          <w:p w14:paraId="1353C3C0" w14:textId="77777777" w:rsidR="00416FDD" w:rsidRPr="00543D10" w:rsidRDefault="00416FDD" w:rsidP="00416FDD">
            <w:pPr>
              <w:spacing w:after="0" w:line="240" w:lineRule="auto"/>
              <w:rPr>
                <w:rFonts w:ascii="Arial" w:eastAsia="Times New Roman" w:hAnsi="Arial" w:cs="Arial"/>
                <w:sz w:val="20"/>
                <w:szCs w:val="20"/>
                <w:lang w:eastAsia="en-GB"/>
              </w:rPr>
            </w:pPr>
          </w:p>
        </w:tc>
        <w:tc>
          <w:tcPr>
            <w:tcW w:w="959" w:type="dxa"/>
            <w:tcBorders>
              <w:top w:val="single" w:sz="4" w:space="0" w:color="auto"/>
              <w:left w:val="nil"/>
              <w:right w:val="nil"/>
            </w:tcBorders>
            <w:shd w:val="clear" w:color="auto" w:fill="auto"/>
            <w:noWrap/>
            <w:vAlign w:val="center"/>
            <w:hideMark/>
          </w:tcPr>
          <w:p w14:paraId="0F894DE8" w14:textId="77777777" w:rsidR="00416FDD" w:rsidRPr="00416FDD" w:rsidRDefault="00416FDD" w:rsidP="00416FDD">
            <w:pPr>
              <w:spacing w:after="0" w:line="240" w:lineRule="auto"/>
              <w:jc w:val="right"/>
              <w:rPr>
                <w:rFonts w:ascii="Arial" w:eastAsia="Times New Roman" w:hAnsi="Arial" w:cs="Arial"/>
                <w:sz w:val="20"/>
                <w:szCs w:val="20"/>
                <w:lang w:eastAsia="en-GB"/>
              </w:rPr>
            </w:pPr>
            <w:r w:rsidRPr="00416FDD">
              <w:rPr>
                <w:rFonts w:ascii="Arial" w:eastAsia="Times New Roman" w:hAnsi="Arial" w:cs="Arial"/>
                <w:bCs/>
                <w:sz w:val="20"/>
                <w:szCs w:val="20"/>
                <w:lang w:eastAsia="en-GB"/>
              </w:rPr>
              <w:t>3,052</w:t>
            </w:r>
          </w:p>
        </w:tc>
        <w:tc>
          <w:tcPr>
            <w:tcW w:w="1211" w:type="dxa"/>
            <w:tcBorders>
              <w:top w:val="single" w:sz="4" w:space="0" w:color="auto"/>
              <w:left w:val="nil"/>
              <w:right w:val="nil"/>
            </w:tcBorders>
            <w:shd w:val="clear" w:color="auto" w:fill="auto"/>
            <w:noWrap/>
            <w:vAlign w:val="center"/>
            <w:hideMark/>
          </w:tcPr>
          <w:p w14:paraId="217E76C1" w14:textId="77777777" w:rsidR="00416FDD" w:rsidRPr="00416FDD" w:rsidRDefault="00416FDD" w:rsidP="00416FDD">
            <w:pPr>
              <w:spacing w:after="0" w:line="240" w:lineRule="auto"/>
              <w:jc w:val="right"/>
              <w:rPr>
                <w:rFonts w:ascii="Arial" w:eastAsia="Times New Roman" w:hAnsi="Arial" w:cs="Arial"/>
                <w:sz w:val="20"/>
                <w:szCs w:val="20"/>
                <w:lang w:eastAsia="en-GB"/>
              </w:rPr>
            </w:pPr>
            <w:r w:rsidRPr="00416FDD">
              <w:rPr>
                <w:rFonts w:ascii="Arial" w:eastAsia="Times New Roman" w:hAnsi="Arial" w:cs="Arial"/>
                <w:bCs/>
                <w:sz w:val="20"/>
                <w:szCs w:val="20"/>
                <w:lang w:eastAsia="en-GB"/>
              </w:rPr>
              <w:t>(3,072)</w:t>
            </w:r>
          </w:p>
        </w:tc>
        <w:tc>
          <w:tcPr>
            <w:tcW w:w="991" w:type="dxa"/>
            <w:tcBorders>
              <w:top w:val="single" w:sz="4" w:space="0" w:color="auto"/>
              <w:left w:val="nil"/>
              <w:right w:val="nil"/>
            </w:tcBorders>
            <w:shd w:val="clear" w:color="auto" w:fill="auto"/>
            <w:noWrap/>
            <w:vAlign w:val="center"/>
            <w:hideMark/>
          </w:tcPr>
          <w:p w14:paraId="0B9E89CE" w14:textId="77777777" w:rsidR="00416FDD" w:rsidRPr="00416FDD" w:rsidRDefault="00416FDD" w:rsidP="00416FDD">
            <w:pPr>
              <w:spacing w:after="0" w:line="240" w:lineRule="auto"/>
              <w:jc w:val="right"/>
              <w:rPr>
                <w:rFonts w:ascii="Arial" w:eastAsia="Times New Roman" w:hAnsi="Arial" w:cs="Arial"/>
                <w:bCs/>
                <w:sz w:val="20"/>
                <w:szCs w:val="20"/>
                <w:lang w:eastAsia="en-GB"/>
              </w:rPr>
            </w:pPr>
            <w:r w:rsidRPr="00416FDD">
              <w:rPr>
                <w:rFonts w:ascii="Arial" w:eastAsia="Times New Roman" w:hAnsi="Arial" w:cs="Arial"/>
                <w:bCs/>
                <w:sz w:val="20"/>
                <w:szCs w:val="20"/>
                <w:lang w:eastAsia="en-GB"/>
              </w:rPr>
              <w:t>(20)</w:t>
            </w:r>
          </w:p>
        </w:tc>
        <w:tc>
          <w:tcPr>
            <w:tcW w:w="988" w:type="dxa"/>
            <w:tcBorders>
              <w:top w:val="single" w:sz="4" w:space="0" w:color="auto"/>
              <w:left w:val="nil"/>
              <w:right w:val="nil"/>
            </w:tcBorders>
            <w:shd w:val="clear" w:color="auto" w:fill="auto"/>
            <w:noWrap/>
            <w:vAlign w:val="center"/>
            <w:hideMark/>
          </w:tcPr>
          <w:p w14:paraId="5C196672" w14:textId="77777777" w:rsidR="00416FDD" w:rsidRPr="00416FDD" w:rsidRDefault="00416FDD" w:rsidP="00416FDD">
            <w:pPr>
              <w:spacing w:after="0" w:line="240" w:lineRule="auto"/>
              <w:jc w:val="right"/>
              <w:rPr>
                <w:rFonts w:ascii="Arial" w:eastAsia="Times New Roman" w:hAnsi="Arial" w:cs="Arial"/>
                <w:sz w:val="20"/>
                <w:szCs w:val="20"/>
                <w:lang w:eastAsia="en-GB"/>
              </w:rPr>
            </w:pPr>
            <w:r w:rsidRPr="00416FDD">
              <w:rPr>
                <w:rFonts w:ascii="Arial" w:eastAsia="Times New Roman" w:hAnsi="Arial" w:cs="Arial"/>
                <w:sz w:val="20"/>
                <w:szCs w:val="20"/>
                <w:lang w:eastAsia="en-GB"/>
              </w:rPr>
              <w:t>321</w:t>
            </w:r>
          </w:p>
        </w:tc>
      </w:tr>
      <w:tr w:rsidR="00543D10" w:rsidRPr="00543D10" w14:paraId="7FC3810B" w14:textId="77777777" w:rsidTr="006647C2">
        <w:trPr>
          <w:trHeight w:val="323"/>
        </w:trPr>
        <w:tc>
          <w:tcPr>
            <w:tcW w:w="4373" w:type="dxa"/>
            <w:tcBorders>
              <w:top w:val="nil"/>
              <w:left w:val="nil"/>
              <w:bottom w:val="nil"/>
              <w:right w:val="nil"/>
            </w:tcBorders>
            <w:shd w:val="clear" w:color="auto" w:fill="auto"/>
            <w:noWrap/>
            <w:vAlign w:val="center"/>
            <w:hideMark/>
          </w:tcPr>
          <w:p w14:paraId="136FB89A" w14:textId="77777777" w:rsidR="008C1D01" w:rsidRPr="00543D10" w:rsidRDefault="008C1D01" w:rsidP="00F0231D">
            <w:pPr>
              <w:spacing w:after="0" w:line="240" w:lineRule="auto"/>
              <w:rPr>
                <w:rFonts w:ascii="Arial" w:eastAsia="Times New Roman" w:hAnsi="Arial" w:cs="Arial"/>
                <w:sz w:val="20"/>
                <w:szCs w:val="20"/>
                <w:lang w:eastAsia="en-GB"/>
              </w:rPr>
            </w:pPr>
            <w:r w:rsidRPr="00543D10">
              <w:rPr>
                <w:rFonts w:ascii="Arial" w:eastAsia="Times New Roman" w:hAnsi="Arial" w:cs="Arial"/>
                <w:sz w:val="20"/>
                <w:szCs w:val="20"/>
                <w:lang w:eastAsia="en-GB"/>
              </w:rPr>
              <w:t>Benefits paid</w:t>
            </w:r>
          </w:p>
        </w:tc>
        <w:tc>
          <w:tcPr>
            <w:tcW w:w="670" w:type="dxa"/>
            <w:tcBorders>
              <w:top w:val="nil"/>
              <w:left w:val="nil"/>
              <w:bottom w:val="nil"/>
              <w:right w:val="nil"/>
            </w:tcBorders>
            <w:shd w:val="clear" w:color="auto" w:fill="auto"/>
            <w:noWrap/>
            <w:vAlign w:val="bottom"/>
            <w:hideMark/>
          </w:tcPr>
          <w:p w14:paraId="4009B91F" w14:textId="77777777" w:rsidR="008C1D01" w:rsidRPr="00543D10" w:rsidRDefault="008C1D01" w:rsidP="00F0231D">
            <w:pPr>
              <w:spacing w:after="0" w:line="240" w:lineRule="auto"/>
              <w:rPr>
                <w:rFonts w:ascii="Arial" w:eastAsia="Times New Roman" w:hAnsi="Arial" w:cs="Arial"/>
                <w:sz w:val="20"/>
                <w:szCs w:val="20"/>
                <w:lang w:eastAsia="en-GB"/>
              </w:rPr>
            </w:pPr>
          </w:p>
        </w:tc>
        <w:tc>
          <w:tcPr>
            <w:tcW w:w="959" w:type="dxa"/>
            <w:tcBorders>
              <w:left w:val="nil"/>
              <w:bottom w:val="nil"/>
              <w:right w:val="nil"/>
            </w:tcBorders>
            <w:shd w:val="clear" w:color="auto" w:fill="auto"/>
            <w:noWrap/>
            <w:vAlign w:val="bottom"/>
          </w:tcPr>
          <w:p w14:paraId="500FB78C" w14:textId="77777777" w:rsidR="008C1D01" w:rsidRPr="00543D10" w:rsidRDefault="00AF5B75" w:rsidP="00F0231D">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(84)</w:t>
            </w:r>
          </w:p>
        </w:tc>
        <w:tc>
          <w:tcPr>
            <w:tcW w:w="1211" w:type="dxa"/>
            <w:tcBorders>
              <w:left w:val="nil"/>
              <w:bottom w:val="nil"/>
              <w:right w:val="nil"/>
            </w:tcBorders>
            <w:shd w:val="clear" w:color="auto" w:fill="auto"/>
            <w:noWrap/>
            <w:vAlign w:val="bottom"/>
          </w:tcPr>
          <w:p w14:paraId="0601552C" w14:textId="77777777" w:rsidR="008C1D01" w:rsidRPr="00543D10" w:rsidRDefault="00AF5B75" w:rsidP="00F0231D">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84</w:t>
            </w:r>
          </w:p>
        </w:tc>
        <w:tc>
          <w:tcPr>
            <w:tcW w:w="991" w:type="dxa"/>
            <w:tcBorders>
              <w:left w:val="nil"/>
              <w:bottom w:val="nil"/>
              <w:right w:val="nil"/>
            </w:tcBorders>
            <w:shd w:val="clear" w:color="auto" w:fill="auto"/>
            <w:noWrap/>
            <w:vAlign w:val="bottom"/>
          </w:tcPr>
          <w:p w14:paraId="7C2D2E41" w14:textId="77777777" w:rsidR="008C1D01" w:rsidRPr="00543D10" w:rsidRDefault="00AF5B75" w:rsidP="00F0231D">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w:t>
            </w:r>
          </w:p>
        </w:tc>
        <w:tc>
          <w:tcPr>
            <w:tcW w:w="988" w:type="dxa"/>
            <w:tcBorders>
              <w:left w:val="nil"/>
              <w:bottom w:val="nil"/>
              <w:right w:val="nil"/>
            </w:tcBorders>
            <w:shd w:val="clear" w:color="auto" w:fill="auto"/>
            <w:noWrap/>
            <w:vAlign w:val="bottom"/>
          </w:tcPr>
          <w:p w14:paraId="6C54796F" w14:textId="77777777" w:rsidR="008C1D01" w:rsidRPr="00543D10" w:rsidRDefault="00AF5B75" w:rsidP="00F0231D">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w:t>
            </w:r>
          </w:p>
        </w:tc>
      </w:tr>
      <w:tr w:rsidR="00543D10" w:rsidRPr="00543D10" w14:paraId="4EA10C80" w14:textId="77777777" w:rsidTr="006647C2">
        <w:trPr>
          <w:trHeight w:val="323"/>
        </w:trPr>
        <w:tc>
          <w:tcPr>
            <w:tcW w:w="4373" w:type="dxa"/>
            <w:tcBorders>
              <w:top w:val="nil"/>
              <w:left w:val="nil"/>
              <w:bottom w:val="nil"/>
              <w:right w:val="nil"/>
            </w:tcBorders>
            <w:shd w:val="clear" w:color="auto" w:fill="auto"/>
            <w:noWrap/>
            <w:vAlign w:val="center"/>
            <w:hideMark/>
          </w:tcPr>
          <w:p w14:paraId="0A3A8E97" w14:textId="77777777" w:rsidR="008C1D01" w:rsidRPr="00543D10" w:rsidRDefault="008C1D01" w:rsidP="00F0231D">
            <w:pPr>
              <w:spacing w:after="0" w:line="240" w:lineRule="auto"/>
              <w:rPr>
                <w:rFonts w:ascii="Arial" w:eastAsia="Times New Roman" w:hAnsi="Arial" w:cs="Arial"/>
                <w:sz w:val="20"/>
                <w:szCs w:val="20"/>
                <w:lang w:eastAsia="en-GB"/>
              </w:rPr>
            </w:pPr>
            <w:r w:rsidRPr="00543D10">
              <w:rPr>
                <w:rFonts w:ascii="Arial" w:eastAsia="Times New Roman" w:hAnsi="Arial" w:cs="Arial"/>
                <w:sz w:val="20"/>
                <w:szCs w:val="20"/>
                <w:lang w:eastAsia="en-GB"/>
              </w:rPr>
              <w:t>Employer contributions</w:t>
            </w:r>
          </w:p>
        </w:tc>
        <w:tc>
          <w:tcPr>
            <w:tcW w:w="670" w:type="dxa"/>
            <w:tcBorders>
              <w:top w:val="nil"/>
              <w:left w:val="nil"/>
              <w:bottom w:val="nil"/>
              <w:right w:val="nil"/>
            </w:tcBorders>
            <w:shd w:val="clear" w:color="auto" w:fill="auto"/>
            <w:noWrap/>
            <w:vAlign w:val="bottom"/>
            <w:hideMark/>
          </w:tcPr>
          <w:p w14:paraId="037CF99F" w14:textId="77777777" w:rsidR="008C1D01" w:rsidRPr="00543D10" w:rsidRDefault="008C1D01" w:rsidP="00F0231D">
            <w:pPr>
              <w:spacing w:after="0" w:line="240" w:lineRule="auto"/>
              <w:rPr>
                <w:rFonts w:ascii="Arial" w:eastAsia="Times New Roman" w:hAnsi="Arial" w:cs="Arial"/>
                <w:sz w:val="20"/>
                <w:szCs w:val="20"/>
                <w:lang w:eastAsia="en-GB"/>
              </w:rPr>
            </w:pPr>
          </w:p>
        </w:tc>
        <w:tc>
          <w:tcPr>
            <w:tcW w:w="959" w:type="dxa"/>
            <w:tcBorders>
              <w:top w:val="nil"/>
              <w:left w:val="nil"/>
              <w:bottom w:val="nil"/>
              <w:right w:val="nil"/>
            </w:tcBorders>
            <w:shd w:val="clear" w:color="auto" w:fill="auto"/>
            <w:noWrap/>
            <w:vAlign w:val="bottom"/>
          </w:tcPr>
          <w:p w14:paraId="6C80F62A" w14:textId="77777777" w:rsidR="008C1D01" w:rsidRPr="00543D10" w:rsidRDefault="00AF5B75" w:rsidP="008C1D01">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9</w:t>
            </w:r>
          </w:p>
        </w:tc>
        <w:tc>
          <w:tcPr>
            <w:tcW w:w="1211" w:type="dxa"/>
            <w:tcBorders>
              <w:top w:val="nil"/>
              <w:left w:val="nil"/>
              <w:bottom w:val="nil"/>
              <w:right w:val="nil"/>
            </w:tcBorders>
            <w:shd w:val="clear" w:color="auto" w:fill="auto"/>
            <w:noWrap/>
            <w:vAlign w:val="bottom"/>
          </w:tcPr>
          <w:p w14:paraId="2A70AC4F" w14:textId="77777777" w:rsidR="008C1D01" w:rsidRPr="00543D10" w:rsidRDefault="00FA6D09" w:rsidP="00F0231D">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w:t>
            </w:r>
          </w:p>
        </w:tc>
        <w:tc>
          <w:tcPr>
            <w:tcW w:w="991" w:type="dxa"/>
            <w:tcBorders>
              <w:top w:val="nil"/>
              <w:left w:val="nil"/>
              <w:bottom w:val="nil"/>
              <w:right w:val="nil"/>
            </w:tcBorders>
            <w:shd w:val="clear" w:color="auto" w:fill="auto"/>
            <w:noWrap/>
            <w:vAlign w:val="bottom"/>
          </w:tcPr>
          <w:p w14:paraId="3F8F20B3" w14:textId="77777777" w:rsidR="008C1D01" w:rsidRPr="00543D10" w:rsidRDefault="00AF5B75" w:rsidP="00F0231D">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9</w:t>
            </w:r>
          </w:p>
        </w:tc>
        <w:tc>
          <w:tcPr>
            <w:tcW w:w="988" w:type="dxa"/>
            <w:tcBorders>
              <w:top w:val="nil"/>
              <w:left w:val="nil"/>
              <w:bottom w:val="nil"/>
              <w:right w:val="nil"/>
            </w:tcBorders>
            <w:shd w:val="clear" w:color="auto" w:fill="auto"/>
            <w:noWrap/>
            <w:vAlign w:val="bottom"/>
          </w:tcPr>
          <w:p w14:paraId="70E6503C" w14:textId="77777777" w:rsidR="008C1D01" w:rsidRPr="00543D10" w:rsidRDefault="00F0586B" w:rsidP="00F0231D">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12</w:t>
            </w:r>
          </w:p>
        </w:tc>
      </w:tr>
      <w:tr w:rsidR="00543D10" w:rsidRPr="00543D10" w14:paraId="1E53911A" w14:textId="77777777" w:rsidTr="006647C2">
        <w:trPr>
          <w:trHeight w:val="323"/>
        </w:trPr>
        <w:tc>
          <w:tcPr>
            <w:tcW w:w="4373" w:type="dxa"/>
            <w:tcBorders>
              <w:top w:val="nil"/>
              <w:left w:val="nil"/>
              <w:bottom w:val="nil"/>
              <w:right w:val="nil"/>
            </w:tcBorders>
            <w:shd w:val="clear" w:color="auto" w:fill="auto"/>
            <w:noWrap/>
            <w:vAlign w:val="center"/>
            <w:hideMark/>
          </w:tcPr>
          <w:p w14:paraId="13696A56" w14:textId="77777777" w:rsidR="008C1D01" w:rsidRPr="00543D10" w:rsidRDefault="008C1D01" w:rsidP="00F0231D">
            <w:pPr>
              <w:spacing w:after="0" w:line="240" w:lineRule="auto"/>
              <w:rPr>
                <w:rFonts w:ascii="Arial" w:eastAsia="Times New Roman" w:hAnsi="Arial" w:cs="Arial"/>
                <w:sz w:val="20"/>
                <w:szCs w:val="20"/>
                <w:lang w:eastAsia="en-GB"/>
              </w:rPr>
            </w:pPr>
            <w:r w:rsidRPr="00543D10">
              <w:rPr>
                <w:rFonts w:ascii="Arial" w:eastAsia="Times New Roman" w:hAnsi="Arial" w:cs="Arial"/>
                <w:sz w:val="20"/>
                <w:szCs w:val="20"/>
                <w:lang w:eastAsia="en-GB"/>
              </w:rPr>
              <w:t>Contribution from employees</w:t>
            </w:r>
          </w:p>
        </w:tc>
        <w:tc>
          <w:tcPr>
            <w:tcW w:w="670" w:type="dxa"/>
            <w:tcBorders>
              <w:top w:val="nil"/>
              <w:left w:val="nil"/>
              <w:bottom w:val="nil"/>
              <w:right w:val="nil"/>
            </w:tcBorders>
            <w:shd w:val="clear" w:color="auto" w:fill="auto"/>
            <w:noWrap/>
            <w:vAlign w:val="bottom"/>
            <w:hideMark/>
          </w:tcPr>
          <w:p w14:paraId="4E2124EE" w14:textId="77777777" w:rsidR="008C1D01" w:rsidRPr="00543D10" w:rsidRDefault="008C1D01" w:rsidP="00F0231D">
            <w:pPr>
              <w:spacing w:after="0" w:line="240" w:lineRule="auto"/>
              <w:rPr>
                <w:rFonts w:ascii="Arial" w:eastAsia="Times New Roman" w:hAnsi="Arial" w:cs="Arial"/>
                <w:sz w:val="20"/>
                <w:szCs w:val="20"/>
                <w:lang w:eastAsia="en-GB"/>
              </w:rPr>
            </w:pPr>
          </w:p>
        </w:tc>
        <w:tc>
          <w:tcPr>
            <w:tcW w:w="959" w:type="dxa"/>
            <w:tcBorders>
              <w:top w:val="nil"/>
              <w:left w:val="nil"/>
              <w:bottom w:val="nil"/>
              <w:right w:val="nil"/>
            </w:tcBorders>
            <w:shd w:val="clear" w:color="auto" w:fill="auto"/>
            <w:noWrap/>
            <w:vAlign w:val="bottom"/>
          </w:tcPr>
          <w:p w14:paraId="6892A76F" w14:textId="77777777" w:rsidR="008C1D01" w:rsidRPr="00543D10" w:rsidRDefault="00AF5B75" w:rsidP="00F0231D">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3</w:t>
            </w:r>
          </w:p>
        </w:tc>
        <w:tc>
          <w:tcPr>
            <w:tcW w:w="1211" w:type="dxa"/>
            <w:tcBorders>
              <w:top w:val="nil"/>
              <w:left w:val="nil"/>
              <w:bottom w:val="nil"/>
              <w:right w:val="nil"/>
            </w:tcBorders>
            <w:shd w:val="clear" w:color="auto" w:fill="auto"/>
            <w:noWrap/>
            <w:vAlign w:val="bottom"/>
          </w:tcPr>
          <w:p w14:paraId="5D2E3985" w14:textId="77777777" w:rsidR="008C1D01" w:rsidRPr="00543D10" w:rsidRDefault="00AF5B75" w:rsidP="00F0231D">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(3)</w:t>
            </w:r>
          </w:p>
        </w:tc>
        <w:tc>
          <w:tcPr>
            <w:tcW w:w="991" w:type="dxa"/>
            <w:tcBorders>
              <w:top w:val="nil"/>
              <w:left w:val="nil"/>
              <w:bottom w:val="nil"/>
              <w:right w:val="nil"/>
            </w:tcBorders>
            <w:shd w:val="clear" w:color="auto" w:fill="auto"/>
            <w:noWrap/>
            <w:vAlign w:val="bottom"/>
          </w:tcPr>
          <w:p w14:paraId="5161883E" w14:textId="77777777" w:rsidR="008C1D01" w:rsidRPr="00543D10" w:rsidRDefault="00AF5B75" w:rsidP="00F0231D">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w:t>
            </w:r>
          </w:p>
        </w:tc>
        <w:tc>
          <w:tcPr>
            <w:tcW w:w="988" w:type="dxa"/>
            <w:tcBorders>
              <w:top w:val="nil"/>
              <w:left w:val="nil"/>
              <w:bottom w:val="nil"/>
              <w:right w:val="nil"/>
            </w:tcBorders>
            <w:shd w:val="clear" w:color="auto" w:fill="auto"/>
            <w:noWrap/>
            <w:vAlign w:val="bottom"/>
          </w:tcPr>
          <w:p w14:paraId="25B4A611" w14:textId="77777777" w:rsidR="008C1D01" w:rsidRPr="00543D10" w:rsidRDefault="00AF5B75" w:rsidP="00F0231D">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w:t>
            </w:r>
          </w:p>
        </w:tc>
      </w:tr>
      <w:tr w:rsidR="00543D10" w:rsidRPr="00543D10" w14:paraId="2ED267A5" w14:textId="77777777" w:rsidTr="006647C2">
        <w:trPr>
          <w:trHeight w:val="323"/>
        </w:trPr>
        <w:tc>
          <w:tcPr>
            <w:tcW w:w="4373" w:type="dxa"/>
            <w:tcBorders>
              <w:top w:val="nil"/>
              <w:left w:val="nil"/>
              <w:bottom w:val="nil"/>
              <w:right w:val="nil"/>
            </w:tcBorders>
            <w:shd w:val="clear" w:color="auto" w:fill="auto"/>
            <w:noWrap/>
            <w:vAlign w:val="center"/>
            <w:hideMark/>
          </w:tcPr>
          <w:p w14:paraId="06F24B65" w14:textId="77777777" w:rsidR="008C1D01" w:rsidRPr="00543D10" w:rsidRDefault="008C1D01" w:rsidP="00F0231D">
            <w:pPr>
              <w:spacing w:after="0" w:line="240" w:lineRule="auto"/>
              <w:rPr>
                <w:rFonts w:ascii="Arial" w:eastAsia="Times New Roman" w:hAnsi="Arial" w:cs="Arial"/>
                <w:sz w:val="20"/>
                <w:szCs w:val="20"/>
                <w:lang w:eastAsia="en-GB"/>
              </w:rPr>
            </w:pPr>
            <w:r w:rsidRPr="00543D10">
              <w:rPr>
                <w:rFonts w:ascii="Arial" w:eastAsia="Times New Roman" w:hAnsi="Arial" w:cs="Arial"/>
                <w:sz w:val="20"/>
                <w:szCs w:val="20"/>
                <w:lang w:eastAsia="en-GB"/>
              </w:rPr>
              <w:t>Current service cost</w:t>
            </w:r>
          </w:p>
        </w:tc>
        <w:tc>
          <w:tcPr>
            <w:tcW w:w="670" w:type="dxa"/>
            <w:tcBorders>
              <w:top w:val="nil"/>
              <w:left w:val="nil"/>
              <w:bottom w:val="nil"/>
              <w:right w:val="nil"/>
            </w:tcBorders>
            <w:shd w:val="clear" w:color="auto" w:fill="auto"/>
            <w:noWrap/>
            <w:vAlign w:val="bottom"/>
            <w:hideMark/>
          </w:tcPr>
          <w:p w14:paraId="184316F8" w14:textId="77777777" w:rsidR="008C1D01" w:rsidRPr="00543D10" w:rsidRDefault="008C1D01" w:rsidP="00F0231D">
            <w:pPr>
              <w:spacing w:after="0" w:line="240" w:lineRule="auto"/>
              <w:rPr>
                <w:rFonts w:ascii="Arial" w:eastAsia="Times New Roman" w:hAnsi="Arial" w:cs="Arial"/>
                <w:sz w:val="20"/>
                <w:szCs w:val="20"/>
                <w:lang w:eastAsia="en-GB"/>
              </w:rPr>
            </w:pPr>
          </w:p>
        </w:tc>
        <w:tc>
          <w:tcPr>
            <w:tcW w:w="959" w:type="dxa"/>
            <w:tcBorders>
              <w:top w:val="nil"/>
              <w:left w:val="nil"/>
              <w:bottom w:val="nil"/>
              <w:right w:val="nil"/>
            </w:tcBorders>
            <w:shd w:val="clear" w:color="auto" w:fill="auto"/>
            <w:noWrap/>
            <w:vAlign w:val="bottom"/>
          </w:tcPr>
          <w:p w14:paraId="60D4E130" w14:textId="77777777" w:rsidR="008C1D01" w:rsidRPr="00543D10" w:rsidRDefault="00AF5B75" w:rsidP="008C1D01">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w:t>
            </w:r>
          </w:p>
        </w:tc>
        <w:tc>
          <w:tcPr>
            <w:tcW w:w="1211" w:type="dxa"/>
            <w:tcBorders>
              <w:top w:val="nil"/>
              <w:left w:val="nil"/>
              <w:bottom w:val="nil"/>
              <w:right w:val="nil"/>
            </w:tcBorders>
            <w:shd w:val="clear" w:color="auto" w:fill="auto"/>
            <w:noWrap/>
            <w:vAlign w:val="bottom"/>
          </w:tcPr>
          <w:p w14:paraId="61CFD802" w14:textId="77777777" w:rsidR="008C1D01" w:rsidRPr="00543D10" w:rsidRDefault="00AF5B75" w:rsidP="00F0231D">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(21)</w:t>
            </w:r>
          </w:p>
        </w:tc>
        <w:tc>
          <w:tcPr>
            <w:tcW w:w="991" w:type="dxa"/>
            <w:tcBorders>
              <w:top w:val="nil"/>
              <w:left w:val="nil"/>
              <w:bottom w:val="nil"/>
              <w:right w:val="nil"/>
            </w:tcBorders>
            <w:shd w:val="clear" w:color="auto" w:fill="auto"/>
            <w:noWrap/>
            <w:vAlign w:val="bottom"/>
          </w:tcPr>
          <w:p w14:paraId="7D9EC24E" w14:textId="77777777" w:rsidR="008C1D01" w:rsidRPr="00543D10" w:rsidRDefault="00AF5B75" w:rsidP="00F0231D">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(21)</w:t>
            </w:r>
          </w:p>
        </w:tc>
        <w:tc>
          <w:tcPr>
            <w:tcW w:w="988" w:type="dxa"/>
            <w:tcBorders>
              <w:top w:val="nil"/>
              <w:left w:val="nil"/>
              <w:bottom w:val="nil"/>
              <w:right w:val="nil"/>
            </w:tcBorders>
            <w:shd w:val="clear" w:color="auto" w:fill="auto"/>
            <w:noWrap/>
            <w:vAlign w:val="bottom"/>
          </w:tcPr>
          <w:p w14:paraId="4E9114A9" w14:textId="77777777" w:rsidR="008C1D01" w:rsidRPr="00543D10" w:rsidRDefault="00F0586B" w:rsidP="00F0231D">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(18)</w:t>
            </w:r>
          </w:p>
        </w:tc>
      </w:tr>
      <w:tr w:rsidR="00AF5B75" w:rsidRPr="00543D10" w14:paraId="544E852B" w14:textId="77777777" w:rsidTr="006647C2">
        <w:trPr>
          <w:trHeight w:val="323"/>
        </w:trPr>
        <w:tc>
          <w:tcPr>
            <w:tcW w:w="4373" w:type="dxa"/>
            <w:tcBorders>
              <w:top w:val="nil"/>
              <w:left w:val="nil"/>
              <w:bottom w:val="nil"/>
              <w:right w:val="nil"/>
            </w:tcBorders>
            <w:shd w:val="clear" w:color="auto" w:fill="auto"/>
            <w:noWrap/>
            <w:vAlign w:val="center"/>
          </w:tcPr>
          <w:p w14:paraId="58DEED05" w14:textId="77777777" w:rsidR="00AF5B75" w:rsidRPr="00543D10" w:rsidRDefault="00AF5B75" w:rsidP="00F0231D">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Past service cost</w:t>
            </w:r>
          </w:p>
        </w:tc>
        <w:tc>
          <w:tcPr>
            <w:tcW w:w="670" w:type="dxa"/>
            <w:tcBorders>
              <w:top w:val="nil"/>
              <w:left w:val="nil"/>
              <w:bottom w:val="nil"/>
              <w:right w:val="nil"/>
            </w:tcBorders>
            <w:shd w:val="clear" w:color="auto" w:fill="auto"/>
            <w:noWrap/>
            <w:vAlign w:val="bottom"/>
          </w:tcPr>
          <w:p w14:paraId="7B37CEFA" w14:textId="77777777" w:rsidR="00AF5B75" w:rsidRPr="00543D10" w:rsidRDefault="00AF5B75" w:rsidP="00F0231D">
            <w:pPr>
              <w:spacing w:after="0" w:line="240" w:lineRule="auto"/>
              <w:rPr>
                <w:rFonts w:ascii="Arial" w:eastAsia="Times New Roman" w:hAnsi="Arial" w:cs="Arial"/>
                <w:sz w:val="20"/>
                <w:szCs w:val="20"/>
                <w:lang w:eastAsia="en-GB"/>
              </w:rPr>
            </w:pPr>
          </w:p>
        </w:tc>
        <w:tc>
          <w:tcPr>
            <w:tcW w:w="959" w:type="dxa"/>
            <w:tcBorders>
              <w:top w:val="nil"/>
              <w:left w:val="nil"/>
              <w:bottom w:val="nil"/>
              <w:right w:val="nil"/>
            </w:tcBorders>
            <w:shd w:val="clear" w:color="auto" w:fill="auto"/>
            <w:noWrap/>
            <w:vAlign w:val="bottom"/>
          </w:tcPr>
          <w:p w14:paraId="270C37D2" w14:textId="77777777" w:rsidR="00AF5B75" w:rsidRPr="00543D10" w:rsidRDefault="00AF5B75" w:rsidP="00F0231D">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w:t>
            </w:r>
          </w:p>
        </w:tc>
        <w:tc>
          <w:tcPr>
            <w:tcW w:w="1211" w:type="dxa"/>
            <w:tcBorders>
              <w:top w:val="nil"/>
              <w:left w:val="nil"/>
              <w:bottom w:val="nil"/>
              <w:right w:val="nil"/>
            </w:tcBorders>
            <w:shd w:val="clear" w:color="auto" w:fill="auto"/>
            <w:noWrap/>
            <w:vAlign w:val="bottom"/>
          </w:tcPr>
          <w:p w14:paraId="1AC63574" w14:textId="77777777" w:rsidR="00AF5B75" w:rsidRPr="00543D10" w:rsidRDefault="00AF5B75" w:rsidP="00F0231D">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(22)</w:t>
            </w:r>
          </w:p>
        </w:tc>
        <w:tc>
          <w:tcPr>
            <w:tcW w:w="991" w:type="dxa"/>
            <w:tcBorders>
              <w:top w:val="nil"/>
              <w:left w:val="nil"/>
              <w:bottom w:val="nil"/>
              <w:right w:val="nil"/>
            </w:tcBorders>
            <w:shd w:val="clear" w:color="auto" w:fill="auto"/>
            <w:noWrap/>
            <w:vAlign w:val="bottom"/>
          </w:tcPr>
          <w:p w14:paraId="40FD6587" w14:textId="77777777" w:rsidR="00AF5B75" w:rsidRPr="00543D10" w:rsidRDefault="00AF5B75" w:rsidP="00F0231D">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(22)</w:t>
            </w:r>
          </w:p>
        </w:tc>
        <w:tc>
          <w:tcPr>
            <w:tcW w:w="988" w:type="dxa"/>
            <w:tcBorders>
              <w:top w:val="nil"/>
              <w:left w:val="nil"/>
              <w:bottom w:val="nil"/>
              <w:right w:val="nil"/>
            </w:tcBorders>
            <w:shd w:val="clear" w:color="auto" w:fill="auto"/>
            <w:noWrap/>
            <w:vAlign w:val="bottom"/>
          </w:tcPr>
          <w:p w14:paraId="542CC355" w14:textId="77777777" w:rsidR="00AF5B75" w:rsidRDefault="00AF5B75" w:rsidP="00F0231D">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w:t>
            </w:r>
          </w:p>
        </w:tc>
      </w:tr>
      <w:tr w:rsidR="00543D10" w:rsidRPr="00543D10" w14:paraId="1268424E" w14:textId="77777777" w:rsidTr="006647C2">
        <w:trPr>
          <w:trHeight w:val="323"/>
        </w:trPr>
        <w:tc>
          <w:tcPr>
            <w:tcW w:w="4373" w:type="dxa"/>
            <w:tcBorders>
              <w:top w:val="nil"/>
              <w:left w:val="nil"/>
              <w:bottom w:val="nil"/>
              <w:right w:val="nil"/>
            </w:tcBorders>
            <w:shd w:val="clear" w:color="auto" w:fill="auto"/>
            <w:noWrap/>
            <w:vAlign w:val="center"/>
            <w:hideMark/>
          </w:tcPr>
          <w:p w14:paraId="6357B509" w14:textId="77777777" w:rsidR="008C1D01" w:rsidRPr="00543D10" w:rsidRDefault="008C1D01" w:rsidP="00F0231D">
            <w:pPr>
              <w:spacing w:after="0" w:line="240" w:lineRule="auto"/>
              <w:rPr>
                <w:rFonts w:ascii="Arial" w:eastAsia="Times New Roman" w:hAnsi="Arial" w:cs="Arial"/>
                <w:sz w:val="20"/>
                <w:szCs w:val="20"/>
                <w:lang w:eastAsia="en-GB"/>
              </w:rPr>
            </w:pPr>
            <w:r w:rsidRPr="00543D10">
              <w:rPr>
                <w:rFonts w:ascii="Arial" w:eastAsia="Times New Roman" w:hAnsi="Arial" w:cs="Arial"/>
                <w:sz w:val="20"/>
                <w:szCs w:val="20"/>
                <w:lang w:eastAsia="en-GB"/>
              </w:rPr>
              <w:t>Interest income / (expense)</w:t>
            </w:r>
          </w:p>
        </w:tc>
        <w:tc>
          <w:tcPr>
            <w:tcW w:w="670" w:type="dxa"/>
            <w:tcBorders>
              <w:top w:val="nil"/>
              <w:left w:val="nil"/>
              <w:bottom w:val="nil"/>
              <w:right w:val="nil"/>
            </w:tcBorders>
            <w:shd w:val="clear" w:color="auto" w:fill="auto"/>
            <w:noWrap/>
            <w:vAlign w:val="bottom"/>
            <w:hideMark/>
          </w:tcPr>
          <w:p w14:paraId="36C9021F" w14:textId="77777777" w:rsidR="008C1D01" w:rsidRPr="00543D10" w:rsidRDefault="008C1D01" w:rsidP="00F0231D">
            <w:pPr>
              <w:spacing w:after="0" w:line="240" w:lineRule="auto"/>
              <w:rPr>
                <w:rFonts w:ascii="Arial" w:eastAsia="Times New Roman" w:hAnsi="Arial" w:cs="Arial"/>
                <w:sz w:val="20"/>
                <w:szCs w:val="20"/>
                <w:lang w:eastAsia="en-GB"/>
              </w:rPr>
            </w:pPr>
          </w:p>
        </w:tc>
        <w:tc>
          <w:tcPr>
            <w:tcW w:w="959" w:type="dxa"/>
            <w:tcBorders>
              <w:top w:val="nil"/>
              <w:left w:val="nil"/>
              <w:bottom w:val="nil"/>
              <w:right w:val="nil"/>
            </w:tcBorders>
            <w:shd w:val="clear" w:color="auto" w:fill="auto"/>
            <w:noWrap/>
            <w:vAlign w:val="bottom"/>
          </w:tcPr>
          <w:p w14:paraId="58632FA9" w14:textId="77777777" w:rsidR="008C1D01" w:rsidRPr="00543D10" w:rsidRDefault="00AF5B75" w:rsidP="00F0231D">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54</w:t>
            </w:r>
          </w:p>
        </w:tc>
        <w:tc>
          <w:tcPr>
            <w:tcW w:w="1211" w:type="dxa"/>
            <w:tcBorders>
              <w:top w:val="nil"/>
              <w:left w:val="nil"/>
              <w:bottom w:val="nil"/>
              <w:right w:val="nil"/>
            </w:tcBorders>
            <w:shd w:val="clear" w:color="auto" w:fill="auto"/>
            <w:noWrap/>
            <w:vAlign w:val="bottom"/>
          </w:tcPr>
          <w:p w14:paraId="70283C69" w14:textId="77777777" w:rsidR="008C1D01" w:rsidRPr="00543D10" w:rsidRDefault="00AF5B75" w:rsidP="00F0231D">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(55)</w:t>
            </w:r>
          </w:p>
        </w:tc>
        <w:tc>
          <w:tcPr>
            <w:tcW w:w="991" w:type="dxa"/>
            <w:tcBorders>
              <w:top w:val="nil"/>
              <w:left w:val="nil"/>
              <w:bottom w:val="nil"/>
              <w:right w:val="nil"/>
            </w:tcBorders>
            <w:shd w:val="clear" w:color="auto" w:fill="auto"/>
            <w:noWrap/>
            <w:vAlign w:val="bottom"/>
          </w:tcPr>
          <w:p w14:paraId="52A27610" w14:textId="77777777" w:rsidR="008C1D01" w:rsidRPr="00543D10" w:rsidRDefault="00AF5B75" w:rsidP="00F0231D">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(1)</w:t>
            </w:r>
          </w:p>
        </w:tc>
        <w:tc>
          <w:tcPr>
            <w:tcW w:w="988" w:type="dxa"/>
            <w:tcBorders>
              <w:top w:val="nil"/>
              <w:left w:val="nil"/>
              <w:bottom w:val="nil"/>
              <w:right w:val="nil"/>
            </w:tcBorders>
            <w:shd w:val="clear" w:color="auto" w:fill="auto"/>
            <w:noWrap/>
            <w:vAlign w:val="bottom"/>
          </w:tcPr>
          <w:p w14:paraId="3D982FA3" w14:textId="77777777" w:rsidR="008C1D01" w:rsidRPr="00543D10" w:rsidRDefault="00F0586B" w:rsidP="00F0231D">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9</w:t>
            </w:r>
          </w:p>
        </w:tc>
      </w:tr>
      <w:tr w:rsidR="00543D10" w:rsidRPr="00543D10" w14:paraId="62E0C1EE" w14:textId="77777777" w:rsidTr="006647C2">
        <w:trPr>
          <w:trHeight w:val="323"/>
        </w:trPr>
        <w:tc>
          <w:tcPr>
            <w:tcW w:w="4373" w:type="dxa"/>
            <w:tcBorders>
              <w:top w:val="nil"/>
              <w:left w:val="nil"/>
              <w:bottom w:val="nil"/>
              <w:right w:val="nil"/>
            </w:tcBorders>
            <w:shd w:val="clear" w:color="auto" w:fill="auto"/>
            <w:noWrap/>
            <w:vAlign w:val="center"/>
            <w:hideMark/>
          </w:tcPr>
          <w:p w14:paraId="44C465C1" w14:textId="77777777" w:rsidR="008C1D01" w:rsidRPr="00543D10" w:rsidRDefault="008C1D01" w:rsidP="00F0231D">
            <w:pPr>
              <w:spacing w:after="0" w:line="240" w:lineRule="auto"/>
              <w:rPr>
                <w:rFonts w:ascii="Arial" w:eastAsia="Times New Roman" w:hAnsi="Arial" w:cs="Arial"/>
                <w:sz w:val="20"/>
                <w:szCs w:val="20"/>
                <w:lang w:eastAsia="en-GB"/>
              </w:rPr>
            </w:pPr>
            <w:r w:rsidRPr="00543D10">
              <w:rPr>
                <w:rFonts w:ascii="Arial" w:eastAsia="Times New Roman" w:hAnsi="Arial" w:cs="Arial"/>
                <w:sz w:val="20"/>
                <w:szCs w:val="20"/>
                <w:lang w:eastAsia="en-GB"/>
              </w:rPr>
              <w:t>Re-measurement gains / losses</w:t>
            </w:r>
          </w:p>
        </w:tc>
        <w:tc>
          <w:tcPr>
            <w:tcW w:w="670" w:type="dxa"/>
            <w:tcBorders>
              <w:top w:val="nil"/>
              <w:left w:val="nil"/>
              <w:bottom w:val="nil"/>
              <w:right w:val="nil"/>
            </w:tcBorders>
            <w:shd w:val="clear" w:color="auto" w:fill="auto"/>
            <w:noWrap/>
            <w:vAlign w:val="bottom"/>
            <w:hideMark/>
          </w:tcPr>
          <w:p w14:paraId="3D807887" w14:textId="77777777" w:rsidR="008C1D01" w:rsidRPr="00543D10" w:rsidRDefault="008C1D01" w:rsidP="00F0231D">
            <w:pPr>
              <w:spacing w:after="0" w:line="240" w:lineRule="auto"/>
              <w:rPr>
                <w:rFonts w:ascii="Arial" w:eastAsia="Times New Roman" w:hAnsi="Arial" w:cs="Arial"/>
                <w:sz w:val="20"/>
                <w:szCs w:val="20"/>
                <w:lang w:eastAsia="en-GB"/>
              </w:rPr>
            </w:pPr>
          </w:p>
        </w:tc>
        <w:tc>
          <w:tcPr>
            <w:tcW w:w="959" w:type="dxa"/>
            <w:tcBorders>
              <w:top w:val="nil"/>
              <w:left w:val="nil"/>
              <w:bottom w:val="nil"/>
              <w:right w:val="nil"/>
            </w:tcBorders>
            <w:shd w:val="clear" w:color="auto" w:fill="auto"/>
            <w:noWrap/>
            <w:vAlign w:val="bottom"/>
          </w:tcPr>
          <w:p w14:paraId="049C9D9A" w14:textId="77777777" w:rsidR="008C1D01" w:rsidRPr="00543D10" w:rsidRDefault="008C1D01" w:rsidP="00F0231D">
            <w:pPr>
              <w:spacing w:after="0" w:line="240" w:lineRule="auto"/>
              <w:jc w:val="right"/>
              <w:rPr>
                <w:rFonts w:ascii="Times New Roman" w:eastAsia="Times New Roman" w:hAnsi="Times New Roman" w:cs="Times New Roman"/>
                <w:sz w:val="20"/>
                <w:szCs w:val="20"/>
                <w:lang w:eastAsia="en-GB"/>
              </w:rPr>
            </w:pPr>
          </w:p>
        </w:tc>
        <w:tc>
          <w:tcPr>
            <w:tcW w:w="1211" w:type="dxa"/>
            <w:tcBorders>
              <w:top w:val="nil"/>
              <w:left w:val="nil"/>
              <w:bottom w:val="nil"/>
              <w:right w:val="nil"/>
            </w:tcBorders>
            <w:shd w:val="clear" w:color="auto" w:fill="auto"/>
            <w:noWrap/>
            <w:vAlign w:val="bottom"/>
          </w:tcPr>
          <w:p w14:paraId="0756C629" w14:textId="77777777" w:rsidR="008C1D01" w:rsidRPr="00543D10" w:rsidRDefault="008C1D01" w:rsidP="00F0231D">
            <w:pPr>
              <w:spacing w:after="0" w:line="240" w:lineRule="auto"/>
              <w:jc w:val="right"/>
              <w:rPr>
                <w:rFonts w:ascii="Times New Roman" w:eastAsia="Times New Roman" w:hAnsi="Times New Roman" w:cs="Times New Roman"/>
                <w:sz w:val="20"/>
                <w:szCs w:val="20"/>
                <w:lang w:eastAsia="en-GB"/>
              </w:rPr>
            </w:pPr>
          </w:p>
        </w:tc>
        <w:tc>
          <w:tcPr>
            <w:tcW w:w="991" w:type="dxa"/>
            <w:tcBorders>
              <w:top w:val="nil"/>
              <w:left w:val="nil"/>
              <w:bottom w:val="nil"/>
              <w:right w:val="nil"/>
            </w:tcBorders>
            <w:shd w:val="clear" w:color="auto" w:fill="auto"/>
            <w:noWrap/>
            <w:vAlign w:val="bottom"/>
          </w:tcPr>
          <w:p w14:paraId="26FCC2A0" w14:textId="77777777" w:rsidR="008C1D01" w:rsidRPr="00543D10" w:rsidRDefault="008C1D01" w:rsidP="00F0231D">
            <w:pPr>
              <w:spacing w:after="0" w:line="240" w:lineRule="auto"/>
              <w:jc w:val="right"/>
              <w:rPr>
                <w:rFonts w:ascii="Times New Roman" w:eastAsia="Times New Roman" w:hAnsi="Times New Roman" w:cs="Times New Roman"/>
                <w:sz w:val="20"/>
                <w:szCs w:val="20"/>
                <w:lang w:eastAsia="en-GB"/>
              </w:rPr>
            </w:pPr>
          </w:p>
        </w:tc>
        <w:tc>
          <w:tcPr>
            <w:tcW w:w="988" w:type="dxa"/>
            <w:tcBorders>
              <w:top w:val="nil"/>
              <w:left w:val="nil"/>
              <w:bottom w:val="nil"/>
              <w:right w:val="nil"/>
            </w:tcBorders>
            <w:shd w:val="clear" w:color="auto" w:fill="auto"/>
            <w:noWrap/>
            <w:vAlign w:val="bottom"/>
          </w:tcPr>
          <w:p w14:paraId="49C342A6" w14:textId="77777777" w:rsidR="008C1D01" w:rsidRPr="00543D10" w:rsidRDefault="008C1D01" w:rsidP="00F0231D">
            <w:pPr>
              <w:spacing w:after="0" w:line="240" w:lineRule="auto"/>
              <w:jc w:val="right"/>
              <w:rPr>
                <w:rFonts w:ascii="Times New Roman" w:eastAsia="Times New Roman" w:hAnsi="Times New Roman" w:cs="Times New Roman"/>
                <w:sz w:val="20"/>
                <w:szCs w:val="20"/>
                <w:lang w:eastAsia="en-GB"/>
              </w:rPr>
            </w:pPr>
          </w:p>
        </w:tc>
      </w:tr>
      <w:tr w:rsidR="00543D10" w:rsidRPr="00543D10" w14:paraId="40BAA94B" w14:textId="77777777" w:rsidTr="006647C2">
        <w:trPr>
          <w:trHeight w:val="323"/>
        </w:trPr>
        <w:tc>
          <w:tcPr>
            <w:tcW w:w="4373" w:type="dxa"/>
            <w:tcBorders>
              <w:top w:val="nil"/>
              <w:left w:val="nil"/>
              <w:bottom w:val="nil"/>
              <w:right w:val="nil"/>
            </w:tcBorders>
            <w:shd w:val="clear" w:color="auto" w:fill="auto"/>
            <w:noWrap/>
            <w:vAlign w:val="center"/>
            <w:hideMark/>
          </w:tcPr>
          <w:p w14:paraId="637CA951" w14:textId="77777777" w:rsidR="008C1D01" w:rsidRPr="00543D10" w:rsidRDefault="008C1D01" w:rsidP="00FA6D09">
            <w:pPr>
              <w:spacing w:after="0" w:line="240" w:lineRule="auto"/>
              <w:rPr>
                <w:rFonts w:ascii="Arial" w:eastAsia="Times New Roman" w:hAnsi="Arial" w:cs="Arial"/>
                <w:sz w:val="20"/>
                <w:szCs w:val="20"/>
                <w:lang w:eastAsia="en-GB"/>
              </w:rPr>
            </w:pPr>
            <w:r w:rsidRPr="00543D10">
              <w:rPr>
                <w:rFonts w:ascii="Arial" w:eastAsia="Times New Roman" w:hAnsi="Arial" w:cs="Arial"/>
                <w:sz w:val="20"/>
                <w:szCs w:val="20"/>
                <w:lang w:eastAsia="en-GB"/>
              </w:rPr>
              <w:t>- Actuarial gain</w:t>
            </w:r>
            <w:r w:rsidR="00FA6D09">
              <w:rPr>
                <w:rFonts w:ascii="Arial" w:eastAsia="Times New Roman" w:hAnsi="Arial" w:cs="Arial"/>
                <w:sz w:val="20"/>
                <w:szCs w:val="20"/>
                <w:lang w:eastAsia="en-GB"/>
              </w:rPr>
              <w:t xml:space="preserve"> </w:t>
            </w:r>
            <w:r w:rsidR="00FA6D09" w:rsidRPr="00543D10">
              <w:rPr>
                <w:rFonts w:ascii="Arial" w:eastAsia="Times New Roman" w:hAnsi="Arial" w:cs="Arial"/>
                <w:sz w:val="20"/>
                <w:szCs w:val="20"/>
                <w:lang w:eastAsia="en-GB"/>
              </w:rPr>
              <w:t>/ (loss)</w:t>
            </w:r>
          </w:p>
        </w:tc>
        <w:tc>
          <w:tcPr>
            <w:tcW w:w="670" w:type="dxa"/>
            <w:tcBorders>
              <w:top w:val="nil"/>
              <w:left w:val="nil"/>
              <w:bottom w:val="nil"/>
              <w:right w:val="nil"/>
            </w:tcBorders>
            <w:shd w:val="clear" w:color="auto" w:fill="auto"/>
            <w:noWrap/>
            <w:vAlign w:val="bottom"/>
            <w:hideMark/>
          </w:tcPr>
          <w:p w14:paraId="40786ACF" w14:textId="77777777" w:rsidR="008C1D01" w:rsidRPr="00543D10" w:rsidRDefault="008C1D01" w:rsidP="00F0231D">
            <w:pPr>
              <w:spacing w:after="0" w:line="240" w:lineRule="auto"/>
              <w:rPr>
                <w:rFonts w:ascii="Arial" w:eastAsia="Times New Roman" w:hAnsi="Arial" w:cs="Arial"/>
                <w:sz w:val="20"/>
                <w:szCs w:val="20"/>
                <w:lang w:eastAsia="en-GB"/>
              </w:rPr>
            </w:pPr>
          </w:p>
        </w:tc>
        <w:tc>
          <w:tcPr>
            <w:tcW w:w="959" w:type="dxa"/>
            <w:tcBorders>
              <w:top w:val="nil"/>
              <w:left w:val="nil"/>
              <w:bottom w:val="nil"/>
              <w:right w:val="nil"/>
            </w:tcBorders>
            <w:shd w:val="clear" w:color="auto" w:fill="auto"/>
            <w:noWrap/>
            <w:vAlign w:val="bottom"/>
          </w:tcPr>
          <w:p w14:paraId="66A64DA1" w14:textId="77777777" w:rsidR="008C1D01" w:rsidRPr="00543D10" w:rsidRDefault="00AF5B75" w:rsidP="00F0231D">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w:t>
            </w:r>
          </w:p>
        </w:tc>
        <w:tc>
          <w:tcPr>
            <w:tcW w:w="1211" w:type="dxa"/>
            <w:tcBorders>
              <w:top w:val="nil"/>
              <w:left w:val="nil"/>
              <w:bottom w:val="nil"/>
              <w:right w:val="nil"/>
            </w:tcBorders>
            <w:shd w:val="clear" w:color="auto" w:fill="auto"/>
            <w:noWrap/>
            <w:vAlign w:val="bottom"/>
          </w:tcPr>
          <w:p w14:paraId="14FD0FCE" w14:textId="77777777" w:rsidR="008C1D01" w:rsidRPr="00543D10" w:rsidRDefault="00AF5B75" w:rsidP="00F0231D">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59</w:t>
            </w:r>
          </w:p>
        </w:tc>
        <w:tc>
          <w:tcPr>
            <w:tcW w:w="991" w:type="dxa"/>
            <w:tcBorders>
              <w:top w:val="nil"/>
              <w:left w:val="nil"/>
              <w:bottom w:val="nil"/>
              <w:right w:val="nil"/>
            </w:tcBorders>
            <w:shd w:val="clear" w:color="auto" w:fill="auto"/>
            <w:noWrap/>
            <w:vAlign w:val="bottom"/>
          </w:tcPr>
          <w:p w14:paraId="4B53FE0B" w14:textId="77777777" w:rsidR="008C1D01" w:rsidRPr="00543D10" w:rsidRDefault="00AF5B75" w:rsidP="00F0231D">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59</w:t>
            </w:r>
          </w:p>
        </w:tc>
        <w:tc>
          <w:tcPr>
            <w:tcW w:w="988" w:type="dxa"/>
            <w:tcBorders>
              <w:top w:val="nil"/>
              <w:left w:val="nil"/>
              <w:bottom w:val="nil"/>
              <w:right w:val="nil"/>
            </w:tcBorders>
            <w:shd w:val="clear" w:color="auto" w:fill="auto"/>
            <w:noWrap/>
            <w:vAlign w:val="bottom"/>
          </w:tcPr>
          <w:p w14:paraId="7045CC47" w14:textId="77777777" w:rsidR="008C1D01" w:rsidRPr="00543D10" w:rsidRDefault="00F0586B" w:rsidP="00F0231D">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(313)</w:t>
            </w:r>
          </w:p>
        </w:tc>
      </w:tr>
      <w:tr w:rsidR="00AF5B75" w:rsidRPr="00543D10" w14:paraId="4973F2C6" w14:textId="77777777" w:rsidTr="006647C2">
        <w:trPr>
          <w:trHeight w:val="323"/>
        </w:trPr>
        <w:tc>
          <w:tcPr>
            <w:tcW w:w="4373" w:type="dxa"/>
            <w:tcBorders>
              <w:top w:val="nil"/>
              <w:left w:val="nil"/>
              <w:bottom w:val="nil"/>
              <w:right w:val="nil"/>
            </w:tcBorders>
            <w:shd w:val="clear" w:color="auto" w:fill="auto"/>
            <w:noWrap/>
            <w:vAlign w:val="center"/>
          </w:tcPr>
          <w:p w14:paraId="53FD727E" w14:textId="77777777" w:rsidR="00AF5B75" w:rsidRPr="006647C2" w:rsidRDefault="00456CF6" w:rsidP="0069798A">
            <w:pPr>
              <w:spacing w:after="0" w:line="240" w:lineRule="auto"/>
              <w:rPr>
                <w:rFonts w:ascii="Arial" w:eastAsia="Times New Roman" w:hAnsi="Arial" w:cs="Arial"/>
                <w:sz w:val="20"/>
                <w:szCs w:val="20"/>
                <w:lang w:eastAsia="en-GB"/>
              </w:rPr>
            </w:pPr>
            <w:r w:rsidRPr="0069798A">
              <w:rPr>
                <w:rFonts w:ascii="Arial" w:eastAsia="Times New Roman" w:hAnsi="Arial" w:cs="Arial"/>
                <w:sz w:val="20"/>
                <w:szCs w:val="20"/>
                <w:lang w:eastAsia="en-GB"/>
              </w:rPr>
              <w:t xml:space="preserve">- </w:t>
            </w:r>
            <w:r>
              <w:rPr>
                <w:rFonts w:ascii="Arial" w:eastAsia="Times New Roman" w:hAnsi="Arial" w:cs="Arial"/>
                <w:sz w:val="20"/>
                <w:szCs w:val="20"/>
                <w:lang w:eastAsia="en-GB"/>
              </w:rPr>
              <w:t>Other assumptions</w:t>
            </w:r>
          </w:p>
        </w:tc>
        <w:tc>
          <w:tcPr>
            <w:tcW w:w="670" w:type="dxa"/>
            <w:tcBorders>
              <w:top w:val="nil"/>
              <w:left w:val="nil"/>
              <w:bottom w:val="nil"/>
              <w:right w:val="nil"/>
            </w:tcBorders>
            <w:shd w:val="clear" w:color="auto" w:fill="auto"/>
            <w:noWrap/>
            <w:vAlign w:val="bottom"/>
          </w:tcPr>
          <w:p w14:paraId="3D1E3A38" w14:textId="77777777" w:rsidR="00AF5B75" w:rsidRPr="00543D10" w:rsidRDefault="00AF5B75" w:rsidP="00F0231D">
            <w:pPr>
              <w:spacing w:after="0" w:line="240" w:lineRule="auto"/>
              <w:rPr>
                <w:rFonts w:ascii="Arial" w:eastAsia="Times New Roman" w:hAnsi="Arial" w:cs="Arial"/>
                <w:sz w:val="20"/>
                <w:szCs w:val="20"/>
                <w:lang w:eastAsia="en-GB"/>
              </w:rPr>
            </w:pPr>
          </w:p>
        </w:tc>
        <w:tc>
          <w:tcPr>
            <w:tcW w:w="959" w:type="dxa"/>
            <w:tcBorders>
              <w:top w:val="nil"/>
              <w:left w:val="nil"/>
              <w:bottom w:val="nil"/>
              <w:right w:val="nil"/>
            </w:tcBorders>
            <w:shd w:val="clear" w:color="auto" w:fill="auto"/>
            <w:noWrap/>
            <w:vAlign w:val="bottom"/>
          </w:tcPr>
          <w:p w14:paraId="4BAC4624" w14:textId="77777777" w:rsidR="00AF5B75" w:rsidRDefault="00456CF6" w:rsidP="00F0231D">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w:t>
            </w:r>
          </w:p>
        </w:tc>
        <w:tc>
          <w:tcPr>
            <w:tcW w:w="1211" w:type="dxa"/>
            <w:tcBorders>
              <w:top w:val="nil"/>
              <w:left w:val="nil"/>
              <w:bottom w:val="nil"/>
              <w:right w:val="nil"/>
            </w:tcBorders>
            <w:shd w:val="clear" w:color="auto" w:fill="auto"/>
            <w:noWrap/>
            <w:vAlign w:val="bottom"/>
          </w:tcPr>
          <w:p w14:paraId="2B0BBE14" w14:textId="77777777" w:rsidR="00AF5B75" w:rsidRDefault="00456CF6" w:rsidP="00F0231D">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(63)</w:t>
            </w:r>
          </w:p>
        </w:tc>
        <w:tc>
          <w:tcPr>
            <w:tcW w:w="991" w:type="dxa"/>
            <w:tcBorders>
              <w:top w:val="nil"/>
              <w:left w:val="nil"/>
              <w:bottom w:val="nil"/>
              <w:right w:val="nil"/>
            </w:tcBorders>
            <w:shd w:val="clear" w:color="auto" w:fill="auto"/>
            <w:noWrap/>
            <w:vAlign w:val="bottom"/>
          </w:tcPr>
          <w:p w14:paraId="7C87C76D" w14:textId="77777777" w:rsidR="00AF5B75" w:rsidRDefault="00456CF6" w:rsidP="00F0231D">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(63)</w:t>
            </w:r>
          </w:p>
        </w:tc>
        <w:tc>
          <w:tcPr>
            <w:tcW w:w="988" w:type="dxa"/>
            <w:tcBorders>
              <w:top w:val="nil"/>
              <w:left w:val="nil"/>
              <w:bottom w:val="nil"/>
              <w:right w:val="nil"/>
            </w:tcBorders>
            <w:shd w:val="clear" w:color="auto" w:fill="auto"/>
            <w:noWrap/>
            <w:vAlign w:val="bottom"/>
          </w:tcPr>
          <w:p w14:paraId="7FFA8958" w14:textId="77777777" w:rsidR="00AF5B75" w:rsidRDefault="00456CF6" w:rsidP="00F0231D">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w:t>
            </w:r>
          </w:p>
        </w:tc>
      </w:tr>
      <w:tr w:rsidR="00543D10" w:rsidRPr="00543D10" w14:paraId="19D36284" w14:textId="77777777" w:rsidTr="006647C2">
        <w:trPr>
          <w:trHeight w:val="323"/>
        </w:trPr>
        <w:tc>
          <w:tcPr>
            <w:tcW w:w="5043" w:type="dxa"/>
            <w:gridSpan w:val="2"/>
            <w:tcBorders>
              <w:top w:val="nil"/>
              <w:left w:val="nil"/>
              <w:bottom w:val="nil"/>
              <w:right w:val="nil"/>
            </w:tcBorders>
            <w:shd w:val="clear" w:color="auto" w:fill="auto"/>
            <w:noWrap/>
            <w:vAlign w:val="center"/>
            <w:hideMark/>
          </w:tcPr>
          <w:p w14:paraId="00356EE0" w14:textId="77777777" w:rsidR="008C1D01" w:rsidRPr="00543D10" w:rsidRDefault="008C1D01" w:rsidP="00F0231D">
            <w:pPr>
              <w:spacing w:after="0" w:line="240" w:lineRule="auto"/>
              <w:rPr>
                <w:rFonts w:ascii="Arial" w:eastAsia="Times New Roman" w:hAnsi="Arial" w:cs="Arial"/>
                <w:sz w:val="20"/>
                <w:szCs w:val="20"/>
                <w:lang w:eastAsia="en-GB"/>
              </w:rPr>
            </w:pPr>
            <w:r w:rsidRPr="00543D10">
              <w:rPr>
                <w:rFonts w:ascii="Arial" w:eastAsia="Times New Roman" w:hAnsi="Arial" w:cs="Arial"/>
                <w:sz w:val="20"/>
                <w:szCs w:val="20"/>
                <w:lang w:eastAsia="en-GB"/>
              </w:rPr>
              <w:t>- Return on plan assets excluding interest income</w:t>
            </w:r>
          </w:p>
        </w:tc>
        <w:tc>
          <w:tcPr>
            <w:tcW w:w="959" w:type="dxa"/>
            <w:tcBorders>
              <w:top w:val="nil"/>
              <w:left w:val="nil"/>
              <w:bottom w:val="nil"/>
              <w:right w:val="nil"/>
            </w:tcBorders>
            <w:shd w:val="clear" w:color="auto" w:fill="auto"/>
            <w:noWrap/>
            <w:vAlign w:val="bottom"/>
          </w:tcPr>
          <w:p w14:paraId="1CEB2BCB" w14:textId="77777777" w:rsidR="008C1D01" w:rsidRPr="00543D10" w:rsidRDefault="00AF5B75" w:rsidP="00951083">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3</w:t>
            </w:r>
          </w:p>
        </w:tc>
        <w:tc>
          <w:tcPr>
            <w:tcW w:w="1211" w:type="dxa"/>
            <w:tcBorders>
              <w:top w:val="nil"/>
              <w:left w:val="nil"/>
              <w:bottom w:val="nil"/>
              <w:right w:val="nil"/>
            </w:tcBorders>
            <w:shd w:val="clear" w:color="auto" w:fill="auto"/>
            <w:noWrap/>
            <w:vAlign w:val="bottom"/>
          </w:tcPr>
          <w:p w14:paraId="04FBC8DE" w14:textId="77777777" w:rsidR="008C1D01" w:rsidRPr="00543D10" w:rsidRDefault="00AF5B75" w:rsidP="00951083">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w:t>
            </w:r>
          </w:p>
        </w:tc>
        <w:tc>
          <w:tcPr>
            <w:tcW w:w="991" w:type="dxa"/>
            <w:tcBorders>
              <w:top w:val="nil"/>
              <w:left w:val="nil"/>
              <w:bottom w:val="nil"/>
              <w:right w:val="nil"/>
            </w:tcBorders>
            <w:shd w:val="clear" w:color="auto" w:fill="auto"/>
            <w:noWrap/>
            <w:vAlign w:val="bottom"/>
          </w:tcPr>
          <w:p w14:paraId="4A559E67" w14:textId="77777777" w:rsidR="008C1D01" w:rsidRPr="00543D10" w:rsidRDefault="00AF5B75" w:rsidP="00951083">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3</w:t>
            </w:r>
          </w:p>
        </w:tc>
        <w:tc>
          <w:tcPr>
            <w:tcW w:w="988" w:type="dxa"/>
            <w:tcBorders>
              <w:top w:val="nil"/>
              <w:left w:val="nil"/>
              <w:bottom w:val="nil"/>
              <w:right w:val="nil"/>
            </w:tcBorders>
            <w:shd w:val="clear" w:color="auto" w:fill="auto"/>
            <w:noWrap/>
            <w:vAlign w:val="bottom"/>
          </w:tcPr>
          <w:p w14:paraId="51AAA045" w14:textId="77777777" w:rsidR="008C1D01" w:rsidRPr="00543D10" w:rsidRDefault="00F0586B" w:rsidP="00951083">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(31)</w:t>
            </w:r>
          </w:p>
        </w:tc>
      </w:tr>
      <w:tr w:rsidR="008C1D01" w:rsidRPr="00543D10" w14:paraId="47C6D333" w14:textId="77777777" w:rsidTr="006647C2">
        <w:trPr>
          <w:trHeight w:val="323"/>
        </w:trPr>
        <w:tc>
          <w:tcPr>
            <w:tcW w:w="5043" w:type="dxa"/>
            <w:gridSpan w:val="2"/>
            <w:tcBorders>
              <w:top w:val="single" w:sz="4" w:space="0" w:color="auto"/>
              <w:left w:val="nil"/>
              <w:bottom w:val="single" w:sz="4" w:space="0" w:color="auto"/>
              <w:right w:val="nil"/>
            </w:tcBorders>
            <w:shd w:val="clear" w:color="auto" w:fill="auto"/>
            <w:noWrap/>
            <w:vAlign w:val="center"/>
            <w:hideMark/>
          </w:tcPr>
          <w:p w14:paraId="5D77278F" w14:textId="77777777" w:rsidR="008C1D01" w:rsidRPr="00543D10" w:rsidRDefault="008C1D01" w:rsidP="00F0231D">
            <w:pPr>
              <w:spacing w:after="0" w:line="240" w:lineRule="auto"/>
              <w:rPr>
                <w:rFonts w:ascii="Arial" w:eastAsia="Times New Roman" w:hAnsi="Arial" w:cs="Arial"/>
                <w:sz w:val="20"/>
                <w:szCs w:val="20"/>
                <w:lang w:eastAsia="en-GB"/>
              </w:rPr>
            </w:pPr>
            <w:r w:rsidRPr="00543D10">
              <w:rPr>
                <w:rFonts w:ascii="Arial" w:eastAsia="Times New Roman" w:hAnsi="Arial" w:cs="Arial"/>
                <w:sz w:val="20"/>
                <w:szCs w:val="20"/>
                <w:lang w:eastAsia="en-GB"/>
              </w:rPr>
              <w:t xml:space="preserve">Surplus in the scheme as at 31 August </w:t>
            </w:r>
            <w:r w:rsidR="0037645F">
              <w:rPr>
                <w:rFonts w:ascii="Arial" w:eastAsia="Times New Roman" w:hAnsi="Arial" w:cs="Arial"/>
                <w:sz w:val="20"/>
                <w:szCs w:val="20"/>
                <w:lang w:eastAsia="en-GB"/>
              </w:rPr>
              <w:t>2020</w:t>
            </w:r>
          </w:p>
        </w:tc>
        <w:tc>
          <w:tcPr>
            <w:tcW w:w="959" w:type="dxa"/>
            <w:tcBorders>
              <w:top w:val="single" w:sz="4" w:space="0" w:color="auto"/>
              <w:left w:val="nil"/>
              <w:bottom w:val="single" w:sz="4" w:space="0" w:color="auto"/>
              <w:right w:val="nil"/>
            </w:tcBorders>
            <w:shd w:val="clear" w:color="auto" w:fill="auto"/>
            <w:noWrap/>
            <w:vAlign w:val="center"/>
          </w:tcPr>
          <w:p w14:paraId="3F358F56" w14:textId="77777777" w:rsidR="008C1D01" w:rsidRPr="00543D10" w:rsidRDefault="00AF5B75" w:rsidP="00F0231D">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3,037</w:t>
            </w:r>
          </w:p>
        </w:tc>
        <w:tc>
          <w:tcPr>
            <w:tcW w:w="1211" w:type="dxa"/>
            <w:tcBorders>
              <w:top w:val="single" w:sz="4" w:space="0" w:color="auto"/>
              <w:left w:val="nil"/>
              <w:bottom w:val="single" w:sz="4" w:space="0" w:color="auto"/>
              <w:right w:val="nil"/>
            </w:tcBorders>
            <w:shd w:val="clear" w:color="auto" w:fill="auto"/>
            <w:noWrap/>
            <w:vAlign w:val="center"/>
          </w:tcPr>
          <w:p w14:paraId="04C8AFC9" w14:textId="77777777" w:rsidR="008C1D01" w:rsidRPr="00543D10" w:rsidRDefault="00AF5B75" w:rsidP="00F0231D">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(3,093)</w:t>
            </w:r>
          </w:p>
        </w:tc>
        <w:tc>
          <w:tcPr>
            <w:tcW w:w="991" w:type="dxa"/>
            <w:tcBorders>
              <w:top w:val="single" w:sz="4" w:space="0" w:color="auto"/>
              <w:left w:val="nil"/>
              <w:bottom w:val="single" w:sz="4" w:space="0" w:color="auto"/>
              <w:right w:val="nil"/>
            </w:tcBorders>
            <w:shd w:val="clear" w:color="auto" w:fill="auto"/>
            <w:noWrap/>
            <w:vAlign w:val="center"/>
          </w:tcPr>
          <w:p w14:paraId="220C67D2" w14:textId="77777777" w:rsidR="008C1D01" w:rsidRPr="00543D10" w:rsidRDefault="00AF5B75" w:rsidP="00F0231D">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(56)</w:t>
            </w:r>
          </w:p>
        </w:tc>
        <w:tc>
          <w:tcPr>
            <w:tcW w:w="988" w:type="dxa"/>
            <w:tcBorders>
              <w:top w:val="single" w:sz="4" w:space="0" w:color="auto"/>
              <w:left w:val="nil"/>
              <w:bottom w:val="single" w:sz="4" w:space="0" w:color="auto"/>
              <w:right w:val="nil"/>
            </w:tcBorders>
            <w:shd w:val="clear" w:color="auto" w:fill="auto"/>
            <w:noWrap/>
            <w:vAlign w:val="center"/>
          </w:tcPr>
          <w:p w14:paraId="50F7A6CC" w14:textId="77777777" w:rsidR="008C1D01" w:rsidRPr="00543D10" w:rsidRDefault="00F0586B" w:rsidP="00F0231D">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(20)</w:t>
            </w:r>
          </w:p>
        </w:tc>
      </w:tr>
    </w:tbl>
    <w:p w14:paraId="31A1255E" w14:textId="77777777" w:rsidR="008C1D01" w:rsidRDefault="008C1D01" w:rsidP="005076F2">
      <w:pPr>
        <w:tabs>
          <w:tab w:val="left" w:pos="567"/>
        </w:tabs>
        <w:ind w:left="567" w:hanging="567"/>
        <w:rPr>
          <w:rFonts w:ascii="Arial" w:hAnsi="Arial" w:cs="Arial"/>
          <w:b/>
          <w:i/>
          <w:sz w:val="24"/>
          <w:szCs w:val="24"/>
        </w:rPr>
      </w:pPr>
    </w:p>
    <w:p w14:paraId="0E2358D3" w14:textId="77777777" w:rsidR="006E7C43" w:rsidRDefault="006E7C43" w:rsidP="006E7C43">
      <w:pPr>
        <w:tabs>
          <w:tab w:val="left" w:pos="567"/>
        </w:tabs>
        <w:ind w:left="567" w:hanging="567"/>
        <w:rPr>
          <w:rFonts w:ascii="Arial" w:hAnsi="Arial" w:cs="Arial"/>
          <w:b/>
          <w:i/>
          <w:sz w:val="24"/>
          <w:szCs w:val="24"/>
        </w:rPr>
      </w:pPr>
    </w:p>
    <w:p w14:paraId="7D1349AD" w14:textId="77777777" w:rsidR="006E7C43" w:rsidRDefault="006E7C43" w:rsidP="006E7C43">
      <w:pPr>
        <w:tabs>
          <w:tab w:val="left" w:pos="567"/>
        </w:tabs>
        <w:ind w:left="567" w:hanging="567"/>
        <w:rPr>
          <w:rFonts w:ascii="Arial" w:hAnsi="Arial" w:cs="Arial"/>
          <w:b/>
          <w:i/>
          <w:sz w:val="24"/>
          <w:szCs w:val="24"/>
        </w:rPr>
      </w:pPr>
    </w:p>
    <w:p w14:paraId="67FE666F" w14:textId="77777777" w:rsidR="00022375" w:rsidRDefault="00022375" w:rsidP="006E7C43">
      <w:pPr>
        <w:tabs>
          <w:tab w:val="left" w:pos="567"/>
        </w:tabs>
        <w:ind w:left="567" w:hanging="567"/>
        <w:rPr>
          <w:rFonts w:ascii="Arial" w:hAnsi="Arial" w:cs="Arial"/>
          <w:b/>
          <w:i/>
          <w:sz w:val="24"/>
          <w:szCs w:val="24"/>
        </w:rPr>
      </w:pPr>
    </w:p>
    <w:p w14:paraId="25ACA271" w14:textId="77777777" w:rsidR="006E7C43" w:rsidRDefault="006E7C43" w:rsidP="006E7C43">
      <w:pPr>
        <w:tabs>
          <w:tab w:val="left" w:pos="567"/>
        </w:tabs>
        <w:ind w:left="567" w:hanging="567"/>
        <w:rPr>
          <w:rFonts w:ascii="Arial" w:hAnsi="Arial" w:cs="Arial"/>
          <w:b/>
          <w:i/>
          <w:sz w:val="24"/>
          <w:szCs w:val="24"/>
        </w:rPr>
      </w:pPr>
    </w:p>
    <w:p w14:paraId="6AE09507" w14:textId="77777777" w:rsidR="006C07DD" w:rsidRDefault="006C07DD" w:rsidP="006C07DD">
      <w:pPr>
        <w:spacing w:after="0" w:line="240" w:lineRule="auto"/>
        <w:rPr>
          <w:rFonts w:ascii="Arial" w:hAnsi="Arial" w:cs="Arial"/>
          <w:b/>
          <w:i/>
          <w:sz w:val="24"/>
          <w:szCs w:val="24"/>
        </w:rPr>
      </w:pPr>
      <w:r w:rsidRPr="0088736E">
        <w:rPr>
          <w:rFonts w:ascii="Arial" w:hAnsi="Arial" w:cs="Arial"/>
          <w:b/>
          <w:i/>
          <w:sz w:val="24"/>
          <w:szCs w:val="24"/>
        </w:rPr>
        <w:lastRenderedPageBreak/>
        <w:t xml:space="preserve">Notes to the financial </w:t>
      </w:r>
      <w:r>
        <w:rPr>
          <w:rFonts w:ascii="Arial" w:hAnsi="Arial" w:cs="Arial"/>
          <w:b/>
          <w:i/>
          <w:sz w:val="24"/>
          <w:szCs w:val="24"/>
        </w:rPr>
        <w:t>statements</w:t>
      </w:r>
      <w:r w:rsidRPr="0088736E">
        <w:rPr>
          <w:rFonts w:ascii="Arial" w:hAnsi="Arial" w:cs="Arial"/>
          <w:b/>
          <w:i/>
          <w:sz w:val="24"/>
          <w:szCs w:val="24"/>
        </w:rPr>
        <w:t xml:space="preserve"> (continued)</w:t>
      </w:r>
    </w:p>
    <w:p w14:paraId="44C20E6D" w14:textId="77777777" w:rsidR="006C07DD" w:rsidRDefault="006C07DD" w:rsidP="006E7C43">
      <w:pPr>
        <w:autoSpaceDE w:val="0"/>
        <w:autoSpaceDN w:val="0"/>
        <w:adjustRightInd w:val="0"/>
        <w:spacing w:after="0" w:line="240" w:lineRule="auto"/>
        <w:rPr>
          <w:rFonts w:ascii="Arial" w:hAnsi="Arial" w:cs="Arial"/>
          <w:b/>
          <w:sz w:val="24"/>
          <w:szCs w:val="24"/>
        </w:rPr>
      </w:pPr>
    </w:p>
    <w:p w14:paraId="63B04031" w14:textId="77777777" w:rsidR="006E7C43" w:rsidRDefault="006E7C43" w:rsidP="006E7C43">
      <w:pPr>
        <w:autoSpaceDE w:val="0"/>
        <w:autoSpaceDN w:val="0"/>
        <w:adjustRightInd w:val="0"/>
        <w:spacing w:after="0" w:line="240" w:lineRule="auto"/>
        <w:rPr>
          <w:rFonts w:ascii="Arial" w:hAnsi="Arial" w:cs="Arial"/>
          <w:b/>
          <w:sz w:val="24"/>
          <w:szCs w:val="24"/>
        </w:rPr>
      </w:pPr>
      <w:r w:rsidRPr="005076F2">
        <w:rPr>
          <w:rFonts w:ascii="Arial" w:hAnsi="Arial" w:cs="Arial"/>
          <w:b/>
          <w:sz w:val="24"/>
          <w:szCs w:val="24"/>
        </w:rPr>
        <w:t>24. Pension commitments (continued)</w:t>
      </w:r>
    </w:p>
    <w:p w14:paraId="7B9B7469" w14:textId="77777777" w:rsidR="006E7C43" w:rsidRDefault="006E7C43" w:rsidP="005076F2">
      <w:pPr>
        <w:tabs>
          <w:tab w:val="left" w:pos="567"/>
        </w:tabs>
        <w:ind w:left="567" w:hanging="567"/>
        <w:rPr>
          <w:rFonts w:ascii="Arial" w:hAnsi="Arial" w:cs="Arial"/>
          <w:b/>
          <w:i/>
          <w:sz w:val="24"/>
          <w:szCs w:val="24"/>
        </w:rPr>
      </w:pPr>
    </w:p>
    <w:tbl>
      <w:tblPr>
        <w:tblW w:w="9289" w:type="dxa"/>
        <w:jc w:val="center"/>
        <w:tblLook w:val="04A0" w:firstRow="1" w:lastRow="0" w:firstColumn="1" w:lastColumn="0" w:noHBand="0" w:noVBand="1"/>
      </w:tblPr>
      <w:tblGrid>
        <w:gridCol w:w="5082"/>
        <w:gridCol w:w="407"/>
        <w:gridCol w:w="282"/>
        <w:gridCol w:w="1971"/>
        <w:gridCol w:w="1547"/>
      </w:tblGrid>
      <w:tr w:rsidR="00543D10" w:rsidRPr="00543D10" w14:paraId="152AFE59" w14:textId="77777777" w:rsidTr="00697C96">
        <w:trPr>
          <w:trHeight w:val="328"/>
          <w:jc w:val="center"/>
        </w:trPr>
        <w:tc>
          <w:tcPr>
            <w:tcW w:w="5082" w:type="dxa"/>
            <w:tcBorders>
              <w:top w:val="nil"/>
              <w:left w:val="nil"/>
              <w:bottom w:val="nil"/>
              <w:right w:val="nil"/>
            </w:tcBorders>
            <w:shd w:val="clear" w:color="auto" w:fill="auto"/>
            <w:noWrap/>
            <w:vAlign w:val="center"/>
            <w:hideMark/>
          </w:tcPr>
          <w:p w14:paraId="15CDCD78" w14:textId="77777777" w:rsidR="00BC537E" w:rsidRPr="00543D10" w:rsidRDefault="00BC537E" w:rsidP="007729E5">
            <w:pPr>
              <w:spacing w:after="0" w:line="240" w:lineRule="auto"/>
              <w:rPr>
                <w:rFonts w:ascii="Arial" w:eastAsia="Times New Roman" w:hAnsi="Arial" w:cs="Arial"/>
                <w:b/>
                <w:bCs/>
                <w:sz w:val="20"/>
                <w:szCs w:val="20"/>
                <w:lang w:eastAsia="en-GB"/>
              </w:rPr>
            </w:pPr>
            <w:r w:rsidRPr="00543D10">
              <w:rPr>
                <w:rFonts w:ascii="Arial" w:eastAsia="Times New Roman" w:hAnsi="Arial" w:cs="Arial"/>
                <w:b/>
                <w:bCs/>
                <w:sz w:val="20"/>
                <w:szCs w:val="20"/>
                <w:lang w:eastAsia="en-GB"/>
              </w:rPr>
              <w:t>Total cost recognised as expense:</w:t>
            </w:r>
          </w:p>
        </w:tc>
        <w:tc>
          <w:tcPr>
            <w:tcW w:w="407" w:type="dxa"/>
            <w:tcBorders>
              <w:top w:val="nil"/>
              <w:left w:val="nil"/>
              <w:bottom w:val="nil"/>
              <w:right w:val="nil"/>
            </w:tcBorders>
            <w:shd w:val="clear" w:color="auto" w:fill="auto"/>
            <w:noWrap/>
            <w:vAlign w:val="bottom"/>
            <w:hideMark/>
          </w:tcPr>
          <w:p w14:paraId="135028AC" w14:textId="77777777" w:rsidR="00BC537E" w:rsidRPr="00543D10" w:rsidRDefault="00BC537E" w:rsidP="007729E5">
            <w:pPr>
              <w:spacing w:after="0" w:line="240" w:lineRule="auto"/>
              <w:rPr>
                <w:rFonts w:ascii="Arial" w:eastAsia="Times New Roman" w:hAnsi="Arial" w:cs="Arial"/>
                <w:b/>
                <w:bCs/>
                <w:sz w:val="20"/>
                <w:szCs w:val="20"/>
                <w:lang w:eastAsia="en-GB"/>
              </w:rPr>
            </w:pPr>
          </w:p>
        </w:tc>
        <w:tc>
          <w:tcPr>
            <w:tcW w:w="281" w:type="dxa"/>
            <w:tcBorders>
              <w:top w:val="nil"/>
              <w:left w:val="nil"/>
              <w:bottom w:val="nil"/>
              <w:right w:val="nil"/>
            </w:tcBorders>
            <w:shd w:val="clear" w:color="auto" w:fill="auto"/>
            <w:noWrap/>
            <w:vAlign w:val="bottom"/>
            <w:hideMark/>
          </w:tcPr>
          <w:p w14:paraId="05350B2E" w14:textId="77777777" w:rsidR="00BC537E" w:rsidRPr="00543D10" w:rsidRDefault="00BC537E" w:rsidP="007729E5">
            <w:pPr>
              <w:spacing w:after="0" w:line="240" w:lineRule="auto"/>
              <w:rPr>
                <w:rFonts w:ascii="Times New Roman" w:eastAsia="Times New Roman" w:hAnsi="Times New Roman" w:cs="Times New Roman"/>
                <w:sz w:val="20"/>
                <w:szCs w:val="20"/>
                <w:lang w:eastAsia="en-GB"/>
              </w:rPr>
            </w:pPr>
          </w:p>
        </w:tc>
        <w:tc>
          <w:tcPr>
            <w:tcW w:w="1971" w:type="dxa"/>
            <w:tcBorders>
              <w:top w:val="nil"/>
              <w:left w:val="nil"/>
              <w:bottom w:val="nil"/>
              <w:right w:val="nil"/>
            </w:tcBorders>
            <w:shd w:val="clear" w:color="auto" w:fill="auto"/>
            <w:noWrap/>
            <w:vAlign w:val="center"/>
            <w:hideMark/>
          </w:tcPr>
          <w:p w14:paraId="5EFA9C21" w14:textId="77777777" w:rsidR="00BC537E" w:rsidRPr="00543D10" w:rsidRDefault="0037645F" w:rsidP="005229F1">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2020</w:t>
            </w:r>
          </w:p>
        </w:tc>
        <w:tc>
          <w:tcPr>
            <w:tcW w:w="1547" w:type="dxa"/>
            <w:tcBorders>
              <w:top w:val="nil"/>
              <w:left w:val="nil"/>
              <w:bottom w:val="nil"/>
              <w:right w:val="nil"/>
            </w:tcBorders>
            <w:shd w:val="clear" w:color="auto" w:fill="auto"/>
            <w:noWrap/>
            <w:vAlign w:val="center"/>
            <w:hideMark/>
          </w:tcPr>
          <w:p w14:paraId="4F449593" w14:textId="77777777" w:rsidR="00BC537E" w:rsidRPr="00416FDD" w:rsidRDefault="0037645F" w:rsidP="005229F1">
            <w:pPr>
              <w:spacing w:after="0" w:line="240" w:lineRule="auto"/>
              <w:jc w:val="right"/>
              <w:rPr>
                <w:rFonts w:ascii="Arial" w:eastAsia="Times New Roman" w:hAnsi="Arial" w:cs="Arial"/>
                <w:bCs/>
                <w:sz w:val="20"/>
                <w:szCs w:val="20"/>
                <w:lang w:eastAsia="en-GB"/>
              </w:rPr>
            </w:pPr>
            <w:r w:rsidRPr="00416FDD">
              <w:rPr>
                <w:rFonts w:ascii="Arial" w:eastAsia="Times New Roman" w:hAnsi="Arial" w:cs="Arial"/>
                <w:bCs/>
                <w:sz w:val="20"/>
                <w:szCs w:val="20"/>
                <w:lang w:eastAsia="en-GB"/>
              </w:rPr>
              <w:t>2019</w:t>
            </w:r>
          </w:p>
        </w:tc>
      </w:tr>
      <w:tr w:rsidR="00543D10" w:rsidRPr="00543D10" w14:paraId="40DA7824" w14:textId="77777777" w:rsidTr="00697C96">
        <w:trPr>
          <w:trHeight w:val="328"/>
          <w:jc w:val="center"/>
        </w:trPr>
        <w:tc>
          <w:tcPr>
            <w:tcW w:w="5082" w:type="dxa"/>
            <w:tcBorders>
              <w:top w:val="nil"/>
              <w:left w:val="nil"/>
              <w:bottom w:val="single" w:sz="4" w:space="0" w:color="auto"/>
              <w:right w:val="nil"/>
            </w:tcBorders>
            <w:shd w:val="clear" w:color="auto" w:fill="auto"/>
            <w:noWrap/>
            <w:vAlign w:val="center"/>
            <w:hideMark/>
          </w:tcPr>
          <w:p w14:paraId="2D6C5CEC" w14:textId="77777777" w:rsidR="00BC537E" w:rsidRPr="00543D10" w:rsidRDefault="00BC537E" w:rsidP="007729E5">
            <w:pPr>
              <w:spacing w:after="0" w:line="240" w:lineRule="auto"/>
              <w:rPr>
                <w:rFonts w:ascii="Arial" w:eastAsia="Times New Roman" w:hAnsi="Arial" w:cs="Arial"/>
                <w:sz w:val="20"/>
                <w:szCs w:val="20"/>
                <w:lang w:eastAsia="en-GB"/>
              </w:rPr>
            </w:pPr>
            <w:r w:rsidRPr="00543D10">
              <w:rPr>
                <w:rFonts w:ascii="Arial" w:eastAsia="Times New Roman" w:hAnsi="Arial" w:cs="Arial"/>
                <w:sz w:val="20"/>
                <w:szCs w:val="20"/>
                <w:lang w:eastAsia="en-GB"/>
              </w:rPr>
              <w:t> </w:t>
            </w:r>
          </w:p>
        </w:tc>
        <w:tc>
          <w:tcPr>
            <w:tcW w:w="407" w:type="dxa"/>
            <w:tcBorders>
              <w:top w:val="nil"/>
              <w:left w:val="nil"/>
              <w:bottom w:val="single" w:sz="4" w:space="0" w:color="auto"/>
              <w:right w:val="nil"/>
            </w:tcBorders>
            <w:shd w:val="clear" w:color="auto" w:fill="auto"/>
            <w:noWrap/>
            <w:vAlign w:val="bottom"/>
            <w:hideMark/>
          </w:tcPr>
          <w:p w14:paraId="3135933E" w14:textId="77777777" w:rsidR="00BC537E" w:rsidRPr="00543D10" w:rsidRDefault="00BC537E" w:rsidP="007729E5">
            <w:pPr>
              <w:spacing w:after="0" w:line="240" w:lineRule="auto"/>
              <w:rPr>
                <w:rFonts w:ascii="Arial" w:eastAsia="Times New Roman" w:hAnsi="Arial" w:cs="Arial"/>
                <w:sz w:val="20"/>
                <w:szCs w:val="20"/>
                <w:lang w:eastAsia="en-GB"/>
              </w:rPr>
            </w:pPr>
            <w:r w:rsidRPr="00543D10">
              <w:rPr>
                <w:rFonts w:ascii="Arial" w:eastAsia="Times New Roman" w:hAnsi="Arial" w:cs="Arial"/>
                <w:sz w:val="20"/>
                <w:szCs w:val="20"/>
                <w:lang w:eastAsia="en-GB"/>
              </w:rPr>
              <w:t> </w:t>
            </w:r>
          </w:p>
        </w:tc>
        <w:tc>
          <w:tcPr>
            <w:tcW w:w="281" w:type="dxa"/>
            <w:tcBorders>
              <w:top w:val="nil"/>
              <w:left w:val="nil"/>
              <w:bottom w:val="single" w:sz="4" w:space="0" w:color="auto"/>
              <w:right w:val="nil"/>
            </w:tcBorders>
            <w:shd w:val="clear" w:color="auto" w:fill="auto"/>
            <w:noWrap/>
            <w:vAlign w:val="bottom"/>
            <w:hideMark/>
          </w:tcPr>
          <w:p w14:paraId="6F5E6C44" w14:textId="77777777" w:rsidR="00BC537E" w:rsidRPr="00543D10" w:rsidRDefault="00BC537E" w:rsidP="007729E5">
            <w:pPr>
              <w:spacing w:after="0" w:line="240" w:lineRule="auto"/>
              <w:rPr>
                <w:rFonts w:ascii="Arial" w:eastAsia="Times New Roman" w:hAnsi="Arial" w:cs="Arial"/>
                <w:sz w:val="20"/>
                <w:szCs w:val="20"/>
                <w:lang w:eastAsia="en-GB"/>
              </w:rPr>
            </w:pPr>
            <w:r w:rsidRPr="00543D10">
              <w:rPr>
                <w:rFonts w:ascii="Arial" w:eastAsia="Times New Roman" w:hAnsi="Arial" w:cs="Arial"/>
                <w:sz w:val="20"/>
                <w:szCs w:val="20"/>
                <w:lang w:eastAsia="en-GB"/>
              </w:rPr>
              <w:t> </w:t>
            </w:r>
          </w:p>
        </w:tc>
        <w:tc>
          <w:tcPr>
            <w:tcW w:w="1971" w:type="dxa"/>
            <w:tcBorders>
              <w:top w:val="nil"/>
              <w:left w:val="nil"/>
              <w:bottom w:val="single" w:sz="4" w:space="0" w:color="auto"/>
              <w:right w:val="nil"/>
            </w:tcBorders>
            <w:shd w:val="clear" w:color="auto" w:fill="auto"/>
            <w:noWrap/>
            <w:vAlign w:val="center"/>
            <w:hideMark/>
          </w:tcPr>
          <w:p w14:paraId="146C5621" w14:textId="77777777" w:rsidR="00BC537E" w:rsidRPr="00543D10" w:rsidRDefault="00BC537E" w:rsidP="005229F1">
            <w:pPr>
              <w:spacing w:after="0" w:line="240" w:lineRule="auto"/>
              <w:jc w:val="right"/>
              <w:rPr>
                <w:rFonts w:ascii="Arial" w:eastAsia="Times New Roman" w:hAnsi="Arial" w:cs="Arial"/>
                <w:b/>
                <w:bCs/>
                <w:sz w:val="20"/>
                <w:szCs w:val="20"/>
                <w:lang w:eastAsia="en-GB"/>
              </w:rPr>
            </w:pPr>
            <w:r w:rsidRPr="00543D10">
              <w:rPr>
                <w:rFonts w:ascii="Arial" w:eastAsia="Times New Roman" w:hAnsi="Arial" w:cs="Arial"/>
                <w:b/>
                <w:bCs/>
                <w:sz w:val="20"/>
                <w:szCs w:val="20"/>
                <w:lang w:eastAsia="en-GB"/>
              </w:rPr>
              <w:t>£'000</w:t>
            </w:r>
          </w:p>
        </w:tc>
        <w:tc>
          <w:tcPr>
            <w:tcW w:w="1547" w:type="dxa"/>
            <w:tcBorders>
              <w:top w:val="nil"/>
              <w:left w:val="nil"/>
              <w:bottom w:val="single" w:sz="4" w:space="0" w:color="auto"/>
              <w:right w:val="nil"/>
            </w:tcBorders>
            <w:shd w:val="clear" w:color="auto" w:fill="auto"/>
            <w:noWrap/>
            <w:vAlign w:val="center"/>
            <w:hideMark/>
          </w:tcPr>
          <w:p w14:paraId="1B30F958" w14:textId="77777777" w:rsidR="00BC537E" w:rsidRPr="00543D10" w:rsidRDefault="00BC537E" w:rsidP="005229F1">
            <w:pPr>
              <w:spacing w:after="0" w:line="240" w:lineRule="auto"/>
              <w:jc w:val="right"/>
              <w:rPr>
                <w:rFonts w:ascii="Arial" w:eastAsia="Times New Roman" w:hAnsi="Arial" w:cs="Arial"/>
                <w:sz w:val="20"/>
                <w:szCs w:val="20"/>
                <w:lang w:eastAsia="en-GB"/>
              </w:rPr>
            </w:pPr>
            <w:r w:rsidRPr="00543D10">
              <w:rPr>
                <w:rFonts w:ascii="Arial" w:eastAsia="Times New Roman" w:hAnsi="Arial" w:cs="Arial"/>
                <w:sz w:val="20"/>
                <w:szCs w:val="20"/>
                <w:lang w:eastAsia="en-GB"/>
              </w:rPr>
              <w:t>£'000</w:t>
            </w:r>
          </w:p>
        </w:tc>
      </w:tr>
      <w:tr w:rsidR="00416FDD" w:rsidRPr="00543D10" w14:paraId="1385CCB7" w14:textId="77777777" w:rsidTr="00697C96">
        <w:trPr>
          <w:trHeight w:val="259"/>
          <w:jc w:val="center"/>
        </w:trPr>
        <w:tc>
          <w:tcPr>
            <w:tcW w:w="5082" w:type="dxa"/>
            <w:tcBorders>
              <w:top w:val="nil"/>
              <w:left w:val="nil"/>
              <w:bottom w:val="nil"/>
              <w:right w:val="nil"/>
            </w:tcBorders>
            <w:shd w:val="clear" w:color="auto" w:fill="auto"/>
            <w:noWrap/>
            <w:vAlign w:val="center"/>
            <w:hideMark/>
          </w:tcPr>
          <w:p w14:paraId="183FC862" w14:textId="77777777" w:rsidR="00416FDD" w:rsidRPr="00543D10" w:rsidRDefault="00416FDD" w:rsidP="00416FDD">
            <w:pPr>
              <w:spacing w:after="0" w:line="240" w:lineRule="auto"/>
              <w:rPr>
                <w:rFonts w:ascii="Arial" w:eastAsia="Times New Roman" w:hAnsi="Arial" w:cs="Arial"/>
                <w:sz w:val="20"/>
                <w:szCs w:val="20"/>
                <w:lang w:eastAsia="en-GB"/>
              </w:rPr>
            </w:pPr>
            <w:r w:rsidRPr="00543D10">
              <w:rPr>
                <w:rFonts w:ascii="Arial" w:eastAsia="Times New Roman" w:hAnsi="Arial" w:cs="Arial"/>
                <w:sz w:val="20"/>
                <w:szCs w:val="20"/>
                <w:lang w:eastAsia="en-GB"/>
              </w:rPr>
              <w:t>Current service cost</w:t>
            </w:r>
          </w:p>
        </w:tc>
        <w:tc>
          <w:tcPr>
            <w:tcW w:w="407" w:type="dxa"/>
            <w:tcBorders>
              <w:top w:val="nil"/>
              <w:left w:val="nil"/>
              <w:bottom w:val="nil"/>
              <w:right w:val="nil"/>
            </w:tcBorders>
            <w:shd w:val="clear" w:color="auto" w:fill="auto"/>
            <w:noWrap/>
            <w:vAlign w:val="bottom"/>
            <w:hideMark/>
          </w:tcPr>
          <w:p w14:paraId="61F72021" w14:textId="77777777" w:rsidR="00416FDD" w:rsidRPr="00543D10" w:rsidRDefault="00416FDD" w:rsidP="00416FDD">
            <w:pPr>
              <w:spacing w:after="0" w:line="240" w:lineRule="auto"/>
              <w:rPr>
                <w:rFonts w:ascii="Arial" w:eastAsia="Times New Roman" w:hAnsi="Arial" w:cs="Arial"/>
                <w:sz w:val="20"/>
                <w:szCs w:val="20"/>
                <w:lang w:eastAsia="en-GB"/>
              </w:rPr>
            </w:pPr>
          </w:p>
        </w:tc>
        <w:tc>
          <w:tcPr>
            <w:tcW w:w="281" w:type="dxa"/>
            <w:tcBorders>
              <w:top w:val="nil"/>
              <w:left w:val="nil"/>
              <w:bottom w:val="nil"/>
              <w:right w:val="nil"/>
            </w:tcBorders>
            <w:shd w:val="clear" w:color="auto" w:fill="auto"/>
            <w:noWrap/>
            <w:vAlign w:val="bottom"/>
            <w:hideMark/>
          </w:tcPr>
          <w:p w14:paraId="60988B98" w14:textId="77777777" w:rsidR="00416FDD" w:rsidRPr="00543D10" w:rsidRDefault="00416FDD" w:rsidP="00416FDD">
            <w:pPr>
              <w:spacing w:after="0" w:line="240" w:lineRule="auto"/>
              <w:rPr>
                <w:rFonts w:ascii="Times New Roman" w:eastAsia="Times New Roman" w:hAnsi="Times New Roman" w:cs="Times New Roman"/>
                <w:sz w:val="20"/>
                <w:szCs w:val="20"/>
                <w:lang w:eastAsia="en-GB"/>
              </w:rPr>
            </w:pPr>
          </w:p>
        </w:tc>
        <w:tc>
          <w:tcPr>
            <w:tcW w:w="1971" w:type="dxa"/>
            <w:tcBorders>
              <w:top w:val="nil"/>
              <w:left w:val="nil"/>
              <w:bottom w:val="nil"/>
              <w:right w:val="nil"/>
            </w:tcBorders>
            <w:shd w:val="clear" w:color="auto" w:fill="auto"/>
            <w:noWrap/>
            <w:vAlign w:val="center"/>
          </w:tcPr>
          <w:p w14:paraId="57303EDA" w14:textId="77777777" w:rsidR="00416FDD" w:rsidRPr="00543D10" w:rsidRDefault="00456CF6" w:rsidP="00416FDD">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21</w:t>
            </w:r>
          </w:p>
        </w:tc>
        <w:tc>
          <w:tcPr>
            <w:tcW w:w="1547" w:type="dxa"/>
            <w:tcBorders>
              <w:top w:val="nil"/>
              <w:left w:val="nil"/>
              <w:bottom w:val="nil"/>
              <w:right w:val="nil"/>
            </w:tcBorders>
            <w:shd w:val="clear" w:color="auto" w:fill="auto"/>
            <w:noWrap/>
            <w:vAlign w:val="center"/>
            <w:hideMark/>
          </w:tcPr>
          <w:p w14:paraId="70E81BF7" w14:textId="77777777" w:rsidR="00416FDD" w:rsidRPr="00416FDD" w:rsidRDefault="00416FDD" w:rsidP="00416FDD">
            <w:pPr>
              <w:spacing w:after="0" w:line="240" w:lineRule="auto"/>
              <w:jc w:val="right"/>
              <w:rPr>
                <w:rFonts w:ascii="Arial" w:eastAsia="Times New Roman" w:hAnsi="Arial" w:cs="Arial"/>
                <w:sz w:val="20"/>
                <w:szCs w:val="20"/>
                <w:lang w:eastAsia="en-GB"/>
              </w:rPr>
            </w:pPr>
            <w:r w:rsidRPr="00416FDD">
              <w:rPr>
                <w:rFonts w:ascii="Arial" w:eastAsia="Times New Roman" w:hAnsi="Arial" w:cs="Arial"/>
                <w:bCs/>
                <w:sz w:val="20"/>
                <w:szCs w:val="20"/>
                <w:lang w:eastAsia="en-GB"/>
              </w:rPr>
              <w:t>18</w:t>
            </w:r>
          </w:p>
        </w:tc>
      </w:tr>
      <w:tr w:rsidR="00416FDD" w:rsidRPr="00543D10" w14:paraId="71B784D6" w14:textId="77777777" w:rsidTr="00697C96">
        <w:trPr>
          <w:trHeight w:val="328"/>
          <w:jc w:val="center"/>
        </w:trPr>
        <w:tc>
          <w:tcPr>
            <w:tcW w:w="5082" w:type="dxa"/>
            <w:tcBorders>
              <w:top w:val="nil"/>
              <w:left w:val="nil"/>
              <w:bottom w:val="nil"/>
              <w:right w:val="nil"/>
            </w:tcBorders>
            <w:shd w:val="clear" w:color="auto" w:fill="auto"/>
            <w:noWrap/>
            <w:vAlign w:val="center"/>
            <w:hideMark/>
          </w:tcPr>
          <w:p w14:paraId="0F0B573C" w14:textId="77777777" w:rsidR="00416FDD" w:rsidRPr="00543D10" w:rsidRDefault="00416FDD" w:rsidP="00416FDD">
            <w:pPr>
              <w:spacing w:after="0" w:line="240" w:lineRule="auto"/>
              <w:rPr>
                <w:rFonts w:ascii="Arial" w:eastAsia="Times New Roman" w:hAnsi="Arial" w:cs="Arial"/>
                <w:sz w:val="20"/>
                <w:szCs w:val="20"/>
                <w:lang w:eastAsia="en-GB"/>
              </w:rPr>
            </w:pPr>
            <w:r w:rsidRPr="00543D10">
              <w:rPr>
                <w:rFonts w:ascii="Arial" w:eastAsia="Times New Roman" w:hAnsi="Arial" w:cs="Arial"/>
                <w:sz w:val="20"/>
                <w:szCs w:val="20"/>
                <w:lang w:eastAsia="en-GB"/>
              </w:rPr>
              <w:t>Interest cost</w:t>
            </w:r>
          </w:p>
        </w:tc>
        <w:tc>
          <w:tcPr>
            <w:tcW w:w="407" w:type="dxa"/>
            <w:tcBorders>
              <w:top w:val="nil"/>
              <w:left w:val="nil"/>
              <w:bottom w:val="nil"/>
              <w:right w:val="nil"/>
            </w:tcBorders>
            <w:shd w:val="clear" w:color="auto" w:fill="auto"/>
            <w:noWrap/>
            <w:vAlign w:val="bottom"/>
            <w:hideMark/>
          </w:tcPr>
          <w:p w14:paraId="411E489A" w14:textId="77777777" w:rsidR="00416FDD" w:rsidRPr="00543D10" w:rsidRDefault="00416FDD" w:rsidP="00416FDD">
            <w:pPr>
              <w:spacing w:after="0" w:line="240" w:lineRule="auto"/>
              <w:rPr>
                <w:rFonts w:ascii="Arial" w:eastAsia="Times New Roman" w:hAnsi="Arial" w:cs="Arial"/>
                <w:sz w:val="20"/>
                <w:szCs w:val="20"/>
                <w:lang w:eastAsia="en-GB"/>
              </w:rPr>
            </w:pPr>
          </w:p>
        </w:tc>
        <w:tc>
          <w:tcPr>
            <w:tcW w:w="281" w:type="dxa"/>
            <w:tcBorders>
              <w:top w:val="nil"/>
              <w:left w:val="nil"/>
              <w:bottom w:val="nil"/>
              <w:right w:val="nil"/>
            </w:tcBorders>
            <w:shd w:val="clear" w:color="auto" w:fill="auto"/>
            <w:noWrap/>
            <w:vAlign w:val="bottom"/>
            <w:hideMark/>
          </w:tcPr>
          <w:p w14:paraId="41D41170" w14:textId="77777777" w:rsidR="00416FDD" w:rsidRPr="00543D10" w:rsidRDefault="00416FDD" w:rsidP="00416FDD">
            <w:pPr>
              <w:spacing w:after="0" w:line="240" w:lineRule="auto"/>
              <w:rPr>
                <w:rFonts w:ascii="Times New Roman" w:eastAsia="Times New Roman" w:hAnsi="Times New Roman" w:cs="Times New Roman"/>
                <w:sz w:val="20"/>
                <w:szCs w:val="20"/>
                <w:lang w:eastAsia="en-GB"/>
              </w:rPr>
            </w:pPr>
          </w:p>
        </w:tc>
        <w:tc>
          <w:tcPr>
            <w:tcW w:w="1971" w:type="dxa"/>
            <w:tcBorders>
              <w:top w:val="nil"/>
              <w:left w:val="nil"/>
              <w:bottom w:val="nil"/>
              <w:right w:val="nil"/>
            </w:tcBorders>
            <w:shd w:val="clear" w:color="auto" w:fill="auto"/>
            <w:noWrap/>
            <w:vAlign w:val="center"/>
          </w:tcPr>
          <w:p w14:paraId="7FADD930" w14:textId="77777777" w:rsidR="00416FDD" w:rsidRPr="00543D10" w:rsidRDefault="00456CF6" w:rsidP="00416FDD">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1</w:t>
            </w:r>
          </w:p>
        </w:tc>
        <w:tc>
          <w:tcPr>
            <w:tcW w:w="1547" w:type="dxa"/>
            <w:tcBorders>
              <w:top w:val="nil"/>
              <w:left w:val="nil"/>
              <w:bottom w:val="nil"/>
              <w:right w:val="nil"/>
            </w:tcBorders>
            <w:shd w:val="clear" w:color="auto" w:fill="auto"/>
            <w:noWrap/>
            <w:vAlign w:val="center"/>
            <w:hideMark/>
          </w:tcPr>
          <w:p w14:paraId="4B720F08" w14:textId="77777777" w:rsidR="00416FDD" w:rsidRPr="00416FDD" w:rsidRDefault="00416FDD" w:rsidP="00416FDD">
            <w:pPr>
              <w:spacing w:after="0" w:line="240" w:lineRule="auto"/>
              <w:jc w:val="right"/>
              <w:rPr>
                <w:rFonts w:ascii="Arial" w:eastAsia="Times New Roman" w:hAnsi="Arial" w:cs="Arial"/>
                <w:sz w:val="20"/>
                <w:szCs w:val="20"/>
                <w:lang w:eastAsia="en-GB"/>
              </w:rPr>
            </w:pPr>
            <w:r w:rsidRPr="00416FDD">
              <w:rPr>
                <w:rFonts w:ascii="Arial" w:eastAsia="Times New Roman" w:hAnsi="Arial" w:cs="Arial"/>
                <w:bCs/>
                <w:sz w:val="20"/>
                <w:szCs w:val="20"/>
                <w:lang w:eastAsia="en-GB"/>
              </w:rPr>
              <w:t>(9)</w:t>
            </w:r>
          </w:p>
        </w:tc>
      </w:tr>
      <w:tr w:rsidR="00416FDD" w:rsidRPr="00543D10" w14:paraId="0C163EEC" w14:textId="77777777" w:rsidTr="00697C96">
        <w:trPr>
          <w:trHeight w:val="328"/>
          <w:jc w:val="center"/>
        </w:trPr>
        <w:tc>
          <w:tcPr>
            <w:tcW w:w="5082" w:type="dxa"/>
            <w:tcBorders>
              <w:top w:val="single" w:sz="4" w:space="0" w:color="auto"/>
              <w:left w:val="nil"/>
              <w:bottom w:val="single" w:sz="4" w:space="0" w:color="auto"/>
              <w:right w:val="nil"/>
            </w:tcBorders>
            <w:shd w:val="clear" w:color="auto" w:fill="auto"/>
            <w:noWrap/>
            <w:vAlign w:val="center"/>
            <w:hideMark/>
          </w:tcPr>
          <w:p w14:paraId="28700B44" w14:textId="77777777" w:rsidR="00416FDD" w:rsidRPr="00543D10" w:rsidRDefault="00416FDD" w:rsidP="00416FDD">
            <w:pPr>
              <w:spacing w:after="0" w:line="240" w:lineRule="auto"/>
              <w:rPr>
                <w:rFonts w:ascii="Arial" w:eastAsia="Times New Roman" w:hAnsi="Arial" w:cs="Arial"/>
                <w:sz w:val="20"/>
                <w:szCs w:val="20"/>
                <w:lang w:eastAsia="en-GB"/>
              </w:rPr>
            </w:pPr>
            <w:r w:rsidRPr="00543D10">
              <w:rPr>
                <w:rFonts w:ascii="Arial" w:eastAsia="Times New Roman" w:hAnsi="Arial" w:cs="Arial"/>
                <w:sz w:val="20"/>
                <w:szCs w:val="20"/>
                <w:lang w:eastAsia="en-GB"/>
              </w:rPr>
              <w:t> </w:t>
            </w:r>
          </w:p>
        </w:tc>
        <w:tc>
          <w:tcPr>
            <w:tcW w:w="407" w:type="dxa"/>
            <w:tcBorders>
              <w:top w:val="single" w:sz="4" w:space="0" w:color="auto"/>
              <w:left w:val="nil"/>
              <w:bottom w:val="single" w:sz="4" w:space="0" w:color="auto"/>
              <w:right w:val="nil"/>
            </w:tcBorders>
            <w:shd w:val="clear" w:color="auto" w:fill="auto"/>
            <w:noWrap/>
            <w:vAlign w:val="bottom"/>
            <w:hideMark/>
          </w:tcPr>
          <w:p w14:paraId="6D6CFD8D" w14:textId="77777777" w:rsidR="00416FDD" w:rsidRPr="00543D10" w:rsidRDefault="00416FDD" w:rsidP="00416FDD">
            <w:pPr>
              <w:spacing w:after="0" w:line="240" w:lineRule="auto"/>
              <w:rPr>
                <w:rFonts w:ascii="Arial" w:eastAsia="Times New Roman" w:hAnsi="Arial" w:cs="Arial"/>
                <w:sz w:val="20"/>
                <w:szCs w:val="20"/>
                <w:lang w:eastAsia="en-GB"/>
              </w:rPr>
            </w:pPr>
            <w:r w:rsidRPr="00543D10">
              <w:rPr>
                <w:rFonts w:ascii="Arial" w:eastAsia="Times New Roman" w:hAnsi="Arial" w:cs="Arial"/>
                <w:sz w:val="20"/>
                <w:szCs w:val="20"/>
                <w:lang w:eastAsia="en-GB"/>
              </w:rPr>
              <w:t> </w:t>
            </w:r>
          </w:p>
        </w:tc>
        <w:tc>
          <w:tcPr>
            <w:tcW w:w="281" w:type="dxa"/>
            <w:tcBorders>
              <w:top w:val="single" w:sz="4" w:space="0" w:color="auto"/>
              <w:left w:val="nil"/>
              <w:bottom w:val="single" w:sz="4" w:space="0" w:color="auto"/>
              <w:right w:val="nil"/>
            </w:tcBorders>
            <w:shd w:val="clear" w:color="auto" w:fill="auto"/>
            <w:noWrap/>
            <w:vAlign w:val="bottom"/>
            <w:hideMark/>
          </w:tcPr>
          <w:p w14:paraId="0947FFDD" w14:textId="77777777" w:rsidR="00416FDD" w:rsidRPr="00543D10" w:rsidRDefault="00416FDD" w:rsidP="00416FDD">
            <w:pPr>
              <w:spacing w:after="0" w:line="240" w:lineRule="auto"/>
              <w:rPr>
                <w:rFonts w:ascii="Arial" w:eastAsia="Times New Roman" w:hAnsi="Arial" w:cs="Arial"/>
                <w:sz w:val="20"/>
                <w:szCs w:val="20"/>
                <w:lang w:eastAsia="en-GB"/>
              </w:rPr>
            </w:pPr>
            <w:r w:rsidRPr="00543D10">
              <w:rPr>
                <w:rFonts w:ascii="Arial" w:eastAsia="Times New Roman" w:hAnsi="Arial" w:cs="Arial"/>
                <w:sz w:val="20"/>
                <w:szCs w:val="20"/>
                <w:lang w:eastAsia="en-GB"/>
              </w:rPr>
              <w:t> </w:t>
            </w:r>
          </w:p>
        </w:tc>
        <w:tc>
          <w:tcPr>
            <w:tcW w:w="1971" w:type="dxa"/>
            <w:tcBorders>
              <w:top w:val="single" w:sz="4" w:space="0" w:color="auto"/>
              <w:left w:val="nil"/>
              <w:bottom w:val="single" w:sz="4" w:space="0" w:color="auto"/>
              <w:right w:val="nil"/>
            </w:tcBorders>
            <w:shd w:val="clear" w:color="auto" w:fill="auto"/>
            <w:noWrap/>
            <w:vAlign w:val="center"/>
          </w:tcPr>
          <w:p w14:paraId="2A2F7BA8" w14:textId="77777777" w:rsidR="00416FDD" w:rsidRPr="00543D10" w:rsidRDefault="00456CF6" w:rsidP="00416FDD">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22</w:t>
            </w:r>
          </w:p>
        </w:tc>
        <w:tc>
          <w:tcPr>
            <w:tcW w:w="1547" w:type="dxa"/>
            <w:tcBorders>
              <w:top w:val="single" w:sz="4" w:space="0" w:color="auto"/>
              <w:left w:val="nil"/>
              <w:bottom w:val="single" w:sz="4" w:space="0" w:color="auto"/>
              <w:right w:val="nil"/>
            </w:tcBorders>
            <w:shd w:val="clear" w:color="auto" w:fill="auto"/>
            <w:noWrap/>
            <w:vAlign w:val="center"/>
            <w:hideMark/>
          </w:tcPr>
          <w:p w14:paraId="7AA7A29C" w14:textId="77777777" w:rsidR="00416FDD" w:rsidRPr="00416FDD" w:rsidRDefault="00416FDD" w:rsidP="00416FDD">
            <w:pPr>
              <w:spacing w:after="0" w:line="240" w:lineRule="auto"/>
              <w:jc w:val="right"/>
              <w:rPr>
                <w:rFonts w:ascii="Arial" w:eastAsia="Times New Roman" w:hAnsi="Arial" w:cs="Arial"/>
                <w:sz w:val="20"/>
                <w:szCs w:val="20"/>
                <w:lang w:eastAsia="en-GB"/>
              </w:rPr>
            </w:pPr>
            <w:r w:rsidRPr="00416FDD">
              <w:rPr>
                <w:rFonts w:ascii="Arial" w:eastAsia="Times New Roman" w:hAnsi="Arial" w:cs="Arial"/>
                <w:bCs/>
                <w:sz w:val="20"/>
                <w:szCs w:val="20"/>
                <w:lang w:eastAsia="en-GB"/>
              </w:rPr>
              <w:t>9</w:t>
            </w:r>
          </w:p>
        </w:tc>
      </w:tr>
      <w:tr w:rsidR="00543D10" w:rsidRPr="00543D10" w14:paraId="3EFB935E" w14:textId="77777777" w:rsidTr="00697C96">
        <w:trPr>
          <w:trHeight w:val="328"/>
          <w:jc w:val="center"/>
        </w:trPr>
        <w:tc>
          <w:tcPr>
            <w:tcW w:w="5082" w:type="dxa"/>
            <w:tcBorders>
              <w:top w:val="nil"/>
              <w:left w:val="nil"/>
              <w:bottom w:val="nil"/>
              <w:right w:val="nil"/>
            </w:tcBorders>
            <w:shd w:val="clear" w:color="auto" w:fill="auto"/>
            <w:noWrap/>
            <w:vAlign w:val="center"/>
            <w:hideMark/>
          </w:tcPr>
          <w:p w14:paraId="4C78AE23" w14:textId="77777777" w:rsidR="00BC537E" w:rsidRPr="00543D10" w:rsidRDefault="00BC537E" w:rsidP="007729E5">
            <w:pPr>
              <w:spacing w:after="0" w:line="240" w:lineRule="auto"/>
              <w:rPr>
                <w:rFonts w:ascii="Arial" w:eastAsia="Times New Roman" w:hAnsi="Arial" w:cs="Arial"/>
                <w:sz w:val="20"/>
                <w:szCs w:val="20"/>
                <w:lang w:eastAsia="en-GB"/>
              </w:rPr>
            </w:pPr>
          </w:p>
        </w:tc>
        <w:tc>
          <w:tcPr>
            <w:tcW w:w="407" w:type="dxa"/>
            <w:tcBorders>
              <w:top w:val="nil"/>
              <w:left w:val="nil"/>
              <w:bottom w:val="nil"/>
              <w:right w:val="nil"/>
            </w:tcBorders>
            <w:shd w:val="clear" w:color="auto" w:fill="auto"/>
            <w:noWrap/>
            <w:vAlign w:val="bottom"/>
            <w:hideMark/>
          </w:tcPr>
          <w:p w14:paraId="4CBD5CB7" w14:textId="77777777" w:rsidR="00BC537E" w:rsidRPr="00543D10" w:rsidRDefault="00BC537E" w:rsidP="007729E5">
            <w:pPr>
              <w:spacing w:after="0" w:line="240" w:lineRule="auto"/>
              <w:rPr>
                <w:rFonts w:ascii="Times New Roman" w:eastAsia="Times New Roman" w:hAnsi="Times New Roman" w:cs="Times New Roman"/>
                <w:sz w:val="20"/>
                <w:szCs w:val="20"/>
                <w:lang w:eastAsia="en-GB"/>
              </w:rPr>
            </w:pPr>
          </w:p>
        </w:tc>
        <w:tc>
          <w:tcPr>
            <w:tcW w:w="281" w:type="dxa"/>
            <w:tcBorders>
              <w:top w:val="nil"/>
              <w:left w:val="nil"/>
              <w:bottom w:val="nil"/>
              <w:right w:val="nil"/>
            </w:tcBorders>
            <w:shd w:val="clear" w:color="auto" w:fill="auto"/>
            <w:noWrap/>
            <w:vAlign w:val="bottom"/>
            <w:hideMark/>
          </w:tcPr>
          <w:p w14:paraId="179AB6D1" w14:textId="77777777" w:rsidR="00BC537E" w:rsidRPr="00543D10" w:rsidRDefault="00BC537E" w:rsidP="007729E5">
            <w:pPr>
              <w:spacing w:after="0" w:line="240" w:lineRule="auto"/>
              <w:rPr>
                <w:rFonts w:ascii="Times New Roman" w:eastAsia="Times New Roman" w:hAnsi="Times New Roman" w:cs="Times New Roman"/>
                <w:sz w:val="20"/>
                <w:szCs w:val="20"/>
                <w:lang w:eastAsia="en-GB"/>
              </w:rPr>
            </w:pPr>
          </w:p>
        </w:tc>
        <w:tc>
          <w:tcPr>
            <w:tcW w:w="1971" w:type="dxa"/>
            <w:tcBorders>
              <w:top w:val="nil"/>
              <w:left w:val="nil"/>
              <w:bottom w:val="nil"/>
              <w:right w:val="nil"/>
            </w:tcBorders>
            <w:shd w:val="clear" w:color="auto" w:fill="auto"/>
            <w:noWrap/>
            <w:vAlign w:val="center"/>
            <w:hideMark/>
          </w:tcPr>
          <w:p w14:paraId="25643DB4" w14:textId="77777777" w:rsidR="00BC537E" w:rsidRPr="00543D10" w:rsidRDefault="00BC537E" w:rsidP="007729E5">
            <w:pPr>
              <w:spacing w:after="0" w:line="240" w:lineRule="auto"/>
              <w:rPr>
                <w:rFonts w:ascii="Times New Roman" w:eastAsia="Times New Roman" w:hAnsi="Times New Roman" w:cs="Times New Roman"/>
                <w:sz w:val="20"/>
                <w:szCs w:val="20"/>
                <w:lang w:eastAsia="en-GB"/>
              </w:rPr>
            </w:pPr>
          </w:p>
        </w:tc>
        <w:tc>
          <w:tcPr>
            <w:tcW w:w="1547" w:type="dxa"/>
            <w:tcBorders>
              <w:top w:val="nil"/>
              <w:left w:val="nil"/>
              <w:bottom w:val="nil"/>
              <w:right w:val="nil"/>
            </w:tcBorders>
            <w:shd w:val="clear" w:color="auto" w:fill="auto"/>
            <w:noWrap/>
            <w:vAlign w:val="center"/>
            <w:hideMark/>
          </w:tcPr>
          <w:p w14:paraId="119FEAB3" w14:textId="77777777" w:rsidR="00BC537E" w:rsidRPr="00543D10" w:rsidRDefault="00BC537E" w:rsidP="007729E5">
            <w:pPr>
              <w:spacing w:after="0" w:line="240" w:lineRule="auto"/>
              <w:rPr>
                <w:rFonts w:ascii="Times New Roman" w:eastAsia="Times New Roman" w:hAnsi="Times New Roman" w:cs="Times New Roman"/>
                <w:sz w:val="20"/>
                <w:szCs w:val="20"/>
                <w:lang w:eastAsia="en-GB"/>
              </w:rPr>
            </w:pPr>
          </w:p>
        </w:tc>
      </w:tr>
      <w:tr w:rsidR="00BC537E" w:rsidRPr="00DA5F44" w14:paraId="1F1211A1" w14:textId="77777777" w:rsidTr="00697C96">
        <w:trPr>
          <w:trHeight w:val="1023"/>
          <w:jc w:val="center"/>
        </w:trPr>
        <w:tc>
          <w:tcPr>
            <w:tcW w:w="5082" w:type="dxa"/>
            <w:tcBorders>
              <w:top w:val="nil"/>
              <w:left w:val="nil"/>
              <w:bottom w:val="nil"/>
              <w:right w:val="nil"/>
            </w:tcBorders>
            <w:shd w:val="clear" w:color="auto" w:fill="auto"/>
            <w:noWrap/>
            <w:vAlign w:val="center"/>
            <w:hideMark/>
          </w:tcPr>
          <w:p w14:paraId="54515BC8" w14:textId="77777777" w:rsidR="00BC537E" w:rsidRPr="00DA5F44" w:rsidRDefault="00BC537E" w:rsidP="007729E5">
            <w:pPr>
              <w:spacing w:after="0" w:line="240" w:lineRule="auto"/>
              <w:rPr>
                <w:rFonts w:ascii="Times New Roman" w:eastAsia="Times New Roman" w:hAnsi="Times New Roman" w:cs="Times New Roman"/>
                <w:sz w:val="20"/>
                <w:szCs w:val="20"/>
                <w:lang w:eastAsia="en-GB"/>
              </w:rPr>
            </w:pPr>
          </w:p>
        </w:tc>
        <w:tc>
          <w:tcPr>
            <w:tcW w:w="407" w:type="dxa"/>
            <w:tcBorders>
              <w:top w:val="nil"/>
              <w:left w:val="nil"/>
              <w:bottom w:val="nil"/>
              <w:right w:val="nil"/>
            </w:tcBorders>
            <w:shd w:val="clear" w:color="auto" w:fill="auto"/>
            <w:noWrap/>
            <w:vAlign w:val="bottom"/>
          </w:tcPr>
          <w:p w14:paraId="503AF14E" w14:textId="77777777" w:rsidR="00BC537E" w:rsidRPr="00DA5F44" w:rsidRDefault="00BC537E" w:rsidP="007729E5">
            <w:pPr>
              <w:spacing w:after="0" w:line="240" w:lineRule="auto"/>
              <w:rPr>
                <w:rFonts w:ascii="Times New Roman" w:eastAsia="Times New Roman" w:hAnsi="Times New Roman" w:cs="Times New Roman"/>
                <w:sz w:val="20"/>
                <w:szCs w:val="20"/>
                <w:lang w:eastAsia="en-GB"/>
              </w:rPr>
            </w:pPr>
          </w:p>
        </w:tc>
        <w:tc>
          <w:tcPr>
            <w:tcW w:w="281" w:type="dxa"/>
            <w:tcBorders>
              <w:top w:val="nil"/>
              <w:left w:val="nil"/>
              <w:bottom w:val="nil"/>
              <w:right w:val="nil"/>
            </w:tcBorders>
            <w:shd w:val="clear" w:color="auto" w:fill="auto"/>
            <w:vAlign w:val="center"/>
            <w:hideMark/>
          </w:tcPr>
          <w:p w14:paraId="00481B86" w14:textId="77777777" w:rsidR="00BC537E" w:rsidRPr="00DA5F44" w:rsidRDefault="00BC537E" w:rsidP="007729E5">
            <w:pPr>
              <w:spacing w:after="0" w:line="240" w:lineRule="auto"/>
              <w:rPr>
                <w:rFonts w:ascii="Times New Roman" w:eastAsia="Times New Roman" w:hAnsi="Times New Roman" w:cs="Times New Roman"/>
                <w:sz w:val="20"/>
                <w:szCs w:val="20"/>
                <w:lang w:eastAsia="en-GB"/>
              </w:rPr>
            </w:pPr>
          </w:p>
        </w:tc>
        <w:tc>
          <w:tcPr>
            <w:tcW w:w="1971" w:type="dxa"/>
            <w:tcBorders>
              <w:top w:val="nil"/>
              <w:left w:val="nil"/>
              <w:bottom w:val="nil"/>
              <w:right w:val="nil"/>
            </w:tcBorders>
            <w:shd w:val="clear" w:color="auto" w:fill="auto"/>
            <w:vAlign w:val="center"/>
            <w:hideMark/>
          </w:tcPr>
          <w:p w14:paraId="6954A384" w14:textId="77777777" w:rsidR="00BC537E" w:rsidRPr="00DA5F44" w:rsidRDefault="00BC537E" w:rsidP="006647C2">
            <w:pPr>
              <w:spacing w:after="0" w:line="240" w:lineRule="auto"/>
              <w:jc w:val="right"/>
              <w:rPr>
                <w:rFonts w:ascii="Arial" w:eastAsia="Times New Roman" w:hAnsi="Arial" w:cs="Arial"/>
                <w:b/>
                <w:bCs/>
                <w:sz w:val="20"/>
                <w:szCs w:val="20"/>
                <w:lang w:eastAsia="en-GB"/>
              </w:rPr>
            </w:pPr>
            <w:r w:rsidRPr="00DA5F44">
              <w:rPr>
                <w:rFonts w:ascii="Arial" w:eastAsia="Times New Roman" w:hAnsi="Arial" w:cs="Arial"/>
                <w:b/>
                <w:bCs/>
                <w:sz w:val="20"/>
                <w:szCs w:val="20"/>
                <w:lang w:eastAsia="en-GB"/>
              </w:rPr>
              <w:t xml:space="preserve">Value at 31 August </w:t>
            </w:r>
            <w:r w:rsidR="0037645F">
              <w:rPr>
                <w:rFonts w:ascii="Arial" w:eastAsia="Times New Roman" w:hAnsi="Arial" w:cs="Arial"/>
                <w:b/>
                <w:bCs/>
                <w:sz w:val="20"/>
                <w:szCs w:val="20"/>
                <w:lang w:eastAsia="en-GB"/>
              </w:rPr>
              <w:t>2020</w:t>
            </w:r>
          </w:p>
        </w:tc>
        <w:tc>
          <w:tcPr>
            <w:tcW w:w="1547" w:type="dxa"/>
            <w:tcBorders>
              <w:top w:val="nil"/>
              <w:left w:val="nil"/>
              <w:bottom w:val="nil"/>
              <w:right w:val="nil"/>
            </w:tcBorders>
            <w:shd w:val="clear" w:color="auto" w:fill="auto"/>
            <w:vAlign w:val="center"/>
            <w:hideMark/>
          </w:tcPr>
          <w:p w14:paraId="6F11F5DD" w14:textId="77777777" w:rsidR="00BC537E" w:rsidRPr="00416FDD" w:rsidRDefault="00BC537E" w:rsidP="006647C2">
            <w:pPr>
              <w:spacing w:after="0" w:line="240" w:lineRule="auto"/>
              <w:jc w:val="right"/>
              <w:rPr>
                <w:rFonts w:ascii="Arial" w:eastAsia="Times New Roman" w:hAnsi="Arial" w:cs="Arial"/>
                <w:bCs/>
                <w:sz w:val="20"/>
                <w:szCs w:val="20"/>
                <w:lang w:eastAsia="en-GB"/>
              </w:rPr>
            </w:pPr>
            <w:r w:rsidRPr="00416FDD">
              <w:rPr>
                <w:rFonts w:ascii="Arial" w:eastAsia="Times New Roman" w:hAnsi="Arial" w:cs="Arial"/>
                <w:bCs/>
                <w:sz w:val="20"/>
                <w:szCs w:val="20"/>
                <w:lang w:eastAsia="en-GB"/>
              </w:rPr>
              <w:t xml:space="preserve">Value at 31 August </w:t>
            </w:r>
            <w:r w:rsidR="0037645F" w:rsidRPr="00416FDD">
              <w:rPr>
                <w:rFonts w:ascii="Arial" w:eastAsia="Times New Roman" w:hAnsi="Arial" w:cs="Arial"/>
                <w:bCs/>
                <w:sz w:val="20"/>
                <w:szCs w:val="20"/>
                <w:lang w:eastAsia="en-GB"/>
              </w:rPr>
              <w:t>2019</w:t>
            </w:r>
          </w:p>
        </w:tc>
      </w:tr>
      <w:tr w:rsidR="00BC537E" w:rsidRPr="00DA5F44" w14:paraId="04EC54C5" w14:textId="77777777" w:rsidTr="00697C96">
        <w:trPr>
          <w:trHeight w:val="328"/>
          <w:jc w:val="center"/>
        </w:trPr>
        <w:tc>
          <w:tcPr>
            <w:tcW w:w="5082" w:type="dxa"/>
            <w:tcBorders>
              <w:top w:val="nil"/>
              <w:left w:val="nil"/>
              <w:bottom w:val="single" w:sz="4" w:space="0" w:color="auto"/>
              <w:right w:val="nil"/>
            </w:tcBorders>
            <w:shd w:val="clear" w:color="auto" w:fill="auto"/>
            <w:noWrap/>
            <w:vAlign w:val="center"/>
            <w:hideMark/>
          </w:tcPr>
          <w:p w14:paraId="133B0829" w14:textId="77777777" w:rsidR="00BC537E" w:rsidRPr="00DA5F44" w:rsidRDefault="00BC537E" w:rsidP="007729E5">
            <w:pPr>
              <w:spacing w:after="0" w:line="240" w:lineRule="auto"/>
              <w:rPr>
                <w:rFonts w:ascii="Arial" w:eastAsia="Times New Roman" w:hAnsi="Arial" w:cs="Arial"/>
                <w:sz w:val="20"/>
                <w:szCs w:val="20"/>
                <w:lang w:eastAsia="en-GB"/>
              </w:rPr>
            </w:pPr>
            <w:r w:rsidRPr="00DA5F44">
              <w:rPr>
                <w:rFonts w:ascii="Arial" w:eastAsia="Times New Roman" w:hAnsi="Arial" w:cs="Arial"/>
                <w:sz w:val="20"/>
                <w:szCs w:val="20"/>
                <w:lang w:eastAsia="en-GB"/>
              </w:rPr>
              <w:t> </w:t>
            </w:r>
          </w:p>
        </w:tc>
        <w:tc>
          <w:tcPr>
            <w:tcW w:w="407" w:type="dxa"/>
            <w:tcBorders>
              <w:top w:val="nil"/>
              <w:left w:val="nil"/>
              <w:bottom w:val="single" w:sz="4" w:space="0" w:color="auto"/>
              <w:right w:val="nil"/>
            </w:tcBorders>
            <w:shd w:val="clear" w:color="auto" w:fill="auto"/>
            <w:noWrap/>
            <w:vAlign w:val="bottom"/>
            <w:hideMark/>
          </w:tcPr>
          <w:p w14:paraId="5AB4C8FC" w14:textId="77777777" w:rsidR="00BC537E" w:rsidRPr="00DA5F44" w:rsidRDefault="00BC537E" w:rsidP="007729E5">
            <w:pPr>
              <w:spacing w:after="0" w:line="240" w:lineRule="auto"/>
              <w:rPr>
                <w:rFonts w:ascii="Arial" w:eastAsia="Times New Roman" w:hAnsi="Arial" w:cs="Arial"/>
                <w:sz w:val="20"/>
                <w:szCs w:val="20"/>
                <w:lang w:eastAsia="en-GB"/>
              </w:rPr>
            </w:pPr>
            <w:r w:rsidRPr="00DA5F44">
              <w:rPr>
                <w:rFonts w:ascii="Arial" w:eastAsia="Times New Roman" w:hAnsi="Arial" w:cs="Arial"/>
                <w:sz w:val="20"/>
                <w:szCs w:val="20"/>
                <w:lang w:eastAsia="en-GB"/>
              </w:rPr>
              <w:t> </w:t>
            </w:r>
          </w:p>
        </w:tc>
        <w:tc>
          <w:tcPr>
            <w:tcW w:w="281" w:type="dxa"/>
            <w:tcBorders>
              <w:top w:val="nil"/>
              <w:left w:val="nil"/>
              <w:bottom w:val="single" w:sz="4" w:space="0" w:color="auto"/>
              <w:right w:val="nil"/>
            </w:tcBorders>
            <w:shd w:val="clear" w:color="auto" w:fill="auto"/>
            <w:noWrap/>
            <w:vAlign w:val="center"/>
            <w:hideMark/>
          </w:tcPr>
          <w:p w14:paraId="648F5F4F" w14:textId="77777777" w:rsidR="00BC537E" w:rsidRPr="00DA5F44" w:rsidRDefault="00BC537E" w:rsidP="007729E5">
            <w:pPr>
              <w:spacing w:after="0" w:line="240" w:lineRule="auto"/>
              <w:rPr>
                <w:rFonts w:ascii="Arial" w:eastAsia="Times New Roman" w:hAnsi="Arial" w:cs="Arial"/>
                <w:b/>
                <w:bCs/>
                <w:sz w:val="20"/>
                <w:szCs w:val="20"/>
                <w:lang w:eastAsia="en-GB"/>
              </w:rPr>
            </w:pPr>
            <w:r w:rsidRPr="00DA5F44">
              <w:rPr>
                <w:rFonts w:ascii="Arial" w:eastAsia="Times New Roman" w:hAnsi="Arial" w:cs="Arial"/>
                <w:b/>
                <w:bCs/>
                <w:sz w:val="20"/>
                <w:szCs w:val="20"/>
                <w:lang w:eastAsia="en-GB"/>
              </w:rPr>
              <w:t> </w:t>
            </w:r>
          </w:p>
        </w:tc>
        <w:tc>
          <w:tcPr>
            <w:tcW w:w="1971" w:type="dxa"/>
            <w:tcBorders>
              <w:top w:val="nil"/>
              <w:left w:val="nil"/>
              <w:bottom w:val="single" w:sz="4" w:space="0" w:color="auto"/>
              <w:right w:val="nil"/>
            </w:tcBorders>
            <w:shd w:val="clear" w:color="auto" w:fill="auto"/>
            <w:noWrap/>
            <w:vAlign w:val="center"/>
            <w:hideMark/>
          </w:tcPr>
          <w:p w14:paraId="6B484BE3" w14:textId="77777777" w:rsidR="00BC537E" w:rsidRPr="00DA5F44" w:rsidRDefault="00BC537E" w:rsidP="005B39D0">
            <w:pPr>
              <w:spacing w:after="0" w:line="240" w:lineRule="auto"/>
              <w:jc w:val="right"/>
              <w:rPr>
                <w:rFonts w:ascii="Arial" w:eastAsia="Times New Roman" w:hAnsi="Arial" w:cs="Arial"/>
                <w:b/>
                <w:bCs/>
                <w:sz w:val="20"/>
                <w:szCs w:val="20"/>
                <w:lang w:eastAsia="en-GB"/>
              </w:rPr>
            </w:pPr>
            <w:r w:rsidRPr="00DA5F44">
              <w:rPr>
                <w:rFonts w:ascii="Arial" w:eastAsia="Times New Roman" w:hAnsi="Arial" w:cs="Arial"/>
                <w:b/>
                <w:bCs/>
                <w:sz w:val="20"/>
                <w:szCs w:val="20"/>
                <w:lang w:eastAsia="en-GB"/>
              </w:rPr>
              <w:t>£'000</w:t>
            </w:r>
          </w:p>
        </w:tc>
        <w:tc>
          <w:tcPr>
            <w:tcW w:w="1547" w:type="dxa"/>
            <w:tcBorders>
              <w:top w:val="nil"/>
              <w:left w:val="nil"/>
              <w:bottom w:val="single" w:sz="4" w:space="0" w:color="auto"/>
              <w:right w:val="nil"/>
            </w:tcBorders>
            <w:shd w:val="clear" w:color="auto" w:fill="auto"/>
            <w:noWrap/>
            <w:vAlign w:val="center"/>
            <w:hideMark/>
          </w:tcPr>
          <w:p w14:paraId="4F943CC6" w14:textId="77777777" w:rsidR="00BC537E" w:rsidRPr="00DA5F44" w:rsidRDefault="00BC537E" w:rsidP="005B39D0">
            <w:pPr>
              <w:spacing w:after="0" w:line="240" w:lineRule="auto"/>
              <w:jc w:val="right"/>
              <w:rPr>
                <w:rFonts w:ascii="Arial" w:eastAsia="Times New Roman" w:hAnsi="Arial" w:cs="Arial"/>
                <w:sz w:val="20"/>
                <w:szCs w:val="20"/>
                <w:lang w:eastAsia="en-GB"/>
              </w:rPr>
            </w:pPr>
            <w:r w:rsidRPr="00DA5F44">
              <w:rPr>
                <w:rFonts w:ascii="Arial" w:eastAsia="Times New Roman" w:hAnsi="Arial" w:cs="Arial"/>
                <w:sz w:val="20"/>
                <w:szCs w:val="20"/>
                <w:lang w:eastAsia="en-GB"/>
              </w:rPr>
              <w:t>£'000</w:t>
            </w:r>
          </w:p>
        </w:tc>
      </w:tr>
      <w:tr w:rsidR="00416FDD" w:rsidRPr="00DA5F44" w14:paraId="5F3A6ADD" w14:textId="77777777" w:rsidTr="00697C96">
        <w:trPr>
          <w:trHeight w:val="328"/>
          <w:jc w:val="center"/>
        </w:trPr>
        <w:tc>
          <w:tcPr>
            <w:tcW w:w="5082" w:type="dxa"/>
            <w:tcBorders>
              <w:top w:val="nil"/>
              <w:left w:val="nil"/>
              <w:bottom w:val="nil"/>
              <w:right w:val="nil"/>
            </w:tcBorders>
            <w:shd w:val="clear" w:color="auto" w:fill="auto"/>
            <w:noWrap/>
            <w:vAlign w:val="center"/>
            <w:hideMark/>
          </w:tcPr>
          <w:p w14:paraId="797CBF10" w14:textId="77777777" w:rsidR="00416FDD" w:rsidRPr="00DA5F44" w:rsidRDefault="00416FDD" w:rsidP="00416FDD">
            <w:pPr>
              <w:spacing w:after="0" w:line="240" w:lineRule="auto"/>
              <w:rPr>
                <w:rFonts w:ascii="Arial" w:eastAsia="Times New Roman" w:hAnsi="Arial" w:cs="Arial"/>
                <w:sz w:val="20"/>
                <w:szCs w:val="20"/>
                <w:lang w:eastAsia="en-GB"/>
              </w:rPr>
            </w:pPr>
            <w:r w:rsidRPr="00DA5F44">
              <w:rPr>
                <w:rFonts w:ascii="Arial" w:eastAsia="Times New Roman" w:hAnsi="Arial" w:cs="Arial"/>
                <w:sz w:val="20"/>
                <w:szCs w:val="20"/>
                <w:lang w:eastAsia="en-GB"/>
              </w:rPr>
              <w:t>Equities</w:t>
            </w:r>
          </w:p>
        </w:tc>
        <w:tc>
          <w:tcPr>
            <w:tcW w:w="407" w:type="dxa"/>
            <w:tcBorders>
              <w:top w:val="nil"/>
              <w:left w:val="nil"/>
              <w:bottom w:val="nil"/>
              <w:right w:val="nil"/>
            </w:tcBorders>
            <w:shd w:val="clear" w:color="auto" w:fill="auto"/>
            <w:noWrap/>
            <w:vAlign w:val="bottom"/>
            <w:hideMark/>
          </w:tcPr>
          <w:p w14:paraId="41BABD2D" w14:textId="77777777" w:rsidR="00416FDD" w:rsidRPr="00DA5F44" w:rsidRDefault="00416FDD" w:rsidP="00416FDD">
            <w:pPr>
              <w:spacing w:after="0" w:line="240" w:lineRule="auto"/>
              <w:rPr>
                <w:rFonts w:ascii="Arial" w:eastAsia="Times New Roman" w:hAnsi="Arial" w:cs="Arial"/>
                <w:sz w:val="20"/>
                <w:szCs w:val="20"/>
                <w:lang w:eastAsia="en-GB"/>
              </w:rPr>
            </w:pPr>
          </w:p>
        </w:tc>
        <w:tc>
          <w:tcPr>
            <w:tcW w:w="281" w:type="dxa"/>
            <w:tcBorders>
              <w:top w:val="nil"/>
              <w:left w:val="nil"/>
              <w:bottom w:val="nil"/>
              <w:right w:val="nil"/>
            </w:tcBorders>
            <w:shd w:val="clear" w:color="auto" w:fill="auto"/>
            <w:noWrap/>
            <w:vAlign w:val="bottom"/>
            <w:hideMark/>
          </w:tcPr>
          <w:p w14:paraId="33F844A2" w14:textId="77777777" w:rsidR="00416FDD" w:rsidRPr="00DA5F44" w:rsidRDefault="00416FDD" w:rsidP="00416FDD">
            <w:pPr>
              <w:spacing w:after="0" w:line="240" w:lineRule="auto"/>
              <w:rPr>
                <w:rFonts w:ascii="Times New Roman" w:eastAsia="Times New Roman" w:hAnsi="Times New Roman" w:cs="Times New Roman"/>
                <w:sz w:val="20"/>
                <w:szCs w:val="20"/>
                <w:lang w:eastAsia="en-GB"/>
              </w:rPr>
            </w:pPr>
          </w:p>
        </w:tc>
        <w:tc>
          <w:tcPr>
            <w:tcW w:w="1971" w:type="dxa"/>
            <w:tcBorders>
              <w:top w:val="nil"/>
              <w:left w:val="nil"/>
              <w:bottom w:val="nil"/>
              <w:right w:val="nil"/>
            </w:tcBorders>
            <w:shd w:val="clear" w:color="auto" w:fill="auto"/>
            <w:noWrap/>
            <w:vAlign w:val="center"/>
          </w:tcPr>
          <w:p w14:paraId="566DDA29" w14:textId="77777777" w:rsidR="00416FDD" w:rsidRPr="00DA5F44" w:rsidRDefault="00456CF6" w:rsidP="00416FDD">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1,441</w:t>
            </w:r>
          </w:p>
        </w:tc>
        <w:tc>
          <w:tcPr>
            <w:tcW w:w="1547" w:type="dxa"/>
            <w:tcBorders>
              <w:top w:val="nil"/>
              <w:left w:val="nil"/>
              <w:bottom w:val="nil"/>
              <w:right w:val="nil"/>
            </w:tcBorders>
            <w:shd w:val="clear" w:color="auto" w:fill="auto"/>
            <w:noWrap/>
            <w:vAlign w:val="center"/>
            <w:hideMark/>
          </w:tcPr>
          <w:p w14:paraId="4F573288" w14:textId="77777777" w:rsidR="00416FDD" w:rsidRPr="00416FDD" w:rsidRDefault="00416FDD" w:rsidP="00416FDD">
            <w:pPr>
              <w:spacing w:after="0" w:line="240" w:lineRule="auto"/>
              <w:jc w:val="right"/>
              <w:rPr>
                <w:rFonts w:ascii="Arial" w:eastAsia="Times New Roman" w:hAnsi="Arial" w:cs="Arial"/>
                <w:sz w:val="20"/>
                <w:szCs w:val="20"/>
                <w:lang w:eastAsia="en-GB"/>
              </w:rPr>
            </w:pPr>
            <w:r w:rsidRPr="00416FDD">
              <w:rPr>
                <w:rFonts w:ascii="Arial" w:eastAsia="Times New Roman" w:hAnsi="Arial" w:cs="Arial"/>
                <w:bCs/>
                <w:sz w:val="20"/>
                <w:szCs w:val="20"/>
                <w:lang w:eastAsia="en-GB"/>
              </w:rPr>
              <w:t>1,596</w:t>
            </w:r>
          </w:p>
        </w:tc>
      </w:tr>
      <w:tr w:rsidR="00416FDD" w:rsidRPr="00DA5F44" w14:paraId="4799670F" w14:textId="77777777" w:rsidTr="00697C96">
        <w:trPr>
          <w:trHeight w:val="328"/>
          <w:jc w:val="center"/>
        </w:trPr>
        <w:tc>
          <w:tcPr>
            <w:tcW w:w="5082" w:type="dxa"/>
            <w:tcBorders>
              <w:top w:val="nil"/>
              <w:left w:val="nil"/>
              <w:bottom w:val="nil"/>
              <w:right w:val="nil"/>
            </w:tcBorders>
            <w:shd w:val="clear" w:color="auto" w:fill="auto"/>
            <w:noWrap/>
            <w:vAlign w:val="center"/>
            <w:hideMark/>
          </w:tcPr>
          <w:p w14:paraId="5F2289DC" w14:textId="77777777" w:rsidR="00416FDD" w:rsidRPr="00DA5F44" w:rsidRDefault="00416FDD" w:rsidP="00416FDD">
            <w:pPr>
              <w:spacing w:after="0" w:line="240" w:lineRule="auto"/>
              <w:rPr>
                <w:rFonts w:ascii="Arial" w:eastAsia="Times New Roman" w:hAnsi="Arial" w:cs="Arial"/>
                <w:sz w:val="20"/>
                <w:szCs w:val="20"/>
                <w:lang w:eastAsia="en-GB"/>
              </w:rPr>
            </w:pPr>
            <w:r w:rsidRPr="00DA5F44">
              <w:rPr>
                <w:rFonts w:ascii="Arial" w:eastAsia="Times New Roman" w:hAnsi="Arial" w:cs="Arial"/>
                <w:sz w:val="20"/>
                <w:szCs w:val="20"/>
                <w:lang w:eastAsia="en-GB"/>
              </w:rPr>
              <w:t>Bonds</w:t>
            </w:r>
          </w:p>
        </w:tc>
        <w:tc>
          <w:tcPr>
            <w:tcW w:w="407" w:type="dxa"/>
            <w:tcBorders>
              <w:top w:val="nil"/>
              <w:left w:val="nil"/>
              <w:bottom w:val="nil"/>
              <w:right w:val="nil"/>
            </w:tcBorders>
            <w:shd w:val="clear" w:color="auto" w:fill="auto"/>
            <w:noWrap/>
            <w:vAlign w:val="bottom"/>
            <w:hideMark/>
          </w:tcPr>
          <w:p w14:paraId="4B0F9423" w14:textId="77777777" w:rsidR="00416FDD" w:rsidRPr="00DA5F44" w:rsidRDefault="00416FDD" w:rsidP="00416FDD">
            <w:pPr>
              <w:spacing w:after="0" w:line="240" w:lineRule="auto"/>
              <w:rPr>
                <w:rFonts w:ascii="Arial" w:eastAsia="Times New Roman" w:hAnsi="Arial" w:cs="Arial"/>
                <w:sz w:val="20"/>
                <w:szCs w:val="20"/>
                <w:lang w:eastAsia="en-GB"/>
              </w:rPr>
            </w:pPr>
          </w:p>
        </w:tc>
        <w:tc>
          <w:tcPr>
            <w:tcW w:w="281" w:type="dxa"/>
            <w:tcBorders>
              <w:top w:val="nil"/>
              <w:left w:val="nil"/>
              <w:bottom w:val="nil"/>
              <w:right w:val="nil"/>
            </w:tcBorders>
            <w:shd w:val="clear" w:color="auto" w:fill="auto"/>
            <w:noWrap/>
            <w:vAlign w:val="bottom"/>
            <w:hideMark/>
          </w:tcPr>
          <w:p w14:paraId="2FB2ED0A" w14:textId="77777777" w:rsidR="00416FDD" w:rsidRPr="00DA5F44" w:rsidRDefault="00416FDD" w:rsidP="00416FDD">
            <w:pPr>
              <w:spacing w:after="0" w:line="240" w:lineRule="auto"/>
              <w:rPr>
                <w:rFonts w:ascii="Times New Roman" w:eastAsia="Times New Roman" w:hAnsi="Times New Roman" w:cs="Times New Roman"/>
                <w:sz w:val="20"/>
                <w:szCs w:val="20"/>
                <w:lang w:eastAsia="en-GB"/>
              </w:rPr>
            </w:pPr>
          </w:p>
        </w:tc>
        <w:tc>
          <w:tcPr>
            <w:tcW w:w="1971" w:type="dxa"/>
            <w:tcBorders>
              <w:top w:val="nil"/>
              <w:left w:val="nil"/>
              <w:bottom w:val="nil"/>
              <w:right w:val="nil"/>
            </w:tcBorders>
            <w:shd w:val="clear" w:color="auto" w:fill="auto"/>
            <w:noWrap/>
            <w:vAlign w:val="center"/>
          </w:tcPr>
          <w:p w14:paraId="7E3C68CD" w14:textId="77777777" w:rsidR="00416FDD" w:rsidRPr="00DA5F44" w:rsidRDefault="00456CF6" w:rsidP="00416FDD">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446</w:t>
            </w:r>
          </w:p>
        </w:tc>
        <w:tc>
          <w:tcPr>
            <w:tcW w:w="1547" w:type="dxa"/>
            <w:tcBorders>
              <w:top w:val="nil"/>
              <w:left w:val="nil"/>
              <w:bottom w:val="nil"/>
              <w:right w:val="nil"/>
            </w:tcBorders>
            <w:shd w:val="clear" w:color="auto" w:fill="auto"/>
            <w:noWrap/>
            <w:vAlign w:val="center"/>
            <w:hideMark/>
          </w:tcPr>
          <w:p w14:paraId="6E8D8E4F" w14:textId="77777777" w:rsidR="00416FDD" w:rsidRPr="00416FDD" w:rsidRDefault="00416FDD" w:rsidP="00416FDD">
            <w:pPr>
              <w:spacing w:after="0" w:line="240" w:lineRule="auto"/>
              <w:jc w:val="right"/>
              <w:rPr>
                <w:rFonts w:ascii="Arial" w:eastAsia="Times New Roman" w:hAnsi="Arial" w:cs="Arial"/>
                <w:sz w:val="20"/>
                <w:szCs w:val="20"/>
                <w:lang w:eastAsia="en-GB"/>
              </w:rPr>
            </w:pPr>
            <w:r w:rsidRPr="00416FDD">
              <w:rPr>
                <w:rFonts w:ascii="Arial" w:eastAsia="Times New Roman" w:hAnsi="Arial" w:cs="Arial"/>
                <w:bCs/>
                <w:sz w:val="20"/>
                <w:szCs w:val="20"/>
                <w:lang w:eastAsia="en-GB"/>
              </w:rPr>
              <w:t>436</w:t>
            </w:r>
          </w:p>
        </w:tc>
      </w:tr>
      <w:tr w:rsidR="00416FDD" w:rsidRPr="00DA5F44" w14:paraId="30A77B8E" w14:textId="77777777" w:rsidTr="00697C96">
        <w:trPr>
          <w:trHeight w:val="328"/>
          <w:jc w:val="center"/>
        </w:trPr>
        <w:tc>
          <w:tcPr>
            <w:tcW w:w="5082" w:type="dxa"/>
            <w:tcBorders>
              <w:top w:val="nil"/>
              <w:left w:val="nil"/>
              <w:bottom w:val="nil"/>
              <w:right w:val="nil"/>
            </w:tcBorders>
            <w:shd w:val="clear" w:color="auto" w:fill="auto"/>
            <w:noWrap/>
            <w:vAlign w:val="center"/>
            <w:hideMark/>
          </w:tcPr>
          <w:p w14:paraId="631375C0" w14:textId="77777777" w:rsidR="00416FDD" w:rsidRPr="00DA5F44" w:rsidRDefault="00416FDD" w:rsidP="00416FDD">
            <w:pPr>
              <w:spacing w:after="0" w:line="240" w:lineRule="auto"/>
              <w:rPr>
                <w:rFonts w:ascii="Arial" w:eastAsia="Times New Roman" w:hAnsi="Arial" w:cs="Arial"/>
                <w:sz w:val="20"/>
                <w:szCs w:val="20"/>
                <w:lang w:eastAsia="en-GB"/>
              </w:rPr>
            </w:pPr>
            <w:r w:rsidRPr="00DA5F44">
              <w:rPr>
                <w:rFonts w:ascii="Arial" w:eastAsia="Times New Roman" w:hAnsi="Arial" w:cs="Arial"/>
                <w:sz w:val="20"/>
                <w:szCs w:val="20"/>
                <w:lang w:eastAsia="en-GB"/>
              </w:rPr>
              <w:t>Gilts</w:t>
            </w:r>
          </w:p>
        </w:tc>
        <w:tc>
          <w:tcPr>
            <w:tcW w:w="407" w:type="dxa"/>
            <w:tcBorders>
              <w:top w:val="nil"/>
              <w:left w:val="nil"/>
              <w:bottom w:val="nil"/>
              <w:right w:val="nil"/>
            </w:tcBorders>
            <w:shd w:val="clear" w:color="auto" w:fill="auto"/>
            <w:noWrap/>
            <w:vAlign w:val="bottom"/>
            <w:hideMark/>
          </w:tcPr>
          <w:p w14:paraId="7C9935A4" w14:textId="77777777" w:rsidR="00416FDD" w:rsidRPr="00DA5F44" w:rsidRDefault="00416FDD" w:rsidP="00416FDD">
            <w:pPr>
              <w:spacing w:after="0" w:line="240" w:lineRule="auto"/>
              <w:rPr>
                <w:rFonts w:ascii="Arial" w:eastAsia="Times New Roman" w:hAnsi="Arial" w:cs="Arial"/>
                <w:sz w:val="20"/>
                <w:szCs w:val="20"/>
                <w:lang w:eastAsia="en-GB"/>
              </w:rPr>
            </w:pPr>
          </w:p>
        </w:tc>
        <w:tc>
          <w:tcPr>
            <w:tcW w:w="281" w:type="dxa"/>
            <w:tcBorders>
              <w:top w:val="nil"/>
              <w:left w:val="nil"/>
              <w:bottom w:val="nil"/>
              <w:right w:val="nil"/>
            </w:tcBorders>
            <w:shd w:val="clear" w:color="auto" w:fill="auto"/>
            <w:noWrap/>
            <w:vAlign w:val="bottom"/>
            <w:hideMark/>
          </w:tcPr>
          <w:p w14:paraId="1CABCE30" w14:textId="77777777" w:rsidR="00416FDD" w:rsidRPr="00DA5F44" w:rsidRDefault="00416FDD" w:rsidP="00416FDD">
            <w:pPr>
              <w:spacing w:after="0" w:line="240" w:lineRule="auto"/>
              <w:rPr>
                <w:rFonts w:ascii="Times New Roman" w:eastAsia="Times New Roman" w:hAnsi="Times New Roman" w:cs="Times New Roman"/>
                <w:sz w:val="20"/>
                <w:szCs w:val="20"/>
                <w:lang w:eastAsia="en-GB"/>
              </w:rPr>
            </w:pPr>
          </w:p>
        </w:tc>
        <w:tc>
          <w:tcPr>
            <w:tcW w:w="1971" w:type="dxa"/>
            <w:tcBorders>
              <w:top w:val="nil"/>
              <w:left w:val="nil"/>
              <w:bottom w:val="nil"/>
              <w:right w:val="nil"/>
            </w:tcBorders>
            <w:shd w:val="clear" w:color="auto" w:fill="auto"/>
            <w:noWrap/>
            <w:vAlign w:val="center"/>
          </w:tcPr>
          <w:p w14:paraId="0611D9CA" w14:textId="77777777" w:rsidR="00416FDD" w:rsidRPr="00DA5F44" w:rsidRDefault="007E75AA" w:rsidP="00416FDD">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26</w:t>
            </w:r>
            <w:r w:rsidR="00456CF6">
              <w:rPr>
                <w:rFonts w:ascii="Arial" w:eastAsia="Times New Roman" w:hAnsi="Arial" w:cs="Arial"/>
                <w:b/>
                <w:bCs/>
                <w:sz w:val="20"/>
                <w:szCs w:val="20"/>
                <w:lang w:eastAsia="en-GB"/>
              </w:rPr>
              <w:t>7</w:t>
            </w:r>
          </w:p>
        </w:tc>
        <w:tc>
          <w:tcPr>
            <w:tcW w:w="1547" w:type="dxa"/>
            <w:tcBorders>
              <w:top w:val="nil"/>
              <w:left w:val="nil"/>
              <w:bottom w:val="nil"/>
              <w:right w:val="nil"/>
            </w:tcBorders>
            <w:shd w:val="clear" w:color="auto" w:fill="auto"/>
            <w:noWrap/>
            <w:vAlign w:val="center"/>
            <w:hideMark/>
          </w:tcPr>
          <w:p w14:paraId="75DCBF65" w14:textId="77777777" w:rsidR="00416FDD" w:rsidRPr="00416FDD" w:rsidRDefault="00416FDD" w:rsidP="00416FDD">
            <w:pPr>
              <w:spacing w:after="0" w:line="240" w:lineRule="auto"/>
              <w:jc w:val="right"/>
              <w:rPr>
                <w:rFonts w:ascii="Arial" w:eastAsia="Times New Roman" w:hAnsi="Arial" w:cs="Arial"/>
                <w:sz w:val="20"/>
                <w:szCs w:val="20"/>
                <w:lang w:eastAsia="en-GB"/>
              </w:rPr>
            </w:pPr>
            <w:r w:rsidRPr="00416FDD">
              <w:rPr>
                <w:rFonts w:ascii="Arial" w:eastAsia="Times New Roman" w:hAnsi="Arial" w:cs="Arial"/>
                <w:bCs/>
                <w:sz w:val="20"/>
                <w:szCs w:val="20"/>
                <w:lang w:eastAsia="en-GB"/>
              </w:rPr>
              <w:t>223</w:t>
            </w:r>
          </w:p>
        </w:tc>
      </w:tr>
      <w:tr w:rsidR="00416FDD" w:rsidRPr="00DA5F44" w14:paraId="0428D934" w14:textId="77777777" w:rsidTr="00697C96">
        <w:trPr>
          <w:trHeight w:val="328"/>
          <w:jc w:val="center"/>
        </w:trPr>
        <w:tc>
          <w:tcPr>
            <w:tcW w:w="5082" w:type="dxa"/>
            <w:tcBorders>
              <w:top w:val="nil"/>
              <w:left w:val="nil"/>
              <w:bottom w:val="nil"/>
              <w:right w:val="nil"/>
            </w:tcBorders>
            <w:shd w:val="clear" w:color="auto" w:fill="auto"/>
            <w:noWrap/>
            <w:vAlign w:val="center"/>
            <w:hideMark/>
          </w:tcPr>
          <w:p w14:paraId="243BC5CA" w14:textId="77777777" w:rsidR="00416FDD" w:rsidRPr="00DA5F44" w:rsidRDefault="00416FDD" w:rsidP="00416FDD">
            <w:pPr>
              <w:spacing w:after="0" w:line="240" w:lineRule="auto"/>
              <w:rPr>
                <w:rFonts w:ascii="Arial" w:eastAsia="Times New Roman" w:hAnsi="Arial" w:cs="Arial"/>
                <w:sz w:val="20"/>
                <w:szCs w:val="20"/>
                <w:lang w:eastAsia="en-GB"/>
              </w:rPr>
            </w:pPr>
            <w:r w:rsidRPr="00DA5F44">
              <w:rPr>
                <w:rFonts w:ascii="Arial" w:eastAsia="Times New Roman" w:hAnsi="Arial" w:cs="Arial"/>
                <w:sz w:val="20"/>
                <w:szCs w:val="20"/>
                <w:lang w:eastAsia="en-GB"/>
              </w:rPr>
              <w:t>Property</w:t>
            </w:r>
          </w:p>
        </w:tc>
        <w:tc>
          <w:tcPr>
            <w:tcW w:w="407" w:type="dxa"/>
            <w:tcBorders>
              <w:top w:val="nil"/>
              <w:left w:val="nil"/>
              <w:bottom w:val="nil"/>
              <w:right w:val="nil"/>
            </w:tcBorders>
            <w:shd w:val="clear" w:color="auto" w:fill="auto"/>
            <w:noWrap/>
            <w:vAlign w:val="bottom"/>
            <w:hideMark/>
          </w:tcPr>
          <w:p w14:paraId="241F89A3" w14:textId="77777777" w:rsidR="00416FDD" w:rsidRPr="00DA5F44" w:rsidRDefault="00416FDD" w:rsidP="00416FDD">
            <w:pPr>
              <w:spacing w:after="0" w:line="240" w:lineRule="auto"/>
              <w:rPr>
                <w:rFonts w:ascii="Arial" w:eastAsia="Times New Roman" w:hAnsi="Arial" w:cs="Arial"/>
                <w:sz w:val="20"/>
                <w:szCs w:val="20"/>
                <w:lang w:eastAsia="en-GB"/>
              </w:rPr>
            </w:pPr>
          </w:p>
        </w:tc>
        <w:tc>
          <w:tcPr>
            <w:tcW w:w="281" w:type="dxa"/>
            <w:tcBorders>
              <w:top w:val="nil"/>
              <w:left w:val="nil"/>
              <w:bottom w:val="nil"/>
              <w:right w:val="nil"/>
            </w:tcBorders>
            <w:shd w:val="clear" w:color="auto" w:fill="auto"/>
            <w:noWrap/>
            <w:vAlign w:val="bottom"/>
            <w:hideMark/>
          </w:tcPr>
          <w:p w14:paraId="68EFEEFB" w14:textId="77777777" w:rsidR="00416FDD" w:rsidRPr="00DA5F44" w:rsidRDefault="00416FDD" w:rsidP="00416FDD">
            <w:pPr>
              <w:spacing w:after="0" w:line="240" w:lineRule="auto"/>
              <w:rPr>
                <w:rFonts w:ascii="Times New Roman" w:eastAsia="Times New Roman" w:hAnsi="Times New Roman" w:cs="Times New Roman"/>
                <w:sz w:val="20"/>
                <w:szCs w:val="20"/>
                <w:lang w:eastAsia="en-GB"/>
              </w:rPr>
            </w:pPr>
          </w:p>
        </w:tc>
        <w:tc>
          <w:tcPr>
            <w:tcW w:w="1971" w:type="dxa"/>
            <w:tcBorders>
              <w:top w:val="nil"/>
              <w:left w:val="nil"/>
              <w:bottom w:val="nil"/>
              <w:right w:val="nil"/>
            </w:tcBorders>
            <w:shd w:val="clear" w:color="auto" w:fill="auto"/>
            <w:noWrap/>
            <w:vAlign w:val="center"/>
          </w:tcPr>
          <w:p w14:paraId="57AFF8EF" w14:textId="77777777" w:rsidR="00416FDD" w:rsidRPr="00DA5F44" w:rsidRDefault="00456CF6" w:rsidP="00416FDD">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255</w:t>
            </w:r>
          </w:p>
        </w:tc>
        <w:tc>
          <w:tcPr>
            <w:tcW w:w="1547" w:type="dxa"/>
            <w:tcBorders>
              <w:top w:val="nil"/>
              <w:left w:val="nil"/>
              <w:bottom w:val="nil"/>
              <w:right w:val="nil"/>
            </w:tcBorders>
            <w:shd w:val="clear" w:color="auto" w:fill="auto"/>
            <w:noWrap/>
            <w:vAlign w:val="center"/>
            <w:hideMark/>
          </w:tcPr>
          <w:p w14:paraId="14EDDC4B" w14:textId="77777777" w:rsidR="00416FDD" w:rsidRPr="00416FDD" w:rsidRDefault="00416FDD" w:rsidP="00416FDD">
            <w:pPr>
              <w:spacing w:after="0" w:line="240" w:lineRule="auto"/>
              <w:jc w:val="right"/>
              <w:rPr>
                <w:rFonts w:ascii="Arial" w:eastAsia="Times New Roman" w:hAnsi="Arial" w:cs="Arial"/>
                <w:sz w:val="20"/>
                <w:szCs w:val="20"/>
                <w:lang w:eastAsia="en-GB"/>
              </w:rPr>
            </w:pPr>
            <w:r w:rsidRPr="00416FDD">
              <w:rPr>
                <w:rFonts w:ascii="Arial" w:eastAsia="Times New Roman" w:hAnsi="Arial" w:cs="Arial"/>
                <w:bCs/>
                <w:sz w:val="20"/>
                <w:szCs w:val="20"/>
                <w:lang w:eastAsia="en-GB"/>
              </w:rPr>
              <w:t>266</w:t>
            </w:r>
          </w:p>
        </w:tc>
      </w:tr>
      <w:tr w:rsidR="00416FDD" w:rsidRPr="00DA5F44" w14:paraId="46749F0D" w14:textId="77777777" w:rsidTr="00697C96">
        <w:trPr>
          <w:trHeight w:val="328"/>
          <w:jc w:val="center"/>
        </w:trPr>
        <w:tc>
          <w:tcPr>
            <w:tcW w:w="5082" w:type="dxa"/>
            <w:tcBorders>
              <w:top w:val="nil"/>
              <w:left w:val="nil"/>
              <w:bottom w:val="nil"/>
              <w:right w:val="nil"/>
            </w:tcBorders>
            <w:shd w:val="clear" w:color="auto" w:fill="auto"/>
            <w:noWrap/>
            <w:vAlign w:val="center"/>
            <w:hideMark/>
          </w:tcPr>
          <w:p w14:paraId="2E215CF5" w14:textId="77777777" w:rsidR="00416FDD" w:rsidRPr="00DA5F44" w:rsidRDefault="00416FDD" w:rsidP="00416FDD">
            <w:pPr>
              <w:spacing w:after="0" w:line="240" w:lineRule="auto"/>
              <w:rPr>
                <w:rFonts w:ascii="Arial" w:eastAsia="Times New Roman" w:hAnsi="Arial" w:cs="Arial"/>
                <w:sz w:val="20"/>
                <w:szCs w:val="20"/>
                <w:lang w:eastAsia="en-GB"/>
              </w:rPr>
            </w:pPr>
            <w:r w:rsidRPr="00DA5F44">
              <w:rPr>
                <w:rFonts w:ascii="Arial" w:eastAsia="Times New Roman" w:hAnsi="Arial" w:cs="Arial"/>
                <w:sz w:val="20"/>
                <w:szCs w:val="20"/>
                <w:lang w:eastAsia="en-GB"/>
              </w:rPr>
              <w:t>Cash</w:t>
            </w:r>
          </w:p>
        </w:tc>
        <w:tc>
          <w:tcPr>
            <w:tcW w:w="407" w:type="dxa"/>
            <w:tcBorders>
              <w:top w:val="nil"/>
              <w:left w:val="nil"/>
              <w:bottom w:val="nil"/>
              <w:right w:val="nil"/>
            </w:tcBorders>
            <w:shd w:val="clear" w:color="auto" w:fill="auto"/>
            <w:noWrap/>
            <w:vAlign w:val="bottom"/>
            <w:hideMark/>
          </w:tcPr>
          <w:p w14:paraId="50F7FE44" w14:textId="77777777" w:rsidR="00416FDD" w:rsidRPr="00DA5F44" w:rsidRDefault="00416FDD" w:rsidP="00416FDD">
            <w:pPr>
              <w:spacing w:after="0" w:line="240" w:lineRule="auto"/>
              <w:rPr>
                <w:rFonts w:ascii="Arial" w:eastAsia="Times New Roman" w:hAnsi="Arial" w:cs="Arial"/>
                <w:sz w:val="20"/>
                <w:szCs w:val="20"/>
                <w:lang w:eastAsia="en-GB"/>
              </w:rPr>
            </w:pPr>
          </w:p>
        </w:tc>
        <w:tc>
          <w:tcPr>
            <w:tcW w:w="281" w:type="dxa"/>
            <w:tcBorders>
              <w:top w:val="nil"/>
              <w:left w:val="nil"/>
              <w:bottom w:val="nil"/>
              <w:right w:val="nil"/>
            </w:tcBorders>
            <w:shd w:val="clear" w:color="auto" w:fill="auto"/>
            <w:noWrap/>
            <w:vAlign w:val="bottom"/>
            <w:hideMark/>
          </w:tcPr>
          <w:p w14:paraId="54E259AF" w14:textId="77777777" w:rsidR="00416FDD" w:rsidRPr="00543D10" w:rsidRDefault="00416FDD" w:rsidP="00416FDD">
            <w:pPr>
              <w:spacing w:after="0" w:line="240" w:lineRule="auto"/>
              <w:rPr>
                <w:rFonts w:ascii="Times New Roman" w:eastAsia="Times New Roman" w:hAnsi="Times New Roman" w:cs="Times New Roman"/>
                <w:sz w:val="20"/>
                <w:szCs w:val="20"/>
                <w:lang w:eastAsia="en-GB"/>
              </w:rPr>
            </w:pPr>
          </w:p>
        </w:tc>
        <w:tc>
          <w:tcPr>
            <w:tcW w:w="1971" w:type="dxa"/>
            <w:tcBorders>
              <w:top w:val="nil"/>
              <w:left w:val="nil"/>
              <w:bottom w:val="nil"/>
              <w:right w:val="nil"/>
            </w:tcBorders>
            <w:shd w:val="clear" w:color="auto" w:fill="auto"/>
            <w:noWrap/>
            <w:vAlign w:val="center"/>
          </w:tcPr>
          <w:p w14:paraId="0A976665" w14:textId="77777777" w:rsidR="00416FDD" w:rsidRPr="00543D10" w:rsidRDefault="00456CF6" w:rsidP="00416FDD">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109</w:t>
            </w:r>
          </w:p>
        </w:tc>
        <w:tc>
          <w:tcPr>
            <w:tcW w:w="1547" w:type="dxa"/>
            <w:tcBorders>
              <w:top w:val="nil"/>
              <w:left w:val="nil"/>
              <w:bottom w:val="nil"/>
              <w:right w:val="nil"/>
            </w:tcBorders>
            <w:shd w:val="clear" w:color="auto" w:fill="auto"/>
            <w:noWrap/>
            <w:vAlign w:val="center"/>
            <w:hideMark/>
          </w:tcPr>
          <w:p w14:paraId="6D3FDFAB" w14:textId="77777777" w:rsidR="00416FDD" w:rsidRPr="00416FDD" w:rsidRDefault="00416FDD" w:rsidP="00416FDD">
            <w:pPr>
              <w:spacing w:after="0" w:line="240" w:lineRule="auto"/>
              <w:jc w:val="right"/>
              <w:rPr>
                <w:rFonts w:ascii="Arial" w:eastAsia="Times New Roman" w:hAnsi="Arial" w:cs="Arial"/>
                <w:sz w:val="20"/>
                <w:szCs w:val="20"/>
                <w:lang w:eastAsia="en-GB"/>
              </w:rPr>
            </w:pPr>
            <w:r w:rsidRPr="00416FDD">
              <w:rPr>
                <w:rFonts w:ascii="Arial" w:eastAsia="Times New Roman" w:hAnsi="Arial" w:cs="Arial"/>
                <w:bCs/>
                <w:sz w:val="20"/>
                <w:szCs w:val="20"/>
                <w:lang w:eastAsia="en-GB"/>
              </w:rPr>
              <w:t>98</w:t>
            </w:r>
          </w:p>
        </w:tc>
      </w:tr>
      <w:tr w:rsidR="00416FDD" w:rsidRPr="00DA5F44" w14:paraId="37AB04BD" w14:textId="77777777" w:rsidTr="00697C96">
        <w:trPr>
          <w:trHeight w:val="328"/>
          <w:jc w:val="center"/>
        </w:trPr>
        <w:tc>
          <w:tcPr>
            <w:tcW w:w="5082" w:type="dxa"/>
            <w:tcBorders>
              <w:top w:val="nil"/>
              <w:left w:val="nil"/>
              <w:bottom w:val="single" w:sz="4" w:space="0" w:color="auto"/>
              <w:right w:val="nil"/>
            </w:tcBorders>
            <w:shd w:val="clear" w:color="auto" w:fill="auto"/>
            <w:noWrap/>
            <w:vAlign w:val="center"/>
            <w:hideMark/>
          </w:tcPr>
          <w:p w14:paraId="0306A05A" w14:textId="77777777" w:rsidR="00416FDD" w:rsidRPr="00DA5F44" w:rsidRDefault="00416FDD" w:rsidP="00416FDD">
            <w:pPr>
              <w:spacing w:after="0" w:line="240" w:lineRule="auto"/>
              <w:rPr>
                <w:rFonts w:ascii="Arial" w:eastAsia="Times New Roman" w:hAnsi="Arial" w:cs="Arial"/>
                <w:sz w:val="20"/>
                <w:szCs w:val="20"/>
                <w:lang w:eastAsia="en-GB"/>
              </w:rPr>
            </w:pPr>
            <w:r w:rsidRPr="00DA5F44">
              <w:rPr>
                <w:rFonts w:ascii="Arial" w:eastAsia="Times New Roman" w:hAnsi="Arial" w:cs="Arial"/>
                <w:sz w:val="20"/>
                <w:szCs w:val="20"/>
                <w:lang w:eastAsia="en-GB"/>
              </w:rPr>
              <w:t>Other</w:t>
            </w:r>
          </w:p>
        </w:tc>
        <w:tc>
          <w:tcPr>
            <w:tcW w:w="407" w:type="dxa"/>
            <w:tcBorders>
              <w:top w:val="nil"/>
              <w:left w:val="nil"/>
              <w:bottom w:val="single" w:sz="4" w:space="0" w:color="auto"/>
              <w:right w:val="nil"/>
            </w:tcBorders>
            <w:shd w:val="clear" w:color="auto" w:fill="auto"/>
            <w:noWrap/>
            <w:vAlign w:val="bottom"/>
            <w:hideMark/>
          </w:tcPr>
          <w:p w14:paraId="30423C04" w14:textId="77777777" w:rsidR="00416FDD" w:rsidRPr="00DA5F44" w:rsidRDefault="00416FDD" w:rsidP="00416FDD">
            <w:pPr>
              <w:spacing w:after="0" w:line="240" w:lineRule="auto"/>
              <w:rPr>
                <w:rFonts w:ascii="Arial" w:eastAsia="Times New Roman" w:hAnsi="Arial" w:cs="Arial"/>
                <w:sz w:val="20"/>
                <w:szCs w:val="20"/>
                <w:lang w:eastAsia="en-GB"/>
              </w:rPr>
            </w:pPr>
            <w:r w:rsidRPr="00DA5F44">
              <w:rPr>
                <w:rFonts w:ascii="Arial" w:eastAsia="Times New Roman" w:hAnsi="Arial" w:cs="Arial"/>
                <w:sz w:val="20"/>
                <w:szCs w:val="20"/>
                <w:lang w:eastAsia="en-GB"/>
              </w:rPr>
              <w:t> </w:t>
            </w:r>
          </w:p>
        </w:tc>
        <w:tc>
          <w:tcPr>
            <w:tcW w:w="281" w:type="dxa"/>
            <w:tcBorders>
              <w:top w:val="nil"/>
              <w:left w:val="nil"/>
              <w:bottom w:val="single" w:sz="4" w:space="0" w:color="auto"/>
              <w:right w:val="nil"/>
            </w:tcBorders>
            <w:shd w:val="clear" w:color="auto" w:fill="auto"/>
            <w:noWrap/>
            <w:vAlign w:val="bottom"/>
            <w:hideMark/>
          </w:tcPr>
          <w:p w14:paraId="78053C72" w14:textId="77777777" w:rsidR="00416FDD" w:rsidRPr="00543D10" w:rsidRDefault="00416FDD" w:rsidP="00416FDD">
            <w:pPr>
              <w:spacing w:after="0" w:line="240" w:lineRule="auto"/>
              <w:rPr>
                <w:rFonts w:ascii="Arial" w:eastAsia="Times New Roman" w:hAnsi="Arial" w:cs="Arial"/>
                <w:sz w:val="20"/>
                <w:szCs w:val="20"/>
                <w:lang w:eastAsia="en-GB"/>
              </w:rPr>
            </w:pPr>
            <w:r w:rsidRPr="00543D10">
              <w:rPr>
                <w:rFonts w:ascii="Arial" w:eastAsia="Times New Roman" w:hAnsi="Arial" w:cs="Arial"/>
                <w:sz w:val="20"/>
                <w:szCs w:val="20"/>
                <w:lang w:eastAsia="en-GB"/>
              </w:rPr>
              <w:t> </w:t>
            </w:r>
          </w:p>
        </w:tc>
        <w:tc>
          <w:tcPr>
            <w:tcW w:w="1971" w:type="dxa"/>
            <w:tcBorders>
              <w:top w:val="nil"/>
              <w:left w:val="nil"/>
              <w:bottom w:val="single" w:sz="4" w:space="0" w:color="auto"/>
              <w:right w:val="nil"/>
            </w:tcBorders>
            <w:shd w:val="clear" w:color="auto" w:fill="auto"/>
            <w:noWrap/>
            <w:vAlign w:val="center"/>
          </w:tcPr>
          <w:p w14:paraId="7BECCDD5" w14:textId="77777777" w:rsidR="00416FDD" w:rsidRPr="00543D10" w:rsidRDefault="00456CF6" w:rsidP="00416FDD">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519</w:t>
            </w:r>
          </w:p>
        </w:tc>
        <w:tc>
          <w:tcPr>
            <w:tcW w:w="1547" w:type="dxa"/>
            <w:tcBorders>
              <w:top w:val="nil"/>
              <w:left w:val="nil"/>
              <w:bottom w:val="single" w:sz="4" w:space="0" w:color="auto"/>
              <w:right w:val="nil"/>
            </w:tcBorders>
            <w:shd w:val="clear" w:color="auto" w:fill="auto"/>
            <w:noWrap/>
            <w:vAlign w:val="center"/>
            <w:hideMark/>
          </w:tcPr>
          <w:p w14:paraId="46A15E4A" w14:textId="77777777" w:rsidR="00416FDD" w:rsidRPr="00416FDD" w:rsidRDefault="00416FDD" w:rsidP="00416FDD">
            <w:pPr>
              <w:spacing w:after="0" w:line="240" w:lineRule="auto"/>
              <w:jc w:val="right"/>
              <w:rPr>
                <w:rFonts w:ascii="Arial" w:eastAsia="Times New Roman" w:hAnsi="Arial" w:cs="Arial"/>
                <w:sz w:val="20"/>
                <w:szCs w:val="20"/>
                <w:lang w:eastAsia="en-GB"/>
              </w:rPr>
            </w:pPr>
            <w:r w:rsidRPr="00416FDD">
              <w:rPr>
                <w:rFonts w:ascii="Arial" w:eastAsia="Times New Roman" w:hAnsi="Arial" w:cs="Arial"/>
                <w:bCs/>
                <w:sz w:val="20"/>
                <w:szCs w:val="20"/>
                <w:lang w:eastAsia="en-GB"/>
              </w:rPr>
              <w:t>433</w:t>
            </w:r>
          </w:p>
        </w:tc>
      </w:tr>
      <w:tr w:rsidR="00416FDD" w:rsidRPr="00DA5F44" w14:paraId="74A76B3D" w14:textId="77777777" w:rsidTr="00697C96">
        <w:trPr>
          <w:trHeight w:val="328"/>
          <w:jc w:val="center"/>
        </w:trPr>
        <w:tc>
          <w:tcPr>
            <w:tcW w:w="5082" w:type="dxa"/>
            <w:tcBorders>
              <w:top w:val="nil"/>
              <w:left w:val="nil"/>
              <w:bottom w:val="nil"/>
              <w:right w:val="nil"/>
            </w:tcBorders>
            <w:shd w:val="clear" w:color="auto" w:fill="auto"/>
            <w:noWrap/>
            <w:vAlign w:val="center"/>
            <w:hideMark/>
          </w:tcPr>
          <w:p w14:paraId="36E1A7EB" w14:textId="77777777" w:rsidR="00416FDD" w:rsidRPr="00DA5F44" w:rsidRDefault="00416FDD" w:rsidP="00416FDD">
            <w:pPr>
              <w:spacing w:after="0" w:line="240" w:lineRule="auto"/>
              <w:rPr>
                <w:rFonts w:ascii="Arial" w:eastAsia="Times New Roman" w:hAnsi="Arial" w:cs="Arial"/>
                <w:sz w:val="20"/>
                <w:szCs w:val="20"/>
                <w:lang w:eastAsia="en-GB"/>
              </w:rPr>
            </w:pPr>
            <w:r w:rsidRPr="00DA5F44">
              <w:rPr>
                <w:rFonts w:ascii="Arial" w:eastAsia="Times New Roman" w:hAnsi="Arial" w:cs="Arial"/>
                <w:sz w:val="20"/>
                <w:szCs w:val="20"/>
                <w:lang w:eastAsia="en-GB"/>
              </w:rPr>
              <w:t>Total market value of assets</w:t>
            </w:r>
          </w:p>
        </w:tc>
        <w:tc>
          <w:tcPr>
            <w:tcW w:w="407" w:type="dxa"/>
            <w:tcBorders>
              <w:top w:val="nil"/>
              <w:left w:val="nil"/>
              <w:bottom w:val="nil"/>
              <w:right w:val="nil"/>
            </w:tcBorders>
            <w:shd w:val="clear" w:color="auto" w:fill="auto"/>
            <w:noWrap/>
            <w:vAlign w:val="bottom"/>
            <w:hideMark/>
          </w:tcPr>
          <w:p w14:paraId="09F3B35F" w14:textId="77777777" w:rsidR="00416FDD" w:rsidRPr="00DA5F44" w:rsidRDefault="00416FDD" w:rsidP="00416FDD">
            <w:pPr>
              <w:spacing w:after="0" w:line="240" w:lineRule="auto"/>
              <w:rPr>
                <w:rFonts w:ascii="Arial" w:eastAsia="Times New Roman" w:hAnsi="Arial" w:cs="Arial"/>
                <w:sz w:val="20"/>
                <w:szCs w:val="20"/>
                <w:lang w:eastAsia="en-GB"/>
              </w:rPr>
            </w:pPr>
          </w:p>
        </w:tc>
        <w:tc>
          <w:tcPr>
            <w:tcW w:w="281" w:type="dxa"/>
            <w:tcBorders>
              <w:top w:val="nil"/>
              <w:left w:val="nil"/>
              <w:bottom w:val="nil"/>
              <w:right w:val="nil"/>
            </w:tcBorders>
            <w:shd w:val="clear" w:color="auto" w:fill="auto"/>
            <w:noWrap/>
            <w:vAlign w:val="center"/>
            <w:hideMark/>
          </w:tcPr>
          <w:p w14:paraId="6535048C" w14:textId="77777777" w:rsidR="00416FDD" w:rsidRPr="00543D10" w:rsidRDefault="00416FDD" w:rsidP="00416FDD">
            <w:pPr>
              <w:spacing w:after="0" w:line="240" w:lineRule="auto"/>
              <w:rPr>
                <w:rFonts w:ascii="Times New Roman" w:eastAsia="Times New Roman" w:hAnsi="Times New Roman" w:cs="Times New Roman"/>
                <w:sz w:val="20"/>
                <w:szCs w:val="20"/>
                <w:lang w:eastAsia="en-GB"/>
              </w:rPr>
            </w:pPr>
          </w:p>
        </w:tc>
        <w:tc>
          <w:tcPr>
            <w:tcW w:w="1971" w:type="dxa"/>
            <w:tcBorders>
              <w:top w:val="nil"/>
              <w:left w:val="nil"/>
              <w:bottom w:val="nil"/>
              <w:right w:val="nil"/>
            </w:tcBorders>
            <w:shd w:val="clear" w:color="auto" w:fill="auto"/>
            <w:noWrap/>
            <w:vAlign w:val="center"/>
          </w:tcPr>
          <w:p w14:paraId="3DFC622D" w14:textId="77777777" w:rsidR="00416FDD" w:rsidRPr="00543D10" w:rsidRDefault="00456CF6" w:rsidP="00416FDD">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3,037</w:t>
            </w:r>
          </w:p>
        </w:tc>
        <w:tc>
          <w:tcPr>
            <w:tcW w:w="1547" w:type="dxa"/>
            <w:tcBorders>
              <w:top w:val="nil"/>
              <w:left w:val="nil"/>
              <w:bottom w:val="nil"/>
              <w:right w:val="nil"/>
            </w:tcBorders>
            <w:shd w:val="clear" w:color="auto" w:fill="auto"/>
            <w:noWrap/>
            <w:vAlign w:val="center"/>
            <w:hideMark/>
          </w:tcPr>
          <w:p w14:paraId="164F20BB" w14:textId="77777777" w:rsidR="00416FDD" w:rsidRPr="00416FDD" w:rsidRDefault="00416FDD" w:rsidP="00416FDD">
            <w:pPr>
              <w:spacing w:after="0" w:line="240" w:lineRule="auto"/>
              <w:jc w:val="right"/>
              <w:rPr>
                <w:rFonts w:ascii="Arial" w:eastAsia="Times New Roman" w:hAnsi="Arial" w:cs="Arial"/>
                <w:sz w:val="20"/>
                <w:szCs w:val="20"/>
                <w:lang w:eastAsia="en-GB"/>
              </w:rPr>
            </w:pPr>
            <w:r w:rsidRPr="00416FDD">
              <w:rPr>
                <w:rFonts w:ascii="Arial" w:eastAsia="Times New Roman" w:hAnsi="Arial" w:cs="Arial"/>
                <w:bCs/>
                <w:sz w:val="20"/>
                <w:szCs w:val="20"/>
                <w:lang w:eastAsia="en-GB"/>
              </w:rPr>
              <w:t>3,052</w:t>
            </w:r>
          </w:p>
        </w:tc>
      </w:tr>
      <w:tr w:rsidR="00416FDD" w:rsidRPr="00DA5F44" w14:paraId="15A7B843" w14:textId="77777777" w:rsidTr="00697C96">
        <w:trPr>
          <w:trHeight w:val="328"/>
          <w:jc w:val="center"/>
        </w:trPr>
        <w:tc>
          <w:tcPr>
            <w:tcW w:w="5082" w:type="dxa"/>
            <w:tcBorders>
              <w:top w:val="nil"/>
              <w:left w:val="nil"/>
              <w:bottom w:val="nil"/>
              <w:right w:val="nil"/>
            </w:tcBorders>
            <w:shd w:val="clear" w:color="auto" w:fill="auto"/>
            <w:noWrap/>
            <w:vAlign w:val="center"/>
            <w:hideMark/>
          </w:tcPr>
          <w:p w14:paraId="55CA0409" w14:textId="77777777" w:rsidR="00416FDD" w:rsidRPr="00DA5F44" w:rsidRDefault="00416FDD" w:rsidP="00416FDD">
            <w:pPr>
              <w:spacing w:after="0" w:line="240" w:lineRule="auto"/>
              <w:rPr>
                <w:rFonts w:ascii="Arial" w:eastAsia="Times New Roman" w:hAnsi="Arial" w:cs="Arial"/>
                <w:sz w:val="20"/>
                <w:szCs w:val="20"/>
                <w:lang w:eastAsia="en-GB"/>
              </w:rPr>
            </w:pPr>
            <w:r w:rsidRPr="00DA5F44">
              <w:rPr>
                <w:rFonts w:ascii="Arial" w:eastAsia="Times New Roman" w:hAnsi="Arial" w:cs="Arial"/>
                <w:sz w:val="20"/>
                <w:szCs w:val="20"/>
                <w:lang w:eastAsia="en-GB"/>
              </w:rPr>
              <w:t>Present value of scheme liabilities</w:t>
            </w:r>
          </w:p>
        </w:tc>
        <w:tc>
          <w:tcPr>
            <w:tcW w:w="407" w:type="dxa"/>
            <w:tcBorders>
              <w:top w:val="nil"/>
              <w:left w:val="nil"/>
              <w:bottom w:val="nil"/>
              <w:right w:val="nil"/>
            </w:tcBorders>
            <w:shd w:val="clear" w:color="auto" w:fill="auto"/>
            <w:noWrap/>
            <w:vAlign w:val="bottom"/>
            <w:hideMark/>
          </w:tcPr>
          <w:p w14:paraId="4209B74B" w14:textId="77777777" w:rsidR="00416FDD" w:rsidRPr="00DA5F44" w:rsidRDefault="00416FDD" w:rsidP="00416FDD">
            <w:pPr>
              <w:spacing w:after="0" w:line="240" w:lineRule="auto"/>
              <w:rPr>
                <w:rFonts w:ascii="Arial" w:eastAsia="Times New Roman" w:hAnsi="Arial" w:cs="Arial"/>
                <w:sz w:val="20"/>
                <w:szCs w:val="20"/>
                <w:lang w:eastAsia="en-GB"/>
              </w:rPr>
            </w:pPr>
          </w:p>
        </w:tc>
        <w:tc>
          <w:tcPr>
            <w:tcW w:w="281" w:type="dxa"/>
            <w:tcBorders>
              <w:top w:val="nil"/>
              <w:left w:val="nil"/>
              <w:bottom w:val="nil"/>
              <w:right w:val="nil"/>
            </w:tcBorders>
            <w:shd w:val="clear" w:color="auto" w:fill="auto"/>
            <w:noWrap/>
            <w:vAlign w:val="center"/>
            <w:hideMark/>
          </w:tcPr>
          <w:p w14:paraId="09C992EA" w14:textId="77777777" w:rsidR="00416FDD" w:rsidRPr="00543D10" w:rsidRDefault="00416FDD" w:rsidP="00416FDD">
            <w:pPr>
              <w:spacing w:after="0" w:line="240" w:lineRule="auto"/>
              <w:rPr>
                <w:rFonts w:ascii="Times New Roman" w:eastAsia="Times New Roman" w:hAnsi="Times New Roman" w:cs="Times New Roman"/>
                <w:sz w:val="20"/>
                <w:szCs w:val="20"/>
                <w:lang w:eastAsia="en-GB"/>
              </w:rPr>
            </w:pPr>
          </w:p>
        </w:tc>
        <w:tc>
          <w:tcPr>
            <w:tcW w:w="1971" w:type="dxa"/>
            <w:tcBorders>
              <w:top w:val="nil"/>
              <w:left w:val="nil"/>
              <w:bottom w:val="nil"/>
              <w:right w:val="nil"/>
            </w:tcBorders>
            <w:shd w:val="clear" w:color="auto" w:fill="auto"/>
            <w:noWrap/>
            <w:vAlign w:val="center"/>
          </w:tcPr>
          <w:p w14:paraId="1515C63F" w14:textId="77777777" w:rsidR="00416FDD" w:rsidRPr="00543D10" w:rsidRDefault="00456CF6" w:rsidP="00416FDD">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(3,093)</w:t>
            </w:r>
          </w:p>
        </w:tc>
        <w:tc>
          <w:tcPr>
            <w:tcW w:w="1547" w:type="dxa"/>
            <w:tcBorders>
              <w:top w:val="nil"/>
              <w:left w:val="nil"/>
              <w:bottom w:val="nil"/>
              <w:right w:val="nil"/>
            </w:tcBorders>
            <w:shd w:val="clear" w:color="auto" w:fill="auto"/>
            <w:noWrap/>
            <w:vAlign w:val="center"/>
            <w:hideMark/>
          </w:tcPr>
          <w:p w14:paraId="7F630AF1" w14:textId="77777777" w:rsidR="00416FDD" w:rsidRPr="00416FDD" w:rsidRDefault="00416FDD" w:rsidP="00416FDD">
            <w:pPr>
              <w:spacing w:after="0" w:line="240" w:lineRule="auto"/>
              <w:jc w:val="right"/>
              <w:rPr>
                <w:rFonts w:ascii="Arial" w:eastAsia="Times New Roman" w:hAnsi="Arial" w:cs="Arial"/>
                <w:sz w:val="20"/>
                <w:szCs w:val="20"/>
                <w:lang w:eastAsia="en-GB"/>
              </w:rPr>
            </w:pPr>
            <w:r w:rsidRPr="00416FDD">
              <w:rPr>
                <w:rFonts w:ascii="Arial" w:eastAsia="Times New Roman" w:hAnsi="Arial" w:cs="Arial"/>
                <w:bCs/>
                <w:sz w:val="20"/>
                <w:szCs w:val="20"/>
                <w:lang w:eastAsia="en-GB"/>
              </w:rPr>
              <w:t>(3,072)</w:t>
            </w:r>
          </w:p>
        </w:tc>
      </w:tr>
      <w:tr w:rsidR="00416FDD" w:rsidRPr="00DA5F44" w14:paraId="22D82F72" w14:textId="77777777" w:rsidTr="00697C96">
        <w:trPr>
          <w:trHeight w:val="328"/>
          <w:jc w:val="center"/>
        </w:trPr>
        <w:tc>
          <w:tcPr>
            <w:tcW w:w="5082" w:type="dxa"/>
            <w:tcBorders>
              <w:top w:val="single" w:sz="4" w:space="0" w:color="auto"/>
              <w:left w:val="nil"/>
              <w:bottom w:val="single" w:sz="4" w:space="0" w:color="auto"/>
              <w:right w:val="nil"/>
            </w:tcBorders>
            <w:shd w:val="clear" w:color="auto" w:fill="auto"/>
            <w:noWrap/>
            <w:vAlign w:val="center"/>
            <w:hideMark/>
          </w:tcPr>
          <w:p w14:paraId="5E54ADCB" w14:textId="77777777" w:rsidR="00416FDD" w:rsidRPr="00DA5F44" w:rsidRDefault="00416FDD" w:rsidP="0069798A">
            <w:pPr>
              <w:spacing w:after="0" w:line="240" w:lineRule="auto"/>
              <w:rPr>
                <w:rFonts w:ascii="Arial" w:eastAsia="Times New Roman" w:hAnsi="Arial" w:cs="Arial"/>
                <w:sz w:val="20"/>
                <w:szCs w:val="20"/>
                <w:lang w:eastAsia="en-GB"/>
              </w:rPr>
            </w:pPr>
            <w:r w:rsidRPr="00DA5F44">
              <w:rPr>
                <w:rFonts w:ascii="Arial" w:eastAsia="Times New Roman" w:hAnsi="Arial" w:cs="Arial"/>
                <w:sz w:val="20"/>
                <w:szCs w:val="20"/>
                <w:lang w:eastAsia="en-GB"/>
              </w:rPr>
              <w:t>Net pension deficit</w:t>
            </w:r>
          </w:p>
        </w:tc>
        <w:tc>
          <w:tcPr>
            <w:tcW w:w="407" w:type="dxa"/>
            <w:tcBorders>
              <w:top w:val="single" w:sz="4" w:space="0" w:color="auto"/>
              <w:left w:val="nil"/>
              <w:bottom w:val="single" w:sz="4" w:space="0" w:color="auto"/>
              <w:right w:val="nil"/>
            </w:tcBorders>
            <w:shd w:val="clear" w:color="auto" w:fill="auto"/>
            <w:noWrap/>
            <w:vAlign w:val="center"/>
            <w:hideMark/>
          </w:tcPr>
          <w:p w14:paraId="719C1B36" w14:textId="77777777" w:rsidR="00416FDD" w:rsidRPr="00DA5F44" w:rsidRDefault="00416FDD" w:rsidP="00416FDD">
            <w:pPr>
              <w:spacing w:after="0" w:line="240" w:lineRule="auto"/>
              <w:rPr>
                <w:rFonts w:ascii="Arial" w:eastAsia="Times New Roman" w:hAnsi="Arial" w:cs="Arial"/>
                <w:b/>
                <w:bCs/>
                <w:sz w:val="20"/>
                <w:szCs w:val="20"/>
                <w:lang w:eastAsia="en-GB"/>
              </w:rPr>
            </w:pPr>
            <w:r w:rsidRPr="00DA5F44">
              <w:rPr>
                <w:rFonts w:ascii="Arial" w:eastAsia="Times New Roman" w:hAnsi="Arial" w:cs="Arial"/>
                <w:b/>
                <w:bCs/>
                <w:sz w:val="20"/>
                <w:szCs w:val="20"/>
                <w:lang w:eastAsia="en-GB"/>
              </w:rPr>
              <w:t> </w:t>
            </w:r>
          </w:p>
        </w:tc>
        <w:tc>
          <w:tcPr>
            <w:tcW w:w="281" w:type="dxa"/>
            <w:tcBorders>
              <w:top w:val="single" w:sz="4" w:space="0" w:color="auto"/>
              <w:left w:val="nil"/>
              <w:bottom w:val="single" w:sz="4" w:space="0" w:color="auto"/>
              <w:right w:val="nil"/>
            </w:tcBorders>
            <w:shd w:val="clear" w:color="auto" w:fill="auto"/>
            <w:noWrap/>
            <w:vAlign w:val="center"/>
            <w:hideMark/>
          </w:tcPr>
          <w:p w14:paraId="0CCCD7FD" w14:textId="77777777" w:rsidR="00416FDD" w:rsidRPr="00543D10" w:rsidRDefault="00416FDD" w:rsidP="00416FDD">
            <w:pPr>
              <w:spacing w:after="0" w:line="240" w:lineRule="auto"/>
              <w:rPr>
                <w:rFonts w:ascii="Arial" w:eastAsia="Times New Roman" w:hAnsi="Arial" w:cs="Arial"/>
                <w:b/>
                <w:bCs/>
                <w:sz w:val="20"/>
                <w:szCs w:val="20"/>
                <w:lang w:eastAsia="en-GB"/>
              </w:rPr>
            </w:pPr>
            <w:r w:rsidRPr="00543D10">
              <w:rPr>
                <w:rFonts w:ascii="Arial" w:eastAsia="Times New Roman" w:hAnsi="Arial" w:cs="Arial"/>
                <w:b/>
                <w:bCs/>
                <w:sz w:val="20"/>
                <w:szCs w:val="20"/>
                <w:lang w:eastAsia="en-GB"/>
              </w:rPr>
              <w:t> </w:t>
            </w:r>
          </w:p>
        </w:tc>
        <w:tc>
          <w:tcPr>
            <w:tcW w:w="1971" w:type="dxa"/>
            <w:tcBorders>
              <w:top w:val="single" w:sz="4" w:space="0" w:color="auto"/>
              <w:left w:val="nil"/>
              <w:bottom w:val="single" w:sz="4" w:space="0" w:color="auto"/>
              <w:right w:val="nil"/>
            </w:tcBorders>
            <w:shd w:val="clear" w:color="auto" w:fill="auto"/>
            <w:noWrap/>
            <w:vAlign w:val="center"/>
          </w:tcPr>
          <w:p w14:paraId="2986B1A5" w14:textId="77777777" w:rsidR="00416FDD" w:rsidRPr="00543D10" w:rsidRDefault="00456CF6" w:rsidP="00416FDD">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(56)</w:t>
            </w:r>
          </w:p>
        </w:tc>
        <w:tc>
          <w:tcPr>
            <w:tcW w:w="1547" w:type="dxa"/>
            <w:tcBorders>
              <w:top w:val="single" w:sz="4" w:space="0" w:color="auto"/>
              <w:left w:val="nil"/>
              <w:bottom w:val="single" w:sz="4" w:space="0" w:color="auto"/>
              <w:right w:val="nil"/>
            </w:tcBorders>
            <w:shd w:val="clear" w:color="auto" w:fill="auto"/>
            <w:noWrap/>
            <w:vAlign w:val="center"/>
            <w:hideMark/>
          </w:tcPr>
          <w:p w14:paraId="2F59CB47" w14:textId="77777777" w:rsidR="00416FDD" w:rsidRPr="00416FDD" w:rsidRDefault="00416FDD" w:rsidP="00416FDD">
            <w:pPr>
              <w:spacing w:after="0" w:line="240" w:lineRule="auto"/>
              <w:jc w:val="right"/>
              <w:rPr>
                <w:rFonts w:ascii="Arial" w:eastAsia="Times New Roman" w:hAnsi="Arial" w:cs="Arial"/>
                <w:sz w:val="20"/>
                <w:szCs w:val="20"/>
                <w:lang w:eastAsia="en-GB"/>
              </w:rPr>
            </w:pPr>
            <w:r w:rsidRPr="00416FDD">
              <w:rPr>
                <w:rFonts w:ascii="Arial" w:eastAsia="Times New Roman" w:hAnsi="Arial" w:cs="Arial"/>
                <w:bCs/>
                <w:sz w:val="20"/>
                <w:szCs w:val="20"/>
                <w:lang w:eastAsia="en-GB"/>
              </w:rPr>
              <w:t>(20)</w:t>
            </w:r>
          </w:p>
        </w:tc>
      </w:tr>
      <w:tr w:rsidR="00BC537E" w:rsidRPr="00DA5F44" w14:paraId="3E1A78E2" w14:textId="77777777" w:rsidTr="00697C96">
        <w:trPr>
          <w:trHeight w:val="328"/>
          <w:jc w:val="center"/>
        </w:trPr>
        <w:tc>
          <w:tcPr>
            <w:tcW w:w="5082" w:type="dxa"/>
            <w:tcBorders>
              <w:top w:val="nil"/>
              <w:left w:val="nil"/>
              <w:bottom w:val="nil"/>
              <w:right w:val="nil"/>
            </w:tcBorders>
            <w:shd w:val="clear" w:color="auto" w:fill="auto"/>
            <w:noWrap/>
            <w:vAlign w:val="center"/>
            <w:hideMark/>
          </w:tcPr>
          <w:p w14:paraId="5AA0FB49" w14:textId="77777777" w:rsidR="00BC537E" w:rsidRPr="00DA5F44" w:rsidRDefault="00BC537E" w:rsidP="007729E5">
            <w:pPr>
              <w:spacing w:after="0" w:line="240" w:lineRule="auto"/>
              <w:rPr>
                <w:rFonts w:ascii="Arial" w:eastAsia="Times New Roman" w:hAnsi="Arial" w:cs="Arial"/>
                <w:sz w:val="20"/>
                <w:szCs w:val="20"/>
                <w:lang w:eastAsia="en-GB"/>
              </w:rPr>
            </w:pPr>
          </w:p>
        </w:tc>
        <w:tc>
          <w:tcPr>
            <w:tcW w:w="407" w:type="dxa"/>
            <w:tcBorders>
              <w:top w:val="nil"/>
              <w:left w:val="nil"/>
              <w:bottom w:val="nil"/>
              <w:right w:val="nil"/>
            </w:tcBorders>
            <w:shd w:val="clear" w:color="auto" w:fill="auto"/>
            <w:noWrap/>
            <w:vAlign w:val="center"/>
            <w:hideMark/>
          </w:tcPr>
          <w:p w14:paraId="6CD4F54F" w14:textId="77777777" w:rsidR="00BC537E" w:rsidRPr="00DA5F44" w:rsidRDefault="00BC537E" w:rsidP="007729E5">
            <w:pPr>
              <w:spacing w:after="0" w:line="240" w:lineRule="auto"/>
              <w:rPr>
                <w:rFonts w:ascii="Times New Roman" w:eastAsia="Times New Roman" w:hAnsi="Times New Roman" w:cs="Times New Roman"/>
                <w:sz w:val="20"/>
                <w:szCs w:val="20"/>
                <w:lang w:eastAsia="en-GB"/>
              </w:rPr>
            </w:pPr>
          </w:p>
        </w:tc>
        <w:tc>
          <w:tcPr>
            <w:tcW w:w="281" w:type="dxa"/>
            <w:tcBorders>
              <w:top w:val="nil"/>
              <w:left w:val="nil"/>
              <w:bottom w:val="nil"/>
              <w:right w:val="nil"/>
            </w:tcBorders>
            <w:shd w:val="clear" w:color="auto" w:fill="auto"/>
            <w:noWrap/>
            <w:vAlign w:val="center"/>
            <w:hideMark/>
          </w:tcPr>
          <w:p w14:paraId="40D3D714" w14:textId="77777777" w:rsidR="00BC537E" w:rsidRPr="00DA5F44" w:rsidRDefault="00BC537E" w:rsidP="007729E5">
            <w:pPr>
              <w:spacing w:after="0" w:line="240" w:lineRule="auto"/>
              <w:rPr>
                <w:rFonts w:ascii="Times New Roman" w:eastAsia="Times New Roman" w:hAnsi="Times New Roman" w:cs="Times New Roman"/>
                <w:sz w:val="20"/>
                <w:szCs w:val="20"/>
                <w:lang w:eastAsia="en-GB"/>
              </w:rPr>
            </w:pPr>
          </w:p>
        </w:tc>
        <w:tc>
          <w:tcPr>
            <w:tcW w:w="1971" w:type="dxa"/>
            <w:tcBorders>
              <w:top w:val="nil"/>
              <w:left w:val="nil"/>
              <w:bottom w:val="nil"/>
              <w:right w:val="nil"/>
            </w:tcBorders>
            <w:shd w:val="clear" w:color="auto" w:fill="auto"/>
            <w:noWrap/>
            <w:vAlign w:val="center"/>
            <w:hideMark/>
          </w:tcPr>
          <w:p w14:paraId="19EEEC04" w14:textId="77777777" w:rsidR="00BC537E" w:rsidRPr="00DA5F44" w:rsidRDefault="00BC537E" w:rsidP="007729E5">
            <w:pPr>
              <w:spacing w:after="0" w:line="240" w:lineRule="auto"/>
              <w:rPr>
                <w:rFonts w:ascii="Times New Roman" w:eastAsia="Times New Roman" w:hAnsi="Times New Roman" w:cs="Times New Roman"/>
                <w:sz w:val="20"/>
                <w:szCs w:val="20"/>
                <w:lang w:eastAsia="en-GB"/>
              </w:rPr>
            </w:pPr>
          </w:p>
        </w:tc>
        <w:tc>
          <w:tcPr>
            <w:tcW w:w="1547" w:type="dxa"/>
            <w:tcBorders>
              <w:top w:val="nil"/>
              <w:left w:val="nil"/>
              <w:bottom w:val="nil"/>
              <w:right w:val="nil"/>
            </w:tcBorders>
            <w:shd w:val="clear" w:color="auto" w:fill="auto"/>
            <w:noWrap/>
            <w:vAlign w:val="center"/>
            <w:hideMark/>
          </w:tcPr>
          <w:p w14:paraId="7DE10F72" w14:textId="77777777" w:rsidR="00BC537E" w:rsidRPr="00DA5F44" w:rsidRDefault="00BC537E" w:rsidP="007729E5">
            <w:pPr>
              <w:spacing w:after="0" w:line="240" w:lineRule="auto"/>
              <w:rPr>
                <w:rFonts w:ascii="Times New Roman" w:eastAsia="Times New Roman" w:hAnsi="Times New Roman" w:cs="Times New Roman"/>
                <w:sz w:val="20"/>
                <w:szCs w:val="20"/>
                <w:lang w:eastAsia="en-GB"/>
              </w:rPr>
            </w:pPr>
          </w:p>
        </w:tc>
      </w:tr>
      <w:tr w:rsidR="00BC537E" w:rsidRPr="00DA5F44" w14:paraId="56577BCC" w14:textId="77777777" w:rsidTr="00697C96">
        <w:trPr>
          <w:trHeight w:val="328"/>
          <w:jc w:val="center"/>
        </w:trPr>
        <w:tc>
          <w:tcPr>
            <w:tcW w:w="5082" w:type="dxa"/>
            <w:tcBorders>
              <w:top w:val="nil"/>
              <w:left w:val="nil"/>
              <w:bottom w:val="nil"/>
              <w:right w:val="nil"/>
            </w:tcBorders>
            <w:shd w:val="clear" w:color="auto" w:fill="auto"/>
            <w:noWrap/>
            <w:vAlign w:val="center"/>
            <w:hideMark/>
          </w:tcPr>
          <w:p w14:paraId="189C424E" w14:textId="77777777" w:rsidR="00F0231D" w:rsidRDefault="00F0231D" w:rsidP="007729E5">
            <w:pPr>
              <w:spacing w:after="0" w:line="240" w:lineRule="auto"/>
              <w:rPr>
                <w:rFonts w:ascii="Arial" w:eastAsia="Times New Roman" w:hAnsi="Arial" w:cs="Arial"/>
                <w:b/>
                <w:bCs/>
                <w:sz w:val="20"/>
                <w:szCs w:val="20"/>
                <w:lang w:eastAsia="en-GB"/>
              </w:rPr>
            </w:pPr>
          </w:p>
          <w:p w14:paraId="3DA879C3" w14:textId="77777777" w:rsidR="00F0231D" w:rsidRPr="005076F2" w:rsidRDefault="00F0231D" w:rsidP="00F0231D">
            <w:pPr>
              <w:autoSpaceDE w:val="0"/>
              <w:autoSpaceDN w:val="0"/>
              <w:adjustRightInd w:val="0"/>
              <w:spacing w:after="0" w:line="240" w:lineRule="auto"/>
              <w:rPr>
                <w:rFonts w:ascii="Arial" w:hAnsi="Arial" w:cs="Arial"/>
                <w:b/>
                <w:sz w:val="24"/>
                <w:szCs w:val="24"/>
              </w:rPr>
            </w:pPr>
          </w:p>
          <w:p w14:paraId="0353F600" w14:textId="77777777" w:rsidR="00F0231D" w:rsidRDefault="00F0231D" w:rsidP="007729E5">
            <w:pPr>
              <w:spacing w:after="0" w:line="240" w:lineRule="auto"/>
              <w:rPr>
                <w:rFonts w:ascii="Arial" w:eastAsia="Times New Roman" w:hAnsi="Arial" w:cs="Arial"/>
                <w:b/>
                <w:bCs/>
                <w:sz w:val="20"/>
                <w:szCs w:val="20"/>
                <w:lang w:eastAsia="en-GB"/>
              </w:rPr>
            </w:pPr>
          </w:p>
          <w:p w14:paraId="47110E67" w14:textId="77777777" w:rsidR="00BC537E" w:rsidRPr="00DA5F44" w:rsidRDefault="00BC537E" w:rsidP="007729E5">
            <w:pPr>
              <w:spacing w:after="0" w:line="240" w:lineRule="auto"/>
              <w:rPr>
                <w:rFonts w:ascii="Arial" w:eastAsia="Times New Roman" w:hAnsi="Arial" w:cs="Arial"/>
                <w:b/>
                <w:bCs/>
                <w:sz w:val="20"/>
                <w:szCs w:val="20"/>
                <w:lang w:eastAsia="en-GB"/>
              </w:rPr>
            </w:pPr>
            <w:r w:rsidRPr="00DA5F44">
              <w:rPr>
                <w:rFonts w:ascii="Arial" w:eastAsia="Times New Roman" w:hAnsi="Arial" w:cs="Arial"/>
                <w:b/>
                <w:bCs/>
                <w:sz w:val="20"/>
                <w:szCs w:val="20"/>
                <w:lang w:eastAsia="en-GB"/>
              </w:rPr>
              <w:t>The return on the plan assets was:</w:t>
            </w:r>
          </w:p>
        </w:tc>
        <w:tc>
          <w:tcPr>
            <w:tcW w:w="407" w:type="dxa"/>
            <w:tcBorders>
              <w:top w:val="nil"/>
              <w:left w:val="nil"/>
              <w:bottom w:val="nil"/>
              <w:right w:val="nil"/>
            </w:tcBorders>
            <w:shd w:val="clear" w:color="auto" w:fill="auto"/>
            <w:noWrap/>
            <w:vAlign w:val="center"/>
            <w:hideMark/>
          </w:tcPr>
          <w:p w14:paraId="74626C4B" w14:textId="77777777" w:rsidR="00BC537E" w:rsidRPr="00DA5F44" w:rsidRDefault="00BC537E" w:rsidP="007729E5">
            <w:pPr>
              <w:spacing w:after="0" w:line="240" w:lineRule="auto"/>
              <w:rPr>
                <w:rFonts w:ascii="Arial" w:eastAsia="Times New Roman" w:hAnsi="Arial" w:cs="Arial"/>
                <w:b/>
                <w:bCs/>
                <w:sz w:val="20"/>
                <w:szCs w:val="20"/>
                <w:lang w:eastAsia="en-GB"/>
              </w:rPr>
            </w:pPr>
          </w:p>
        </w:tc>
        <w:tc>
          <w:tcPr>
            <w:tcW w:w="281" w:type="dxa"/>
            <w:tcBorders>
              <w:top w:val="nil"/>
              <w:left w:val="nil"/>
              <w:bottom w:val="nil"/>
              <w:right w:val="nil"/>
            </w:tcBorders>
            <w:shd w:val="clear" w:color="auto" w:fill="auto"/>
            <w:noWrap/>
            <w:vAlign w:val="center"/>
            <w:hideMark/>
          </w:tcPr>
          <w:p w14:paraId="7EE17925" w14:textId="77777777" w:rsidR="00BC537E" w:rsidRPr="00DA5F44" w:rsidRDefault="00BC537E" w:rsidP="007729E5">
            <w:pPr>
              <w:spacing w:after="0" w:line="240" w:lineRule="auto"/>
              <w:rPr>
                <w:rFonts w:ascii="Times New Roman" w:eastAsia="Times New Roman" w:hAnsi="Times New Roman" w:cs="Times New Roman"/>
                <w:sz w:val="20"/>
                <w:szCs w:val="20"/>
                <w:lang w:eastAsia="en-GB"/>
              </w:rPr>
            </w:pPr>
          </w:p>
        </w:tc>
        <w:tc>
          <w:tcPr>
            <w:tcW w:w="1971" w:type="dxa"/>
            <w:tcBorders>
              <w:top w:val="nil"/>
              <w:left w:val="nil"/>
              <w:bottom w:val="nil"/>
              <w:right w:val="nil"/>
            </w:tcBorders>
            <w:shd w:val="clear" w:color="auto" w:fill="auto"/>
            <w:noWrap/>
            <w:vAlign w:val="center"/>
            <w:hideMark/>
          </w:tcPr>
          <w:p w14:paraId="2AF1830B" w14:textId="77777777" w:rsidR="00BC537E" w:rsidRPr="00DA5F44" w:rsidRDefault="00BC537E" w:rsidP="007729E5">
            <w:pPr>
              <w:spacing w:after="0" w:line="240" w:lineRule="auto"/>
              <w:rPr>
                <w:rFonts w:ascii="Times New Roman" w:eastAsia="Times New Roman" w:hAnsi="Times New Roman" w:cs="Times New Roman"/>
                <w:sz w:val="20"/>
                <w:szCs w:val="20"/>
                <w:lang w:eastAsia="en-GB"/>
              </w:rPr>
            </w:pPr>
          </w:p>
        </w:tc>
        <w:tc>
          <w:tcPr>
            <w:tcW w:w="1547" w:type="dxa"/>
            <w:tcBorders>
              <w:top w:val="nil"/>
              <w:left w:val="nil"/>
              <w:bottom w:val="nil"/>
              <w:right w:val="nil"/>
            </w:tcBorders>
            <w:shd w:val="clear" w:color="auto" w:fill="auto"/>
            <w:noWrap/>
            <w:vAlign w:val="center"/>
            <w:hideMark/>
          </w:tcPr>
          <w:p w14:paraId="0E3D078E" w14:textId="77777777" w:rsidR="00BC537E" w:rsidRPr="00DA5F44" w:rsidRDefault="00BC537E" w:rsidP="007729E5">
            <w:pPr>
              <w:spacing w:after="0" w:line="240" w:lineRule="auto"/>
              <w:rPr>
                <w:rFonts w:ascii="Times New Roman" w:eastAsia="Times New Roman" w:hAnsi="Times New Roman" w:cs="Times New Roman"/>
                <w:sz w:val="20"/>
                <w:szCs w:val="20"/>
                <w:lang w:eastAsia="en-GB"/>
              </w:rPr>
            </w:pPr>
          </w:p>
        </w:tc>
      </w:tr>
      <w:tr w:rsidR="00BC537E" w:rsidRPr="00DA5F44" w14:paraId="3F814AA6" w14:textId="77777777" w:rsidTr="00697C96">
        <w:trPr>
          <w:trHeight w:val="328"/>
          <w:jc w:val="center"/>
        </w:trPr>
        <w:tc>
          <w:tcPr>
            <w:tcW w:w="5082" w:type="dxa"/>
            <w:tcBorders>
              <w:top w:val="nil"/>
              <w:left w:val="nil"/>
              <w:bottom w:val="nil"/>
              <w:right w:val="nil"/>
            </w:tcBorders>
            <w:shd w:val="clear" w:color="auto" w:fill="auto"/>
            <w:noWrap/>
            <w:vAlign w:val="center"/>
            <w:hideMark/>
          </w:tcPr>
          <w:p w14:paraId="75351733" w14:textId="77777777" w:rsidR="00BC537E" w:rsidRPr="00DA5F44" w:rsidRDefault="00BC537E" w:rsidP="007729E5">
            <w:pPr>
              <w:spacing w:after="0" w:line="240" w:lineRule="auto"/>
              <w:rPr>
                <w:rFonts w:ascii="Times New Roman" w:eastAsia="Times New Roman" w:hAnsi="Times New Roman" w:cs="Times New Roman"/>
                <w:sz w:val="20"/>
                <w:szCs w:val="20"/>
                <w:lang w:eastAsia="en-GB"/>
              </w:rPr>
            </w:pPr>
          </w:p>
        </w:tc>
        <w:tc>
          <w:tcPr>
            <w:tcW w:w="407" w:type="dxa"/>
            <w:tcBorders>
              <w:top w:val="nil"/>
              <w:left w:val="nil"/>
              <w:bottom w:val="nil"/>
              <w:right w:val="nil"/>
            </w:tcBorders>
            <w:shd w:val="clear" w:color="auto" w:fill="auto"/>
            <w:noWrap/>
            <w:vAlign w:val="bottom"/>
            <w:hideMark/>
          </w:tcPr>
          <w:p w14:paraId="10C7F46B" w14:textId="77777777" w:rsidR="00BC537E" w:rsidRPr="00DA5F44" w:rsidRDefault="00BC537E" w:rsidP="007729E5">
            <w:pPr>
              <w:spacing w:after="0" w:line="240" w:lineRule="auto"/>
              <w:rPr>
                <w:rFonts w:ascii="Times New Roman" w:eastAsia="Times New Roman" w:hAnsi="Times New Roman" w:cs="Times New Roman"/>
                <w:sz w:val="20"/>
                <w:szCs w:val="20"/>
                <w:lang w:eastAsia="en-GB"/>
              </w:rPr>
            </w:pPr>
          </w:p>
        </w:tc>
        <w:tc>
          <w:tcPr>
            <w:tcW w:w="281" w:type="dxa"/>
            <w:tcBorders>
              <w:top w:val="nil"/>
              <w:left w:val="nil"/>
              <w:bottom w:val="nil"/>
              <w:right w:val="nil"/>
            </w:tcBorders>
            <w:shd w:val="clear" w:color="auto" w:fill="auto"/>
            <w:noWrap/>
            <w:vAlign w:val="bottom"/>
            <w:hideMark/>
          </w:tcPr>
          <w:p w14:paraId="61F86E22" w14:textId="77777777" w:rsidR="00BC537E" w:rsidRPr="00DA5F44" w:rsidRDefault="00BC537E" w:rsidP="007729E5">
            <w:pPr>
              <w:spacing w:after="0" w:line="240" w:lineRule="auto"/>
              <w:rPr>
                <w:rFonts w:ascii="Times New Roman" w:eastAsia="Times New Roman" w:hAnsi="Times New Roman" w:cs="Times New Roman"/>
                <w:sz w:val="20"/>
                <w:szCs w:val="20"/>
                <w:lang w:eastAsia="en-GB"/>
              </w:rPr>
            </w:pPr>
          </w:p>
        </w:tc>
        <w:tc>
          <w:tcPr>
            <w:tcW w:w="1971" w:type="dxa"/>
            <w:tcBorders>
              <w:top w:val="nil"/>
              <w:left w:val="nil"/>
              <w:bottom w:val="nil"/>
              <w:right w:val="nil"/>
            </w:tcBorders>
            <w:shd w:val="clear" w:color="auto" w:fill="auto"/>
            <w:noWrap/>
            <w:vAlign w:val="center"/>
            <w:hideMark/>
          </w:tcPr>
          <w:p w14:paraId="12A5F036" w14:textId="77777777" w:rsidR="00BC537E" w:rsidRPr="00DA5F44" w:rsidRDefault="0037645F" w:rsidP="005B39D0">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2020</w:t>
            </w:r>
          </w:p>
        </w:tc>
        <w:tc>
          <w:tcPr>
            <w:tcW w:w="1547" w:type="dxa"/>
            <w:tcBorders>
              <w:top w:val="nil"/>
              <w:left w:val="nil"/>
              <w:bottom w:val="nil"/>
              <w:right w:val="nil"/>
            </w:tcBorders>
            <w:shd w:val="clear" w:color="auto" w:fill="auto"/>
            <w:noWrap/>
            <w:vAlign w:val="center"/>
            <w:hideMark/>
          </w:tcPr>
          <w:p w14:paraId="02FD03A4" w14:textId="77777777" w:rsidR="00BC537E" w:rsidRPr="00DA5F44" w:rsidRDefault="0037645F" w:rsidP="005B39D0">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2019</w:t>
            </w:r>
          </w:p>
        </w:tc>
      </w:tr>
      <w:tr w:rsidR="00BC537E" w:rsidRPr="00DA5F44" w14:paraId="6E0D55C2" w14:textId="77777777" w:rsidTr="00697C96">
        <w:trPr>
          <w:trHeight w:val="328"/>
          <w:jc w:val="center"/>
        </w:trPr>
        <w:tc>
          <w:tcPr>
            <w:tcW w:w="5082" w:type="dxa"/>
            <w:tcBorders>
              <w:top w:val="nil"/>
              <w:left w:val="nil"/>
              <w:bottom w:val="single" w:sz="4" w:space="0" w:color="auto"/>
              <w:right w:val="nil"/>
            </w:tcBorders>
            <w:shd w:val="clear" w:color="auto" w:fill="auto"/>
            <w:noWrap/>
            <w:vAlign w:val="center"/>
            <w:hideMark/>
          </w:tcPr>
          <w:p w14:paraId="5E199241" w14:textId="77777777" w:rsidR="00BC537E" w:rsidRPr="00DA5F44" w:rsidRDefault="00BC537E" w:rsidP="007729E5">
            <w:pPr>
              <w:spacing w:after="0" w:line="240" w:lineRule="auto"/>
              <w:rPr>
                <w:rFonts w:ascii="Arial" w:eastAsia="Times New Roman" w:hAnsi="Arial" w:cs="Arial"/>
                <w:sz w:val="20"/>
                <w:szCs w:val="20"/>
                <w:lang w:eastAsia="en-GB"/>
              </w:rPr>
            </w:pPr>
            <w:r w:rsidRPr="00DA5F44">
              <w:rPr>
                <w:rFonts w:ascii="Arial" w:eastAsia="Times New Roman" w:hAnsi="Arial" w:cs="Arial"/>
                <w:sz w:val="20"/>
                <w:szCs w:val="20"/>
                <w:lang w:eastAsia="en-GB"/>
              </w:rPr>
              <w:t> </w:t>
            </w:r>
          </w:p>
        </w:tc>
        <w:tc>
          <w:tcPr>
            <w:tcW w:w="407" w:type="dxa"/>
            <w:tcBorders>
              <w:top w:val="nil"/>
              <w:left w:val="nil"/>
              <w:bottom w:val="single" w:sz="4" w:space="0" w:color="auto"/>
              <w:right w:val="nil"/>
            </w:tcBorders>
            <w:shd w:val="clear" w:color="auto" w:fill="auto"/>
            <w:noWrap/>
            <w:vAlign w:val="bottom"/>
            <w:hideMark/>
          </w:tcPr>
          <w:p w14:paraId="160CB131" w14:textId="77777777" w:rsidR="00BC537E" w:rsidRPr="00DA5F44" w:rsidRDefault="00BC537E" w:rsidP="007729E5">
            <w:pPr>
              <w:spacing w:after="0" w:line="240" w:lineRule="auto"/>
              <w:rPr>
                <w:rFonts w:ascii="Arial" w:eastAsia="Times New Roman" w:hAnsi="Arial" w:cs="Arial"/>
                <w:sz w:val="20"/>
                <w:szCs w:val="20"/>
                <w:lang w:eastAsia="en-GB"/>
              </w:rPr>
            </w:pPr>
            <w:r w:rsidRPr="00DA5F44">
              <w:rPr>
                <w:rFonts w:ascii="Arial" w:eastAsia="Times New Roman" w:hAnsi="Arial" w:cs="Arial"/>
                <w:sz w:val="20"/>
                <w:szCs w:val="20"/>
                <w:lang w:eastAsia="en-GB"/>
              </w:rPr>
              <w:t> </w:t>
            </w:r>
          </w:p>
        </w:tc>
        <w:tc>
          <w:tcPr>
            <w:tcW w:w="281" w:type="dxa"/>
            <w:tcBorders>
              <w:top w:val="nil"/>
              <w:left w:val="nil"/>
              <w:bottom w:val="single" w:sz="4" w:space="0" w:color="auto"/>
              <w:right w:val="nil"/>
            </w:tcBorders>
            <w:shd w:val="clear" w:color="auto" w:fill="auto"/>
            <w:noWrap/>
            <w:vAlign w:val="bottom"/>
            <w:hideMark/>
          </w:tcPr>
          <w:p w14:paraId="7FF655A7" w14:textId="77777777" w:rsidR="00BC537E" w:rsidRPr="00DA5F44" w:rsidRDefault="00BC537E" w:rsidP="007729E5">
            <w:pPr>
              <w:spacing w:after="0" w:line="240" w:lineRule="auto"/>
              <w:rPr>
                <w:rFonts w:ascii="Arial" w:eastAsia="Times New Roman" w:hAnsi="Arial" w:cs="Arial"/>
                <w:sz w:val="20"/>
                <w:szCs w:val="20"/>
                <w:lang w:eastAsia="en-GB"/>
              </w:rPr>
            </w:pPr>
            <w:r w:rsidRPr="00DA5F44">
              <w:rPr>
                <w:rFonts w:ascii="Arial" w:eastAsia="Times New Roman" w:hAnsi="Arial" w:cs="Arial"/>
                <w:sz w:val="20"/>
                <w:szCs w:val="20"/>
                <w:lang w:eastAsia="en-GB"/>
              </w:rPr>
              <w:t> </w:t>
            </w:r>
          </w:p>
        </w:tc>
        <w:tc>
          <w:tcPr>
            <w:tcW w:w="1971" w:type="dxa"/>
            <w:tcBorders>
              <w:top w:val="nil"/>
              <w:left w:val="nil"/>
              <w:bottom w:val="single" w:sz="4" w:space="0" w:color="auto"/>
              <w:right w:val="nil"/>
            </w:tcBorders>
            <w:shd w:val="clear" w:color="auto" w:fill="auto"/>
            <w:noWrap/>
            <w:vAlign w:val="center"/>
            <w:hideMark/>
          </w:tcPr>
          <w:p w14:paraId="2840D1FE" w14:textId="77777777" w:rsidR="00BC537E" w:rsidRPr="00DA5F44" w:rsidRDefault="00BC537E" w:rsidP="005B39D0">
            <w:pPr>
              <w:spacing w:after="0" w:line="240" w:lineRule="auto"/>
              <w:jc w:val="right"/>
              <w:rPr>
                <w:rFonts w:ascii="Arial" w:eastAsia="Times New Roman" w:hAnsi="Arial" w:cs="Arial"/>
                <w:b/>
                <w:bCs/>
                <w:sz w:val="20"/>
                <w:szCs w:val="20"/>
                <w:lang w:eastAsia="en-GB"/>
              </w:rPr>
            </w:pPr>
            <w:r w:rsidRPr="00DA5F44">
              <w:rPr>
                <w:rFonts w:ascii="Arial" w:eastAsia="Times New Roman" w:hAnsi="Arial" w:cs="Arial"/>
                <w:b/>
                <w:bCs/>
                <w:sz w:val="20"/>
                <w:szCs w:val="20"/>
                <w:lang w:eastAsia="en-GB"/>
              </w:rPr>
              <w:t>£'000</w:t>
            </w:r>
          </w:p>
        </w:tc>
        <w:tc>
          <w:tcPr>
            <w:tcW w:w="1547" w:type="dxa"/>
            <w:tcBorders>
              <w:top w:val="nil"/>
              <w:left w:val="nil"/>
              <w:bottom w:val="single" w:sz="4" w:space="0" w:color="auto"/>
              <w:right w:val="nil"/>
            </w:tcBorders>
            <w:shd w:val="clear" w:color="auto" w:fill="auto"/>
            <w:noWrap/>
            <w:vAlign w:val="center"/>
            <w:hideMark/>
          </w:tcPr>
          <w:p w14:paraId="59C4CD85" w14:textId="77777777" w:rsidR="00BC537E" w:rsidRPr="00DA5F44" w:rsidRDefault="00BC537E" w:rsidP="005B39D0">
            <w:pPr>
              <w:spacing w:after="0" w:line="240" w:lineRule="auto"/>
              <w:jc w:val="right"/>
              <w:rPr>
                <w:rFonts w:ascii="Arial" w:eastAsia="Times New Roman" w:hAnsi="Arial" w:cs="Arial"/>
                <w:sz w:val="20"/>
                <w:szCs w:val="20"/>
                <w:lang w:eastAsia="en-GB"/>
              </w:rPr>
            </w:pPr>
            <w:r w:rsidRPr="00DA5F44">
              <w:rPr>
                <w:rFonts w:ascii="Arial" w:eastAsia="Times New Roman" w:hAnsi="Arial" w:cs="Arial"/>
                <w:sz w:val="20"/>
                <w:szCs w:val="20"/>
                <w:lang w:eastAsia="en-GB"/>
              </w:rPr>
              <w:t>£'000</w:t>
            </w:r>
          </w:p>
        </w:tc>
      </w:tr>
      <w:tr w:rsidR="00416FDD" w:rsidRPr="00DA5F44" w14:paraId="27C506DE" w14:textId="77777777" w:rsidTr="00697C96">
        <w:trPr>
          <w:trHeight w:val="328"/>
          <w:jc w:val="center"/>
        </w:trPr>
        <w:tc>
          <w:tcPr>
            <w:tcW w:w="5082" w:type="dxa"/>
            <w:tcBorders>
              <w:top w:val="nil"/>
              <w:left w:val="nil"/>
              <w:bottom w:val="nil"/>
              <w:right w:val="nil"/>
            </w:tcBorders>
            <w:shd w:val="clear" w:color="auto" w:fill="auto"/>
            <w:noWrap/>
            <w:vAlign w:val="center"/>
            <w:hideMark/>
          </w:tcPr>
          <w:p w14:paraId="109FE9A4" w14:textId="77777777" w:rsidR="00416FDD" w:rsidRPr="00DA5F44" w:rsidRDefault="00416FDD" w:rsidP="00416FDD">
            <w:pPr>
              <w:spacing w:after="0" w:line="240" w:lineRule="auto"/>
              <w:rPr>
                <w:rFonts w:ascii="Arial" w:eastAsia="Times New Roman" w:hAnsi="Arial" w:cs="Arial"/>
                <w:sz w:val="20"/>
                <w:szCs w:val="20"/>
                <w:lang w:eastAsia="en-GB"/>
              </w:rPr>
            </w:pPr>
            <w:r w:rsidRPr="00DA5F44">
              <w:rPr>
                <w:rFonts w:ascii="Arial" w:eastAsia="Times New Roman" w:hAnsi="Arial" w:cs="Arial"/>
                <w:sz w:val="20"/>
                <w:szCs w:val="20"/>
                <w:lang w:eastAsia="en-GB"/>
              </w:rPr>
              <w:t>Interest income</w:t>
            </w:r>
          </w:p>
        </w:tc>
        <w:tc>
          <w:tcPr>
            <w:tcW w:w="407" w:type="dxa"/>
            <w:tcBorders>
              <w:top w:val="nil"/>
              <w:left w:val="nil"/>
              <w:bottom w:val="nil"/>
              <w:right w:val="nil"/>
            </w:tcBorders>
            <w:shd w:val="clear" w:color="auto" w:fill="auto"/>
            <w:noWrap/>
            <w:vAlign w:val="bottom"/>
            <w:hideMark/>
          </w:tcPr>
          <w:p w14:paraId="61D2FD49" w14:textId="77777777" w:rsidR="00416FDD" w:rsidRPr="00DA5F44" w:rsidRDefault="00416FDD" w:rsidP="00416FDD">
            <w:pPr>
              <w:spacing w:after="0" w:line="240" w:lineRule="auto"/>
              <w:rPr>
                <w:rFonts w:ascii="Arial" w:eastAsia="Times New Roman" w:hAnsi="Arial" w:cs="Arial"/>
                <w:sz w:val="20"/>
                <w:szCs w:val="20"/>
                <w:lang w:eastAsia="en-GB"/>
              </w:rPr>
            </w:pPr>
          </w:p>
        </w:tc>
        <w:tc>
          <w:tcPr>
            <w:tcW w:w="281" w:type="dxa"/>
            <w:tcBorders>
              <w:top w:val="nil"/>
              <w:left w:val="nil"/>
              <w:bottom w:val="nil"/>
              <w:right w:val="nil"/>
            </w:tcBorders>
            <w:shd w:val="clear" w:color="auto" w:fill="auto"/>
            <w:noWrap/>
            <w:vAlign w:val="bottom"/>
            <w:hideMark/>
          </w:tcPr>
          <w:p w14:paraId="764BC903" w14:textId="77777777" w:rsidR="00416FDD" w:rsidRPr="00DA5F44" w:rsidRDefault="00416FDD" w:rsidP="00416FDD">
            <w:pPr>
              <w:spacing w:after="0" w:line="240" w:lineRule="auto"/>
              <w:rPr>
                <w:rFonts w:ascii="Times New Roman" w:eastAsia="Times New Roman" w:hAnsi="Times New Roman" w:cs="Times New Roman"/>
                <w:sz w:val="20"/>
                <w:szCs w:val="20"/>
                <w:lang w:eastAsia="en-GB"/>
              </w:rPr>
            </w:pPr>
          </w:p>
        </w:tc>
        <w:tc>
          <w:tcPr>
            <w:tcW w:w="1971" w:type="dxa"/>
            <w:tcBorders>
              <w:top w:val="nil"/>
              <w:left w:val="nil"/>
              <w:bottom w:val="nil"/>
              <w:right w:val="nil"/>
            </w:tcBorders>
            <w:shd w:val="clear" w:color="auto" w:fill="auto"/>
            <w:noWrap/>
            <w:vAlign w:val="center"/>
          </w:tcPr>
          <w:p w14:paraId="546B5CB8" w14:textId="77777777" w:rsidR="00416FDD" w:rsidRPr="00DA5F44" w:rsidRDefault="00456CF6" w:rsidP="00416FDD">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54</w:t>
            </w:r>
          </w:p>
        </w:tc>
        <w:tc>
          <w:tcPr>
            <w:tcW w:w="1547" w:type="dxa"/>
            <w:tcBorders>
              <w:top w:val="nil"/>
              <w:left w:val="nil"/>
              <w:bottom w:val="nil"/>
              <w:right w:val="nil"/>
            </w:tcBorders>
            <w:shd w:val="clear" w:color="auto" w:fill="auto"/>
            <w:noWrap/>
            <w:vAlign w:val="center"/>
            <w:hideMark/>
          </w:tcPr>
          <w:p w14:paraId="35D0D696" w14:textId="77777777" w:rsidR="00416FDD" w:rsidRPr="00416FDD" w:rsidRDefault="00416FDD" w:rsidP="00416FDD">
            <w:pPr>
              <w:spacing w:after="0" w:line="240" w:lineRule="auto"/>
              <w:jc w:val="right"/>
              <w:rPr>
                <w:rFonts w:ascii="Arial" w:eastAsia="Times New Roman" w:hAnsi="Arial" w:cs="Arial"/>
                <w:sz w:val="20"/>
                <w:szCs w:val="20"/>
                <w:lang w:eastAsia="en-GB"/>
              </w:rPr>
            </w:pPr>
            <w:r w:rsidRPr="00416FDD">
              <w:rPr>
                <w:rFonts w:ascii="Arial" w:eastAsia="Times New Roman" w:hAnsi="Arial" w:cs="Arial"/>
                <w:bCs/>
                <w:sz w:val="20"/>
                <w:szCs w:val="20"/>
                <w:lang w:eastAsia="en-GB"/>
              </w:rPr>
              <w:t>77</w:t>
            </w:r>
          </w:p>
        </w:tc>
      </w:tr>
      <w:tr w:rsidR="00416FDD" w:rsidRPr="00DA5F44" w14:paraId="5997C1B6" w14:textId="77777777" w:rsidTr="00697C96">
        <w:trPr>
          <w:trHeight w:val="328"/>
          <w:jc w:val="center"/>
        </w:trPr>
        <w:tc>
          <w:tcPr>
            <w:tcW w:w="5771" w:type="dxa"/>
            <w:gridSpan w:val="3"/>
            <w:tcBorders>
              <w:top w:val="nil"/>
              <w:left w:val="nil"/>
              <w:bottom w:val="nil"/>
              <w:right w:val="nil"/>
            </w:tcBorders>
            <w:shd w:val="clear" w:color="auto" w:fill="auto"/>
            <w:noWrap/>
            <w:vAlign w:val="center"/>
            <w:hideMark/>
          </w:tcPr>
          <w:p w14:paraId="4CA54C56" w14:textId="77777777" w:rsidR="00416FDD" w:rsidRPr="00DA5F44" w:rsidRDefault="00416FDD" w:rsidP="00416FDD">
            <w:pPr>
              <w:spacing w:after="0" w:line="240" w:lineRule="auto"/>
              <w:rPr>
                <w:rFonts w:ascii="Arial" w:eastAsia="Times New Roman" w:hAnsi="Arial" w:cs="Arial"/>
                <w:sz w:val="20"/>
                <w:szCs w:val="20"/>
                <w:lang w:eastAsia="en-GB"/>
              </w:rPr>
            </w:pPr>
            <w:r w:rsidRPr="00DA5F44">
              <w:rPr>
                <w:rFonts w:ascii="Arial" w:eastAsia="Times New Roman" w:hAnsi="Arial" w:cs="Arial"/>
                <w:sz w:val="20"/>
                <w:szCs w:val="20"/>
                <w:lang w:eastAsia="en-GB"/>
              </w:rPr>
              <w:t>Return on pension scheme assets less interest income</w:t>
            </w:r>
          </w:p>
        </w:tc>
        <w:tc>
          <w:tcPr>
            <w:tcW w:w="1971" w:type="dxa"/>
            <w:tcBorders>
              <w:top w:val="nil"/>
              <w:left w:val="nil"/>
              <w:bottom w:val="nil"/>
              <w:right w:val="nil"/>
            </w:tcBorders>
            <w:shd w:val="clear" w:color="auto" w:fill="auto"/>
            <w:noWrap/>
            <w:vAlign w:val="center"/>
          </w:tcPr>
          <w:p w14:paraId="7C6E6956" w14:textId="77777777" w:rsidR="00416FDD" w:rsidRPr="00543D10" w:rsidRDefault="00456CF6" w:rsidP="00416FDD">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3</w:t>
            </w:r>
          </w:p>
        </w:tc>
        <w:tc>
          <w:tcPr>
            <w:tcW w:w="1547" w:type="dxa"/>
            <w:tcBorders>
              <w:top w:val="nil"/>
              <w:left w:val="nil"/>
              <w:bottom w:val="nil"/>
              <w:right w:val="nil"/>
            </w:tcBorders>
            <w:shd w:val="clear" w:color="auto" w:fill="auto"/>
            <w:noWrap/>
            <w:vAlign w:val="center"/>
            <w:hideMark/>
          </w:tcPr>
          <w:p w14:paraId="32CC103D" w14:textId="77777777" w:rsidR="00416FDD" w:rsidRPr="00416FDD" w:rsidRDefault="00456CF6" w:rsidP="00416FDD">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(31)</w:t>
            </w:r>
          </w:p>
        </w:tc>
      </w:tr>
      <w:tr w:rsidR="00416FDD" w:rsidRPr="00DA5F44" w14:paraId="6FBB0CE9" w14:textId="77777777" w:rsidTr="00697C96">
        <w:trPr>
          <w:trHeight w:val="328"/>
          <w:jc w:val="center"/>
        </w:trPr>
        <w:tc>
          <w:tcPr>
            <w:tcW w:w="5082" w:type="dxa"/>
            <w:tcBorders>
              <w:top w:val="single" w:sz="4" w:space="0" w:color="auto"/>
              <w:left w:val="nil"/>
              <w:bottom w:val="single" w:sz="4" w:space="0" w:color="auto"/>
              <w:right w:val="nil"/>
            </w:tcBorders>
            <w:shd w:val="clear" w:color="auto" w:fill="auto"/>
            <w:noWrap/>
            <w:vAlign w:val="center"/>
            <w:hideMark/>
          </w:tcPr>
          <w:p w14:paraId="2DEF3CE2" w14:textId="77777777" w:rsidR="00416FDD" w:rsidRPr="00DA5F44" w:rsidRDefault="00416FDD" w:rsidP="00416FDD">
            <w:pPr>
              <w:spacing w:after="0" w:line="240" w:lineRule="auto"/>
              <w:rPr>
                <w:rFonts w:ascii="Arial" w:eastAsia="Times New Roman" w:hAnsi="Arial" w:cs="Arial"/>
                <w:b/>
                <w:bCs/>
                <w:sz w:val="20"/>
                <w:szCs w:val="20"/>
                <w:lang w:eastAsia="en-GB"/>
              </w:rPr>
            </w:pPr>
            <w:r w:rsidRPr="00DA5F44">
              <w:rPr>
                <w:rFonts w:ascii="Arial" w:eastAsia="Times New Roman" w:hAnsi="Arial" w:cs="Arial"/>
                <w:b/>
                <w:bCs/>
                <w:sz w:val="20"/>
                <w:szCs w:val="20"/>
                <w:lang w:eastAsia="en-GB"/>
              </w:rPr>
              <w:t>Total return on plan assets</w:t>
            </w:r>
          </w:p>
        </w:tc>
        <w:tc>
          <w:tcPr>
            <w:tcW w:w="407" w:type="dxa"/>
            <w:tcBorders>
              <w:top w:val="single" w:sz="4" w:space="0" w:color="auto"/>
              <w:left w:val="nil"/>
              <w:bottom w:val="single" w:sz="4" w:space="0" w:color="auto"/>
              <w:right w:val="nil"/>
            </w:tcBorders>
            <w:shd w:val="clear" w:color="auto" w:fill="auto"/>
            <w:noWrap/>
            <w:vAlign w:val="bottom"/>
            <w:hideMark/>
          </w:tcPr>
          <w:p w14:paraId="4DFF74CE" w14:textId="77777777" w:rsidR="00416FDD" w:rsidRPr="00DA5F44" w:rsidRDefault="00416FDD" w:rsidP="00416FDD">
            <w:pPr>
              <w:spacing w:after="0" w:line="240" w:lineRule="auto"/>
              <w:rPr>
                <w:rFonts w:ascii="Arial" w:eastAsia="Times New Roman" w:hAnsi="Arial" w:cs="Arial"/>
                <w:sz w:val="20"/>
                <w:szCs w:val="20"/>
                <w:lang w:eastAsia="en-GB"/>
              </w:rPr>
            </w:pPr>
            <w:r w:rsidRPr="00DA5F44">
              <w:rPr>
                <w:rFonts w:ascii="Arial" w:eastAsia="Times New Roman" w:hAnsi="Arial" w:cs="Arial"/>
                <w:sz w:val="20"/>
                <w:szCs w:val="20"/>
                <w:lang w:eastAsia="en-GB"/>
              </w:rPr>
              <w:t> </w:t>
            </w:r>
          </w:p>
        </w:tc>
        <w:tc>
          <w:tcPr>
            <w:tcW w:w="281" w:type="dxa"/>
            <w:tcBorders>
              <w:top w:val="single" w:sz="4" w:space="0" w:color="auto"/>
              <w:left w:val="nil"/>
              <w:bottom w:val="single" w:sz="4" w:space="0" w:color="auto"/>
              <w:right w:val="nil"/>
            </w:tcBorders>
            <w:shd w:val="clear" w:color="auto" w:fill="auto"/>
            <w:noWrap/>
            <w:vAlign w:val="bottom"/>
            <w:hideMark/>
          </w:tcPr>
          <w:p w14:paraId="5C30E058" w14:textId="77777777" w:rsidR="00416FDD" w:rsidRPr="00DA5F44" w:rsidRDefault="00416FDD" w:rsidP="00416FDD">
            <w:pPr>
              <w:spacing w:after="0" w:line="240" w:lineRule="auto"/>
              <w:rPr>
                <w:rFonts w:ascii="Arial" w:eastAsia="Times New Roman" w:hAnsi="Arial" w:cs="Arial"/>
                <w:sz w:val="20"/>
                <w:szCs w:val="20"/>
                <w:lang w:eastAsia="en-GB"/>
              </w:rPr>
            </w:pPr>
            <w:r w:rsidRPr="00DA5F44">
              <w:rPr>
                <w:rFonts w:ascii="Arial" w:eastAsia="Times New Roman" w:hAnsi="Arial" w:cs="Arial"/>
                <w:sz w:val="20"/>
                <w:szCs w:val="20"/>
                <w:lang w:eastAsia="en-GB"/>
              </w:rPr>
              <w:t> </w:t>
            </w:r>
          </w:p>
        </w:tc>
        <w:tc>
          <w:tcPr>
            <w:tcW w:w="1971" w:type="dxa"/>
            <w:tcBorders>
              <w:top w:val="single" w:sz="4" w:space="0" w:color="auto"/>
              <w:left w:val="nil"/>
              <w:bottom w:val="single" w:sz="4" w:space="0" w:color="auto"/>
              <w:right w:val="nil"/>
            </w:tcBorders>
            <w:shd w:val="clear" w:color="auto" w:fill="auto"/>
            <w:noWrap/>
            <w:vAlign w:val="center"/>
          </w:tcPr>
          <w:p w14:paraId="5A1B842E" w14:textId="77777777" w:rsidR="00416FDD" w:rsidRPr="00DA5F44" w:rsidRDefault="00456CF6" w:rsidP="00416FDD">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57</w:t>
            </w:r>
          </w:p>
        </w:tc>
        <w:tc>
          <w:tcPr>
            <w:tcW w:w="1547" w:type="dxa"/>
            <w:tcBorders>
              <w:top w:val="single" w:sz="4" w:space="0" w:color="auto"/>
              <w:left w:val="nil"/>
              <w:bottom w:val="single" w:sz="4" w:space="0" w:color="auto"/>
              <w:right w:val="nil"/>
            </w:tcBorders>
            <w:shd w:val="clear" w:color="auto" w:fill="auto"/>
            <w:noWrap/>
            <w:vAlign w:val="center"/>
            <w:hideMark/>
          </w:tcPr>
          <w:p w14:paraId="6CAACE59" w14:textId="77777777" w:rsidR="00416FDD" w:rsidRPr="00416FDD" w:rsidRDefault="00416FDD" w:rsidP="00416FDD">
            <w:pPr>
              <w:spacing w:after="0" w:line="240" w:lineRule="auto"/>
              <w:jc w:val="right"/>
              <w:rPr>
                <w:rFonts w:ascii="Arial" w:eastAsia="Times New Roman" w:hAnsi="Arial" w:cs="Arial"/>
                <w:sz w:val="20"/>
                <w:szCs w:val="20"/>
                <w:lang w:eastAsia="en-GB"/>
              </w:rPr>
            </w:pPr>
            <w:r w:rsidRPr="00416FDD">
              <w:rPr>
                <w:rFonts w:ascii="Arial" w:eastAsia="Times New Roman" w:hAnsi="Arial" w:cs="Arial"/>
                <w:bCs/>
                <w:sz w:val="20"/>
                <w:szCs w:val="20"/>
                <w:lang w:eastAsia="en-GB"/>
              </w:rPr>
              <w:t>46</w:t>
            </w:r>
          </w:p>
        </w:tc>
      </w:tr>
    </w:tbl>
    <w:p w14:paraId="75EB4C17" w14:textId="77777777" w:rsidR="00E70CD3" w:rsidRDefault="00E70CD3" w:rsidP="00E70CD3">
      <w:pPr>
        <w:autoSpaceDE w:val="0"/>
        <w:autoSpaceDN w:val="0"/>
        <w:adjustRightInd w:val="0"/>
        <w:spacing w:after="0" w:line="240" w:lineRule="auto"/>
        <w:rPr>
          <w:rFonts w:ascii="Arial" w:hAnsi="Arial" w:cs="Arial"/>
          <w:sz w:val="20"/>
          <w:szCs w:val="20"/>
        </w:rPr>
      </w:pPr>
    </w:p>
    <w:p w14:paraId="5ED2FB86" w14:textId="77777777" w:rsidR="00E70CD3" w:rsidRDefault="00E70CD3" w:rsidP="00E70CD3">
      <w:pPr>
        <w:autoSpaceDE w:val="0"/>
        <w:autoSpaceDN w:val="0"/>
        <w:adjustRightInd w:val="0"/>
        <w:spacing w:after="0" w:line="240" w:lineRule="auto"/>
        <w:rPr>
          <w:rFonts w:ascii="Arial" w:hAnsi="Arial" w:cs="Arial"/>
          <w:sz w:val="20"/>
          <w:szCs w:val="20"/>
        </w:rPr>
      </w:pPr>
    </w:p>
    <w:tbl>
      <w:tblPr>
        <w:tblW w:w="10308" w:type="dxa"/>
        <w:tblInd w:w="-142" w:type="dxa"/>
        <w:tblLook w:val="04A0" w:firstRow="1" w:lastRow="0" w:firstColumn="1" w:lastColumn="0" w:noHBand="0" w:noVBand="1"/>
      </w:tblPr>
      <w:tblGrid>
        <w:gridCol w:w="6443"/>
        <w:gridCol w:w="222"/>
        <w:gridCol w:w="892"/>
        <w:gridCol w:w="892"/>
        <w:gridCol w:w="967"/>
        <w:gridCol w:w="892"/>
      </w:tblGrid>
      <w:tr w:rsidR="00E70CD3" w:rsidRPr="00DA5F44" w14:paraId="4F52819A" w14:textId="77777777" w:rsidTr="006647C2">
        <w:trPr>
          <w:trHeight w:val="344"/>
        </w:trPr>
        <w:tc>
          <w:tcPr>
            <w:tcW w:w="6443" w:type="dxa"/>
            <w:tcBorders>
              <w:top w:val="nil"/>
              <w:left w:val="nil"/>
              <w:bottom w:val="nil"/>
              <w:right w:val="nil"/>
            </w:tcBorders>
            <w:shd w:val="clear" w:color="auto" w:fill="auto"/>
            <w:noWrap/>
            <w:vAlign w:val="center"/>
            <w:hideMark/>
          </w:tcPr>
          <w:p w14:paraId="5F08368B" w14:textId="77777777" w:rsidR="00E70CD3" w:rsidRPr="00DA5F44" w:rsidRDefault="00E70CD3" w:rsidP="002B2F3F">
            <w:pPr>
              <w:spacing w:after="240" w:line="240" w:lineRule="auto"/>
              <w:rPr>
                <w:rFonts w:ascii="Arial" w:eastAsia="Times New Roman" w:hAnsi="Arial" w:cs="Arial"/>
                <w:b/>
                <w:bCs/>
                <w:sz w:val="24"/>
                <w:szCs w:val="24"/>
                <w:lang w:eastAsia="en-GB"/>
              </w:rPr>
            </w:pPr>
            <w:r w:rsidRPr="001042EB">
              <w:rPr>
                <w:rFonts w:ascii="Arial" w:eastAsia="Times New Roman" w:hAnsi="Arial" w:cs="Arial"/>
                <w:b/>
                <w:bCs/>
                <w:sz w:val="24"/>
                <w:szCs w:val="24"/>
                <w:lang w:eastAsia="en-GB"/>
              </w:rPr>
              <w:t>Platinum Pension Scheme</w:t>
            </w:r>
          </w:p>
        </w:tc>
        <w:tc>
          <w:tcPr>
            <w:tcW w:w="222" w:type="dxa"/>
            <w:tcBorders>
              <w:top w:val="nil"/>
              <w:left w:val="nil"/>
              <w:bottom w:val="nil"/>
              <w:right w:val="nil"/>
            </w:tcBorders>
            <w:shd w:val="clear" w:color="auto" w:fill="auto"/>
            <w:noWrap/>
            <w:vAlign w:val="center"/>
            <w:hideMark/>
          </w:tcPr>
          <w:p w14:paraId="59215DCB" w14:textId="77777777" w:rsidR="00E70CD3" w:rsidRPr="00DA5F44" w:rsidRDefault="00E70CD3" w:rsidP="007729E5">
            <w:pPr>
              <w:spacing w:after="0" w:line="240" w:lineRule="auto"/>
              <w:rPr>
                <w:rFonts w:ascii="Arial" w:eastAsia="Times New Roman" w:hAnsi="Arial" w:cs="Arial"/>
                <w:b/>
                <w:bCs/>
                <w:sz w:val="24"/>
                <w:szCs w:val="24"/>
                <w:lang w:eastAsia="en-GB"/>
              </w:rPr>
            </w:pPr>
          </w:p>
        </w:tc>
        <w:tc>
          <w:tcPr>
            <w:tcW w:w="892" w:type="dxa"/>
            <w:tcBorders>
              <w:top w:val="nil"/>
              <w:left w:val="nil"/>
              <w:bottom w:val="nil"/>
              <w:right w:val="nil"/>
            </w:tcBorders>
            <w:shd w:val="clear" w:color="auto" w:fill="auto"/>
            <w:noWrap/>
            <w:vAlign w:val="center"/>
            <w:hideMark/>
          </w:tcPr>
          <w:p w14:paraId="701812C7" w14:textId="77777777" w:rsidR="00E70CD3" w:rsidRPr="00DA5F44" w:rsidRDefault="00E70CD3" w:rsidP="007729E5">
            <w:pPr>
              <w:spacing w:after="0" w:line="240" w:lineRule="auto"/>
              <w:rPr>
                <w:rFonts w:ascii="Times New Roman" w:eastAsia="Times New Roman" w:hAnsi="Times New Roman" w:cs="Times New Roman"/>
                <w:sz w:val="20"/>
                <w:szCs w:val="20"/>
                <w:lang w:eastAsia="en-GB"/>
              </w:rPr>
            </w:pPr>
          </w:p>
        </w:tc>
        <w:tc>
          <w:tcPr>
            <w:tcW w:w="892" w:type="dxa"/>
            <w:tcBorders>
              <w:top w:val="nil"/>
              <w:left w:val="nil"/>
              <w:bottom w:val="nil"/>
              <w:right w:val="nil"/>
            </w:tcBorders>
            <w:shd w:val="clear" w:color="auto" w:fill="auto"/>
            <w:noWrap/>
            <w:vAlign w:val="center"/>
            <w:hideMark/>
          </w:tcPr>
          <w:p w14:paraId="66955AEB" w14:textId="77777777" w:rsidR="00E70CD3" w:rsidRPr="00DA5F44" w:rsidRDefault="00E70CD3" w:rsidP="007729E5">
            <w:pPr>
              <w:spacing w:after="0" w:line="240" w:lineRule="auto"/>
              <w:rPr>
                <w:rFonts w:ascii="Times New Roman" w:eastAsia="Times New Roman" w:hAnsi="Times New Roman" w:cs="Times New Roman"/>
                <w:sz w:val="20"/>
                <w:szCs w:val="20"/>
                <w:lang w:eastAsia="en-GB"/>
              </w:rPr>
            </w:pPr>
          </w:p>
        </w:tc>
        <w:tc>
          <w:tcPr>
            <w:tcW w:w="967" w:type="dxa"/>
            <w:tcBorders>
              <w:top w:val="nil"/>
              <w:left w:val="nil"/>
              <w:bottom w:val="nil"/>
              <w:right w:val="nil"/>
            </w:tcBorders>
            <w:shd w:val="clear" w:color="auto" w:fill="auto"/>
            <w:noWrap/>
            <w:vAlign w:val="bottom"/>
            <w:hideMark/>
          </w:tcPr>
          <w:p w14:paraId="0ACDE8AE" w14:textId="77777777" w:rsidR="00E70CD3" w:rsidRPr="00DA5F44" w:rsidRDefault="00E70CD3" w:rsidP="007729E5">
            <w:pPr>
              <w:spacing w:after="0" w:line="240" w:lineRule="auto"/>
              <w:rPr>
                <w:rFonts w:ascii="Times New Roman" w:eastAsia="Times New Roman" w:hAnsi="Times New Roman" w:cs="Times New Roman"/>
                <w:sz w:val="20"/>
                <w:szCs w:val="20"/>
                <w:lang w:eastAsia="en-GB"/>
              </w:rPr>
            </w:pPr>
          </w:p>
        </w:tc>
        <w:tc>
          <w:tcPr>
            <w:tcW w:w="892" w:type="dxa"/>
            <w:tcBorders>
              <w:top w:val="nil"/>
              <w:left w:val="nil"/>
              <w:bottom w:val="nil"/>
              <w:right w:val="nil"/>
            </w:tcBorders>
            <w:shd w:val="clear" w:color="auto" w:fill="auto"/>
            <w:noWrap/>
            <w:vAlign w:val="center"/>
            <w:hideMark/>
          </w:tcPr>
          <w:p w14:paraId="1863FFA1" w14:textId="77777777" w:rsidR="00E70CD3" w:rsidRPr="00DA5F44" w:rsidRDefault="00E70CD3" w:rsidP="007729E5">
            <w:pPr>
              <w:spacing w:after="0" w:line="240" w:lineRule="auto"/>
              <w:rPr>
                <w:rFonts w:ascii="Times New Roman" w:eastAsia="Times New Roman" w:hAnsi="Times New Roman" w:cs="Times New Roman"/>
                <w:sz w:val="20"/>
                <w:szCs w:val="20"/>
                <w:lang w:eastAsia="en-GB"/>
              </w:rPr>
            </w:pPr>
          </w:p>
        </w:tc>
      </w:tr>
      <w:tr w:rsidR="00E70CD3" w:rsidRPr="00543D10" w14:paraId="5C177ABD" w14:textId="77777777" w:rsidTr="006647C2">
        <w:trPr>
          <w:trHeight w:val="2402"/>
        </w:trPr>
        <w:tc>
          <w:tcPr>
            <w:tcW w:w="10308" w:type="dxa"/>
            <w:gridSpan w:val="6"/>
            <w:tcBorders>
              <w:top w:val="nil"/>
              <w:left w:val="nil"/>
              <w:bottom w:val="nil"/>
              <w:right w:val="nil"/>
            </w:tcBorders>
            <w:shd w:val="clear" w:color="auto" w:fill="auto"/>
            <w:hideMark/>
          </w:tcPr>
          <w:p w14:paraId="2B42E10A" w14:textId="77777777" w:rsidR="00E70CD3" w:rsidRDefault="00E70CD3" w:rsidP="006647C2">
            <w:pPr>
              <w:spacing w:after="0" w:line="240" w:lineRule="auto"/>
              <w:ind w:right="846"/>
              <w:jc w:val="both"/>
              <w:rPr>
                <w:rFonts w:ascii="Arial" w:eastAsia="Times New Roman" w:hAnsi="Arial" w:cs="Arial"/>
                <w:sz w:val="24"/>
                <w:szCs w:val="24"/>
                <w:lang w:eastAsia="en-GB"/>
              </w:rPr>
            </w:pPr>
            <w:r w:rsidRPr="00543D10">
              <w:rPr>
                <w:rFonts w:ascii="Arial" w:eastAsia="Times New Roman" w:hAnsi="Arial" w:cs="Arial"/>
                <w:sz w:val="24"/>
                <w:szCs w:val="24"/>
                <w:lang w:eastAsia="en-GB"/>
              </w:rPr>
              <w:t>The Trust joined the Platinum multi-employer pass ported pension scheme in October 2010 in order to accommodate the pension arrangements for staff whose employment transferred to the Trust under TUPE as a result of the Trust being aw</w:t>
            </w:r>
            <w:r w:rsidR="00072096">
              <w:rPr>
                <w:rFonts w:ascii="Arial" w:eastAsia="Times New Roman" w:hAnsi="Arial" w:cs="Arial"/>
                <w:sz w:val="24"/>
                <w:szCs w:val="24"/>
                <w:lang w:eastAsia="en-GB"/>
              </w:rPr>
              <w:t>arded the Work Choice contract.</w:t>
            </w:r>
            <w:r w:rsidRPr="00543D10">
              <w:rPr>
                <w:rFonts w:ascii="Arial" w:eastAsia="Times New Roman" w:hAnsi="Arial" w:cs="Arial"/>
                <w:sz w:val="24"/>
                <w:szCs w:val="24"/>
                <w:lang w:eastAsia="en-GB"/>
              </w:rPr>
              <w:t xml:space="preserve"> </w:t>
            </w:r>
            <w:r w:rsidRPr="007A6448">
              <w:rPr>
                <w:rFonts w:ascii="Arial" w:eastAsia="Times New Roman" w:hAnsi="Arial" w:cs="Arial"/>
                <w:sz w:val="24"/>
                <w:szCs w:val="24"/>
                <w:lang w:eastAsia="en-GB"/>
              </w:rPr>
              <w:t>A formal actuarial valuation was ca</w:t>
            </w:r>
            <w:r w:rsidR="00A6364B" w:rsidRPr="007A6448">
              <w:rPr>
                <w:rFonts w:ascii="Arial" w:eastAsia="Times New Roman" w:hAnsi="Arial" w:cs="Arial"/>
                <w:sz w:val="24"/>
                <w:szCs w:val="24"/>
                <w:lang w:eastAsia="en-GB"/>
              </w:rPr>
              <w:t>rried out as at 31 December 2016</w:t>
            </w:r>
            <w:r w:rsidRPr="007A6448">
              <w:rPr>
                <w:rFonts w:ascii="Arial" w:eastAsia="Times New Roman" w:hAnsi="Arial" w:cs="Arial"/>
                <w:sz w:val="24"/>
                <w:szCs w:val="24"/>
                <w:lang w:eastAsia="en-GB"/>
              </w:rPr>
              <w:t>. The results of that valuation have</w:t>
            </w:r>
            <w:r w:rsidR="00226E1C" w:rsidRPr="007A6448">
              <w:rPr>
                <w:rFonts w:ascii="Arial" w:eastAsia="Times New Roman" w:hAnsi="Arial" w:cs="Arial"/>
                <w:sz w:val="24"/>
                <w:szCs w:val="24"/>
                <w:lang w:eastAsia="en-GB"/>
              </w:rPr>
              <w:t xml:space="preserve"> been projected to 31 March 2019</w:t>
            </w:r>
            <w:r w:rsidRPr="007A6448">
              <w:rPr>
                <w:rFonts w:ascii="Arial" w:eastAsia="Times New Roman" w:hAnsi="Arial" w:cs="Arial"/>
                <w:sz w:val="24"/>
                <w:szCs w:val="24"/>
                <w:lang w:eastAsia="en-GB"/>
              </w:rPr>
              <w:t xml:space="preserve"> with allowance for the payroll and benefit information with which I have been provided and using the assumptions set out below</w:t>
            </w:r>
            <w:r w:rsidRPr="00543D10">
              <w:rPr>
                <w:rFonts w:ascii="Arial" w:eastAsia="Times New Roman" w:hAnsi="Arial" w:cs="Arial"/>
                <w:sz w:val="24"/>
                <w:szCs w:val="24"/>
                <w:lang w:eastAsia="en-GB"/>
              </w:rPr>
              <w:t>. The figures in the following disclosure were measured using the Projected Unit Method. The major assumptions used by the actuary for the last two years are:</w:t>
            </w:r>
          </w:p>
          <w:p w14:paraId="3FC00C48" w14:textId="77777777" w:rsidR="006E7C43" w:rsidRDefault="006E7C43" w:rsidP="006647C2">
            <w:pPr>
              <w:spacing w:after="0" w:line="240" w:lineRule="auto"/>
              <w:ind w:right="846"/>
              <w:jc w:val="both"/>
              <w:rPr>
                <w:rFonts w:ascii="Arial" w:eastAsia="Times New Roman" w:hAnsi="Arial" w:cs="Arial"/>
                <w:sz w:val="24"/>
                <w:szCs w:val="24"/>
                <w:lang w:eastAsia="en-GB"/>
              </w:rPr>
            </w:pPr>
          </w:p>
          <w:p w14:paraId="45A40338" w14:textId="77777777" w:rsidR="006C07DD" w:rsidRDefault="006C07DD" w:rsidP="006C07DD">
            <w:pPr>
              <w:spacing w:after="0" w:line="240" w:lineRule="auto"/>
              <w:rPr>
                <w:rFonts w:ascii="Arial" w:hAnsi="Arial" w:cs="Arial"/>
                <w:b/>
                <w:i/>
                <w:sz w:val="24"/>
                <w:szCs w:val="24"/>
              </w:rPr>
            </w:pPr>
            <w:r w:rsidRPr="0088736E">
              <w:rPr>
                <w:rFonts w:ascii="Arial" w:hAnsi="Arial" w:cs="Arial"/>
                <w:b/>
                <w:i/>
                <w:sz w:val="24"/>
                <w:szCs w:val="24"/>
              </w:rPr>
              <w:lastRenderedPageBreak/>
              <w:t xml:space="preserve">Notes to the financial </w:t>
            </w:r>
            <w:r>
              <w:rPr>
                <w:rFonts w:ascii="Arial" w:hAnsi="Arial" w:cs="Arial"/>
                <w:b/>
                <w:i/>
                <w:sz w:val="24"/>
                <w:szCs w:val="24"/>
              </w:rPr>
              <w:t>statements</w:t>
            </w:r>
            <w:r w:rsidRPr="0088736E">
              <w:rPr>
                <w:rFonts w:ascii="Arial" w:hAnsi="Arial" w:cs="Arial"/>
                <w:b/>
                <w:i/>
                <w:sz w:val="24"/>
                <w:szCs w:val="24"/>
              </w:rPr>
              <w:t xml:space="preserve"> (continued)</w:t>
            </w:r>
          </w:p>
          <w:p w14:paraId="401C45BF" w14:textId="77777777" w:rsidR="006C07DD" w:rsidRDefault="006C07DD" w:rsidP="006E7C43">
            <w:pPr>
              <w:autoSpaceDE w:val="0"/>
              <w:autoSpaceDN w:val="0"/>
              <w:adjustRightInd w:val="0"/>
              <w:spacing w:after="0" w:line="240" w:lineRule="auto"/>
              <w:rPr>
                <w:rFonts w:ascii="Arial" w:hAnsi="Arial" w:cs="Arial"/>
                <w:b/>
                <w:sz w:val="24"/>
                <w:szCs w:val="24"/>
              </w:rPr>
            </w:pPr>
          </w:p>
          <w:p w14:paraId="17AC9864" w14:textId="77777777" w:rsidR="006E7C43" w:rsidRDefault="006E7C43" w:rsidP="006E7C43">
            <w:pPr>
              <w:autoSpaceDE w:val="0"/>
              <w:autoSpaceDN w:val="0"/>
              <w:adjustRightInd w:val="0"/>
              <w:spacing w:after="0" w:line="240" w:lineRule="auto"/>
              <w:rPr>
                <w:rFonts w:ascii="Arial" w:hAnsi="Arial" w:cs="Arial"/>
                <w:b/>
                <w:sz w:val="24"/>
                <w:szCs w:val="24"/>
              </w:rPr>
            </w:pPr>
            <w:r w:rsidRPr="005076F2">
              <w:rPr>
                <w:rFonts w:ascii="Arial" w:hAnsi="Arial" w:cs="Arial"/>
                <w:b/>
                <w:sz w:val="24"/>
                <w:szCs w:val="24"/>
              </w:rPr>
              <w:t>24. Pension commitments (continued)</w:t>
            </w:r>
          </w:p>
          <w:p w14:paraId="535EEC4C" w14:textId="77777777" w:rsidR="006E7C43" w:rsidRPr="00543D10" w:rsidRDefault="006E7C43" w:rsidP="006647C2">
            <w:pPr>
              <w:spacing w:after="0" w:line="240" w:lineRule="auto"/>
              <w:ind w:right="846"/>
              <w:jc w:val="both"/>
              <w:rPr>
                <w:rFonts w:ascii="Arial" w:eastAsia="Times New Roman" w:hAnsi="Arial" w:cs="Arial"/>
                <w:sz w:val="24"/>
                <w:szCs w:val="24"/>
                <w:lang w:eastAsia="en-GB"/>
              </w:rPr>
            </w:pPr>
          </w:p>
          <w:p w14:paraId="7B9C13BF" w14:textId="77777777" w:rsidR="00E70CD3" w:rsidRPr="00543D10" w:rsidRDefault="00E70CD3" w:rsidP="007729E5">
            <w:pPr>
              <w:spacing w:after="0" w:line="240" w:lineRule="auto"/>
              <w:rPr>
                <w:rFonts w:ascii="Arial" w:eastAsia="Times New Roman" w:hAnsi="Arial" w:cs="Arial"/>
                <w:sz w:val="20"/>
                <w:szCs w:val="20"/>
                <w:lang w:eastAsia="en-GB"/>
              </w:rPr>
            </w:pPr>
          </w:p>
          <w:tbl>
            <w:tblPr>
              <w:tblW w:w="9082" w:type="dxa"/>
              <w:tblLook w:val="04A0" w:firstRow="1" w:lastRow="0" w:firstColumn="1" w:lastColumn="0" w:noHBand="0" w:noVBand="1"/>
            </w:tblPr>
            <w:tblGrid>
              <w:gridCol w:w="4354"/>
              <w:gridCol w:w="407"/>
              <w:gridCol w:w="1197"/>
              <w:gridCol w:w="1195"/>
              <w:gridCol w:w="953"/>
              <w:gridCol w:w="976"/>
            </w:tblGrid>
            <w:tr w:rsidR="00543D10" w:rsidRPr="00543D10" w14:paraId="771A8737" w14:textId="77777777" w:rsidTr="00022375">
              <w:trPr>
                <w:trHeight w:val="325"/>
              </w:trPr>
              <w:tc>
                <w:tcPr>
                  <w:tcW w:w="4354" w:type="dxa"/>
                  <w:tcBorders>
                    <w:top w:val="nil"/>
                    <w:left w:val="nil"/>
                    <w:bottom w:val="single" w:sz="4" w:space="0" w:color="auto"/>
                    <w:right w:val="nil"/>
                  </w:tcBorders>
                  <w:shd w:val="clear" w:color="auto" w:fill="auto"/>
                  <w:noWrap/>
                  <w:vAlign w:val="center"/>
                  <w:hideMark/>
                </w:tcPr>
                <w:p w14:paraId="2DAE750F" w14:textId="77777777" w:rsidR="00E70CD3" w:rsidRPr="00543D10" w:rsidRDefault="00E70CD3" w:rsidP="007729E5">
                  <w:pPr>
                    <w:spacing w:after="0" w:line="240" w:lineRule="auto"/>
                    <w:rPr>
                      <w:rFonts w:ascii="Arial" w:eastAsia="Times New Roman" w:hAnsi="Arial" w:cs="Arial"/>
                      <w:sz w:val="20"/>
                      <w:szCs w:val="20"/>
                      <w:lang w:eastAsia="en-GB"/>
                    </w:rPr>
                  </w:pPr>
                  <w:r w:rsidRPr="00543D10">
                    <w:rPr>
                      <w:rFonts w:ascii="Arial" w:eastAsia="Times New Roman" w:hAnsi="Arial" w:cs="Arial"/>
                      <w:sz w:val="20"/>
                      <w:szCs w:val="20"/>
                      <w:lang w:eastAsia="en-GB"/>
                    </w:rPr>
                    <w:t> </w:t>
                  </w:r>
                </w:p>
              </w:tc>
              <w:tc>
                <w:tcPr>
                  <w:tcW w:w="407" w:type="dxa"/>
                  <w:tcBorders>
                    <w:top w:val="nil"/>
                    <w:left w:val="nil"/>
                    <w:bottom w:val="single" w:sz="4" w:space="0" w:color="auto"/>
                    <w:right w:val="nil"/>
                  </w:tcBorders>
                  <w:shd w:val="clear" w:color="auto" w:fill="auto"/>
                  <w:noWrap/>
                  <w:vAlign w:val="bottom"/>
                  <w:hideMark/>
                </w:tcPr>
                <w:p w14:paraId="18CD7EDE" w14:textId="77777777" w:rsidR="00E70CD3" w:rsidRPr="00543D10" w:rsidRDefault="00E70CD3" w:rsidP="007729E5">
                  <w:pPr>
                    <w:spacing w:after="0" w:line="240" w:lineRule="auto"/>
                    <w:rPr>
                      <w:rFonts w:ascii="Arial" w:eastAsia="Times New Roman" w:hAnsi="Arial" w:cs="Arial"/>
                      <w:sz w:val="20"/>
                      <w:szCs w:val="20"/>
                      <w:lang w:eastAsia="en-GB"/>
                    </w:rPr>
                  </w:pPr>
                  <w:r w:rsidRPr="00543D10">
                    <w:rPr>
                      <w:rFonts w:ascii="Arial" w:eastAsia="Times New Roman" w:hAnsi="Arial" w:cs="Arial"/>
                      <w:sz w:val="20"/>
                      <w:szCs w:val="20"/>
                      <w:lang w:eastAsia="en-GB"/>
                    </w:rPr>
                    <w:t> </w:t>
                  </w:r>
                </w:p>
              </w:tc>
              <w:tc>
                <w:tcPr>
                  <w:tcW w:w="1197" w:type="dxa"/>
                  <w:tcBorders>
                    <w:top w:val="nil"/>
                    <w:left w:val="nil"/>
                    <w:bottom w:val="single" w:sz="4" w:space="0" w:color="auto"/>
                    <w:right w:val="nil"/>
                  </w:tcBorders>
                  <w:shd w:val="clear" w:color="auto" w:fill="auto"/>
                  <w:noWrap/>
                  <w:vAlign w:val="bottom"/>
                  <w:hideMark/>
                </w:tcPr>
                <w:p w14:paraId="1E88C9E4" w14:textId="77777777" w:rsidR="00E70CD3" w:rsidRPr="00543D10" w:rsidRDefault="00E70CD3" w:rsidP="007729E5">
                  <w:pPr>
                    <w:spacing w:after="0" w:line="240" w:lineRule="auto"/>
                    <w:rPr>
                      <w:rFonts w:ascii="Arial" w:eastAsia="Times New Roman" w:hAnsi="Arial" w:cs="Arial"/>
                      <w:sz w:val="20"/>
                      <w:szCs w:val="20"/>
                      <w:lang w:eastAsia="en-GB"/>
                    </w:rPr>
                  </w:pPr>
                  <w:r w:rsidRPr="00543D10">
                    <w:rPr>
                      <w:rFonts w:ascii="Arial" w:eastAsia="Times New Roman" w:hAnsi="Arial" w:cs="Arial"/>
                      <w:sz w:val="20"/>
                      <w:szCs w:val="20"/>
                      <w:lang w:eastAsia="en-GB"/>
                    </w:rPr>
                    <w:t> </w:t>
                  </w:r>
                </w:p>
              </w:tc>
              <w:tc>
                <w:tcPr>
                  <w:tcW w:w="1195" w:type="dxa"/>
                  <w:tcBorders>
                    <w:top w:val="nil"/>
                    <w:left w:val="nil"/>
                    <w:bottom w:val="single" w:sz="4" w:space="0" w:color="auto"/>
                    <w:right w:val="nil"/>
                  </w:tcBorders>
                  <w:shd w:val="clear" w:color="auto" w:fill="auto"/>
                  <w:noWrap/>
                  <w:vAlign w:val="bottom"/>
                  <w:hideMark/>
                </w:tcPr>
                <w:p w14:paraId="00B5EEFF" w14:textId="77777777" w:rsidR="00E70CD3" w:rsidRPr="00543D10" w:rsidRDefault="00E70CD3" w:rsidP="007729E5">
                  <w:pPr>
                    <w:spacing w:after="0" w:line="240" w:lineRule="auto"/>
                    <w:rPr>
                      <w:rFonts w:ascii="Arial" w:eastAsia="Times New Roman" w:hAnsi="Arial" w:cs="Arial"/>
                      <w:sz w:val="20"/>
                      <w:szCs w:val="20"/>
                      <w:lang w:eastAsia="en-GB"/>
                    </w:rPr>
                  </w:pPr>
                  <w:r w:rsidRPr="00543D10">
                    <w:rPr>
                      <w:rFonts w:ascii="Arial" w:eastAsia="Times New Roman" w:hAnsi="Arial" w:cs="Arial"/>
                      <w:sz w:val="20"/>
                      <w:szCs w:val="20"/>
                      <w:lang w:eastAsia="en-GB"/>
                    </w:rPr>
                    <w:t> </w:t>
                  </w:r>
                </w:p>
              </w:tc>
              <w:tc>
                <w:tcPr>
                  <w:tcW w:w="953" w:type="dxa"/>
                  <w:tcBorders>
                    <w:top w:val="nil"/>
                    <w:left w:val="nil"/>
                    <w:bottom w:val="single" w:sz="4" w:space="0" w:color="auto"/>
                    <w:right w:val="nil"/>
                  </w:tcBorders>
                  <w:shd w:val="clear" w:color="auto" w:fill="auto"/>
                  <w:noWrap/>
                  <w:vAlign w:val="center"/>
                  <w:hideMark/>
                </w:tcPr>
                <w:p w14:paraId="5E9E64D5" w14:textId="77777777" w:rsidR="00E70CD3" w:rsidRPr="00543D10" w:rsidRDefault="0037645F" w:rsidP="005229F1">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2020</w:t>
                  </w:r>
                </w:p>
              </w:tc>
              <w:tc>
                <w:tcPr>
                  <w:tcW w:w="976" w:type="dxa"/>
                  <w:tcBorders>
                    <w:top w:val="nil"/>
                    <w:left w:val="nil"/>
                    <w:bottom w:val="single" w:sz="4" w:space="0" w:color="auto"/>
                    <w:right w:val="nil"/>
                  </w:tcBorders>
                  <w:shd w:val="clear" w:color="auto" w:fill="auto"/>
                  <w:noWrap/>
                  <w:vAlign w:val="center"/>
                  <w:hideMark/>
                </w:tcPr>
                <w:p w14:paraId="7D8F220F" w14:textId="77777777" w:rsidR="00E70CD3" w:rsidRPr="00543D10" w:rsidRDefault="0037645F" w:rsidP="005229F1">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2019</w:t>
                  </w:r>
                </w:p>
              </w:tc>
            </w:tr>
            <w:tr w:rsidR="00416FDD" w:rsidRPr="00543D10" w14:paraId="09742929" w14:textId="77777777" w:rsidTr="00022375">
              <w:trPr>
                <w:trHeight w:val="325"/>
              </w:trPr>
              <w:tc>
                <w:tcPr>
                  <w:tcW w:w="4354" w:type="dxa"/>
                  <w:tcBorders>
                    <w:top w:val="nil"/>
                    <w:left w:val="nil"/>
                    <w:bottom w:val="nil"/>
                    <w:right w:val="nil"/>
                  </w:tcBorders>
                  <w:shd w:val="clear" w:color="auto" w:fill="auto"/>
                  <w:noWrap/>
                  <w:vAlign w:val="center"/>
                  <w:hideMark/>
                </w:tcPr>
                <w:p w14:paraId="4FC24D3A" w14:textId="77777777" w:rsidR="00416FDD" w:rsidRPr="00543D10" w:rsidRDefault="00416FDD" w:rsidP="00416FDD">
                  <w:pPr>
                    <w:spacing w:after="0" w:line="240" w:lineRule="auto"/>
                    <w:rPr>
                      <w:rFonts w:ascii="Arial" w:eastAsia="Times New Roman" w:hAnsi="Arial" w:cs="Arial"/>
                      <w:sz w:val="20"/>
                      <w:szCs w:val="20"/>
                      <w:lang w:eastAsia="en-GB"/>
                    </w:rPr>
                  </w:pPr>
                  <w:r w:rsidRPr="00543D10">
                    <w:rPr>
                      <w:rFonts w:ascii="Arial" w:eastAsia="Times New Roman" w:hAnsi="Arial" w:cs="Arial"/>
                      <w:sz w:val="20"/>
                      <w:szCs w:val="20"/>
                      <w:lang w:eastAsia="en-GB"/>
                    </w:rPr>
                    <w:t>Expected rate of salary increases</w:t>
                  </w:r>
                </w:p>
              </w:tc>
              <w:tc>
                <w:tcPr>
                  <w:tcW w:w="407" w:type="dxa"/>
                  <w:tcBorders>
                    <w:top w:val="nil"/>
                    <w:left w:val="nil"/>
                    <w:bottom w:val="nil"/>
                    <w:right w:val="nil"/>
                  </w:tcBorders>
                  <w:shd w:val="clear" w:color="auto" w:fill="auto"/>
                  <w:noWrap/>
                  <w:vAlign w:val="bottom"/>
                  <w:hideMark/>
                </w:tcPr>
                <w:p w14:paraId="6C199AD6" w14:textId="77777777" w:rsidR="00416FDD" w:rsidRPr="00543D10" w:rsidRDefault="00416FDD" w:rsidP="00416FDD">
                  <w:pPr>
                    <w:spacing w:after="0" w:line="240" w:lineRule="auto"/>
                    <w:rPr>
                      <w:rFonts w:ascii="Arial" w:eastAsia="Times New Roman" w:hAnsi="Arial" w:cs="Arial"/>
                      <w:sz w:val="20"/>
                      <w:szCs w:val="20"/>
                      <w:lang w:eastAsia="en-GB"/>
                    </w:rPr>
                  </w:pPr>
                </w:p>
              </w:tc>
              <w:tc>
                <w:tcPr>
                  <w:tcW w:w="1197" w:type="dxa"/>
                  <w:tcBorders>
                    <w:top w:val="nil"/>
                    <w:left w:val="nil"/>
                    <w:bottom w:val="nil"/>
                    <w:right w:val="nil"/>
                  </w:tcBorders>
                  <w:shd w:val="clear" w:color="auto" w:fill="auto"/>
                  <w:noWrap/>
                  <w:vAlign w:val="bottom"/>
                  <w:hideMark/>
                </w:tcPr>
                <w:p w14:paraId="2D55EBBE" w14:textId="77777777" w:rsidR="00416FDD" w:rsidRPr="00543D10" w:rsidRDefault="00416FDD" w:rsidP="00416FDD">
                  <w:pPr>
                    <w:spacing w:after="0" w:line="240" w:lineRule="auto"/>
                    <w:rPr>
                      <w:rFonts w:ascii="Times New Roman" w:eastAsia="Times New Roman" w:hAnsi="Times New Roman" w:cs="Times New Roman"/>
                      <w:sz w:val="20"/>
                      <w:szCs w:val="20"/>
                      <w:lang w:eastAsia="en-GB"/>
                    </w:rPr>
                  </w:pPr>
                </w:p>
              </w:tc>
              <w:tc>
                <w:tcPr>
                  <w:tcW w:w="1195" w:type="dxa"/>
                  <w:tcBorders>
                    <w:top w:val="nil"/>
                    <w:left w:val="nil"/>
                    <w:bottom w:val="nil"/>
                    <w:right w:val="nil"/>
                  </w:tcBorders>
                  <w:shd w:val="clear" w:color="auto" w:fill="auto"/>
                  <w:noWrap/>
                  <w:vAlign w:val="bottom"/>
                  <w:hideMark/>
                </w:tcPr>
                <w:p w14:paraId="5441B65B" w14:textId="77777777" w:rsidR="00416FDD" w:rsidRPr="00543D10" w:rsidRDefault="00416FDD" w:rsidP="00416FDD">
                  <w:pPr>
                    <w:spacing w:after="0" w:line="240" w:lineRule="auto"/>
                    <w:rPr>
                      <w:rFonts w:ascii="Times New Roman" w:eastAsia="Times New Roman" w:hAnsi="Times New Roman" w:cs="Times New Roman"/>
                      <w:sz w:val="20"/>
                      <w:szCs w:val="20"/>
                      <w:lang w:eastAsia="en-GB"/>
                    </w:rPr>
                  </w:pPr>
                </w:p>
              </w:tc>
              <w:tc>
                <w:tcPr>
                  <w:tcW w:w="953" w:type="dxa"/>
                  <w:tcBorders>
                    <w:top w:val="nil"/>
                    <w:left w:val="nil"/>
                    <w:bottom w:val="nil"/>
                    <w:right w:val="nil"/>
                  </w:tcBorders>
                  <w:shd w:val="clear" w:color="auto" w:fill="auto"/>
                  <w:noWrap/>
                  <w:vAlign w:val="center"/>
                  <w:hideMark/>
                </w:tcPr>
                <w:p w14:paraId="77FDB532" w14:textId="77777777" w:rsidR="00416FDD" w:rsidRPr="00543D10" w:rsidRDefault="00416FDD" w:rsidP="00416FDD">
                  <w:pPr>
                    <w:spacing w:after="0" w:line="240" w:lineRule="auto"/>
                    <w:jc w:val="right"/>
                    <w:rPr>
                      <w:rFonts w:ascii="Arial" w:eastAsia="Times New Roman" w:hAnsi="Arial" w:cs="Arial"/>
                      <w:b/>
                      <w:bCs/>
                      <w:sz w:val="20"/>
                      <w:szCs w:val="20"/>
                      <w:lang w:eastAsia="en-GB"/>
                    </w:rPr>
                  </w:pPr>
                  <w:r w:rsidRPr="00543D10">
                    <w:rPr>
                      <w:rFonts w:ascii="Arial" w:eastAsia="Times New Roman" w:hAnsi="Arial" w:cs="Arial"/>
                      <w:b/>
                      <w:bCs/>
                      <w:sz w:val="20"/>
                      <w:szCs w:val="20"/>
                      <w:lang w:eastAsia="en-GB"/>
                    </w:rPr>
                    <w:t>N/A</w:t>
                  </w:r>
                </w:p>
              </w:tc>
              <w:tc>
                <w:tcPr>
                  <w:tcW w:w="976" w:type="dxa"/>
                  <w:tcBorders>
                    <w:top w:val="nil"/>
                    <w:left w:val="nil"/>
                    <w:bottom w:val="nil"/>
                    <w:right w:val="nil"/>
                  </w:tcBorders>
                  <w:shd w:val="clear" w:color="auto" w:fill="auto"/>
                  <w:noWrap/>
                  <w:vAlign w:val="center"/>
                  <w:hideMark/>
                </w:tcPr>
                <w:p w14:paraId="5B1D2DD5" w14:textId="77777777" w:rsidR="00416FDD" w:rsidRPr="00416FDD" w:rsidRDefault="00416FDD" w:rsidP="00416FDD">
                  <w:pPr>
                    <w:spacing w:after="0" w:line="240" w:lineRule="auto"/>
                    <w:jc w:val="right"/>
                    <w:rPr>
                      <w:rFonts w:ascii="Arial" w:eastAsia="Times New Roman" w:hAnsi="Arial" w:cs="Arial"/>
                      <w:sz w:val="20"/>
                      <w:szCs w:val="20"/>
                      <w:lang w:eastAsia="en-GB"/>
                    </w:rPr>
                  </w:pPr>
                  <w:r w:rsidRPr="00416FDD">
                    <w:rPr>
                      <w:rFonts w:ascii="Arial" w:eastAsia="Times New Roman" w:hAnsi="Arial" w:cs="Arial"/>
                      <w:bCs/>
                      <w:sz w:val="20"/>
                      <w:szCs w:val="20"/>
                      <w:lang w:eastAsia="en-GB"/>
                    </w:rPr>
                    <w:t>N/A</w:t>
                  </w:r>
                </w:p>
              </w:tc>
            </w:tr>
            <w:tr w:rsidR="00416FDD" w:rsidRPr="00543D10" w14:paraId="706F3730" w14:textId="77777777" w:rsidTr="00697C96">
              <w:trPr>
                <w:trHeight w:val="325"/>
              </w:trPr>
              <w:tc>
                <w:tcPr>
                  <w:tcW w:w="5958" w:type="dxa"/>
                  <w:gridSpan w:val="3"/>
                  <w:tcBorders>
                    <w:top w:val="nil"/>
                    <w:left w:val="nil"/>
                    <w:bottom w:val="nil"/>
                    <w:right w:val="nil"/>
                  </w:tcBorders>
                  <w:shd w:val="clear" w:color="auto" w:fill="auto"/>
                  <w:noWrap/>
                  <w:vAlign w:val="center"/>
                  <w:hideMark/>
                </w:tcPr>
                <w:p w14:paraId="485BC922" w14:textId="77777777" w:rsidR="00416FDD" w:rsidRPr="00543D10" w:rsidRDefault="00416FDD" w:rsidP="00416FDD">
                  <w:pPr>
                    <w:spacing w:after="0" w:line="240" w:lineRule="auto"/>
                    <w:rPr>
                      <w:rFonts w:ascii="Arial" w:eastAsia="Times New Roman" w:hAnsi="Arial" w:cs="Arial"/>
                      <w:sz w:val="20"/>
                      <w:szCs w:val="20"/>
                      <w:lang w:eastAsia="en-GB"/>
                    </w:rPr>
                  </w:pPr>
                  <w:r w:rsidRPr="00543D10">
                    <w:rPr>
                      <w:rFonts w:ascii="Arial" w:eastAsia="Times New Roman" w:hAnsi="Arial" w:cs="Arial"/>
                      <w:sz w:val="20"/>
                      <w:szCs w:val="20"/>
                      <w:lang w:eastAsia="en-GB"/>
                    </w:rPr>
                    <w:t>Expected rate of increase of pensions in payments</w:t>
                  </w:r>
                </w:p>
              </w:tc>
              <w:tc>
                <w:tcPr>
                  <w:tcW w:w="1195" w:type="dxa"/>
                  <w:tcBorders>
                    <w:top w:val="nil"/>
                    <w:left w:val="nil"/>
                    <w:bottom w:val="nil"/>
                    <w:right w:val="nil"/>
                  </w:tcBorders>
                  <w:shd w:val="clear" w:color="auto" w:fill="auto"/>
                  <w:noWrap/>
                  <w:vAlign w:val="bottom"/>
                  <w:hideMark/>
                </w:tcPr>
                <w:p w14:paraId="044002E2" w14:textId="77777777" w:rsidR="00416FDD" w:rsidRPr="00543D10" w:rsidRDefault="00416FDD" w:rsidP="00416FDD">
                  <w:pPr>
                    <w:spacing w:after="0" w:line="240" w:lineRule="auto"/>
                    <w:rPr>
                      <w:rFonts w:ascii="Arial" w:eastAsia="Times New Roman" w:hAnsi="Arial" w:cs="Arial"/>
                      <w:sz w:val="20"/>
                      <w:szCs w:val="20"/>
                      <w:lang w:eastAsia="en-GB"/>
                    </w:rPr>
                  </w:pPr>
                </w:p>
              </w:tc>
              <w:tc>
                <w:tcPr>
                  <w:tcW w:w="953" w:type="dxa"/>
                  <w:tcBorders>
                    <w:top w:val="nil"/>
                    <w:left w:val="nil"/>
                    <w:bottom w:val="nil"/>
                    <w:right w:val="nil"/>
                  </w:tcBorders>
                  <w:shd w:val="clear" w:color="auto" w:fill="auto"/>
                  <w:noWrap/>
                  <w:vAlign w:val="center"/>
                  <w:hideMark/>
                </w:tcPr>
                <w:p w14:paraId="26BB504D" w14:textId="77777777" w:rsidR="00416FDD" w:rsidRPr="00543D10" w:rsidRDefault="00456CF6" w:rsidP="0069798A">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2.7</w:t>
                  </w:r>
                  <w:r w:rsidR="00416FDD" w:rsidRPr="00543D10">
                    <w:rPr>
                      <w:rFonts w:ascii="Arial" w:eastAsia="Times New Roman" w:hAnsi="Arial" w:cs="Arial"/>
                      <w:b/>
                      <w:bCs/>
                      <w:sz w:val="20"/>
                      <w:szCs w:val="20"/>
                      <w:lang w:eastAsia="en-GB"/>
                    </w:rPr>
                    <w:t>%</w:t>
                  </w:r>
                </w:p>
              </w:tc>
              <w:tc>
                <w:tcPr>
                  <w:tcW w:w="976" w:type="dxa"/>
                  <w:tcBorders>
                    <w:top w:val="nil"/>
                    <w:left w:val="nil"/>
                    <w:bottom w:val="nil"/>
                    <w:right w:val="nil"/>
                  </w:tcBorders>
                  <w:shd w:val="clear" w:color="auto" w:fill="auto"/>
                  <w:noWrap/>
                  <w:vAlign w:val="center"/>
                  <w:hideMark/>
                </w:tcPr>
                <w:p w14:paraId="7B045649" w14:textId="77777777" w:rsidR="00416FDD" w:rsidRPr="00416FDD" w:rsidRDefault="00416FDD" w:rsidP="00416FDD">
                  <w:pPr>
                    <w:spacing w:after="0" w:line="240" w:lineRule="auto"/>
                    <w:jc w:val="right"/>
                    <w:rPr>
                      <w:rFonts w:ascii="Arial" w:eastAsia="Times New Roman" w:hAnsi="Arial" w:cs="Arial"/>
                      <w:sz w:val="20"/>
                      <w:szCs w:val="20"/>
                      <w:lang w:eastAsia="en-GB"/>
                    </w:rPr>
                  </w:pPr>
                  <w:r w:rsidRPr="00416FDD">
                    <w:rPr>
                      <w:rFonts w:ascii="Arial" w:eastAsia="Times New Roman" w:hAnsi="Arial" w:cs="Arial"/>
                      <w:sz w:val="20"/>
                      <w:szCs w:val="20"/>
                      <w:lang w:eastAsia="en-GB"/>
                    </w:rPr>
                    <w:t>3.0%</w:t>
                  </w:r>
                </w:p>
              </w:tc>
            </w:tr>
            <w:tr w:rsidR="00416FDD" w:rsidRPr="00543D10" w14:paraId="50EC882B" w14:textId="77777777" w:rsidTr="00022375">
              <w:trPr>
                <w:trHeight w:val="325"/>
              </w:trPr>
              <w:tc>
                <w:tcPr>
                  <w:tcW w:w="4354" w:type="dxa"/>
                  <w:tcBorders>
                    <w:top w:val="nil"/>
                    <w:left w:val="nil"/>
                    <w:bottom w:val="nil"/>
                    <w:right w:val="nil"/>
                  </w:tcBorders>
                  <w:shd w:val="clear" w:color="auto" w:fill="auto"/>
                  <w:noWrap/>
                  <w:vAlign w:val="center"/>
                  <w:hideMark/>
                </w:tcPr>
                <w:p w14:paraId="75A51243" w14:textId="77777777" w:rsidR="00416FDD" w:rsidRPr="00543D10" w:rsidRDefault="00416FDD" w:rsidP="00416FDD">
                  <w:pPr>
                    <w:spacing w:after="0" w:line="240" w:lineRule="auto"/>
                    <w:rPr>
                      <w:rFonts w:ascii="Arial" w:eastAsia="Times New Roman" w:hAnsi="Arial" w:cs="Arial"/>
                      <w:sz w:val="20"/>
                      <w:szCs w:val="20"/>
                      <w:lang w:eastAsia="en-GB"/>
                    </w:rPr>
                  </w:pPr>
                  <w:r w:rsidRPr="00543D10">
                    <w:rPr>
                      <w:rFonts w:ascii="Arial" w:eastAsia="Times New Roman" w:hAnsi="Arial" w:cs="Arial"/>
                      <w:sz w:val="20"/>
                      <w:szCs w:val="20"/>
                      <w:lang w:eastAsia="en-GB"/>
                    </w:rPr>
                    <w:t>Rate of inflation</w:t>
                  </w:r>
                </w:p>
              </w:tc>
              <w:tc>
                <w:tcPr>
                  <w:tcW w:w="407" w:type="dxa"/>
                  <w:tcBorders>
                    <w:top w:val="nil"/>
                    <w:left w:val="nil"/>
                    <w:bottom w:val="nil"/>
                    <w:right w:val="nil"/>
                  </w:tcBorders>
                  <w:shd w:val="clear" w:color="auto" w:fill="auto"/>
                  <w:noWrap/>
                  <w:vAlign w:val="bottom"/>
                  <w:hideMark/>
                </w:tcPr>
                <w:p w14:paraId="58BA8ED9" w14:textId="77777777" w:rsidR="00416FDD" w:rsidRPr="00543D10" w:rsidRDefault="00416FDD" w:rsidP="00416FDD">
                  <w:pPr>
                    <w:spacing w:after="0" w:line="240" w:lineRule="auto"/>
                    <w:rPr>
                      <w:rFonts w:ascii="Arial" w:eastAsia="Times New Roman" w:hAnsi="Arial" w:cs="Arial"/>
                      <w:sz w:val="20"/>
                      <w:szCs w:val="20"/>
                      <w:lang w:eastAsia="en-GB"/>
                    </w:rPr>
                  </w:pPr>
                </w:p>
              </w:tc>
              <w:tc>
                <w:tcPr>
                  <w:tcW w:w="1197" w:type="dxa"/>
                  <w:tcBorders>
                    <w:top w:val="nil"/>
                    <w:left w:val="nil"/>
                    <w:bottom w:val="nil"/>
                    <w:right w:val="nil"/>
                  </w:tcBorders>
                  <w:shd w:val="clear" w:color="auto" w:fill="auto"/>
                  <w:noWrap/>
                  <w:vAlign w:val="bottom"/>
                  <w:hideMark/>
                </w:tcPr>
                <w:p w14:paraId="0806F413" w14:textId="77777777" w:rsidR="00416FDD" w:rsidRPr="00543D10" w:rsidRDefault="00416FDD" w:rsidP="00416FDD">
                  <w:pPr>
                    <w:spacing w:after="0" w:line="240" w:lineRule="auto"/>
                    <w:rPr>
                      <w:rFonts w:ascii="Times New Roman" w:eastAsia="Times New Roman" w:hAnsi="Times New Roman" w:cs="Times New Roman"/>
                      <w:sz w:val="20"/>
                      <w:szCs w:val="20"/>
                      <w:lang w:eastAsia="en-GB"/>
                    </w:rPr>
                  </w:pPr>
                </w:p>
              </w:tc>
              <w:tc>
                <w:tcPr>
                  <w:tcW w:w="1195" w:type="dxa"/>
                  <w:tcBorders>
                    <w:top w:val="nil"/>
                    <w:left w:val="nil"/>
                    <w:bottom w:val="nil"/>
                    <w:right w:val="nil"/>
                  </w:tcBorders>
                  <w:shd w:val="clear" w:color="auto" w:fill="auto"/>
                  <w:noWrap/>
                  <w:vAlign w:val="bottom"/>
                  <w:hideMark/>
                </w:tcPr>
                <w:p w14:paraId="0DCE3D32" w14:textId="77777777" w:rsidR="00416FDD" w:rsidRPr="00543D10" w:rsidRDefault="00416FDD" w:rsidP="00416FDD">
                  <w:pPr>
                    <w:spacing w:after="0" w:line="240" w:lineRule="auto"/>
                    <w:rPr>
                      <w:rFonts w:ascii="Times New Roman" w:eastAsia="Times New Roman" w:hAnsi="Times New Roman" w:cs="Times New Roman"/>
                      <w:sz w:val="20"/>
                      <w:szCs w:val="20"/>
                      <w:lang w:eastAsia="en-GB"/>
                    </w:rPr>
                  </w:pPr>
                </w:p>
              </w:tc>
              <w:tc>
                <w:tcPr>
                  <w:tcW w:w="953" w:type="dxa"/>
                  <w:tcBorders>
                    <w:top w:val="nil"/>
                    <w:left w:val="nil"/>
                    <w:bottom w:val="nil"/>
                    <w:right w:val="nil"/>
                  </w:tcBorders>
                  <w:shd w:val="clear" w:color="auto" w:fill="auto"/>
                  <w:noWrap/>
                  <w:vAlign w:val="center"/>
                  <w:hideMark/>
                </w:tcPr>
                <w:p w14:paraId="3C0E54CC" w14:textId="77777777" w:rsidR="00416FDD" w:rsidRPr="00543D10" w:rsidRDefault="00456CF6" w:rsidP="00416FDD">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1.9</w:t>
                  </w:r>
                  <w:r w:rsidR="00416FDD" w:rsidRPr="00543D10">
                    <w:rPr>
                      <w:rFonts w:ascii="Arial" w:eastAsia="Times New Roman" w:hAnsi="Arial" w:cs="Arial"/>
                      <w:b/>
                      <w:bCs/>
                      <w:sz w:val="20"/>
                      <w:szCs w:val="20"/>
                      <w:lang w:eastAsia="en-GB"/>
                    </w:rPr>
                    <w:t>%</w:t>
                  </w:r>
                </w:p>
              </w:tc>
              <w:tc>
                <w:tcPr>
                  <w:tcW w:w="976" w:type="dxa"/>
                  <w:tcBorders>
                    <w:top w:val="nil"/>
                    <w:left w:val="nil"/>
                    <w:bottom w:val="nil"/>
                    <w:right w:val="nil"/>
                  </w:tcBorders>
                  <w:shd w:val="clear" w:color="auto" w:fill="auto"/>
                  <w:noWrap/>
                  <w:vAlign w:val="center"/>
                  <w:hideMark/>
                </w:tcPr>
                <w:p w14:paraId="0CD7E157" w14:textId="77777777" w:rsidR="00416FDD" w:rsidRPr="00416FDD" w:rsidRDefault="00416FDD" w:rsidP="00416FDD">
                  <w:pPr>
                    <w:spacing w:after="0" w:line="240" w:lineRule="auto"/>
                    <w:jc w:val="right"/>
                    <w:rPr>
                      <w:rFonts w:ascii="Arial" w:eastAsia="Times New Roman" w:hAnsi="Arial" w:cs="Arial"/>
                      <w:sz w:val="20"/>
                      <w:szCs w:val="20"/>
                      <w:lang w:eastAsia="en-GB"/>
                    </w:rPr>
                  </w:pPr>
                  <w:r w:rsidRPr="00416FDD">
                    <w:rPr>
                      <w:rFonts w:ascii="Arial" w:eastAsia="Times New Roman" w:hAnsi="Arial" w:cs="Arial"/>
                      <w:bCs/>
                      <w:sz w:val="20"/>
                      <w:szCs w:val="20"/>
                      <w:lang w:eastAsia="en-GB"/>
                    </w:rPr>
                    <w:t>2.2%</w:t>
                  </w:r>
                </w:p>
              </w:tc>
            </w:tr>
            <w:tr w:rsidR="00416FDD" w:rsidRPr="00543D10" w14:paraId="7E0B697C" w14:textId="77777777" w:rsidTr="00022375">
              <w:trPr>
                <w:trHeight w:val="325"/>
              </w:trPr>
              <w:tc>
                <w:tcPr>
                  <w:tcW w:w="4354" w:type="dxa"/>
                  <w:tcBorders>
                    <w:top w:val="nil"/>
                    <w:left w:val="nil"/>
                    <w:bottom w:val="nil"/>
                    <w:right w:val="nil"/>
                  </w:tcBorders>
                  <w:shd w:val="clear" w:color="auto" w:fill="auto"/>
                  <w:noWrap/>
                  <w:vAlign w:val="center"/>
                  <w:hideMark/>
                </w:tcPr>
                <w:p w14:paraId="1D30B0FD" w14:textId="77777777" w:rsidR="00416FDD" w:rsidRPr="00543D10" w:rsidRDefault="00416FDD" w:rsidP="00416FDD">
                  <w:pPr>
                    <w:spacing w:after="0" w:line="240" w:lineRule="auto"/>
                    <w:rPr>
                      <w:rFonts w:ascii="Arial" w:eastAsia="Times New Roman" w:hAnsi="Arial" w:cs="Arial"/>
                      <w:sz w:val="20"/>
                      <w:szCs w:val="20"/>
                      <w:lang w:eastAsia="en-GB"/>
                    </w:rPr>
                  </w:pPr>
                  <w:r w:rsidRPr="00543D10">
                    <w:rPr>
                      <w:rFonts w:ascii="Arial" w:eastAsia="Times New Roman" w:hAnsi="Arial" w:cs="Arial"/>
                      <w:sz w:val="20"/>
                      <w:szCs w:val="20"/>
                      <w:lang w:eastAsia="en-GB"/>
                    </w:rPr>
                    <w:t>Discount rate</w:t>
                  </w:r>
                </w:p>
              </w:tc>
              <w:tc>
                <w:tcPr>
                  <w:tcW w:w="407" w:type="dxa"/>
                  <w:tcBorders>
                    <w:top w:val="nil"/>
                    <w:left w:val="nil"/>
                    <w:bottom w:val="nil"/>
                    <w:right w:val="nil"/>
                  </w:tcBorders>
                  <w:shd w:val="clear" w:color="auto" w:fill="auto"/>
                  <w:noWrap/>
                  <w:vAlign w:val="bottom"/>
                  <w:hideMark/>
                </w:tcPr>
                <w:p w14:paraId="7002ABCE" w14:textId="77777777" w:rsidR="00416FDD" w:rsidRPr="00543D10" w:rsidRDefault="00416FDD" w:rsidP="00416FDD">
                  <w:pPr>
                    <w:spacing w:after="0" w:line="240" w:lineRule="auto"/>
                    <w:rPr>
                      <w:rFonts w:ascii="Arial" w:eastAsia="Times New Roman" w:hAnsi="Arial" w:cs="Arial"/>
                      <w:sz w:val="20"/>
                      <w:szCs w:val="20"/>
                      <w:lang w:eastAsia="en-GB"/>
                    </w:rPr>
                  </w:pPr>
                </w:p>
              </w:tc>
              <w:tc>
                <w:tcPr>
                  <w:tcW w:w="1197" w:type="dxa"/>
                  <w:tcBorders>
                    <w:top w:val="nil"/>
                    <w:left w:val="nil"/>
                    <w:bottom w:val="nil"/>
                    <w:right w:val="nil"/>
                  </w:tcBorders>
                  <w:shd w:val="clear" w:color="auto" w:fill="auto"/>
                  <w:noWrap/>
                  <w:vAlign w:val="bottom"/>
                  <w:hideMark/>
                </w:tcPr>
                <w:p w14:paraId="3185EC22" w14:textId="77777777" w:rsidR="00416FDD" w:rsidRPr="00543D10" w:rsidRDefault="00416FDD" w:rsidP="00416FDD">
                  <w:pPr>
                    <w:spacing w:after="0" w:line="240" w:lineRule="auto"/>
                    <w:rPr>
                      <w:rFonts w:ascii="Times New Roman" w:eastAsia="Times New Roman" w:hAnsi="Times New Roman" w:cs="Times New Roman"/>
                      <w:sz w:val="20"/>
                      <w:szCs w:val="20"/>
                      <w:lang w:eastAsia="en-GB"/>
                    </w:rPr>
                  </w:pPr>
                </w:p>
              </w:tc>
              <w:tc>
                <w:tcPr>
                  <w:tcW w:w="1195" w:type="dxa"/>
                  <w:tcBorders>
                    <w:top w:val="nil"/>
                    <w:left w:val="nil"/>
                    <w:bottom w:val="nil"/>
                    <w:right w:val="nil"/>
                  </w:tcBorders>
                  <w:shd w:val="clear" w:color="auto" w:fill="auto"/>
                  <w:noWrap/>
                  <w:vAlign w:val="bottom"/>
                  <w:hideMark/>
                </w:tcPr>
                <w:p w14:paraId="79C09636" w14:textId="77777777" w:rsidR="00416FDD" w:rsidRPr="00543D10" w:rsidRDefault="00416FDD" w:rsidP="00416FDD">
                  <w:pPr>
                    <w:spacing w:after="0" w:line="240" w:lineRule="auto"/>
                    <w:rPr>
                      <w:rFonts w:ascii="Times New Roman" w:eastAsia="Times New Roman" w:hAnsi="Times New Roman" w:cs="Times New Roman"/>
                      <w:sz w:val="20"/>
                      <w:szCs w:val="20"/>
                      <w:lang w:eastAsia="en-GB"/>
                    </w:rPr>
                  </w:pPr>
                </w:p>
              </w:tc>
              <w:tc>
                <w:tcPr>
                  <w:tcW w:w="953" w:type="dxa"/>
                  <w:tcBorders>
                    <w:top w:val="nil"/>
                    <w:left w:val="nil"/>
                    <w:bottom w:val="nil"/>
                    <w:right w:val="nil"/>
                  </w:tcBorders>
                  <w:shd w:val="clear" w:color="auto" w:fill="auto"/>
                  <w:noWrap/>
                  <w:vAlign w:val="center"/>
                  <w:hideMark/>
                </w:tcPr>
                <w:p w14:paraId="6C4F88DB" w14:textId="77777777" w:rsidR="00416FDD" w:rsidRPr="00543D10" w:rsidRDefault="00416FDD" w:rsidP="00416FDD">
                  <w:pPr>
                    <w:spacing w:after="0" w:line="240" w:lineRule="auto"/>
                    <w:jc w:val="right"/>
                    <w:rPr>
                      <w:rFonts w:ascii="Arial" w:eastAsia="Times New Roman" w:hAnsi="Arial" w:cs="Arial"/>
                      <w:b/>
                      <w:bCs/>
                      <w:sz w:val="20"/>
                      <w:szCs w:val="20"/>
                      <w:lang w:eastAsia="en-GB"/>
                    </w:rPr>
                  </w:pPr>
                  <w:r w:rsidRPr="00543D10">
                    <w:rPr>
                      <w:rFonts w:ascii="Arial" w:eastAsia="Times New Roman" w:hAnsi="Arial" w:cs="Arial"/>
                      <w:b/>
                      <w:bCs/>
                      <w:sz w:val="20"/>
                      <w:szCs w:val="20"/>
                      <w:lang w:eastAsia="en-GB"/>
                    </w:rPr>
                    <w:t>1.</w:t>
                  </w:r>
                  <w:r w:rsidR="00456CF6">
                    <w:rPr>
                      <w:rFonts w:ascii="Arial" w:eastAsia="Times New Roman" w:hAnsi="Arial" w:cs="Arial"/>
                      <w:b/>
                      <w:bCs/>
                      <w:sz w:val="20"/>
                      <w:szCs w:val="20"/>
                      <w:lang w:eastAsia="en-GB"/>
                    </w:rPr>
                    <w:t>6</w:t>
                  </w:r>
                  <w:r w:rsidRPr="00543D10">
                    <w:rPr>
                      <w:rFonts w:ascii="Arial" w:eastAsia="Times New Roman" w:hAnsi="Arial" w:cs="Arial"/>
                      <w:b/>
                      <w:bCs/>
                      <w:sz w:val="20"/>
                      <w:szCs w:val="20"/>
                      <w:lang w:eastAsia="en-GB"/>
                    </w:rPr>
                    <w:t>%</w:t>
                  </w:r>
                </w:p>
              </w:tc>
              <w:tc>
                <w:tcPr>
                  <w:tcW w:w="976" w:type="dxa"/>
                  <w:tcBorders>
                    <w:top w:val="nil"/>
                    <w:left w:val="nil"/>
                    <w:bottom w:val="nil"/>
                    <w:right w:val="nil"/>
                  </w:tcBorders>
                  <w:shd w:val="clear" w:color="auto" w:fill="auto"/>
                  <w:noWrap/>
                  <w:vAlign w:val="center"/>
                  <w:hideMark/>
                </w:tcPr>
                <w:p w14:paraId="4242217C" w14:textId="77777777" w:rsidR="00416FDD" w:rsidRPr="00416FDD" w:rsidRDefault="00416FDD" w:rsidP="00416FDD">
                  <w:pPr>
                    <w:spacing w:after="0" w:line="240" w:lineRule="auto"/>
                    <w:jc w:val="right"/>
                    <w:rPr>
                      <w:rFonts w:ascii="Arial" w:eastAsia="Times New Roman" w:hAnsi="Arial" w:cs="Arial"/>
                      <w:sz w:val="20"/>
                      <w:szCs w:val="20"/>
                      <w:lang w:eastAsia="en-GB"/>
                    </w:rPr>
                  </w:pPr>
                  <w:r w:rsidRPr="00416FDD">
                    <w:rPr>
                      <w:rFonts w:ascii="Arial" w:eastAsia="Times New Roman" w:hAnsi="Arial" w:cs="Arial"/>
                      <w:bCs/>
                      <w:sz w:val="20"/>
                      <w:szCs w:val="20"/>
                      <w:lang w:eastAsia="en-GB"/>
                    </w:rPr>
                    <w:t>1.8%</w:t>
                  </w:r>
                </w:p>
              </w:tc>
            </w:tr>
            <w:tr w:rsidR="00416FDD" w:rsidRPr="00543D10" w14:paraId="3281FC4D" w14:textId="77777777" w:rsidTr="00022375">
              <w:trPr>
                <w:trHeight w:val="325"/>
              </w:trPr>
              <w:tc>
                <w:tcPr>
                  <w:tcW w:w="4354" w:type="dxa"/>
                  <w:tcBorders>
                    <w:top w:val="nil"/>
                    <w:left w:val="nil"/>
                    <w:bottom w:val="nil"/>
                    <w:right w:val="nil"/>
                  </w:tcBorders>
                  <w:shd w:val="clear" w:color="auto" w:fill="auto"/>
                  <w:noWrap/>
                  <w:vAlign w:val="center"/>
                  <w:hideMark/>
                </w:tcPr>
                <w:p w14:paraId="16DAB947" w14:textId="77777777" w:rsidR="00416FDD" w:rsidRPr="00543D10" w:rsidRDefault="00416FDD" w:rsidP="00416FDD">
                  <w:pPr>
                    <w:spacing w:after="0" w:line="240" w:lineRule="auto"/>
                    <w:rPr>
                      <w:rFonts w:ascii="Arial" w:eastAsia="Times New Roman" w:hAnsi="Arial" w:cs="Arial"/>
                      <w:sz w:val="20"/>
                      <w:szCs w:val="20"/>
                      <w:lang w:eastAsia="en-GB"/>
                    </w:rPr>
                  </w:pPr>
                </w:p>
              </w:tc>
              <w:tc>
                <w:tcPr>
                  <w:tcW w:w="407" w:type="dxa"/>
                  <w:tcBorders>
                    <w:top w:val="nil"/>
                    <w:left w:val="nil"/>
                    <w:bottom w:val="nil"/>
                    <w:right w:val="nil"/>
                  </w:tcBorders>
                  <w:shd w:val="clear" w:color="auto" w:fill="auto"/>
                  <w:noWrap/>
                  <w:vAlign w:val="bottom"/>
                  <w:hideMark/>
                </w:tcPr>
                <w:p w14:paraId="60029CC0" w14:textId="77777777" w:rsidR="00416FDD" w:rsidRPr="00543D10" w:rsidRDefault="00416FDD" w:rsidP="00416FDD">
                  <w:pPr>
                    <w:spacing w:after="0" w:line="240" w:lineRule="auto"/>
                    <w:rPr>
                      <w:rFonts w:ascii="Times New Roman" w:eastAsia="Times New Roman" w:hAnsi="Times New Roman" w:cs="Times New Roman"/>
                      <w:sz w:val="20"/>
                      <w:szCs w:val="20"/>
                      <w:lang w:eastAsia="en-GB"/>
                    </w:rPr>
                  </w:pPr>
                </w:p>
              </w:tc>
              <w:tc>
                <w:tcPr>
                  <w:tcW w:w="1197" w:type="dxa"/>
                  <w:tcBorders>
                    <w:top w:val="nil"/>
                    <w:left w:val="nil"/>
                    <w:bottom w:val="nil"/>
                    <w:right w:val="nil"/>
                  </w:tcBorders>
                  <w:shd w:val="clear" w:color="auto" w:fill="auto"/>
                  <w:noWrap/>
                  <w:vAlign w:val="bottom"/>
                  <w:hideMark/>
                </w:tcPr>
                <w:p w14:paraId="5F446849" w14:textId="77777777" w:rsidR="00416FDD" w:rsidRPr="00543D10" w:rsidRDefault="00416FDD" w:rsidP="00416FDD">
                  <w:pPr>
                    <w:spacing w:after="0" w:line="240" w:lineRule="auto"/>
                    <w:rPr>
                      <w:rFonts w:ascii="Times New Roman" w:eastAsia="Times New Roman" w:hAnsi="Times New Roman" w:cs="Times New Roman"/>
                      <w:sz w:val="20"/>
                      <w:szCs w:val="20"/>
                      <w:lang w:eastAsia="en-GB"/>
                    </w:rPr>
                  </w:pPr>
                </w:p>
              </w:tc>
              <w:tc>
                <w:tcPr>
                  <w:tcW w:w="1195" w:type="dxa"/>
                  <w:tcBorders>
                    <w:top w:val="nil"/>
                    <w:left w:val="nil"/>
                    <w:bottom w:val="nil"/>
                    <w:right w:val="nil"/>
                  </w:tcBorders>
                  <w:shd w:val="clear" w:color="auto" w:fill="auto"/>
                  <w:noWrap/>
                  <w:vAlign w:val="bottom"/>
                  <w:hideMark/>
                </w:tcPr>
                <w:p w14:paraId="5E619FFE" w14:textId="77777777" w:rsidR="00416FDD" w:rsidRPr="00543D10" w:rsidRDefault="00416FDD" w:rsidP="00416FDD">
                  <w:pPr>
                    <w:spacing w:after="0" w:line="240" w:lineRule="auto"/>
                    <w:rPr>
                      <w:rFonts w:ascii="Times New Roman" w:eastAsia="Times New Roman" w:hAnsi="Times New Roman" w:cs="Times New Roman"/>
                      <w:sz w:val="20"/>
                      <w:szCs w:val="20"/>
                      <w:lang w:eastAsia="en-GB"/>
                    </w:rPr>
                  </w:pPr>
                </w:p>
              </w:tc>
              <w:tc>
                <w:tcPr>
                  <w:tcW w:w="953" w:type="dxa"/>
                  <w:tcBorders>
                    <w:top w:val="nil"/>
                    <w:left w:val="nil"/>
                    <w:bottom w:val="nil"/>
                    <w:right w:val="nil"/>
                  </w:tcBorders>
                  <w:shd w:val="clear" w:color="auto" w:fill="auto"/>
                  <w:noWrap/>
                  <w:vAlign w:val="center"/>
                  <w:hideMark/>
                </w:tcPr>
                <w:p w14:paraId="6243CD8E" w14:textId="77777777" w:rsidR="00416FDD" w:rsidRPr="00543D10" w:rsidRDefault="00416FDD" w:rsidP="00416FDD">
                  <w:pPr>
                    <w:spacing w:after="0" w:line="240" w:lineRule="auto"/>
                    <w:jc w:val="right"/>
                    <w:rPr>
                      <w:rFonts w:ascii="Times New Roman" w:eastAsia="Times New Roman" w:hAnsi="Times New Roman" w:cs="Times New Roman"/>
                      <w:sz w:val="20"/>
                      <w:szCs w:val="20"/>
                      <w:lang w:eastAsia="en-GB"/>
                    </w:rPr>
                  </w:pPr>
                </w:p>
              </w:tc>
              <w:tc>
                <w:tcPr>
                  <w:tcW w:w="976" w:type="dxa"/>
                  <w:tcBorders>
                    <w:top w:val="nil"/>
                    <w:left w:val="nil"/>
                    <w:bottom w:val="nil"/>
                    <w:right w:val="nil"/>
                  </w:tcBorders>
                  <w:shd w:val="clear" w:color="auto" w:fill="auto"/>
                  <w:noWrap/>
                  <w:vAlign w:val="center"/>
                  <w:hideMark/>
                </w:tcPr>
                <w:p w14:paraId="5E31AB35" w14:textId="77777777" w:rsidR="00416FDD" w:rsidRPr="00416FDD" w:rsidRDefault="00416FDD" w:rsidP="00416FDD">
                  <w:pPr>
                    <w:spacing w:after="0" w:line="240" w:lineRule="auto"/>
                    <w:jc w:val="right"/>
                    <w:rPr>
                      <w:rFonts w:ascii="Times New Roman" w:eastAsia="Times New Roman" w:hAnsi="Times New Roman" w:cs="Times New Roman"/>
                      <w:sz w:val="20"/>
                      <w:szCs w:val="20"/>
                      <w:lang w:eastAsia="en-GB"/>
                    </w:rPr>
                  </w:pPr>
                </w:p>
              </w:tc>
            </w:tr>
            <w:tr w:rsidR="00416FDD" w:rsidRPr="00543D10" w14:paraId="74ECCF7C" w14:textId="77777777" w:rsidTr="00697C96">
              <w:trPr>
                <w:trHeight w:val="325"/>
              </w:trPr>
              <w:tc>
                <w:tcPr>
                  <w:tcW w:w="5958" w:type="dxa"/>
                  <w:gridSpan w:val="3"/>
                  <w:tcBorders>
                    <w:top w:val="nil"/>
                    <w:left w:val="nil"/>
                    <w:bottom w:val="nil"/>
                    <w:right w:val="nil"/>
                  </w:tcBorders>
                  <w:shd w:val="clear" w:color="auto" w:fill="auto"/>
                  <w:noWrap/>
                  <w:vAlign w:val="center"/>
                  <w:hideMark/>
                </w:tcPr>
                <w:p w14:paraId="3FB8ECF7" w14:textId="77777777" w:rsidR="00416FDD" w:rsidRPr="00543D10" w:rsidRDefault="00416FDD" w:rsidP="00416FDD">
                  <w:pPr>
                    <w:spacing w:after="0" w:line="240" w:lineRule="auto"/>
                    <w:rPr>
                      <w:rFonts w:ascii="Arial" w:eastAsia="Times New Roman" w:hAnsi="Arial" w:cs="Arial"/>
                      <w:sz w:val="20"/>
                      <w:szCs w:val="20"/>
                      <w:lang w:eastAsia="en-GB"/>
                    </w:rPr>
                  </w:pPr>
                  <w:r w:rsidRPr="00543D10">
                    <w:rPr>
                      <w:rFonts w:ascii="Arial" w:eastAsia="Times New Roman" w:hAnsi="Arial" w:cs="Arial"/>
                      <w:sz w:val="20"/>
                      <w:szCs w:val="20"/>
                      <w:lang w:eastAsia="en-GB"/>
                    </w:rPr>
                    <w:t>The mortality assumptions used were as follows:</w:t>
                  </w:r>
                </w:p>
              </w:tc>
              <w:tc>
                <w:tcPr>
                  <w:tcW w:w="1195" w:type="dxa"/>
                  <w:tcBorders>
                    <w:top w:val="nil"/>
                    <w:left w:val="nil"/>
                    <w:bottom w:val="nil"/>
                    <w:right w:val="nil"/>
                  </w:tcBorders>
                  <w:shd w:val="clear" w:color="auto" w:fill="auto"/>
                  <w:noWrap/>
                  <w:vAlign w:val="bottom"/>
                  <w:hideMark/>
                </w:tcPr>
                <w:p w14:paraId="34679526" w14:textId="77777777" w:rsidR="00416FDD" w:rsidRPr="00543D10" w:rsidRDefault="00416FDD" w:rsidP="00416FDD">
                  <w:pPr>
                    <w:spacing w:after="0" w:line="240" w:lineRule="auto"/>
                    <w:rPr>
                      <w:rFonts w:ascii="Arial" w:eastAsia="Times New Roman" w:hAnsi="Arial" w:cs="Arial"/>
                      <w:sz w:val="20"/>
                      <w:szCs w:val="20"/>
                      <w:lang w:eastAsia="en-GB"/>
                    </w:rPr>
                  </w:pPr>
                </w:p>
              </w:tc>
              <w:tc>
                <w:tcPr>
                  <w:tcW w:w="953" w:type="dxa"/>
                  <w:tcBorders>
                    <w:top w:val="nil"/>
                    <w:left w:val="nil"/>
                    <w:bottom w:val="nil"/>
                    <w:right w:val="nil"/>
                  </w:tcBorders>
                  <w:shd w:val="clear" w:color="auto" w:fill="auto"/>
                  <w:noWrap/>
                  <w:vAlign w:val="center"/>
                  <w:hideMark/>
                </w:tcPr>
                <w:p w14:paraId="04D1AF58" w14:textId="77777777" w:rsidR="00416FDD" w:rsidRPr="00543D10" w:rsidRDefault="00416FDD" w:rsidP="00416FDD">
                  <w:pPr>
                    <w:spacing w:after="0" w:line="240" w:lineRule="auto"/>
                    <w:jc w:val="right"/>
                    <w:rPr>
                      <w:rFonts w:ascii="Times New Roman" w:eastAsia="Times New Roman" w:hAnsi="Times New Roman" w:cs="Times New Roman"/>
                      <w:sz w:val="20"/>
                      <w:szCs w:val="20"/>
                      <w:lang w:eastAsia="en-GB"/>
                    </w:rPr>
                  </w:pPr>
                </w:p>
              </w:tc>
              <w:tc>
                <w:tcPr>
                  <w:tcW w:w="976" w:type="dxa"/>
                  <w:tcBorders>
                    <w:top w:val="nil"/>
                    <w:left w:val="nil"/>
                    <w:bottom w:val="nil"/>
                    <w:right w:val="nil"/>
                  </w:tcBorders>
                  <w:shd w:val="clear" w:color="auto" w:fill="auto"/>
                  <w:noWrap/>
                  <w:vAlign w:val="center"/>
                  <w:hideMark/>
                </w:tcPr>
                <w:p w14:paraId="7B4082F4" w14:textId="77777777" w:rsidR="00416FDD" w:rsidRPr="00416FDD" w:rsidRDefault="00416FDD" w:rsidP="00416FDD">
                  <w:pPr>
                    <w:spacing w:after="0" w:line="240" w:lineRule="auto"/>
                    <w:jc w:val="right"/>
                    <w:rPr>
                      <w:rFonts w:ascii="Times New Roman" w:eastAsia="Times New Roman" w:hAnsi="Times New Roman" w:cs="Times New Roman"/>
                      <w:sz w:val="20"/>
                      <w:szCs w:val="20"/>
                      <w:lang w:eastAsia="en-GB"/>
                    </w:rPr>
                  </w:pPr>
                </w:p>
              </w:tc>
            </w:tr>
            <w:tr w:rsidR="00416FDD" w:rsidRPr="00543D10" w14:paraId="79421D28" w14:textId="77777777" w:rsidTr="00022375">
              <w:trPr>
                <w:trHeight w:val="325"/>
              </w:trPr>
              <w:tc>
                <w:tcPr>
                  <w:tcW w:w="4354" w:type="dxa"/>
                  <w:tcBorders>
                    <w:top w:val="nil"/>
                    <w:left w:val="nil"/>
                    <w:bottom w:val="nil"/>
                    <w:right w:val="nil"/>
                  </w:tcBorders>
                  <w:shd w:val="clear" w:color="auto" w:fill="auto"/>
                  <w:noWrap/>
                  <w:vAlign w:val="center"/>
                  <w:hideMark/>
                </w:tcPr>
                <w:p w14:paraId="3BE0CA33" w14:textId="77777777" w:rsidR="00416FDD" w:rsidRPr="00543D10" w:rsidRDefault="00416FDD" w:rsidP="00416FDD">
                  <w:pPr>
                    <w:spacing w:after="0" w:line="240" w:lineRule="auto"/>
                    <w:rPr>
                      <w:rFonts w:ascii="Times New Roman" w:eastAsia="Times New Roman" w:hAnsi="Times New Roman" w:cs="Times New Roman"/>
                      <w:sz w:val="20"/>
                      <w:szCs w:val="20"/>
                      <w:lang w:eastAsia="en-GB"/>
                    </w:rPr>
                  </w:pPr>
                </w:p>
              </w:tc>
              <w:tc>
                <w:tcPr>
                  <w:tcW w:w="407" w:type="dxa"/>
                  <w:tcBorders>
                    <w:top w:val="nil"/>
                    <w:left w:val="nil"/>
                    <w:bottom w:val="nil"/>
                    <w:right w:val="nil"/>
                  </w:tcBorders>
                  <w:shd w:val="clear" w:color="auto" w:fill="auto"/>
                  <w:noWrap/>
                  <w:vAlign w:val="bottom"/>
                  <w:hideMark/>
                </w:tcPr>
                <w:p w14:paraId="39B9CDA3" w14:textId="77777777" w:rsidR="00416FDD" w:rsidRPr="00543D10" w:rsidRDefault="00416FDD" w:rsidP="00416FDD">
                  <w:pPr>
                    <w:spacing w:after="0" w:line="240" w:lineRule="auto"/>
                    <w:rPr>
                      <w:rFonts w:ascii="Times New Roman" w:eastAsia="Times New Roman" w:hAnsi="Times New Roman" w:cs="Times New Roman"/>
                      <w:sz w:val="20"/>
                      <w:szCs w:val="20"/>
                      <w:lang w:eastAsia="en-GB"/>
                    </w:rPr>
                  </w:pPr>
                </w:p>
              </w:tc>
              <w:tc>
                <w:tcPr>
                  <w:tcW w:w="1197" w:type="dxa"/>
                  <w:tcBorders>
                    <w:top w:val="nil"/>
                    <w:left w:val="nil"/>
                    <w:bottom w:val="nil"/>
                    <w:right w:val="nil"/>
                  </w:tcBorders>
                  <w:shd w:val="clear" w:color="auto" w:fill="auto"/>
                  <w:noWrap/>
                  <w:vAlign w:val="bottom"/>
                  <w:hideMark/>
                </w:tcPr>
                <w:p w14:paraId="2812A827" w14:textId="77777777" w:rsidR="00416FDD" w:rsidRPr="00543D10" w:rsidRDefault="00416FDD" w:rsidP="00416FDD">
                  <w:pPr>
                    <w:spacing w:after="0" w:line="240" w:lineRule="auto"/>
                    <w:rPr>
                      <w:rFonts w:ascii="Times New Roman" w:eastAsia="Times New Roman" w:hAnsi="Times New Roman" w:cs="Times New Roman"/>
                      <w:sz w:val="20"/>
                      <w:szCs w:val="20"/>
                      <w:lang w:eastAsia="en-GB"/>
                    </w:rPr>
                  </w:pPr>
                </w:p>
              </w:tc>
              <w:tc>
                <w:tcPr>
                  <w:tcW w:w="1195" w:type="dxa"/>
                  <w:tcBorders>
                    <w:top w:val="nil"/>
                    <w:left w:val="nil"/>
                    <w:bottom w:val="nil"/>
                    <w:right w:val="nil"/>
                  </w:tcBorders>
                  <w:shd w:val="clear" w:color="auto" w:fill="auto"/>
                  <w:noWrap/>
                  <w:vAlign w:val="bottom"/>
                  <w:hideMark/>
                </w:tcPr>
                <w:p w14:paraId="6EC9B403" w14:textId="77777777" w:rsidR="00416FDD" w:rsidRPr="00543D10" w:rsidRDefault="00416FDD" w:rsidP="00416FDD">
                  <w:pPr>
                    <w:spacing w:after="0" w:line="240" w:lineRule="auto"/>
                    <w:rPr>
                      <w:rFonts w:ascii="Times New Roman" w:eastAsia="Times New Roman" w:hAnsi="Times New Roman" w:cs="Times New Roman"/>
                      <w:sz w:val="20"/>
                      <w:szCs w:val="20"/>
                      <w:lang w:eastAsia="en-GB"/>
                    </w:rPr>
                  </w:pPr>
                </w:p>
              </w:tc>
              <w:tc>
                <w:tcPr>
                  <w:tcW w:w="953" w:type="dxa"/>
                  <w:tcBorders>
                    <w:top w:val="nil"/>
                    <w:left w:val="nil"/>
                    <w:bottom w:val="nil"/>
                    <w:right w:val="nil"/>
                  </w:tcBorders>
                  <w:shd w:val="clear" w:color="auto" w:fill="auto"/>
                  <w:noWrap/>
                  <w:vAlign w:val="center"/>
                  <w:hideMark/>
                </w:tcPr>
                <w:p w14:paraId="4B0BBABE" w14:textId="77777777" w:rsidR="00416FDD" w:rsidRPr="00543D10" w:rsidRDefault="00416FDD" w:rsidP="00416FDD">
                  <w:pPr>
                    <w:spacing w:after="0" w:line="240" w:lineRule="auto"/>
                    <w:jc w:val="right"/>
                    <w:rPr>
                      <w:rFonts w:ascii="Times New Roman" w:eastAsia="Times New Roman" w:hAnsi="Times New Roman" w:cs="Times New Roman"/>
                      <w:sz w:val="20"/>
                      <w:szCs w:val="20"/>
                      <w:lang w:eastAsia="en-GB"/>
                    </w:rPr>
                  </w:pPr>
                </w:p>
              </w:tc>
              <w:tc>
                <w:tcPr>
                  <w:tcW w:w="976" w:type="dxa"/>
                  <w:tcBorders>
                    <w:top w:val="nil"/>
                    <w:left w:val="nil"/>
                    <w:bottom w:val="nil"/>
                    <w:right w:val="nil"/>
                  </w:tcBorders>
                  <w:shd w:val="clear" w:color="auto" w:fill="auto"/>
                  <w:noWrap/>
                  <w:vAlign w:val="center"/>
                  <w:hideMark/>
                </w:tcPr>
                <w:p w14:paraId="1C07FB58" w14:textId="77777777" w:rsidR="00416FDD" w:rsidRPr="00416FDD" w:rsidRDefault="00416FDD" w:rsidP="00416FDD">
                  <w:pPr>
                    <w:spacing w:after="0" w:line="240" w:lineRule="auto"/>
                    <w:jc w:val="right"/>
                    <w:rPr>
                      <w:rFonts w:ascii="Times New Roman" w:eastAsia="Times New Roman" w:hAnsi="Times New Roman" w:cs="Times New Roman"/>
                      <w:sz w:val="20"/>
                      <w:szCs w:val="20"/>
                      <w:lang w:eastAsia="en-GB"/>
                    </w:rPr>
                  </w:pPr>
                </w:p>
              </w:tc>
            </w:tr>
            <w:tr w:rsidR="00022375" w:rsidRPr="00543D10" w14:paraId="67D59109" w14:textId="77777777" w:rsidTr="00022375">
              <w:trPr>
                <w:trHeight w:val="325"/>
              </w:trPr>
              <w:tc>
                <w:tcPr>
                  <w:tcW w:w="4354" w:type="dxa"/>
                  <w:tcBorders>
                    <w:top w:val="nil"/>
                    <w:left w:val="nil"/>
                    <w:bottom w:val="nil"/>
                    <w:right w:val="nil"/>
                  </w:tcBorders>
                  <w:shd w:val="clear" w:color="auto" w:fill="auto"/>
                  <w:noWrap/>
                  <w:vAlign w:val="center"/>
                  <w:hideMark/>
                </w:tcPr>
                <w:p w14:paraId="78657E97" w14:textId="77777777" w:rsidR="00022375" w:rsidRPr="00543D10" w:rsidRDefault="00022375" w:rsidP="00022375">
                  <w:pPr>
                    <w:spacing w:after="0" w:line="240" w:lineRule="auto"/>
                    <w:rPr>
                      <w:rFonts w:ascii="Arial" w:eastAsia="Times New Roman" w:hAnsi="Arial" w:cs="Arial"/>
                      <w:sz w:val="20"/>
                      <w:szCs w:val="20"/>
                      <w:lang w:eastAsia="en-GB"/>
                    </w:rPr>
                  </w:pPr>
                  <w:r w:rsidRPr="00DA5F44">
                    <w:rPr>
                      <w:rFonts w:ascii="Arial" w:eastAsia="Times New Roman" w:hAnsi="Arial" w:cs="Arial"/>
                      <w:sz w:val="20"/>
                      <w:szCs w:val="20"/>
                      <w:lang w:eastAsia="en-GB"/>
                    </w:rPr>
                    <w:t>Longevity at age 65 for current pen</w:t>
                  </w:r>
                  <w:r>
                    <w:rPr>
                      <w:rFonts w:ascii="Arial" w:eastAsia="Times New Roman" w:hAnsi="Arial" w:cs="Arial"/>
                      <w:sz w:val="20"/>
                      <w:szCs w:val="20"/>
                      <w:lang w:eastAsia="en-GB"/>
                    </w:rPr>
                    <w:t>s</w:t>
                  </w:r>
                  <w:r w:rsidRPr="00DA5F44">
                    <w:rPr>
                      <w:rFonts w:ascii="Arial" w:eastAsia="Times New Roman" w:hAnsi="Arial" w:cs="Arial"/>
                      <w:sz w:val="20"/>
                      <w:szCs w:val="20"/>
                      <w:lang w:eastAsia="en-GB"/>
                    </w:rPr>
                    <w:t>ioners</w:t>
                  </w:r>
                </w:p>
              </w:tc>
              <w:tc>
                <w:tcPr>
                  <w:tcW w:w="407" w:type="dxa"/>
                  <w:tcBorders>
                    <w:top w:val="nil"/>
                    <w:left w:val="nil"/>
                    <w:bottom w:val="nil"/>
                    <w:right w:val="nil"/>
                  </w:tcBorders>
                  <w:shd w:val="clear" w:color="auto" w:fill="auto"/>
                  <w:noWrap/>
                  <w:vAlign w:val="bottom"/>
                  <w:hideMark/>
                </w:tcPr>
                <w:p w14:paraId="68B658D2" w14:textId="77777777" w:rsidR="00022375" w:rsidRPr="00543D10" w:rsidRDefault="00022375" w:rsidP="00022375">
                  <w:pPr>
                    <w:spacing w:after="0" w:line="240" w:lineRule="auto"/>
                    <w:rPr>
                      <w:rFonts w:ascii="Arial" w:eastAsia="Times New Roman" w:hAnsi="Arial" w:cs="Arial"/>
                      <w:sz w:val="20"/>
                      <w:szCs w:val="20"/>
                      <w:lang w:eastAsia="en-GB"/>
                    </w:rPr>
                  </w:pPr>
                </w:p>
              </w:tc>
              <w:tc>
                <w:tcPr>
                  <w:tcW w:w="1197" w:type="dxa"/>
                  <w:tcBorders>
                    <w:top w:val="nil"/>
                    <w:left w:val="nil"/>
                    <w:bottom w:val="nil"/>
                    <w:right w:val="nil"/>
                  </w:tcBorders>
                  <w:shd w:val="clear" w:color="auto" w:fill="auto"/>
                  <w:noWrap/>
                  <w:vAlign w:val="bottom"/>
                  <w:hideMark/>
                </w:tcPr>
                <w:p w14:paraId="367A54C5" w14:textId="77777777" w:rsidR="00022375" w:rsidRPr="00543D10" w:rsidRDefault="00022375" w:rsidP="00022375">
                  <w:pPr>
                    <w:spacing w:after="0" w:line="240" w:lineRule="auto"/>
                    <w:rPr>
                      <w:rFonts w:ascii="Times New Roman" w:eastAsia="Times New Roman" w:hAnsi="Times New Roman" w:cs="Times New Roman"/>
                      <w:sz w:val="20"/>
                      <w:szCs w:val="20"/>
                      <w:lang w:eastAsia="en-GB"/>
                    </w:rPr>
                  </w:pPr>
                </w:p>
              </w:tc>
              <w:tc>
                <w:tcPr>
                  <w:tcW w:w="1195" w:type="dxa"/>
                  <w:tcBorders>
                    <w:top w:val="nil"/>
                    <w:left w:val="nil"/>
                    <w:bottom w:val="nil"/>
                    <w:right w:val="nil"/>
                  </w:tcBorders>
                  <w:shd w:val="clear" w:color="auto" w:fill="auto"/>
                  <w:noWrap/>
                  <w:vAlign w:val="bottom"/>
                  <w:hideMark/>
                </w:tcPr>
                <w:p w14:paraId="0E12D34D" w14:textId="77777777" w:rsidR="00022375" w:rsidRPr="00543D10" w:rsidRDefault="00022375" w:rsidP="00022375">
                  <w:pPr>
                    <w:spacing w:after="0" w:line="240" w:lineRule="auto"/>
                    <w:rPr>
                      <w:rFonts w:ascii="Times New Roman" w:eastAsia="Times New Roman" w:hAnsi="Times New Roman" w:cs="Times New Roman"/>
                      <w:sz w:val="20"/>
                      <w:szCs w:val="20"/>
                      <w:lang w:eastAsia="en-GB"/>
                    </w:rPr>
                  </w:pPr>
                </w:p>
              </w:tc>
              <w:tc>
                <w:tcPr>
                  <w:tcW w:w="953" w:type="dxa"/>
                  <w:tcBorders>
                    <w:top w:val="nil"/>
                    <w:left w:val="nil"/>
                    <w:bottom w:val="nil"/>
                    <w:right w:val="nil"/>
                  </w:tcBorders>
                  <w:shd w:val="clear" w:color="auto" w:fill="auto"/>
                  <w:noWrap/>
                  <w:vAlign w:val="center"/>
                  <w:hideMark/>
                </w:tcPr>
                <w:p w14:paraId="0340DA43" w14:textId="77777777" w:rsidR="00022375" w:rsidRPr="00543D10" w:rsidRDefault="00022375" w:rsidP="00022375">
                  <w:pPr>
                    <w:spacing w:after="0" w:line="240" w:lineRule="auto"/>
                    <w:jc w:val="right"/>
                    <w:rPr>
                      <w:rFonts w:ascii="Times New Roman" w:eastAsia="Times New Roman" w:hAnsi="Times New Roman" w:cs="Times New Roman"/>
                      <w:sz w:val="20"/>
                      <w:szCs w:val="20"/>
                      <w:lang w:eastAsia="en-GB"/>
                    </w:rPr>
                  </w:pPr>
                </w:p>
              </w:tc>
              <w:tc>
                <w:tcPr>
                  <w:tcW w:w="976" w:type="dxa"/>
                  <w:tcBorders>
                    <w:top w:val="nil"/>
                    <w:left w:val="nil"/>
                    <w:bottom w:val="nil"/>
                    <w:right w:val="nil"/>
                  </w:tcBorders>
                  <w:shd w:val="clear" w:color="auto" w:fill="auto"/>
                  <w:noWrap/>
                  <w:vAlign w:val="center"/>
                  <w:hideMark/>
                </w:tcPr>
                <w:p w14:paraId="6A01F309" w14:textId="77777777" w:rsidR="00022375" w:rsidRPr="00416FDD" w:rsidRDefault="00022375" w:rsidP="00022375">
                  <w:pPr>
                    <w:spacing w:after="0" w:line="240" w:lineRule="auto"/>
                    <w:jc w:val="right"/>
                    <w:rPr>
                      <w:rFonts w:ascii="Times New Roman" w:eastAsia="Times New Roman" w:hAnsi="Times New Roman" w:cs="Times New Roman"/>
                      <w:sz w:val="20"/>
                      <w:szCs w:val="20"/>
                      <w:lang w:eastAsia="en-GB"/>
                    </w:rPr>
                  </w:pPr>
                </w:p>
              </w:tc>
            </w:tr>
            <w:tr w:rsidR="00022375" w:rsidRPr="00543D10" w14:paraId="1F0D47CC" w14:textId="77777777" w:rsidTr="00161381">
              <w:trPr>
                <w:trHeight w:val="325"/>
              </w:trPr>
              <w:tc>
                <w:tcPr>
                  <w:tcW w:w="4354" w:type="dxa"/>
                  <w:tcBorders>
                    <w:top w:val="nil"/>
                    <w:left w:val="nil"/>
                    <w:bottom w:val="nil"/>
                    <w:right w:val="nil"/>
                  </w:tcBorders>
                  <w:shd w:val="clear" w:color="auto" w:fill="auto"/>
                  <w:noWrap/>
                  <w:vAlign w:val="center"/>
                  <w:hideMark/>
                </w:tcPr>
                <w:p w14:paraId="072A0547" w14:textId="77777777" w:rsidR="00022375" w:rsidRPr="00543D10" w:rsidRDefault="00022375" w:rsidP="00022375">
                  <w:pPr>
                    <w:spacing w:after="0" w:line="240" w:lineRule="auto"/>
                    <w:rPr>
                      <w:rFonts w:ascii="Arial" w:eastAsia="Times New Roman" w:hAnsi="Arial" w:cs="Arial"/>
                      <w:sz w:val="20"/>
                      <w:szCs w:val="20"/>
                      <w:lang w:eastAsia="en-GB"/>
                    </w:rPr>
                  </w:pPr>
                  <w:r w:rsidRPr="00DA5F44">
                    <w:rPr>
                      <w:rFonts w:ascii="Arial" w:eastAsia="Times New Roman" w:hAnsi="Arial" w:cs="Arial"/>
                      <w:sz w:val="20"/>
                      <w:szCs w:val="20"/>
                      <w:lang w:eastAsia="en-GB"/>
                    </w:rPr>
                    <w:t>- Men</w:t>
                  </w:r>
                </w:p>
              </w:tc>
              <w:tc>
                <w:tcPr>
                  <w:tcW w:w="407" w:type="dxa"/>
                  <w:tcBorders>
                    <w:top w:val="nil"/>
                    <w:left w:val="nil"/>
                    <w:bottom w:val="nil"/>
                    <w:right w:val="nil"/>
                  </w:tcBorders>
                  <w:shd w:val="clear" w:color="auto" w:fill="auto"/>
                  <w:noWrap/>
                  <w:vAlign w:val="bottom"/>
                  <w:hideMark/>
                </w:tcPr>
                <w:p w14:paraId="721923B2" w14:textId="77777777" w:rsidR="00022375" w:rsidRPr="00543D10" w:rsidRDefault="00022375" w:rsidP="00022375">
                  <w:pPr>
                    <w:spacing w:after="0" w:line="240" w:lineRule="auto"/>
                    <w:rPr>
                      <w:rFonts w:ascii="Arial" w:eastAsia="Times New Roman" w:hAnsi="Arial" w:cs="Arial"/>
                      <w:sz w:val="20"/>
                      <w:szCs w:val="20"/>
                      <w:lang w:eastAsia="en-GB"/>
                    </w:rPr>
                  </w:pPr>
                </w:p>
              </w:tc>
              <w:tc>
                <w:tcPr>
                  <w:tcW w:w="1197" w:type="dxa"/>
                  <w:tcBorders>
                    <w:top w:val="nil"/>
                    <w:left w:val="nil"/>
                    <w:bottom w:val="nil"/>
                    <w:right w:val="nil"/>
                  </w:tcBorders>
                  <w:shd w:val="clear" w:color="auto" w:fill="auto"/>
                  <w:noWrap/>
                  <w:vAlign w:val="bottom"/>
                  <w:hideMark/>
                </w:tcPr>
                <w:p w14:paraId="497B58A0" w14:textId="77777777" w:rsidR="00022375" w:rsidRPr="00543D10" w:rsidRDefault="00022375" w:rsidP="00022375">
                  <w:pPr>
                    <w:spacing w:after="0" w:line="240" w:lineRule="auto"/>
                    <w:rPr>
                      <w:rFonts w:ascii="Times New Roman" w:eastAsia="Times New Roman" w:hAnsi="Times New Roman" w:cs="Times New Roman"/>
                      <w:sz w:val="20"/>
                      <w:szCs w:val="20"/>
                      <w:lang w:eastAsia="en-GB"/>
                    </w:rPr>
                  </w:pPr>
                </w:p>
              </w:tc>
              <w:tc>
                <w:tcPr>
                  <w:tcW w:w="1195" w:type="dxa"/>
                  <w:tcBorders>
                    <w:top w:val="nil"/>
                    <w:left w:val="nil"/>
                    <w:bottom w:val="nil"/>
                    <w:right w:val="nil"/>
                  </w:tcBorders>
                  <w:shd w:val="clear" w:color="auto" w:fill="auto"/>
                  <w:noWrap/>
                  <w:vAlign w:val="bottom"/>
                  <w:hideMark/>
                </w:tcPr>
                <w:p w14:paraId="1C03E0CC" w14:textId="77777777" w:rsidR="00022375" w:rsidRPr="00543D10" w:rsidRDefault="00022375" w:rsidP="00022375">
                  <w:pPr>
                    <w:spacing w:after="0" w:line="240" w:lineRule="auto"/>
                    <w:rPr>
                      <w:rFonts w:ascii="Times New Roman" w:eastAsia="Times New Roman" w:hAnsi="Times New Roman" w:cs="Times New Roman"/>
                      <w:sz w:val="20"/>
                      <w:szCs w:val="20"/>
                      <w:lang w:eastAsia="en-GB"/>
                    </w:rPr>
                  </w:pPr>
                </w:p>
              </w:tc>
              <w:tc>
                <w:tcPr>
                  <w:tcW w:w="953" w:type="dxa"/>
                  <w:tcBorders>
                    <w:top w:val="nil"/>
                    <w:left w:val="nil"/>
                    <w:bottom w:val="nil"/>
                    <w:right w:val="nil"/>
                  </w:tcBorders>
                  <w:shd w:val="clear" w:color="auto" w:fill="auto"/>
                  <w:noWrap/>
                  <w:vAlign w:val="center"/>
                </w:tcPr>
                <w:p w14:paraId="5BD3B073" w14:textId="77777777" w:rsidR="00022375" w:rsidRPr="00543D10" w:rsidRDefault="00022375" w:rsidP="00022375">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87.0</w:t>
                  </w:r>
                </w:p>
              </w:tc>
              <w:tc>
                <w:tcPr>
                  <w:tcW w:w="976" w:type="dxa"/>
                  <w:tcBorders>
                    <w:top w:val="nil"/>
                    <w:left w:val="nil"/>
                    <w:bottom w:val="nil"/>
                    <w:right w:val="nil"/>
                  </w:tcBorders>
                  <w:shd w:val="clear" w:color="auto" w:fill="auto"/>
                  <w:noWrap/>
                  <w:vAlign w:val="center"/>
                </w:tcPr>
                <w:p w14:paraId="63250A69" w14:textId="77777777" w:rsidR="00022375" w:rsidRPr="00416FDD" w:rsidRDefault="00022375" w:rsidP="00022375">
                  <w:pPr>
                    <w:spacing w:after="0" w:line="240" w:lineRule="auto"/>
                    <w:jc w:val="right"/>
                    <w:rPr>
                      <w:rFonts w:ascii="Arial" w:eastAsia="Times New Roman" w:hAnsi="Arial" w:cs="Arial"/>
                      <w:sz w:val="20"/>
                      <w:szCs w:val="20"/>
                      <w:lang w:eastAsia="en-GB"/>
                    </w:rPr>
                  </w:pPr>
                  <w:r>
                    <w:rPr>
                      <w:rFonts w:ascii="Arial" w:eastAsia="Times New Roman" w:hAnsi="Arial" w:cs="Arial"/>
                      <w:bCs/>
                      <w:sz w:val="20"/>
                      <w:szCs w:val="20"/>
                      <w:lang w:eastAsia="en-GB"/>
                    </w:rPr>
                    <w:t>86.6</w:t>
                  </w:r>
                </w:p>
              </w:tc>
            </w:tr>
            <w:tr w:rsidR="00022375" w:rsidRPr="00543D10" w14:paraId="0EC4E3A3" w14:textId="77777777" w:rsidTr="00161381">
              <w:trPr>
                <w:trHeight w:val="325"/>
              </w:trPr>
              <w:tc>
                <w:tcPr>
                  <w:tcW w:w="4354" w:type="dxa"/>
                  <w:tcBorders>
                    <w:top w:val="nil"/>
                    <w:left w:val="nil"/>
                    <w:bottom w:val="nil"/>
                    <w:right w:val="nil"/>
                  </w:tcBorders>
                  <w:shd w:val="clear" w:color="auto" w:fill="auto"/>
                  <w:noWrap/>
                  <w:vAlign w:val="center"/>
                  <w:hideMark/>
                </w:tcPr>
                <w:p w14:paraId="5B8814EE" w14:textId="77777777" w:rsidR="00022375" w:rsidRPr="00543D10" w:rsidRDefault="00022375" w:rsidP="00022375">
                  <w:pPr>
                    <w:spacing w:after="0" w:line="240" w:lineRule="auto"/>
                    <w:rPr>
                      <w:rFonts w:ascii="Arial" w:eastAsia="Times New Roman" w:hAnsi="Arial" w:cs="Arial"/>
                      <w:sz w:val="20"/>
                      <w:szCs w:val="20"/>
                      <w:lang w:eastAsia="en-GB"/>
                    </w:rPr>
                  </w:pPr>
                  <w:r w:rsidRPr="00DA5F44">
                    <w:rPr>
                      <w:rFonts w:ascii="Arial" w:eastAsia="Times New Roman" w:hAnsi="Arial" w:cs="Arial"/>
                      <w:sz w:val="20"/>
                      <w:szCs w:val="20"/>
                      <w:lang w:eastAsia="en-GB"/>
                    </w:rPr>
                    <w:t>- Women</w:t>
                  </w:r>
                </w:p>
              </w:tc>
              <w:tc>
                <w:tcPr>
                  <w:tcW w:w="407" w:type="dxa"/>
                  <w:tcBorders>
                    <w:top w:val="nil"/>
                    <w:left w:val="nil"/>
                    <w:bottom w:val="nil"/>
                    <w:right w:val="nil"/>
                  </w:tcBorders>
                  <w:shd w:val="clear" w:color="auto" w:fill="auto"/>
                  <w:noWrap/>
                  <w:vAlign w:val="bottom"/>
                  <w:hideMark/>
                </w:tcPr>
                <w:p w14:paraId="0E97D4AB" w14:textId="77777777" w:rsidR="00022375" w:rsidRPr="00543D10" w:rsidRDefault="00022375" w:rsidP="00022375">
                  <w:pPr>
                    <w:spacing w:after="0" w:line="240" w:lineRule="auto"/>
                    <w:rPr>
                      <w:rFonts w:ascii="Arial" w:eastAsia="Times New Roman" w:hAnsi="Arial" w:cs="Arial"/>
                      <w:sz w:val="20"/>
                      <w:szCs w:val="20"/>
                      <w:lang w:eastAsia="en-GB"/>
                    </w:rPr>
                  </w:pPr>
                </w:p>
              </w:tc>
              <w:tc>
                <w:tcPr>
                  <w:tcW w:w="1197" w:type="dxa"/>
                  <w:tcBorders>
                    <w:top w:val="nil"/>
                    <w:left w:val="nil"/>
                    <w:bottom w:val="nil"/>
                    <w:right w:val="nil"/>
                  </w:tcBorders>
                  <w:shd w:val="clear" w:color="auto" w:fill="auto"/>
                  <w:noWrap/>
                  <w:vAlign w:val="bottom"/>
                  <w:hideMark/>
                </w:tcPr>
                <w:p w14:paraId="71C64E4E" w14:textId="77777777" w:rsidR="00022375" w:rsidRPr="00543D10" w:rsidRDefault="00022375" w:rsidP="00022375">
                  <w:pPr>
                    <w:spacing w:after="0" w:line="240" w:lineRule="auto"/>
                    <w:rPr>
                      <w:rFonts w:ascii="Times New Roman" w:eastAsia="Times New Roman" w:hAnsi="Times New Roman" w:cs="Times New Roman"/>
                      <w:sz w:val="20"/>
                      <w:szCs w:val="20"/>
                      <w:lang w:eastAsia="en-GB"/>
                    </w:rPr>
                  </w:pPr>
                </w:p>
              </w:tc>
              <w:tc>
                <w:tcPr>
                  <w:tcW w:w="1195" w:type="dxa"/>
                  <w:tcBorders>
                    <w:top w:val="nil"/>
                    <w:left w:val="nil"/>
                    <w:bottom w:val="nil"/>
                    <w:right w:val="nil"/>
                  </w:tcBorders>
                  <w:shd w:val="clear" w:color="auto" w:fill="auto"/>
                  <w:noWrap/>
                  <w:vAlign w:val="bottom"/>
                  <w:hideMark/>
                </w:tcPr>
                <w:p w14:paraId="5FB6EA4A" w14:textId="77777777" w:rsidR="00022375" w:rsidRPr="00543D10" w:rsidRDefault="00022375" w:rsidP="00022375">
                  <w:pPr>
                    <w:spacing w:after="0" w:line="240" w:lineRule="auto"/>
                    <w:rPr>
                      <w:rFonts w:ascii="Times New Roman" w:eastAsia="Times New Roman" w:hAnsi="Times New Roman" w:cs="Times New Roman"/>
                      <w:sz w:val="20"/>
                      <w:szCs w:val="20"/>
                      <w:lang w:eastAsia="en-GB"/>
                    </w:rPr>
                  </w:pPr>
                </w:p>
              </w:tc>
              <w:tc>
                <w:tcPr>
                  <w:tcW w:w="953" w:type="dxa"/>
                  <w:tcBorders>
                    <w:top w:val="nil"/>
                    <w:left w:val="nil"/>
                    <w:bottom w:val="nil"/>
                    <w:right w:val="nil"/>
                  </w:tcBorders>
                  <w:shd w:val="clear" w:color="auto" w:fill="auto"/>
                  <w:noWrap/>
                  <w:vAlign w:val="center"/>
                </w:tcPr>
                <w:p w14:paraId="0746FEB7" w14:textId="77777777" w:rsidR="00022375" w:rsidRPr="00543D10" w:rsidRDefault="00022375" w:rsidP="00022375">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89.3</w:t>
                  </w:r>
                </w:p>
              </w:tc>
              <w:tc>
                <w:tcPr>
                  <w:tcW w:w="976" w:type="dxa"/>
                  <w:tcBorders>
                    <w:top w:val="nil"/>
                    <w:left w:val="nil"/>
                    <w:bottom w:val="nil"/>
                    <w:right w:val="nil"/>
                  </w:tcBorders>
                  <w:shd w:val="clear" w:color="auto" w:fill="auto"/>
                  <w:noWrap/>
                  <w:vAlign w:val="center"/>
                </w:tcPr>
                <w:p w14:paraId="49A66030" w14:textId="77777777" w:rsidR="00022375" w:rsidRPr="00416FDD" w:rsidRDefault="00022375" w:rsidP="00022375">
                  <w:pPr>
                    <w:spacing w:after="0" w:line="240" w:lineRule="auto"/>
                    <w:jc w:val="right"/>
                    <w:rPr>
                      <w:rFonts w:ascii="Arial" w:eastAsia="Times New Roman" w:hAnsi="Arial" w:cs="Arial"/>
                      <w:sz w:val="20"/>
                      <w:szCs w:val="20"/>
                      <w:lang w:eastAsia="en-GB"/>
                    </w:rPr>
                  </w:pPr>
                  <w:r>
                    <w:rPr>
                      <w:rFonts w:ascii="Arial" w:eastAsia="Times New Roman" w:hAnsi="Arial" w:cs="Arial"/>
                      <w:bCs/>
                      <w:sz w:val="20"/>
                      <w:szCs w:val="20"/>
                      <w:lang w:eastAsia="en-GB"/>
                    </w:rPr>
                    <w:t>88.6</w:t>
                  </w:r>
                </w:p>
              </w:tc>
            </w:tr>
            <w:tr w:rsidR="00022375" w:rsidRPr="00543D10" w14:paraId="6EF37D12" w14:textId="77777777" w:rsidTr="00161381">
              <w:trPr>
                <w:trHeight w:val="325"/>
              </w:trPr>
              <w:tc>
                <w:tcPr>
                  <w:tcW w:w="4354" w:type="dxa"/>
                  <w:tcBorders>
                    <w:top w:val="nil"/>
                    <w:left w:val="nil"/>
                    <w:bottom w:val="nil"/>
                    <w:right w:val="nil"/>
                  </w:tcBorders>
                  <w:shd w:val="clear" w:color="auto" w:fill="auto"/>
                  <w:noWrap/>
                  <w:vAlign w:val="center"/>
                  <w:hideMark/>
                </w:tcPr>
                <w:p w14:paraId="325DA1A8" w14:textId="77777777" w:rsidR="00022375" w:rsidRPr="00543D10" w:rsidRDefault="00022375" w:rsidP="00022375">
                  <w:pPr>
                    <w:spacing w:after="0" w:line="240" w:lineRule="auto"/>
                    <w:rPr>
                      <w:rFonts w:ascii="Arial" w:eastAsia="Times New Roman" w:hAnsi="Arial" w:cs="Arial"/>
                      <w:sz w:val="20"/>
                      <w:szCs w:val="20"/>
                      <w:lang w:eastAsia="en-GB"/>
                    </w:rPr>
                  </w:pPr>
                  <w:r w:rsidRPr="00DA5F44">
                    <w:rPr>
                      <w:rFonts w:ascii="Arial" w:eastAsia="Times New Roman" w:hAnsi="Arial" w:cs="Arial"/>
                      <w:sz w:val="20"/>
                      <w:szCs w:val="20"/>
                      <w:lang w:eastAsia="en-GB"/>
                    </w:rPr>
                    <w:t>Longevity at 65 for future pensioners:</w:t>
                  </w:r>
                </w:p>
              </w:tc>
              <w:tc>
                <w:tcPr>
                  <w:tcW w:w="407" w:type="dxa"/>
                  <w:tcBorders>
                    <w:top w:val="nil"/>
                    <w:left w:val="nil"/>
                    <w:bottom w:val="nil"/>
                    <w:right w:val="nil"/>
                  </w:tcBorders>
                  <w:shd w:val="clear" w:color="auto" w:fill="auto"/>
                  <w:noWrap/>
                  <w:vAlign w:val="bottom"/>
                  <w:hideMark/>
                </w:tcPr>
                <w:p w14:paraId="4D0F81C6" w14:textId="77777777" w:rsidR="00022375" w:rsidRPr="00543D10" w:rsidRDefault="00022375" w:rsidP="00022375">
                  <w:pPr>
                    <w:spacing w:after="0" w:line="240" w:lineRule="auto"/>
                    <w:rPr>
                      <w:rFonts w:ascii="Arial" w:eastAsia="Times New Roman" w:hAnsi="Arial" w:cs="Arial"/>
                      <w:sz w:val="20"/>
                      <w:szCs w:val="20"/>
                      <w:lang w:eastAsia="en-GB"/>
                    </w:rPr>
                  </w:pPr>
                </w:p>
              </w:tc>
              <w:tc>
                <w:tcPr>
                  <w:tcW w:w="1197" w:type="dxa"/>
                  <w:tcBorders>
                    <w:top w:val="nil"/>
                    <w:left w:val="nil"/>
                    <w:bottom w:val="nil"/>
                    <w:right w:val="nil"/>
                  </w:tcBorders>
                  <w:shd w:val="clear" w:color="auto" w:fill="auto"/>
                  <w:noWrap/>
                  <w:vAlign w:val="bottom"/>
                  <w:hideMark/>
                </w:tcPr>
                <w:p w14:paraId="66F2574D" w14:textId="77777777" w:rsidR="00022375" w:rsidRPr="00543D10" w:rsidRDefault="00022375" w:rsidP="00022375">
                  <w:pPr>
                    <w:spacing w:after="0" w:line="240" w:lineRule="auto"/>
                    <w:rPr>
                      <w:rFonts w:ascii="Times New Roman" w:eastAsia="Times New Roman" w:hAnsi="Times New Roman" w:cs="Times New Roman"/>
                      <w:sz w:val="20"/>
                      <w:szCs w:val="20"/>
                      <w:lang w:eastAsia="en-GB"/>
                    </w:rPr>
                  </w:pPr>
                </w:p>
              </w:tc>
              <w:tc>
                <w:tcPr>
                  <w:tcW w:w="1195" w:type="dxa"/>
                  <w:tcBorders>
                    <w:top w:val="nil"/>
                    <w:left w:val="nil"/>
                    <w:bottom w:val="nil"/>
                    <w:right w:val="nil"/>
                  </w:tcBorders>
                  <w:shd w:val="clear" w:color="auto" w:fill="auto"/>
                  <w:noWrap/>
                  <w:vAlign w:val="bottom"/>
                  <w:hideMark/>
                </w:tcPr>
                <w:p w14:paraId="7A0C2506" w14:textId="77777777" w:rsidR="00022375" w:rsidRPr="00543D10" w:rsidRDefault="00022375" w:rsidP="00022375">
                  <w:pPr>
                    <w:spacing w:after="0" w:line="240" w:lineRule="auto"/>
                    <w:rPr>
                      <w:rFonts w:ascii="Times New Roman" w:eastAsia="Times New Roman" w:hAnsi="Times New Roman" w:cs="Times New Roman"/>
                      <w:sz w:val="20"/>
                      <w:szCs w:val="20"/>
                      <w:lang w:eastAsia="en-GB"/>
                    </w:rPr>
                  </w:pPr>
                </w:p>
              </w:tc>
              <w:tc>
                <w:tcPr>
                  <w:tcW w:w="953" w:type="dxa"/>
                  <w:tcBorders>
                    <w:top w:val="nil"/>
                    <w:left w:val="nil"/>
                    <w:bottom w:val="nil"/>
                    <w:right w:val="nil"/>
                  </w:tcBorders>
                  <w:shd w:val="clear" w:color="auto" w:fill="auto"/>
                  <w:noWrap/>
                  <w:vAlign w:val="center"/>
                </w:tcPr>
                <w:p w14:paraId="3EF54147" w14:textId="77777777" w:rsidR="00022375" w:rsidRPr="00543D10" w:rsidRDefault="00022375" w:rsidP="00022375">
                  <w:pPr>
                    <w:spacing w:after="0" w:line="240" w:lineRule="auto"/>
                    <w:jc w:val="right"/>
                    <w:rPr>
                      <w:rFonts w:ascii="Times New Roman" w:eastAsia="Times New Roman" w:hAnsi="Times New Roman" w:cs="Times New Roman"/>
                      <w:sz w:val="20"/>
                      <w:szCs w:val="20"/>
                      <w:lang w:eastAsia="en-GB"/>
                    </w:rPr>
                  </w:pPr>
                </w:p>
              </w:tc>
              <w:tc>
                <w:tcPr>
                  <w:tcW w:w="976" w:type="dxa"/>
                  <w:tcBorders>
                    <w:top w:val="nil"/>
                    <w:left w:val="nil"/>
                    <w:bottom w:val="nil"/>
                    <w:right w:val="nil"/>
                  </w:tcBorders>
                  <w:shd w:val="clear" w:color="auto" w:fill="auto"/>
                  <w:noWrap/>
                  <w:vAlign w:val="center"/>
                </w:tcPr>
                <w:p w14:paraId="61D6226C" w14:textId="77777777" w:rsidR="00022375" w:rsidRPr="00416FDD" w:rsidRDefault="00022375" w:rsidP="00022375">
                  <w:pPr>
                    <w:spacing w:after="0" w:line="240" w:lineRule="auto"/>
                    <w:jc w:val="right"/>
                    <w:rPr>
                      <w:rFonts w:ascii="Times New Roman" w:eastAsia="Times New Roman" w:hAnsi="Times New Roman" w:cs="Times New Roman"/>
                      <w:sz w:val="20"/>
                      <w:szCs w:val="20"/>
                      <w:lang w:eastAsia="en-GB"/>
                    </w:rPr>
                  </w:pPr>
                </w:p>
              </w:tc>
            </w:tr>
            <w:tr w:rsidR="00022375" w:rsidRPr="00543D10" w14:paraId="2A9FD230" w14:textId="77777777" w:rsidTr="00161381">
              <w:trPr>
                <w:trHeight w:val="325"/>
              </w:trPr>
              <w:tc>
                <w:tcPr>
                  <w:tcW w:w="4354" w:type="dxa"/>
                  <w:tcBorders>
                    <w:top w:val="nil"/>
                    <w:left w:val="nil"/>
                    <w:bottom w:val="nil"/>
                    <w:right w:val="nil"/>
                  </w:tcBorders>
                  <w:shd w:val="clear" w:color="auto" w:fill="auto"/>
                  <w:noWrap/>
                  <w:vAlign w:val="center"/>
                  <w:hideMark/>
                </w:tcPr>
                <w:p w14:paraId="0E1214B4" w14:textId="77777777" w:rsidR="00022375" w:rsidRPr="00543D10" w:rsidRDefault="00022375" w:rsidP="00022375">
                  <w:pPr>
                    <w:spacing w:after="0" w:line="240" w:lineRule="auto"/>
                    <w:rPr>
                      <w:rFonts w:ascii="Arial" w:eastAsia="Times New Roman" w:hAnsi="Arial" w:cs="Arial"/>
                      <w:sz w:val="20"/>
                      <w:szCs w:val="20"/>
                      <w:lang w:eastAsia="en-GB"/>
                    </w:rPr>
                  </w:pPr>
                  <w:r w:rsidRPr="00DA5F44">
                    <w:rPr>
                      <w:rFonts w:ascii="Arial" w:eastAsia="Times New Roman" w:hAnsi="Arial" w:cs="Arial"/>
                      <w:sz w:val="20"/>
                      <w:szCs w:val="20"/>
                      <w:lang w:eastAsia="en-GB"/>
                    </w:rPr>
                    <w:t>- Men</w:t>
                  </w:r>
                </w:p>
              </w:tc>
              <w:tc>
                <w:tcPr>
                  <w:tcW w:w="407" w:type="dxa"/>
                  <w:tcBorders>
                    <w:top w:val="nil"/>
                    <w:left w:val="nil"/>
                    <w:bottom w:val="nil"/>
                    <w:right w:val="nil"/>
                  </w:tcBorders>
                  <w:shd w:val="clear" w:color="auto" w:fill="auto"/>
                  <w:noWrap/>
                  <w:vAlign w:val="bottom"/>
                  <w:hideMark/>
                </w:tcPr>
                <w:p w14:paraId="66B0E5ED" w14:textId="77777777" w:rsidR="00022375" w:rsidRPr="00543D10" w:rsidRDefault="00022375" w:rsidP="00022375">
                  <w:pPr>
                    <w:spacing w:after="0" w:line="240" w:lineRule="auto"/>
                    <w:rPr>
                      <w:rFonts w:ascii="Arial" w:eastAsia="Times New Roman" w:hAnsi="Arial" w:cs="Arial"/>
                      <w:sz w:val="20"/>
                      <w:szCs w:val="20"/>
                      <w:lang w:eastAsia="en-GB"/>
                    </w:rPr>
                  </w:pPr>
                </w:p>
              </w:tc>
              <w:tc>
                <w:tcPr>
                  <w:tcW w:w="1197" w:type="dxa"/>
                  <w:tcBorders>
                    <w:top w:val="nil"/>
                    <w:left w:val="nil"/>
                    <w:bottom w:val="nil"/>
                    <w:right w:val="nil"/>
                  </w:tcBorders>
                  <w:shd w:val="clear" w:color="auto" w:fill="auto"/>
                  <w:noWrap/>
                  <w:vAlign w:val="bottom"/>
                  <w:hideMark/>
                </w:tcPr>
                <w:p w14:paraId="2B719934" w14:textId="77777777" w:rsidR="00022375" w:rsidRPr="00543D10" w:rsidRDefault="00022375" w:rsidP="00022375">
                  <w:pPr>
                    <w:spacing w:after="0" w:line="240" w:lineRule="auto"/>
                    <w:rPr>
                      <w:rFonts w:ascii="Times New Roman" w:eastAsia="Times New Roman" w:hAnsi="Times New Roman" w:cs="Times New Roman"/>
                      <w:sz w:val="20"/>
                      <w:szCs w:val="20"/>
                      <w:lang w:eastAsia="en-GB"/>
                    </w:rPr>
                  </w:pPr>
                </w:p>
              </w:tc>
              <w:tc>
                <w:tcPr>
                  <w:tcW w:w="1195" w:type="dxa"/>
                  <w:tcBorders>
                    <w:top w:val="nil"/>
                    <w:left w:val="nil"/>
                    <w:bottom w:val="nil"/>
                    <w:right w:val="nil"/>
                  </w:tcBorders>
                  <w:shd w:val="clear" w:color="auto" w:fill="auto"/>
                  <w:noWrap/>
                  <w:vAlign w:val="bottom"/>
                  <w:hideMark/>
                </w:tcPr>
                <w:p w14:paraId="400F2D24" w14:textId="77777777" w:rsidR="00022375" w:rsidRPr="00543D10" w:rsidRDefault="00022375" w:rsidP="00022375">
                  <w:pPr>
                    <w:spacing w:after="0" w:line="240" w:lineRule="auto"/>
                    <w:rPr>
                      <w:rFonts w:ascii="Times New Roman" w:eastAsia="Times New Roman" w:hAnsi="Times New Roman" w:cs="Times New Roman"/>
                      <w:sz w:val="20"/>
                      <w:szCs w:val="20"/>
                      <w:lang w:eastAsia="en-GB"/>
                    </w:rPr>
                  </w:pPr>
                </w:p>
              </w:tc>
              <w:tc>
                <w:tcPr>
                  <w:tcW w:w="953" w:type="dxa"/>
                  <w:tcBorders>
                    <w:top w:val="nil"/>
                    <w:left w:val="nil"/>
                    <w:bottom w:val="nil"/>
                    <w:right w:val="nil"/>
                  </w:tcBorders>
                  <w:shd w:val="clear" w:color="auto" w:fill="auto"/>
                  <w:noWrap/>
                  <w:vAlign w:val="center"/>
                </w:tcPr>
                <w:p w14:paraId="2143A256" w14:textId="77777777" w:rsidR="00022375" w:rsidRPr="00543D10" w:rsidRDefault="00022375" w:rsidP="00022375">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88.7</w:t>
                  </w:r>
                </w:p>
              </w:tc>
              <w:tc>
                <w:tcPr>
                  <w:tcW w:w="976" w:type="dxa"/>
                  <w:tcBorders>
                    <w:top w:val="nil"/>
                    <w:left w:val="nil"/>
                    <w:bottom w:val="nil"/>
                    <w:right w:val="nil"/>
                  </w:tcBorders>
                  <w:shd w:val="clear" w:color="auto" w:fill="auto"/>
                  <w:noWrap/>
                  <w:vAlign w:val="center"/>
                </w:tcPr>
                <w:p w14:paraId="3AB77211" w14:textId="77777777" w:rsidR="00022375" w:rsidRPr="00416FDD" w:rsidRDefault="00022375" w:rsidP="00022375">
                  <w:pPr>
                    <w:spacing w:after="0" w:line="240" w:lineRule="auto"/>
                    <w:jc w:val="right"/>
                    <w:rPr>
                      <w:rFonts w:ascii="Arial" w:eastAsia="Times New Roman" w:hAnsi="Arial" w:cs="Arial"/>
                      <w:sz w:val="20"/>
                      <w:szCs w:val="20"/>
                      <w:lang w:eastAsia="en-GB"/>
                    </w:rPr>
                  </w:pPr>
                  <w:r>
                    <w:rPr>
                      <w:rFonts w:ascii="Arial" w:eastAsia="Times New Roman" w:hAnsi="Arial" w:cs="Arial"/>
                      <w:bCs/>
                      <w:sz w:val="20"/>
                      <w:szCs w:val="20"/>
                      <w:lang w:eastAsia="en-GB"/>
                    </w:rPr>
                    <w:t>88.3</w:t>
                  </w:r>
                </w:p>
              </w:tc>
            </w:tr>
            <w:tr w:rsidR="00022375" w:rsidRPr="00543D10" w14:paraId="51041081" w14:textId="77777777" w:rsidTr="00161381">
              <w:trPr>
                <w:trHeight w:val="325"/>
              </w:trPr>
              <w:tc>
                <w:tcPr>
                  <w:tcW w:w="4354" w:type="dxa"/>
                  <w:tcBorders>
                    <w:top w:val="nil"/>
                    <w:left w:val="nil"/>
                    <w:bottom w:val="single" w:sz="4" w:space="0" w:color="auto"/>
                    <w:right w:val="nil"/>
                  </w:tcBorders>
                  <w:shd w:val="clear" w:color="auto" w:fill="auto"/>
                  <w:noWrap/>
                  <w:vAlign w:val="center"/>
                  <w:hideMark/>
                </w:tcPr>
                <w:p w14:paraId="504F5760" w14:textId="77777777" w:rsidR="00022375" w:rsidRPr="00543D10" w:rsidRDefault="00022375" w:rsidP="00022375">
                  <w:pPr>
                    <w:spacing w:after="0" w:line="240" w:lineRule="auto"/>
                    <w:rPr>
                      <w:rFonts w:ascii="Arial" w:eastAsia="Times New Roman" w:hAnsi="Arial" w:cs="Arial"/>
                      <w:sz w:val="20"/>
                      <w:szCs w:val="20"/>
                      <w:lang w:eastAsia="en-GB"/>
                    </w:rPr>
                  </w:pPr>
                  <w:r w:rsidRPr="00DA5F44">
                    <w:rPr>
                      <w:rFonts w:ascii="Arial" w:eastAsia="Times New Roman" w:hAnsi="Arial" w:cs="Arial"/>
                      <w:sz w:val="20"/>
                      <w:szCs w:val="20"/>
                      <w:lang w:eastAsia="en-GB"/>
                    </w:rPr>
                    <w:t>- Women</w:t>
                  </w:r>
                </w:p>
              </w:tc>
              <w:tc>
                <w:tcPr>
                  <w:tcW w:w="407" w:type="dxa"/>
                  <w:tcBorders>
                    <w:top w:val="nil"/>
                    <w:left w:val="nil"/>
                    <w:bottom w:val="single" w:sz="4" w:space="0" w:color="auto"/>
                    <w:right w:val="nil"/>
                  </w:tcBorders>
                  <w:shd w:val="clear" w:color="auto" w:fill="auto"/>
                  <w:noWrap/>
                  <w:vAlign w:val="bottom"/>
                  <w:hideMark/>
                </w:tcPr>
                <w:p w14:paraId="0ED7D2D9" w14:textId="77777777" w:rsidR="00022375" w:rsidRPr="00543D10" w:rsidRDefault="00022375" w:rsidP="00022375">
                  <w:pPr>
                    <w:spacing w:after="0" w:line="240" w:lineRule="auto"/>
                    <w:rPr>
                      <w:rFonts w:ascii="Arial" w:eastAsia="Times New Roman" w:hAnsi="Arial" w:cs="Arial"/>
                      <w:sz w:val="20"/>
                      <w:szCs w:val="20"/>
                      <w:lang w:eastAsia="en-GB"/>
                    </w:rPr>
                  </w:pPr>
                  <w:r w:rsidRPr="00DA5F44">
                    <w:rPr>
                      <w:rFonts w:ascii="Arial" w:eastAsia="Times New Roman" w:hAnsi="Arial" w:cs="Arial"/>
                      <w:sz w:val="20"/>
                      <w:szCs w:val="20"/>
                      <w:lang w:eastAsia="en-GB"/>
                    </w:rPr>
                    <w:t> </w:t>
                  </w:r>
                </w:p>
              </w:tc>
              <w:tc>
                <w:tcPr>
                  <w:tcW w:w="1197" w:type="dxa"/>
                  <w:tcBorders>
                    <w:top w:val="nil"/>
                    <w:left w:val="nil"/>
                    <w:bottom w:val="single" w:sz="4" w:space="0" w:color="auto"/>
                    <w:right w:val="nil"/>
                  </w:tcBorders>
                  <w:shd w:val="clear" w:color="auto" w:fill="auto"/>
                  <w:noWrap/>
                  <w:vAlign w:val="bottom"/>
                  <w:hideMark/>
                </w:tcPr>
                <w:p w14:paraId="08C08190" w14:textId="77777777" w:rsidR="00022375" w:rsidRPr="00543D10" w:rsidRDefault="00022375" w:rsidP="00022375">
                  <w:pPr>
                    <w:spacing w:after="0" w:line="240" w:lineRule="auto"/>
                    <w:rPr>
                      <w:rFonts w:ascii="Arial" w:eastAsia="Times New Roman" w:hAnsi="Arial" w:cs="Arial"/>
                      <w:sz w:val="20"/>
                      <w:szCs w:val="20"/>
                      <w:lang w:eastAsia="en-GB"/>
                    </w:rPr>
                  </w:pPr>
                  <w:r w:rsidRPr="00DA5F44">
                    <w:rPr>
                      <w:rFonts w:ascii="Arial" w:eastAsia="Times New Roman" w:hAnsi="Arial" w:cs="Arial"/>
                      <w:sz w:val="20"/>
                      <w:szCs w:val="20"/>
                      <w:lang w:eastAsia="en-GB"/>
                    </w:rPr>
                    <w:t> </w:t>
                  </w:r>
                </w:p>
              </w:tc>
              <w:tc>
                <w:tcPr>
                  <w:tcW w:w="1195" w:type="dxa"/>
                  <w:tcBorders>
                    <w:top w:val="nil"/>
                    <w:left w:val="nil"/>
                    <w:bottom w:val="single" w:sz="4" w:space="0" w:color="auto"/>
                    <w:right w:val="nil"/>
                  </w:tcBorders>
                  <w:shd w:val="clear" w:color="auto" w:fill="auto"/>
                  <w:noWrap/>
                  <w:vAlign w:val="bottom"/>
                  <w:hideMark/>
                </w:tcPr>
                <w:p w14:paraId="5C3723AA" w14:textId="77777777" w:rsidR="00022375" w:rsidRPr="00543D10" w:rsidRDefault="00022375" w:rsidP="00022375">
                  <w:pPr>
                    <w:spacing w:after="0" w:line="240" w:lineRule="auto"/>
                    <w:rPr>
                      <w:rFonts w:ascii="Arial" w:eastAsia="Times New Roman" w:hAnsi="Arial" w:cs="Arial"/>
                      <w:sz w:val="20"/>
                      <w:szCs w:val="20"/>
                      <w:lang w:eastAsia="en-GB"/>
                    </w:rPr>
                  </w:pPr>
                  <w:r w:rsidRPr="00DA5F44">
                    <w:rPr>
                      <w:rFonts w:ascii="Arial" w:eastAsia="Times New Roman" w:hAnsi="Arial" w:cs="Arial"/>
                      <w:sz w:val="20"/>
                      <w:szCs w:val="20"/>
                      <w:lang w:eastAsia="en-GB"/>
                    </w:rPr>
                    <w:t> </w:t>
                  </w:r>
                </w:p>
              </w:tc>
              <w:tc>
                <w:tcPr>
                  <w:tcW w:w="953" w:type="dxa"/>
                  <w:tcBorders>
                    <w:top w:val="nil"/>
                    <w:left w:val="nil"/>
                    <w:bottom w:val="single" w:sz="4" w:space="0" w:color="auto"/>
                    <w:right w:val="nil"/>
                  </w:tcBorders>
                  <w:shd w:val="clear" w:color="auto" w:fill="auto"/>
                  <w:noWrap/>
                  <w:vAlign w:val="center"/>
                </w:tcPr>
                <w:p w14:paraId="4A600CFF" w14:textId="77777777" w:rsidR="00022375" w:rsidRPr="00543D10" w:rsidRDefault="00022375" w:rsidP="00022375">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91.0</w:t>
                  </w:r>
                </w:p>
              </w:tc>
              <w:tc>
                <w:tcPr>
                  <w:tcW w:w="976" w:type="dxa"/>
                  <w:tcBorders>
                    <w:top w:val="nil"/>
                    <w:left w:val="nil"/>
                    <w:bottom w:val="single" w:sz="4" w:space="0" w:color="auto"/>
                    <w:right w:val="nil"/>
                  </w:tcBorders>
                  <w:shd w:val="clear" w:color="auto" w:fill="auto"/>
                  <w:noWrap/>
                  <w:vAlign w:val="center"/>
                </w:tcPr>
                <w:p w14:paraId="61DF5D1D" w14:textId="77777777" w:rsidR="00022375" w:rsidRPr="00416FDD" w:rsidRDefault="00022375" w:rsidP="00022375">
                  <w:pPr>
                    <w:spacing w:after="0" w:line="240" w:lineRule="auto"/>
                    <w:jc w:val="right"/>
                    <w:rPr>
                      <w:rFonts w:ascii="Arial" w:eastAsia="Times New Roman" w:hAnsi="Arial" w:cs="Arial"/>
                      <w:sz w:val="20"/>
                      <w:szCs w:val="20"/>
                      <w:lang w:eastAsia="en-GB"/>
                    </w:rPr>
                  </w:pPr>
                  <w:r>
                    <w:rPr>
                      <w:rFonts w:ascii="Arial" w:eastAsia="Times New Roman" w:hAnsi="Arial" w:cs="Arial"/>
                      <w:bCs/>
                      <w:sz w:val="20"/>
                      <w:szCs w:val="20"/>
                      <w:lang w:eastAsia="en-GB"/>
                    </w:rPr>
                    <w:t>90.5</w:t>
                  </w:r>
                </w:p>
              </w:tc>
            </w:tr>
            <w:tr w:rsidR="00543D10" w:rsidRPr="00543D10" w14:paraId="1859FEF1" w14:textId="77777777" w:rsidTr="00697C96">
              <w:trPr>
                <w:trHeight w:val="325"/>
              </w:trPr>
              <w:tc>
                <w:tcPr>
                  <w:tcW w:w="5958" w:type="dxa"/>
                  <w:gridSpan w:val="3"/>
                  <w:tcBorders>
                    <w:top w:val="nil"/>
                    <w:left w:val="nil"/>
                    <w:bottom w:val="nil"/>
                    <w:right w:val="nil"/>
                  </w:tcBorders>
                  <w:shd w:val="clear" w:color="auto" w:fill="auto"/>
                  <w:noWrap/>
                  <w:vAlign w:val="center"/>
                  <w:hideMark/>
                </w:tcPr>
                <w:p w14:paraId="23F9FF14" w14:textId="77777777" w:rsidR="00F0231D" w:rsidRPr="00543D10" w:rsidRDefault="00F0231D" w:rsidP="007729E5">
                  <w:pPr>
                    <w:spacing w:after="0" w:line="240" w:lineRule="auto"/>
                    <w:rPr>
                      <w:rFonts w:ascii="Arial" w:eastAsia="Times New Roman" w:hAnsi="Arial" w:cs="Arial"/>
                      <w:b/>
                      <w:bCs/>
                      <w:sz w:val="20"/>
                      <w:szCs w:val="20"/>
                      <w:lang w:eastAsia="en-GB"/>
                    </w:rPr>
                  </w:pPr>
                </w:p>
                <w:p w14:paraId="48BB706A" w14:textId="77777777" w:rsidR="00F0231D" w:rsidRPr="006647C2" w:rsidRDefault="00F0231D" w:rsidP="007729E5">
                  <w:pPr>
                    <w:spacing w:after="0" w:line="240" w:lineRule="auto"/>
                    <w:rPr>
                      <w:rFonts w:ascii="Arial" w:eastAsia="Times New Roman" w:hAnsi="Arial" w:cs="Arial"/>
                      <w:b/>
                      <w:bCs/>
                      <w:i/>
                      <w:sz w:val="20"/>
                      <w:szCs w:val="20"/>
                      <w:lang w:eastAsia="en-GB"/>
                    </w:rPr>
                  </w:pPr>
                </w:p>
                <w:p w14:paraId="59D47DA7" w14:textId="77777777" w:rsidR="00F0231D" w:rsidRPr="006647C2" w:rsidRDefault="00F0231D" w:rsidP="007729E5">
                  <w:pPr>
                    <w:spacing w:after="0" w:line="240" w:lineRule="auto"/>
                    <w:rPr>
                      <w:rFonts w:ascii="Arial" w:eastAsia="Times New Roman" w:hAnsi="Arial" w:cs="Arial"/>
                      <w:b/>
                      <w:bCs/>
                      <w:i/>
                      <w:sz w:val="20"/>
                      <w:szCs w:val="20"/>
                      <w:lang w:eastAsia="en-GB"/>
                    </w:rPr>
                  </w:pPr>
                </w:p>
                <w:p w14:paraId="47E56621" w14:textId="77777777" w:rsidR="00E70CD3" w:rsidRPr="00543D10" w:rsidRDefault="00E70CD3" w:rsidP="007729E5">
                  <w:pPr>
                    <w:spacing w:after="0" w:line="240" w:lineRule="auto"/>
                    <w:rPr>
                      <w:rFonts w:ascii="Arial" w:eastAsia="Times New Roman" w:hAnsi="Arial" w:cs="Arial"/>
                      <w:b/>
                      <w:bCs/>
                      <w:sz w:val="20"/>
                      <w:szCs w:val="20"/>
                      <w:lang w:eastAsia="en-GB"/>
                    </w:rPr>
                  </w:pPr>
                  <w:r w:rsidRPr="00543D10">
                    <w:rPr>
                      <w:rFonts w:ascii="Arial" w:eastAsia="Times New Roman" w:hAnsi="Arial" w:cs="Arial"/>
                      <w:b/>
                      <w:bCs/>
                      <w:sz w:val="20"/>
                      <w:szCs w:val="20"/>
                      <w:lang w:eastAsia="en-GB"/>
                    </w:rPr>
                    <w:t>Reconciliation of scheme assets and liabilities:</w:t>
                  </w:r>
                </w:p>
              </w:tc>
              <w:tc>
                <w:tcPr>
                  <w:tcW w:w="1195" w:type="dxa"/>
                  <w:tcBorders>
                    <w:top w:val="nil"/>
                    <w:left w:val="nil"/>
                    <w:bottom w:val="nil"/>
                    <w:right w:val="nil"/>
                  </w:tcBorders>
                  <w:shd w:val="clear" w:color="auto" w:fill="auto"/>
                  <w:noWrap/>
                  <w:vAlign w:val="center"/>
                  <w:hideMark/>
                </w:tcPr>
                <w:p w14:paraId="468BE07F" w14:textId="77777777" w:rsidR="00E70CD3" w:rsidRPr="00543D10" w:rsidRDefault="00E70CD3" w:rsidP="007729E5">
                  <w:pPr>
                    <w:spacing w:after="0" w:line="240" w:lineRule="auto"/>
                    <w:rPr>
                      <w:rFonts w:ascii="Arial" w:eastAsia="Times New Roman" w:hAnsi="Arial" w:cs="Arial"/>
                      <w:b/>
                      <w:bCs/>
                      <w:sz w:val="20"/>
                      <w:szCs w:val="20"/>
                      <w:lang w:eastAsia="en-GB"/>
                    </w:rPr>
                  </w:pPr>
                </w:p>
              </w:tc>
              <w:tc>
                <w:tcPr>
                  <w:tcW w:w="953" w:type="dxa"/>
                  <w:tcBorders>
                    <w:top w:val="nil"/>
                    <w:left w:val="nil"/>
                    <w:bottom w:val="nil"/>
                    <w:right w:val="nil"/>
                  </w:tcBorders>
                  <w:shd w:val="clear" w:color="auto" w:fill="auto"/>
                  <w:noWrap/>
                  <w:vAlign w:val="center"/>
                  <w:hideMark/>
                </w:tcPr>
                <w:p w14:paraId="7F30402D" w14:textId="77777777" w:rsidR="00E70CD3" w:rsidRPr="00543D10" w:rsidRDefault="00E70CD3" w:rsidP="007729E5">
                  <w:pPr>
                    <w:spacing w:after="0" w:line="240" w:lineRule="auto"/>
                    <w:rPr>
                      <w:rFonts w:ascii="Times New Roman" w:eastAsia="Times New Roman" w:hAnsi="Times New Roman" w:cs="Times New Roman"/>
                      <w:sz w:val="20"/>
                      <w:szCs w:val="20"/>
                      <w:lang w:eastAsia="en-GB"/>
                    </w:rPr>
                  </w:pPr>
                </w:p>
              </w:tc>
              <w:tc>
                <w:tcPr>
                  <w:tcW w:w="976" w:type="dxa"/>
                  <w:tcBorders>
                    <w:top w:val="nil"/>
                    <w:left w:val="nil"/>
                    <w:bottom w:val="nil"/>
                    <w:right w:val="nil"/>
                  </w:tcBorders>
                  <w:shd w:val="clear" w:color="auto" w:fill="auto"/>
                  <w:noWrap/>
                  <w:vAlign w:val="center"/>
                  <w:hideMark/>
                </w:tcPr>
                <w:p w14:paraId="791AE898" w14:textId="77777777" w:rsidR="00E70CD3" w:rsidRPr="00543D10" w:rsidRDefault="00E70CD3" w:rsidP="007729E5">
                  <w:pPr>
                    <w:spacing w:after="0" w:line="240" w:lineRule="auto"/>
                    <w:rPr>
                      <w:rFonts w:ascii="Times New Roman" w:eastAsia="Times New Roman" w:hAnsi="Times New Roman" w:cs="Times New Roman"/>
                      <w:sz w:val="20"/>
                      <w:szCs w:val="20"/>
                      <w:lang w:eastAsia="en-GB"/>
                    </w:rPr>
                  </w:pPr>
                </w:p>
              </w:tc>
            </w:tr>
            <w:tr w:rsidR="00543D10" w:rsidRPr="00543D10" w14:paraId="1FB1EA57" w14:textId="77777777" w:rsidTr="00022375">
              <w:trPr>
                <w:trHeight w:val="325"/>
              </w:trPr>
              <w:tc>
                <w:tcPr>
                  <w:tcW w:w="4354" w:type="dxa"/>
                  <w:tcBorders>
                    <w:top w:val="nil"/>
                    <w:left w:val="nil"/>
                    <w:bottom w:val="nil"/>
                    <w:right w:val="nil"/>
                  </w:tcBorders>
                  <w:shd w:val="clear" w:color="auto" w:fill="auto"/>
                  <w:noWrap/>
                  <w:vAlign w:val="center"/>
                  <w:hideMark/>
                </w:tcPr>
                <w:p w14:paraId="4F96106F" w14:textId="77777777" w:rsidR="00E70CD3" w:rsidRPr="00543D10" w:rsidRDefault="00E70CD3" w:rsidP="007729E5">
                  <w:pPr>
                    <w:spacing w:after="0" w:line="240" w:lineRule="auto"/>
                    <w:rPr>
                      <w:rFonts w:ascii="Times New Roman" w:eastAsia="Times New Roman" w:hAnsi="Times New Roman" w:cs="Times New Roman"/>
                      <w:sz w:val="20"/>
                      <w:szCs w:val="20"/>
                      <w:lang w:eastAsia="en-GB"/>
                    </w:rPr>
                  </w:pPr>
                </w:p>
              </w:tc>
              <w:tc>
                <w:tcPr>
                  <w:tcW w:w="407" w:type="dxa"/>
                  <w:tcBorders>
                    <w:top w:val="nil"/>
                    <w:left w:val="nil"/>
                    <w:bottom w:val="nil"/>
                    <w:right w:val="nil"/>
                  </w:tcBorders>
                  <w:shd w:val="clear" w:color="auto" w:fill="auto"/>
                  <w:noWrap/>
                  <w:vAlign w:val="bottom"/>
                  <w:hideMark/>
                </w:tcPr>
                <w:p w14:paraId="4B014498" w14:textId="77777777" w:rsidR="00E70CD3" w:rsidRPr="00543D10" w:rsidRDefault="00E70CD3" w:rsidP="007729E5">
                  <w:pPr>
                    <w:spacing w:after="0" w:line="240" w:lineRule="auto"/>
                    <w:rPr>
                      <w:rFonts w:ascii="Times New Roman" w:eastAsia="Times New Roman" w:hAnsi="Times New Roman" w:cs="Times New Roman"/>
                      <w:sz w:val="20"/>
                      <w:szCs w:val="20"/>
                      <w:lang w:eastAsia="en-GB"/>
                    </w:rPr>
                  </w:pPr>
                </w:p>
              </w:tc>
              <w:tc>
                <w:tcPr>
                  <w:tcW w:w="1197" w:type="dxa"/>
                  <w:tcBorders>
                    <w:top w:val="nil"/>
                    <w:left w:val="nil"/>
                    <w:right w:val="nil"/>
                  </w:tcBorders>
                  <w:shd w:val="clear" w:color="auto" w:fill="auto"/>
                  <w:noWrap/>
                  <w:vAlign w:val="center"/>
                  <w:hideMark/>
                </w:tcPr>
                <w:p w14:paraId="0AB165FF" w14:textId="77777777" w:rsidR="00E70CD3" w:rsidRPr="00543D10" w:rsidRDefault="00E70CD3" w:rsidP="005229F1">
                  <w:pPr>
                    <w:spacing w:after="0" w:line="240" w:lineRule="auto"/>
                    <w:jc w:val="right"/>
                    <w:rPr>
                      <w:rFonts w:ascii="Arial" w:eastAsia="Times New Roman" w:hAnsi="Arial" w:cs="Arial"/>
                      <w:b/>
                      <w:bCs/>
                      <w:sz w:val="20"/>
                      <w:szCs w:val="20"/>
                      <w:lang w:eastAsia="en-GB"/>
                    </w:rPr>
                  </w:pPr>
                  <w:r w:rsidRPr="00543D10">
                    <w:rPr>
                      <w:rFonts w:ascii="Arial" w:eastAsia="Times New Roman" w:hAnsi="Arial" w:cs="Arial"/>
                      <w:b/>
                      <w:bCs/>
                      <w:sz w:val="20"/>
                      <w:szCs w:val="20"/>
                      <w:lang w:eastAsia="en-GB"/>
                    </w:rPr>
                    <w:t>Assets</w:t>
                  </w:r>
                </w:p>
              </w:tc>
              <w:tc>
                <w:tcPr>
                  <w:tcW w:w="1195" w:type="dxa"/>
                  <w:tcBorders>
                    <w:top w:val="nil"/>
                    <w:left w:val="nil"/>
                    <w:right w:val="nil"/>
                  </w:tcBorders>
                  <w:shd w:val="clear" w:color="auto" w:fill="auto"/>
                  <w:noWrap/>
                  <w:vAlign w:val="center"/>
                  <w:hideMark/>
                </w:tcPr>
                <w:p w14:paraId="52A294E5" w14:textId="77777777" w:rsidR="00E70CD3" w:rsidRPr="00543D10" w:rsidRDefault="00E70CD3" w:rsidP="005229F1">
                  <w:pPr>
                    <w:spacing w:after="0" w:line="240" w:lineRule="auto"/>
                    <w:jc w:val="right"/>
                    <w:rPr>
                      <w:rFonts w:ascii="Arial" w:eastAsia="Times New Roman" w:hAnsi="Arial" w:cs="Arial"/>
                      <w:b/>
                      <w:bCs/>
                      <w:sz w:val="20"/>
                      <w:szCs w:val="20"/>
                      <w:lang w:eastAsia="en-GB"/>
                    </w:rPr>
                  </w:pPr>
                  <w:r w:rsidRPr="00543D10">
                    <w:rPr>
                      <w:rFonts w:ascii="Arial" w:eastAsia="Times New Roman" w:hAnsi="Arial" w:cs="Arial"/>
                      <w:b/>
                      <w:bCs/>
                      <w:sz w:val="20"/>
                      <w:szCs w:val="20"/>
                      <w:lang w:eastAsia="en-GB"/>
                    </w:rPr>
                    <w:t>Liabilities</w:t>
                  </w:r>
                </w:p>
              </w:tc>
              <w:tc>
                <w:tcPr>
                  <w:tcW w:w="953" w:type="dxa"/>
                  <w:tcBorders>
                    <w:top w:val="nil"/>
                    <w:left w:val="nil"/>
                    <w:right w:val="nil"/>
                  </w:tcBorders>
                  <w:shd w:val="clear" w:color="auto" w:fill="auto"/>
                  <w:noWrap/>
                  <w:vAlign w:val="center"/>
                  <w:hideMark/>
                </w:tcPr>
                <w:p w14:paraId="4236E3F1" w14:textId="77777777" w:rsidR="00E70CD3" w:rsidRPr="00543D10" w:rsidRDefault="00E70CD3" w:rsidP="005229F1">
                  <w:pPr>
                    <w:spacing w:after="0" w:line="240" w:lineRule="auto"/>
                    <w:jc w:val="right"/>
                    <w:rPr>
                      <w:rFonts w:ascii="Arial" w:eastAsia="Times New Roman" w:hAnsi="Arial" w:cs="Arial"/>
                      <w:b/>
                      <w:bCs/>
                      <w:sz w:val="20"/>
                      <w:szCs w:val="20"/>
                      <w:lang w:eastAsia="en-GB"/>
                    </w:rPr>
                  </w:pPr>
                  <w:r w:rsidRPr="00543D10">
                    <w:rPr>
                      <w:rFonts w:ascii="Arial" w:eastAsia="Times New Roman" w:hAnsi="Arial" w:cs="Arial"/>
                      <w:b/>
                      <w:bCs/>
                      <w:sz w:val="20"/>
                      <w:szCs w:val="20"/>
                      <w:lang w:eastAsia="en-GB"/>
                    </w:rPr>
                    <w:t>Total</w:t>
                  </w:r>
                </w:p>
              </w:tc>
              <w:tc>
                <w:tcPr>
                  <w:tcW w:w="976" w:type="dxa"/>
                  <w:tcBorders>
                    <w:top w:val="nil"/>
                    <w:left w:val="nil"/>
                    <w:right w:val="nil"/>
                  </w:tcBorders>
                  <w:shd w:val="clear" w:color="auto" w:fill="auto"/>
                  <w:noWrap/>
                  <w:vAlign w:val="center"/>
                  <w:hideMark/>
                </w:tcPr>
                <w:p w14:paraId="4ED36AB8" w14:textId="77777777" w:rsidR="00E70CD3" w:rsidRPr="00543D10" w:rsidRDefault="0037645F" w:rsidP="005229F1">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2019</w:t>
                  </w:r>
                </w:p>
              </w:tc>
            </w:tr>
            <w:tr w:rsidR="00543D10" w:rsidRPr="00543D10" w14:paraId="39239539" w14:textId="77777777" w:rsidTr="00022375">
              <w:trPr>
                <w:trHeight w:val="325"/>
              </w:trPr>
              <w:tc>
                <w:tcPr>
                  <w:tcW w:w="4354" w:type="dxa"/>
                  <w:tcBorders>
                    <w:top w:val="nil"/>
                    <w:left w:val="nil"/>
                    <w:bottom w:val="single" w:sz="4" w:space="0" w:color="auto"/>
                    <w:right w:val="nil"/>
                  </w:tcBorders>
                  <w:shd w:val="clear" w:color="auto" w:fill="auto"/>
                  <w:noWrap/>
                  <w:vAlign w:val="center"/>
                  <w:hideMark/>
                </w:tcPr>
                <w:p w14:paraId="0777C8C0" w14:textId="77777777" w:rsidR="00E70CD3" w:rsidRPr="00543D10" w:rsidRDefault="00E70CD3" w:rsidP="007729E5">
                  <w:pPr>
                    <w:spacing w:after="0" w:line="240" w:lineRule="auto"/>
                    <w:rPr>
                      <w:rFonts w:ascii="Arial" w:eastAsia="Times New Roman" w:hAnsi="Arial" w:cs="Arial"/>
                      <w:sz w:val="20"/>
                      <w:szCs w:val="20"/>
                      <w:lang w:eastAsia="en-GB"/>
                    </w:rPr>
                  </w:pPr>
                  <w:r w:rsidRPr="00543D10">
                    <w:rPr>
                      <w:rFonts w:ascii="Arial" w:eastAsia="Times New Roman" w:hAnsi="Arial" w:cs="Arial"/>
                      <w:sz w:val="20"/>
                      <w:szCs w:val="20"/>
                      <w:lang w:eastAsia="en-GB"/>
                    </w:rPr>
                    <w:t> </w:t>
                  </w:r>
                </w:p>
              </w:tc>
              <w:tc>
                <w:tcPr>
                  <w:tcW w:w="407" w:type="dxa"/>
                  <w:tcBorders>
                    <w:top w:val="nil"/>
                    <w:left w:val="nil"/>
                    <w:bottom w:val="single" w:sz="4" w:space="0" w:color="auto"/>
                    <w:right w:val="nil"/>
                  </w:tcBorders>
                  <w:shd w:val="clear" w:color="auto" w:fill="auto"/>
                  <w:noWrap/>
                  <w:vAlign w:val="bottom"/>
                  <w:hideMark/>
                </w:tcPr>
                <w:p w14:paraId="195D299F" w14:textId="77777777" w:rsidR="00E70CD3" w:rsidRPr="00543D10" w:rsidRDefault="00E70CD3" w:rsidP="007729E5">
                  <w:pPr>
                    <w:spacing w:after="0" w:line="240" w:lineRule="auto"/>
                    <w:rPr>
                      <w:rFonts w:ascii="Arial" w:eastAsia="Times New Roman" w:hAnsi="Arial" w:cs="Arial"/>
                      <w:sz w:val="20"/>
                      <w:szCs w:val="20"/>
                      <w:lang w:eastAsia="en-GB"/>
                    </w:rPr>
                  </w:pPr>
                  <w:r w:rsidRPr="00543D10">
                    <w:rPr>
                      <w:rFonts w:ascii="Arial" w:eastAsia="Times New Roman" w:hAnsi="Arial" w:cs="Arial"/>
                      <w:sz w:val="20"/>
                      <w:szCs w:val="20"/>
                      <w:lang w:eastAsia="en-GB"/>
                    </w:rPr>
                    <w:t> </w:t>
                  </w:r>
                </w:p>
              </w:tc>
              <w:tc>
                <w:tcPr>
                  <w:tcW w:w="1197" w:type="dxa"/>
                  <w:tcBorders>
                    <w:top w:val="nil"/>
                    <w:left w:val="nil"/>
                    <w:bottom w:val="single" w:sz="4" w:space="0" w:color="auto"/>
                    <w:right w:val="nil"/>
                  </w:tcBorders>
                  <w:shd w:val="clear" w:color="auto" w:fill="auto"/>
                  <w:noWrap/>
                  <w:vAlign w:val="center"/>
                  <w:hideMark/>
                </w:tcPr>
                <w:p w14:paraId="26127142" w14:textId="77777777" w:rsidR="00E70CD3" w:rsidRPr="00543D10" w:rsidRDefault="00E70CD3" w:rsidP="005229F1">
                  <w:pPr>
                    <w:spacing w:after="0" w:line="240" w:lineRule="auto"/>
                    <w:jc w:val="right"/>
                    <w:rPr>
                      <w:rFonts w:ascii="Arial" w:eastAsia="Times New Roman" w:hAnsi="Arial" w:cs="Arial"/>
                      <w:b/>
                      <w:bCs/>
                      <w:sz w:val="20"/>
                      <w:szCs w:val="20"/>
                      <w:lang w:eastAsia="en-GB"/>
                    </w:rPr>
                  </w:pPr>
                  <w:r w:rsidRPr="00543D10">
                    <w:rPr>
                      <w:rFonts w:ascii="Arial" w:eastAsia="Times New Roman" w:hAnsi="Arial" w:cs="Arial"/>
                      <w:b/>
                      <w:bCs/>
                      <w:sz w:val="20"/>
                      <w:szCs w:val="20"/>
                      <w:lang w:eastAsia="en-GB"/>
                    </w:rPr>
                    <w:t>£000</w:t>
                  </w:r>
                </w:p>
              </w:tc>
              <w:tc>
                <w:tcPr>
                  <w:tcW w:w="1195" w:type="dxa"/>
                  <w:tcBorders>
                    <w:top w:val="nil"/>
                    <w:left w:val="nil"/>
                    <w:bottom w:val="single" w:sz="4" w:space="0" w:color="auto"/>
                    <w:right w:val="nil"/>
                  </w:tcBorders>
                  <w:shd w:val="clear" w:color="auto" w:fill="auto"/>
                  <w:noWrap/>
                  <w:vAlign w:val="center"/>
                  <w:hideMark/>
                </w:tcPr>
                <w:p w14:paraId="2C8FC92B" w14:textId="77777777" w:rsidR="00E70CD3" w:rsidRPr="00543D10" w:rsidRDefault="00E70CD3" w:rsidP="005229F1">
                  <w:pPr>
                    <w:spacing w:after="0" w:line="240" w:lineRule="auto"/>
                    <w:jc w:val="right"/>
                    <w:rPr>
                      <w:rFonts w:ascii="Arial" w:eastAsia="Times New Roman" w:hAnsi="Arial" w:cs="Arial"/>
                      <w:b/>
                      <w:bCs/>
                      <w:sz w:val="20"/>
                      <w:szCs w:val="20"/>
                      <w:lang w:eastAsia="en-GB"/>
                    </w:rPr>
                  </w:pPr>
                  <w:r w:rsidRPr="00543D10">
                    <w:rPr>
                      <w:rFonts w:ascii="Arial" w:eastAsia="Times New Roman" w:hAnsi="Arial" w:cs="Arial"/>
                      <w:b/>
                      <w:bCs/>
                      <w:sz w:val="20"/>
                      <w:szCs w:val="20"/>
                      <w:lang w:eastAsia="en-GB"/>
                    </w:rPr>
                    <w:t>£000</w:t>
                  </w:r>
                </w:p>
              </w:tc>
              <w:tc>
                <w:tcPr>
                  <w:tcW w:w="953" w:type="dxa"/>
                  <w:tcBorders>
                    <w:top w:val="nil"/>
                    <w:left w:val="nil"/>
                    <w:bottom w:val="single" w:sz="4" w:space="0" w:color="auto"/>
                    <w:right w:val="nil"/>
                  </w:tcBorders>
                  <w:shd w:val="clear" w:color="auto" w:fill="auto"/>
                  <w:noWrap/>
                  <w:vAlign w:val="center"/>
                  <w:hideMark/>
                </w:tcPr>
                <w:p w14:paraId="23254872" w14:textId="77777777" w:rsidR="00E70CD3" w:rsidRPr="00543D10" w:rsidRDefault="00E70CD3" w:rsidP="005229F1">
                  <w:pPr>
                    <w:spacing w:after="0" w:line="240" w:lineRule="auto"/>
                    <w:jc w:val="right"/>
                    <w:rPr>
                      <w:rFonts w:ascii="Arial" w:eastAsia="Times New Roman" w:hAnsi="Arial" w:cs="Arial"/>
                      <w:b/>
                      <w:bCs/>
                      <w:sz w:val="20"/>
                      <w:szCs w:val="20"/>
                      <w:lang w:eastAsia="en-GB"/>
                    </w:rPr>
                  </w:pPr>
                  <w:r w:rsidRPr="00543D10">
                    <w:rPr>
                      <w:rFonts w:ascii="Arial" w:eastAsia="Times New Roman" w:hAnsi="Arial" w:cs="Arial"/>
                      <w:b/>
                      <w:bCs/>
                      <w:sz w:val="20"/>
                      <w:szCs w:val="20"/>
                      <w:lang w:eastAsia="en-GB"/>
                    </w:rPr>
                    <w:t>£000</w:t>
                  </w:r>
                </w:p>
              </w:tc>
              <w:tc>
                <w:tcPr>
                  <w:tcW w:w="976" w:type="dxa"/>
                  <w:tcBorders>
                    <w:top w:val="nil"/>
                    <w:left w:val="nil"/>
                    <w:bottom w:val="single" w:sz="4" w:space="0" w:color="auto"/>
                    <w:right w:val="nil"/>
                  </w:tcBorders>
                  <w:shd w:val="clear" w:color="auto" w:fill="auto"/>
                  <w:noWrap/>
                  <w:vAlign w:val="center"/>
                  <w:hideMark/>
                </w:tcPr>
                <w:p w14:paraId="6858FE60" w14:textId="77777777" w:rsidR="00E70CD3" w:rsidRPr="00543D10" w:rsidRDefault="00E70CD3" w:rsidP="005229F1">
                  <w:pPr>
                    <w:spacing w:after="0" w:line="240" w:lineRule="auto"/>
                    <w:jc w:val="right"/>
                    <w:rPr>
                      <w:rFonts w:ascii="Arial" w:eastAsia="Times New Roman" w:hAnsi="Arial" w:cs="Arial"/>
                      <w:sz w:val="20"/>
                      <w:szCs w:val="20"/>
                      <w:lang w:eastAsia="en-GB"/>
                    </w:rPr>
                  </w:pPr>
                  <w:r w:rsidRPr="00543D10">
                    <w:rPr>
                      <w:rFonts w:ascii="Arial" w:eastAsia="Times New Roman" w:hAnsi="Arial" w:cs="Arial"/>
                      <w:sz w:val="20"/>
                      <w:szCs w:val="20"/>
                      <w:lang w:eastAsia="en-GB"/>
                    </w:rPr>
                    <w:t>£'000</w:t>
                  </w:r>
                </w:p>
              </w:tc>
            </w:tr>
            <w:tr w:rsidR="00416FDD" w:rsidRPr="00543D10" w14:paraId="15D0376E" w14:textId="77777777" w:rsidTr="00022375">
              <w:trPr>
                <w:trHeight w:val="325"/>
              </w:trPr>
              <w:tc>
                <w:tcPr>
                  <w:tcW w:w="4354" w:type="dxa"/>
                  <w:tcBorders>
                    <w:top w:val="nil"/>
                    <w:left w:val="nil"/>
                    <w:bottom w:val="nil"/>
                    <w:right w:val="nil"/>
                  </w:tcBorders>
                  <w:shd w:val="clear" w:color="auto" w:fill="auto"/>
                  <w:noWrap/>
                  <w:vAlign w:val="center"/>
                  <w:hideMark/>
                </w:tcPr>
                <w:p w14:paraId="25207836" w14:textId="77777777" w:rsidR="00416FDD" w:rsidRPr="00543D10" w:rsidRDefault="00416FDD" w:rsidP="00416FDD">
                  <w:pPr>
                    <w:spacing w:after="0" w:line="240" w:lineRule="auto"/>
                    <w:rPr>
                      <w:rFonts w:ascii="Arial" w:eastAsia="Times New Roman" w:hAnsi="Arial" w:cs="Arial"/>
                      <w:sz w:val="20"/>
                      <w:szCs w:val="20"/>
                      <w:lang w:eastAsia="en-GB"/>
                    </w:rPr>
                  </w:pPr>
                  <w:r w:rsidRPr="00543D10">
                    <w:rPr>
                      <w:rFonts w:ascii="Arial" w:eastAsia="Times New Roman" w:hAnsi="Arial" w:cs="Arial"/>
                      <w:sz w:val="20"/>
                      <w:szCs w:val="20"/>
                      <w:lang w:eastAsia="en-GB"/>
                    </w:rPr>
                    <w:t xml:space="preserve">Deficit in the scheme as at 1 September </w:t>
                  </w:r>
                  <w:r>
                    <w:rPr>
                      <w:rFonts w:ascii="Arial" w:eastAsia="Times New Roman" w:hAnsi="Arial" w:cs="Arial"/>
                      <w:sz w:val="20"/>
                      <w:szCs w:val="20"/>
                      <w:lang w:eastAsia="en-GB"/>
                    </w:rPr>
                    <w:t>2019</w:t>
                  </w:r>
                </w:p>
              </w:tc>
              <w:tc>
                <w:tcPr>
                  <w:tcW w:w="407" w:type="dxa"/>
                  <w:tcBorders>
                    <w:top w:val="nil"/>
                    <w:left w:val="nil"/>
                    <w:bottom w:val="nil"/>
                    <w:right w:val="nil"/>
                  </w:tcBorders>
                  <w:shd w:val="clear" w:color="auto" w:fill="auto"/>
                  <w:noWrap/>
                  <w:vAlign w:val="bottom"/>
                  <w:hideMark/>
                </w:tcPr>
                <w:p w14:paraId="69B0748D" w14:textId="77777777" w:rsidR="00416FDD" w:rsidRPr="00543D10" w:rsidRDefault="00416FDD" w:rsidP="00416FDD">
                  <w:pPr>
                    <w:spacing w:after="0" w:line="240" w:lineRule="auto"/>
                    <w:rPr>
                      <w:rFonts w:ascii="Arial" w:eastAsia="Times New Roman" w:hAnsi="Arial" w:cs="Arial"/>
                      <w:sz w:val="20"/>
                      <w:szCs w:val="20"/>
                      <w:lang w:eastAsia="en-GB"/>
                    </w:rPr>
                  </w:pPr>
                </w:p>
              </w:tc>
              <w:tc>
                <w:tcPr>
                  <w:tcW w:w="1197" w:type="dxa"/>
                  <w:tcBorders>
                    <w:top w:val="single" w:sz="4" w:space="0" w:color="auto"/>
                    <w:left w:val="nil"/>
                    <w:right w:val="nil"/>
                  </w:tcBorders>
                  <w:shd w:val="clear" w:color="auto" w:fill="auto"/>
                  <w:noWrap/>
                  <w:vAlign w:val="center"/>
                  <w:hideMark/>
                </w:tcPr>
                <w:p w14:paraId="31742342" w14:textId="77777777" w:rsidR="00416FDD" w:rsidRPr="00416FDD" w:rsidRDefault="00416FDD" w:rsidP="00416FDD">
                  <w:pPr>
                    <w:spacing w:after="0" w:line="240" w:lineRule="auto"/>
                    <w:jc w:val="right"/>
                    <w:rPr>
                      <w:rFonts w:ascii="Arial" w:eastAsia="Times New Roman" w:hAnsi="Arial" w:cs="Arial"/>
                      <w:sz w:val="20"/>
                      <w:szCs w:val="20"/>
                      <w:lang w:eastAsia="en-GB"/>
                    </w:rPr>
                  </w:pPr>
                  <w:r w:rsidRPr="00416FDD">
                    <w:rPr>
                      <w:rFonts w:ascii="Arial" w:eastAsia="Times New Roman" w:hAnsi="Arial" w:cs="Arial"/>
                      <w:bCs/>
                      <w:sz w:val="20"/>
                      <w:szCs w:val="20"/>
                      <w:lang w:eastAsia="en-GB"/>
                    </w:rPr>
                    <w:t>1,247</w:t>
                  </w:r>
                </w:p>
              </w:tc>
              <w:tc>
                <w:tcPr>
                  <w:tcW w:w="1195" w:type="dxa"/>
                  <w:tcBorders>
                    <w:top w:val="single" w:sz="4" w:space="0" w:color="auto"/>
                    <w:left w:val="nil"/>
                    <w:right w:val="nil"/>
                  </w:tcBorders>
                  <w:shd w:val="clear" w:color="auto" w:fill="auto"/>
                  <w:noWrap/>
                  <w:vAlign w:val="center"/>
                  <w:hideMark/>
                </w:tcPr>
                <w:p w14:paraId="4F79733E" w14:textId="77777777" w:rsidR="00416FDD" w:rsidRPr="00416FDD" w:rsidRDefault="00416FDD" w:rsidP="00416FDD">
                  <w:pPr>
                    <w:spacing w:after="0" w:line="240" w:lineRule="auto"/>
                    <w:jc w:val="right"/>
                    <w:rPr>
                      <w:rFonts w:ascii="Arial" w:eastAsia="Times New Roman" w:hAnsi="Arial" w:cs="Arial"/>
                      <w:sz w:val="20"/>
                      <w:szCs w:val="20"/>
                      <w:lang w:eastAsia="en-GB"/>
                    </w:rPr>
                  </w:pPr>
                  <w:r w:rsidRPr="00416FDD">
                    <w:rPr>
                      <w:rFonts w:ascii="Arial" w:eastAsia="Times New Roman" w:hAnsi="Arial" w:cs="Arial"/>
                      <w:bCs/>
                      <w:sz w:val="20"/>
                      <w:szCs w:val="20"/>
                      <w:lang w:eastAsia="en-GB"/>
                    </w:rPr>
                    <w:t>(1,213)</w:t>
                  </w:r>
                </w:p>
              </w:tc>
              <w:tc>
                <w:tcPr>
                  <w:tcW w:w="953" w:type="dxa"/>
                  <w:tcBorders>
                    <w:top w:val="single" w:sz="4" w:space="0" w:color="auto"/>
                    <w:left w:val="nil"/>
                    <w:right w:val="nil"/>
                  </w:tcBorders>
                  <w:shd w:val="clear" w:color="auto" w:fill="auto"/>
                  <w:noWrap/>
                  <w:vAlign w:val="center"/>
                  <w:hideMark/>
                </w:tcPr>
                <w:p w14:paraId="0146EA51" w14:textId="77777777" w:rsidR="00416FDD" w:rsidRPr="00416FDD" w:rsidRDefault="00416FDD" w:rsidP="00416FDD">
                  <w:pPr>
                    <w:spacing w:after="0" w:line="240" w:lineRule="auto"/>
                    <w:jc w:val="right"/>
                    <w:rPr>
                      <w:rFonts w:ascii="Arial" w:eastAsia="Times New Roman" w:hAnsi="Arial" w:cs="Arial"/>
                      <w:bCs/>
                      <w:sz w:val="20"/>
                      <w:szCs w:val="20"/>
                      <w:lang w:eastAsia="en-GB"/>
                    </w:rPr>
                  </w:pPr>
                  <w:r w:rsidRPr="00416FDD">
                    <w:rPr>
                      <w:rFonts w:ascii="Arial" w:eastAsia="Times New Roman" w:hAnsi="Arial" w:cs="Arial"/>
                      <w:bCs/>
                      <w:sz w:val="20"/>
                      <w:szCs w:val="20"/>
                      <w:lang w:eastAsia="en-GB"/>
                    </w:rPr>
                    <w:t>34</w:t>
                  </w:r>
                </w:p>
              </w:tc>
              <w:tc>
                <w:tcPr>
                  <w:tcW w:w="976" w:type="dxa"/>
                  <w:tcBorders>
                    <w:top w:val="single" w:sz="4" w:space="0" w:color="auto"/>
                    <w:left w:val="nil"/>
                    <w:right w:val="nil"/>
                  </w:tcBorders>
                  <w:shd w:val="clear" w:color="auto" w:fill="auto"/>
                  <w:noWrap/>
                  <w:vAlign w:val="center"/>
                  <w:hideMark/>
                </w:tcPr>
                <w:p w14:paraId="1897E245" w14:textId="77777777" w:rsidR="00416FDD" w:rsidRPr="00416FDD" w:rsidRDefault="00416FDD" w:rsidP="00416FDD">
                  <w:pPr>
                    <w:spacing w:after="0" w:line="240" w:lineRule="auto"/>
                    <w:jc w:val="right"/>
                    <w:rPr>
                      <w:rFonts w:ascii="Arial" w:eastAsia="Times New Roman" w:hAnsi="Arial" w:cs="Arial"/>
                      <w:sz w:val="20"/>
                      <w:szCs w:val="20"/>
                      <w:lang w:eastAsia="en-GB"/>
                    </w:rPr>
                  </w:pPr>
                  <w:r w:rsidRPr="00416FDD">
                    <w:rPr>
                      <w:rFonts w:ascii="Arial" w:eastAsia="Times New Roman" w:hAnsi="Arial" w:cs="Arial"/>
                      <w:sz w:val="20"/>
                      <w:szCs w:val="20"/>
                      <w:lang w:eastAsia="en-GB"/>
                    </w:rPr>
                    <w:t>193</w:t>
                  </w:r>
                </w:p>
              </w:tc>
            </w:tr>
            <w:tr w:rsidR="00543D10" w:rsidRPr="00543D10" w14:paraId="221AC532" w14:textId="77777777" w:rsidTr="00022375">
              <w:trPr>
                <w:trHeight w:val="325"/>
              </w:trPr>
              <w:tc>
                <w:tcPr>
                  <w:tcW w:w="4354" w:type="dxa"/>
                  <w:tcBorders>
                    <w:top w:val="nil"/>
                    <w:left w:val="nil"/>
                    <w:bottom w:val="nil"/>
                    <w:right w:val="nil"/>
                  </w:tcBorders>
                  <w:shd w:val="clear" w:color="auto" w:fill="auto"/>
                  <w:noWrap/>
                  <w:vAlign w:val="center"/>
                  <w:hideMark/>
                </w:tcPr>
                <w:p w14:paraId="6FEB2514" w14:textId="77777777" w:rsidR="00E70CD3" w:rsidRPr="00543D10" w:rsidRDefault="00E70CD3" w:rsidP="007729E5">
                  <w:pPr>
                    <w:spacing w:after="0" w:line="240" w:lineRule="auto"/>
                    <w:rPr>
                      <w:rFonts w:ascii="Arial" w:eastAsia="Times New Roman" w:hAnsi="Arial" w:cs="Arial"/>
                      <w:sz w:val="20"/>
                      <w:szCs w:val="20"/>
                      <w:lang w:eastAsia="en-GB"/>
                    </w:rPr>
                  </w:pPr>
                  <w:r w:rsidRPr="00543D10">
                    <w:rPr>
                      <w:rFonts w:ascii="Arial" w:eastAsia="Times New Roman" w:hAnsi="Arial" w:cs="Arial"/>
                      <w:sz w:val="20"/>
                      <w:szCs w:val="20"/>
                      <w:lang w:eastAsia="en-GB"/>
                    </w:rPr>
                    <w:t>Benefits paid</w:t>
                  </w:r>
                </w:p>
              </w:tc>
              <w:tc>
                <w:tcPr>
                  <w:tcW w:w="407" w:type="dxa"/>
                  <w:tcBorders>
                    <w:top w:val="nil"/>
                    <w:left w:val="nil"/>
                    <w:bottom w:val="nil"/>
                    <w:right w:val="nil"/>
                  </w:tcBorders>
                  <w:shd w:val="clear" w:color="auto" w:fill="auto"/>
                  <w:noWrap/>
                  <w:vAlign w:val="bottom"/>
                  <w:hideMark/>
                </w:tcPr>
                <w:p w14:paraId="2AFA559C" w14:textId="77777777" w:rsidR="00E70CD3" w:rsidRPr="00543D10" w:rsidRDefault="00E70CD3" w:rsidP="007729E5">
                  <w:pPr>
                    <w:spacing w:after="0" w:line="240" w:lineRule="auto"/>
                    <w:rPr>
                      <w:rFonts w:ascii="Arial" w:eastAsia="Times New Roman" w:hAnsi="Arial" w:cs="Arial"/>
                      <w:sz w:val="20"/>
                      <w:szCs w:val="20"/>
                      <w:lang w:eastAsia="en-GB"/>
                    </w:rPr>
                  </w:pPr>
                </w:p>
              </w:tc>
              <w:tc>
                <w:tcPr>
                  <w:tcW w:w="1197" w:type="dxa"/>
                  <w:tcBorders>
                    <w:left w:val="nil"/>
                    <w:bottom w:val="nil"/>
                    <w:right w:val="nil"/>
                  </w:tcBorders>
                  <w:shd w:val="clear" w:color="auto" w:fill="auto"/>
                  <w:noWrap/>
                  <w:vAlign w:val="bottom"/>
                </w:tcPr>
                <w:p w14:paraId="60B2FBBD" w14:textId="77777777" w:rsidR="00E70CD3" w:rsidRPr="00543D10" w:rsidRDefault="00456CF6" w:rsidP="005229F1">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(18)</w:t>
                  </w:r>
                </w:p>
              </w:tc>
              <w:tc>
                <w:tcPr>
                  <w:tcW w:w="1195" w:type="dxa"/>
                  <w:tcBorders>
                    <w:left w:val="nil"/>
                    <w:bottom w:val="nil"/>
                    <w:right w:val="nil"/>
                  </w:tcBorders>
                  <w:shd w:val="clear" w:color="auto" w:fill="auto"/>
                  <w:noWrap/>
                  <w:vAlign w:val="bottom"/>
                </w:tcPr>
                <w:p w14:paraId="4D707918" w14:textId="77777777" w:rsidR="00E70CD3" w:rsidRPr="00543D10" w:rsidRDefault="00456CF6" w:rsidP="005229F1">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18</w:t>
                  </w:r>
                </w:p>
              </w:tc>
              <w:tc>
                <w:tcPr>
                  <w:tcW w:w="953" w:type="dxa"/>
                  <w:tcBorders>
                    <w:left w:val="nil"/>
                    <w:bottom w:val="nil"/>
                    <w:right w:val="nil"/>
                  </w:tcBorders>
                  <w:shd w:val="clear" w:color="auto" w:fill="auto"/>
                  <w:noWrap/>
                  <w:vAlign w:val="bottom"/>
                </w:tcPr>
                <w:p w14:paraId="6EE27C16" w14:textId="77777777" w:rsidR="00E70CD3" w:rsidRPr="00543D10" w:rsidRDefault="00456CF6" w:rsidP="005229F1">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w:t>
                  </w:r>
                </w:p>
              </w:tc>
              <w:tc>
                <w:tcPr>
                  <w:tcW w:w="976" w:type="dxa"/>
                  <w:tcBorders>
                    <w:left w:val="nil"/>
                    <w:bottom w:val="nil"/>
                    <w:right w:val="nil"/>
                  </w:tcBorders>
                  <w:shd w:val="clear" w:color="auto" w:fill="auto"/>
                  <w:noWrap/>
                  <w:vAlign w:val="bottom"/>
                </w:tcPr>
                <w:p w14:paraId="01BF4731" w14:textId="77777777" w:rsidR="00E70CD3" w:rsidRPr="00543D10" w:rsidRDefault="00A459C9" w:rsidP="0069798A">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w:t>
                  </w:r>
                </w:p>
              </w:tc>
            </w:tr>
            <w:tr w:rsidR="00543D10" w:rsidRPr="00543D10" w14:paraId="5B029E22" w14:textId="77777777" w:rsidTr="00022375">
              <w:trPr>
                <w:trHeight w:val="325"/>
              </w:trPr>
              <w:tc>
                <w:tcPr>
                  <w:tcW w:w="4354" w:type="dxa"/>
                  <w:tcBorders>
                    <w:top w:val="nil"/>
                    <w:left w:val="nil"/>
                    <w:bottom w:val="nil"/>
                    <w:right w:val="nil"/>
                  </w:tcBorders>
                  <w:shd w:val="clear" w:color="auto" w:fill="auto"/>
                  <w:noWrap/>
                  <w:vAlign w:val="center"/>
                  <w:hideMark/>
                </w:tcPr>
                <w:p w14:paraId="780BD0F3" w14:textId="77777777" w:rsidR="00E70CD3" w:rsidRPr="00543D10" w:rsidRDefault="00E70CD3" w:rsidP="007729E5">
                  <w:pPr>
                    <w:spacing w:after="0" w:line="240" w:lineRule="auto"/>
                    <w:rPr>
                      <w:rFonts w:ascii="Arial" w:eastAsia="Times New Roman" w:hAnsi="Arial" w:cs="Arial"/>
                      <w:sz w:val="20"/>
                      <w:szCs w:val="20"/>
                      <w:lang w:eastAsia="en-GB"/>
                    </w:rPr>
                  </w:pPr>
                  <w:r w:rsidRPr="00543D10">
                    <w:rPr>
                      <w:rFonts w:ascii="Arial" w:eastAsia="Times New Roman" w:hAnsi="Arial" w:cs="Arial"/>
                      <w:sz w:val="20"/>
                      <w:szCs w:val="20"/>
                      <w:lang w:eastAsia="en-GB"/>
                    </w:rPr>
                    <w:t>Employer contributions</w:t>
                  </w:r>
                </w:p>
              </w:tc>
              <w:tc>
                <w:tcPr>
                  <w:tcW w:w="407" w:type="dxa"/>
                  <w:tcBorders>
                    <w:top w:val="nil"/>
                    <w:left w:val="nil"/>
                    <w:bottom w:val="nil"/>
                    <w:right w:val="nil"/>
                  </w:tcBorders>
                  <w:shd w:val="clear" w:color="auto" w:fill="auto"/>
                  <w:noWrap/>
                  <w:vAlign w:val="bottom"/>
                  <w:hideMark/>
                </w:tcPr>
                <w:p w14:paraId="785BFD8C" w14:textId="77777777" w:rsidR="00E70CD3" w:rsidRPr="00543D10" w:rsidRDefault="00E70CD3" w:rsidP="007729E5">
                  <w:pPr>
                    <w:spacing w:after="0" w:line="240" w:lineRule="auto"/>
                    <w:rPr>
                      <w:rFonts w:ascii="Arial" w:eastAsia="Times New Roman" w:hAnsi="Arial" w:cs="Arial"/>
                      <w:sz w:val="20"/>
                      <w:szCs w:val="20"/>
                      <w:lang w:eastAsia="en-GB"/>
                    </w:rPr>
                  </w:pPr>
                </w:p>
              </w:tc>
              <w:tc>
                <w:tcPr>
                  <w:tcW w:w="1197" w:type="dxa"/>
                  <w:tcBorders>
                    <w:top w:val="nil"/>
                    <w:left w:val="nil"/>
                    <w:bottom w:val="nil"/>
                    <w:right w:val="nil"/>
                  </w:tcBorders>
                  <w:shd w:val="clear" w:color="auto" w:fill="auto"/>
                  <w:noWrap/>
                  <w:vAlign w:val="bottom"/>
                </w:tcPr>
                <w:p w14:paraId="7C1AED0D" w14:textId="77777777" w:rsidR="00E70CD3" w:rsidRPr="00543D10" w:rsidRDefault="00456CF6" w:rsidP="005229F1">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45</w:t>
                  </w:r>
                </w:p>
              </w:tc>
              <w:tc>
                <w:tcPr>
                  <w:tcW w:w="1195" w:type="dxa"/>
                  <w:tcBorders>
                    <w:top w:val="nil"/>
                    <w:left w:val="nil"/>
                    <w:bottom w:val="nil"/>
                    <w:right w:val="nil"/>
                  </w:tcBorders>
                  <w:shd w:val="clear" w:color="auto" w:fill="auto"/>
                  <w:noWrap/>
                  <w:vAlign w:val="bottom"/>
                </w:tcPr>
                <w:p w14:paraId="3004FC0B" w14:textId="77777777" w:rsidR="00E70CD3" w:rsidRPr="00543D10" w:rsidRDefault="00456CF6" w:rsidP="005229F1">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w:t>
                  </w:r>
                </w:p>
              </w:tc>
              <w:tc>
                <w:tcPr>
                  <w:tcW w:w="953" w:type="dxa"/>
                  <w:tcBorders>
                    <w:top w:val="nil"/>
                    <w:left w:val="nil"/>
                    <w:bottom w:val="nil"/>
                    <w:right w:val="nil"/>
                  </w:tcBorders>
                  <w:shd w:val="clear" w:color="auto" w:fill="auto"/>
                  <w:noWrap/>
                  <w:vAlign w:val="bottom"/>
                </w:tcPr>
                <w:p w14:paraId="4A45F043" w14:textId="77777777" w:rsidR="00E70CD3" w:rsidRPr="00543D10" w:rsidRDefault="00456CF6" w:rsidP="005229F1">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45</w:t>
                  </w:r>
                </w:p>
              </w:tc>
              <w:tc>
                <w:tcPr>
                  <w:tcW w:w="976" w:type="dxa"/>
                  <w:tcBorders>
                    <w:top w:val="nil"/>
                    <w:left w:val="nil"/>
                    <w:bottom w:val="nil"/>
                    <w:right w:val="nil"/>
                  </w:tcBorders>
                  <w:shd w:val="clear" w:color="auto" w:fill="auto"/>
                  <w:noWrap/>
                  <w:vAlign w:val="bottom"/>
                </w:tcPr>
                <w:p w14:paraId="781F1201" w14:textId="77777777" w:rsidR="00E70CD3" w:rsidRPr="00543D10" w:rsidRDefault="00456CF6" w:rsidP="005229F1">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47</w:t>
                  </w:r>
                </w:p>
              </w:tc>
            </w:tr>
            <w:tr w:rsidR="00543D10" w:rsidRPr="00543D10" w14:paraId="0129FD60" w14:textId="77777777" w:rsidTr="00022375">
              <w:trPr>
                <w:trHeight w:val="325"/>
              </w:trPr>
              <w:tc>
                <w:tcPr>
                  <w:tcW w:w="4354" w:type="dxa"/>
                  <w:tcBorders>
                    <w:top w:val="nil"/>
                    <w:left w:val="nil"/>
                    <w:bottom w:val="nil"/>
                    <w:right w:val="nil"/>
                  </w:tcBorders>
                  <w:shd w:val="clear" w:color="auto" w:fill="auto"/>
                  <w:noWrap/>
                  <w:vAlign w:val="center"/>
                  <w:hideMark/>
                </w:tcPr>
                <w:p w14:paraId="0E795C3D" w14:textId="77777777" w:rsidR="00E70CD3" w:rsidRPr="00543D10" w:rsidRDefault="00E70CD3" w:rsidP="007729E5">
                  <w:pPr>
                    <w:spacing w:after="0" w:line="240" w:lineRule="auto"/>
                    <w:rPr>
                      <w:rFonts w:ascii="Arial" w:eastAsia="Times New Roman" w:hAnsi="Arial" w:cs="Arial"/>
                      <w:sz w:val="20"/>
                      <w:szCs w:val="20"/>
                      <w:lang w:eastAsia="en-GB"/>
                    </w:rPr>
                  </w:pPr>
                  <w:r w:rsidRPr="00543D10">
                    <w:rPr>
                      <w:rFonts w:ascii="Arial" w:eastAsia="Times New Roman" w:hAnsi="Arial" w:cs="Arial"/>
                      <w:sz w:val="20"/>
                      <w:szCs w:val="20"/>
                      <w:lang w:eastAsia="en-GB"/>
                    </w:rPr>
                    <w:t>Contribution from employees</w:t>
                  </w:r>
                </w:p>
              </w:tc>
              <w:tc>
                <w:tcPr>
                  <w:tcW w:w="407" w:type="dxa"/>
                  <w:tcBorders>
                    <w:top w:val="nil"/>
                    <w:left w:val="nil"/>
                    <w:bottom w:val="nil"/>
                    <w:right w:val="nil"/>
                  </w:tcBorders>
                  <w:shd w:val="clear" w:color="auto" w:fill="auto"/>
                  <w:noWrap/>
                  <w:vAlign w:val="bottom"/>
                  <w:hideMark/>
                </w:tcPr>
                <w:p w14:paraId="60D45A7D" w14:textId="77777777" w:rsidR="00E70CD3" w:rsidRPr="00543D10" w:rsidRDefault="00E70CD3" w:rsidP="007729E5">
                  <w:pPr>
                    <w:spacing w:after="0" w:line="240" w:lineRule="auto"/>
                    <w:rPr>
                      <w:rFonts w:ascii="Arial" w:eastAsia="Times New Roman" w:hAnsi="Arial" w:cs="Arial"/>
                      <w:sz w:val="20"/>
                      <w:szCs w:val="20"/>
                      <w:lang w:eastAsia="en-GB"/>
                    </w:rPr>
                  </w:pPr>
                </w:p>
              </w:tc>
              <w:tc>
                <w:tcPr>
                  <w:tcW w:w="1197" w:type="dxa"/>
                  <w:tcBorders>
                    <w:top w:val="nil"/>
                    <w:left w:val="nil"/>
                    <w:bottom w:val="nil"/>
                    <w:right w:val="nil"/>
                  </w:tcBorders>
                  <w:shd w:val="clear" w:color="auto" w:fill="auto"/>
                  <w:noWrap/>
                  <w:vAlign w:val="bottom"/>
                </w:tcPr>
                <w:p w14:paraId="4DA04E71" w14:textId="77777777" w:rsidR="00E70CD3" w:rsidRPr="00543D10" w:rsidRDefault="00456CF6" w:rsidP="005229F1">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w:t>
                  </w:r>
                </w:p>
              </w:tc>
              <w:tc>
                <w:tcPr>
                  <w:tcW w:w="1195" w:type="dxa"/>
                  <w:tcBorders>
                    <w:top w:val="nil"/>
                    <w:left w:val="nil"/>
                    <w:bottom w:val="nil"/>
                    <w:right w:val="nil"/>
                  </w:tcBorders>
                  <w:shd w:val="clear" w:color="auto" w:fill="auto"/>
                  <w:noWrap/>
                  <w:vAlign w:val="bottom"/>
                </w:tcPr>
                <w:p w14:paraId="19EE2782" w14:textId="77777777" w:rsidR="00E70CD3" w:rsidRPr="00543D10" w:rsidRDefault="00456CF6" w:rsidP="005229F1">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w:t>
                  </w:r>
                </w:p>
              </w:tc>
              <w:tc>
                <w:tcPr>
                  <w:tcW w:w="953" w:type="dxa"/>
                  <w:tcBorders>
                    <w:top w:val="nil"/>
                    <w:left w:val="nil"/>
                    <w:bottom w:val="nil"/>
                    <w:right w:val="nil"/>
                  </w:tcBorders>
                  <w:shd w:val="clear" w:color="auto" w:fill="auto"/>
                  <w:noWrap/>
                  <w:vAlign w:val="bottom"/>
                </w:tcPr>
                <w:p w14:paraId="606E73A0" w14:textId="77777777" w:rsidR="00E70CD3" w:rsidRPr="00543D10" w:rsidRDefault="00456CF6" w:rsidP="005229F1">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w:t>
                  </w:r>
                </w:p>
              </w:tc>
              <w:tc>
                <w:tcPr>
                  <w:tcW w:w="976" w:type="dxa"/>
                  <w:tcBorders>
                    <w:top w:val="nil"/>
                    <w:left w:val="nil"/>
                    <w:bottom w:val="nil"/>
                    <w:right w:val="nil"/>
                  </w:tcBorders>
                  <w:shd w:val="clear" w:color="auto" w:fill="auto"/>
                  <w:noWrap/>
                  <w:vAlign w:val="bottom"/>
                </w:tcPr>
                <w:p w14:paraId="0856B352" w14:textId="77777777" w:rsidR="00E70CD3" w:rsidRPr="00543D10" w:rsidRDefault="00456CF6" w:rsidP="005229F1">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w:t>
                  </w:r>
                </w:p>
              </w:tc>
            </w:tr>
            <w:tr w:rsidR="00543D10" w:rsidRPr="00543D10" w14:paraId="6C321583" w14:textId="77777777" w:rsidTr="00022375">
              <w:trPr>
                <w:trHeight w:val="325"/>
              </w:trPr>
              <w:tc>
                <w:tcPr>
                  <w:tcW w:w="4354" w:type="dxa"/>
                  <w:tcBorders>
                    <w:top w:val="nil"/>
                    <w:left w:val="nil"/>
                    <w:bottom w:val="nil"/>
                    <w:right w:val="nil"/>
                  </w:tcBorders>
                  <w:shd w:val="clear" w:color="auto" w:fill="auto"/>
                  <w:noWrap/>
                  <w:vAlign w:val="center"/>
                  <w:hideMark/>
                </w:tcPr>
                <w:p w14:paraId="42EA0246" w14:textId="77777777" w:rsidR="00E70CD3" w:rsidRPr="00543D10" w:rsidRDefault="00E70CD3" w:rsidP="007729E5">
                  <w:pPr>
                    <w:spacing w:after="0" w:line="240" w:lineRule="auto"/>
                    <w:rPr>
                      <w:rFonts w:ascii="Arial" w:eastAsia="Times New Roman" w:hAnsi="Arial" w:cs="Arial"/>
                      <w:sz w:val="20"/>
                      <w:szCs w:val="20"/>
                      <w:lang w:eastAsia="en-GB"/>
                    </w:rPr>
                  </w:pPr>
                  <w:r w:rsidRPr="00543D10">
                    <w:rPr>
                      <w:rFonts w:ascii="Arial" w:eastAsia="Times New Roman" w:hAnsi="Arial" w:cs="Arial"/>
                      <w:sz w:val="20"/>
                      <w:szCs w:val="20"/>
                      <w:lang w:eastAsia="en-GB"/>
                    </w:rPr>
                    <w:t>Administration expenses</w:t>
                  </w:r>
                </w:p>
              </w:tc>
              <w:tc>
                <w:tcPr>
                  <w:tcW w:w="407" w:type="dxa"/>
                  <w:tcBorders>
                    <w:top w:val="nil"/>
                    <w:left w:val="nil"/>
                    <w:bottom w:val="nil"/>
                    <w:right w:val="nil"/>
                  </w:tcBorders>
                  <w:shd w:val="clear" w:color="auto" w:fill="auto"/>
                  <w:noWrap/>
                  <w:vAlign w:val="bottom"/>
                  <w:hideMark/>
                </w:tcPr>
                <w:p w14:paraId="26660C54" w14:textId="77777777" w:rsidR="00E70CD3" w:rsidRPr="00543D10" w:rsidRDefault="00E70CD3" w:rsidP="007729E5">
                  <w:pPr>
                    <w:spacing w:after="0" w:line="240" w:lineRule="auto"/>
                    <w:rPr>
                      <w:rFonts w:ascii="Arial" w:eastAsia="Times New Roman" w:hAnsi="Arial" w:cs="Arial"/>
                      <w:sz w:val="20"/>
                      <w:szCs w:val="20"/>
                      <w:lang w:eastAsia="en-GB"/>
                    </w:rPr>
                  </w:pPr>
                </w:p>
              </w:tc>
              <w:tc>
                <w:tcPr>
                  <w:tcW w:w="1197" w:type="dxa"/>
                  <w:tcBorders>
                    <w:top w:val="nil"/>
                    <w:left w:val="nil"/>
                    <w:bottom w:val="nil"/>
                    <w:right w:val="nil"/>
                  </w:tcBorders>
                  <w:shd w:val="clear" w:color="auto" w:fill="auto"/>
                  <w:noWrap/>
                  <w:vAlign w:val="bottom"/>
                </w:tcPr>
                <w:p w14:paraId="33F3A9BD" w14:textId="77777777" w:rsidR="00E70CD3" w:rsidRPr="00543D10" w:rsidRDefault="00456CF6" w:rsidP="005229F1">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(21)</w:t>
                  </w:r>
                </w:p>
              </w:tc>
              <w:tc>
                <w:tcPr>
                  <w:tcW w:w="1195" w:type="dxa"/>
                  <w:tcBorders>
                    <w:top w:val="nil"/>
                    <w:left w:val="nil"/>
                    <w:bottom w:val="nil"/>
                    <w:right w:val="nil"/>
                  </w:tcBorders>
                  <w:shd w:val="clear" w:color="auto" w:fill="auto"/>
                  <w:noWrap/>
                  <w:vAlign w:val="bottom"/>
                </w:tcPr>
                <w:p w14:paraId="25C38C7B" w14:textId="77777777" w:rsidR="00E70CD3" w:rsidRPr="00543D10" w:rsidRDefault="00456CF6" w:rsidP="005229F1">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w:t>
                  </w:r>
                </w:p>
              </w:tc>
              <w:tc>
                <w:tcPr>
                  <w:tcW w:w="953" w:type="dxa"/>
                  <w:tcBorders>
                    <w:top w:val="nil"/>
                    <w:left w:val="nil"/>
                    <w:bottom w:val="nil"/>
                    <w:right w:val="nil"/>
                  </w:tcBorders>
                  <w:shd w:val="clear" w:color="auto" w:fill="auto"/>
                  <w:noWrap/>
                  <w:vAlign w:val="bottom"/>
                </w:tcPr>
                <w:p w14:paraId="59F115D6" w14:textId="77777777" w:rsidR="00E70CD3" w:rsidRPr="00543D10" w:rsidRDefault="00456CF6" w:rsidP="005229F1">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(21)</w:t>
                  </w:r>
                </w:p>
              </w:tc>
              <w:tc>
                <w:tcPr>
                  <w:tcW w:w="976" w:type="dxa"/>
                  <w:tcBorders>
                    <w:top w:val="nil"/>
                    <w:left w:val="nil"/>
                    <w:bottom w:val="nil"/>
                    <w:right w:val="nil"/>
                  </w:tcBorders>
                  <w:shd w:val="clear" w:color="auto" w:fill="auto"/>
                  <w:noWrap/>
                  <w:vAlign w:val="bottom"/>
                </w:tcPr>
                <w:p w14:paraId="10DF93B4" w14:textId="77777777" w:rsidR="00E70CD3" w:rsidRPr="00543D10" w:rsidRDefault="00456CF6" w:rsidP="005229F1">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(21)</w:t>
                  </w:r>
                </w:p>
              </w:tc>
            </w:tr>
            <w:tr w:rsidR="00543D10" w:rsidRPr="00543D10" w14:paraId="1E862CED" w14:textId="77777777" w:rsidTr="00022375">
              <w:trPr>
                <w:trHeight w:val="325"/>
              </w:trPr>
              <w:tc>
                <w:tcPr>
                  <w:tcW w:w="4354" w:type="dxa"/>
                  <w:tcBorders>
                    <w:top w:val="nil"/>
                    <w:left w:val="nil"/>
                    <w:bottom w:val="nil"/>
                    <w:right w:val="nil"/>
                  </w:tcBorders>
                  <w:shd w:val="clear" w:color="auto" w:fill="auto"/>
                  <w:noWrap/>
                  <w:vAlign w:val="center"/>
                  <w:hideMark/>
                </w:tcPr>
                <w:p w14:paraId="58703A79" w14:textId="77777777" w:rsidR="00E70CD3" w:rsidRPr="00543D10" w:rsidRDefault="00E70CD3" w:rsidP="007729E5">
                  <w:pPr>
                    <w:spacing w:after="0" w:line="240" w:lineRule="auto"/>
                    <w:rPr>
                      <w:rFonts w:ascii="Arial" w:eastAsia="Times New Roman" w:hAnsi="Arial" w:cs="Arial"/>
                      <w:sz w:val="20"/>
                      <w:szCs w:val="20"/>
                      <w:lang w:eastAsia="en-GB"/>
                    </w:rPr>
                  </w:pPr>
                  <w:r w:rsidRPr="00543D10">
                    <w:rPr>
                      <w:rFonts w:ascii="Arial" w:eastAsia="Times New Roman" w:hAnsi="Arial" w:cs="Arial"/>
                      <w:sz w:val="20"/>
                      <w:szCs w:val="20"/>
                      <w:lang w:eastAsia="en-GB"/>
                    </w:rPr>
                    <w:t>Current service cost</w:t>
                  </w:r>
                </w:p>
              </w:tc>
              <w:tc>
                <w:tcPr>
                  <w:tcW w:w="407" w:type="dxa"/>
                  <w:tcBorders>
                    <w:top w:val="nil"/>
                    <w:left w:val="nil"/>
                    <w:bottom w:val="nil"/>
                    <w:right w:val="nil"/>
                  </w:tcBorders>
                  <w:shd w:val="clear" w:color="auto" w:fill="auto"/>
                  <w:noWrap/>
                  <w:vAlign w:val="bottom"/>
                  <w:hideMark/>
                </w:tcPr>
                <w:p w14:paraId="648025C5" w14:textId="77777777" w:rsidR="00E70CD3" w:rsidRPr="00543D10" w:rsidRDefault="00E70CD3" w:rsidP="007729E5">
                  <w:pPr>
                    <w:spacing w:after="0" w:line="240" w:lineRule="auto"/>
                    <w:rPr>
                      <w:rFonts w:ascii="Arial" w:eastAsia="Times New Roman" w:hAnsi="Arial" w:cs="Arial"/>
                      <w:sz w:val="20"/>
                      <w:szCs w:val="20"/>
                      <w:lang w:eastAsia="en-GB"/>
                    </w:rPr>
                  </w:pPr>
                </w:p>
              </w:tc>
              <w:tc>
                <w:tcPr>
                  <w:tcW w:w="1197" w:type="dxa"/>
                  <w:tcBorders>
                    <w:top w:val="nil"/>
                    <w:left w:val="nil"/>
                    <w:bottom w:val="nil"/>
                    <w:right w:val="nil"/>
                  </w:tcBorders>
                  <w:shd w:val="clear" w:color="auto" w:fill="auto"/>
                  <w:noWrap/>
                  <w:vAlign w:val="bottom"/>
                </w:tcPr>
                <w:p w14:paraId="2335F366" w14:textId="77777777" w:rsidR="00E70CD3" w:rsidRPr="00543D10" w:rsidRDefault="00456CF6" w:rsidP="005229F1">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w:t>
                  </w:r>
                </w:p>
              </w:tc>
              <w:tc>
                <w:tcPr>
                  <w:tcW w:w="1195" w:type="dxa"/>
                  <w:tcBorders>
                    <w:top w:val="nil"/>
                    <w:left w:val="nil"/>
                    <w:bottom w:val="nil"/>
                    <w:right w:val="nil"/>
                  </w:tcBorders>
                  <w:shd w:val="clear" w:color="auto" w:fill="auto"/>
                  <w:noWrap/>
                  <w:vAlign w:val="bottom"/>
                </w:tcPr>
                <w:p w14:paraId="67C75B0E" w14:textId="77777777" w:rsidR="00E70CD3" w:rsidRPr="00543D10" w:rsidRDefault="00456CF6" w:rsidP="005229F1">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w:t>
                  </w:r>
                </w:p>
              </w:tc>
              <w:tc>
                <w:tcPr>
                  <w:tcW w:w="953" w:type="dxa"/>
                  <w:tcBorders>
                    <w:top w:val="nil"/>
                    <w:left w:val="nil"/>
                    <w:bottom w:val="nil"/>
                    <w:right w:val="nil"/>
                  </w:tcBorders>
                  <w:shd w:val="clear" w:color="auto" w:fill="auto"/>
                  <w:noWrap/>
                  <w:vAlign w:val="bottom"/>
                </w:tcPr>
                <w:p w14:paraId="65FD2178" w14:textId="77777777" w:rsidR="00E70CD3" w:rsidRPr="00543D10" w:rsidRDefault="00456CF6" w:rsidP="005229F1">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w:t>
                  </w:r>
                </w:p>
              </w:tc>
              <w:tc>
                <w:tcPr>
                  <w:tcW w:w="976" w:type="dxa"/>
                  <w:tcBorders>
                    <w:top w:val="nil"/>
                    <w:left w:val="nil"/>
                    <w:bottom w:val="nil"/>
                    <w:right w:val="nil"/>
                  </w:tcBorders>
                  <w:shd w:val="clear" w:color="auto" w:fill="auto"/>
                  <w:noWrap/>
                  <w:vAlign w:val="bottom"/>
                </w:tcPr>
                <w:p w14:paraId="3AF9DC53" w14:textId="77777777" w:rsidR="00E70CD3" w:rsidRPr="00543D10" w:rsidRDefault="00A459C9" w:rsidP="0069798A">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(5)</w:t>
                  </w:r>
                </w:p>
              </w:tc>
            </w:tr>
            <w:tr w:rsidR="00543D10" w:rsidRPr="00543D10" w14:paraId="36A43DFB" w14:textId="77777777" w:rsidTr="00022375">
              <w:trPr>
                <w:trHeight w:val="325"/>
              </w:trPr>
              <w:tc>
                <w:tcPr>
                  <w:tcW w:w="4354" w:type="dxa"/>
                  <w:tcBorders>
                    <w:top w:val="nil"/>
                    <w:left w:val="nil"/>
                    <w:bottom w:val="nil"/>
                    <w:right w:val="nil"/>
                  </w:tcBorders>
                  <w:shd w:val="clear" w:color="auto" w:fill="auto"/>
                  <w:noWrap/>
                  <w:vAlign w:val="center"/>
                  <w:hideMark/>
                </w:tcPr>
                <w:p w14:paraId="1C765299" w14:textId="77777777" w:rsidR="00E70CD3" w:rsidRPr="00543D10" w:rsidRDefault="00E70CD3" w:rsidP="007729E5">
                  <w:pPr>
                    <w:spacing w:after="0" w:line="240" w:lineRule="auto"/>
                    <w:rPr>
                      <w:rFonts w:ascii="Arial" w:eastAsia="Times New Roman" w:hAnsi="Arial" w:cs="Arial"/>
                      <w:sz w:val="20"/>
                      <w:szCs w:val="20"/>
                      <w:lang w:eastAsia="en-GB"/>
                    </w:rPr>
                  </w:pPr>
                  <w:r w:rsidRPr="00543D10">
                    <w:rPr>
                      <w:rFonts w:ascii="Arial" w:eastAsia="Times New Roman" w:hAnsi="Arial" w:cs="Arial"/>
                      <w:sz w:val="20"/>
                      <w:szCs w:val="20"/>
                      <w:lang w:eastAsia="en-GB"/>
                    </w:rPr>
                    <w:t>Interest income / (expense)</w:t>
                  </w:r>
                </w:p>
              </w:tc>
              <w:tc>
                <w:tcPr>
                  <w:tcW w:w="407" w:type="dxa"/>
                  <w:tcBorders>
                    <w:top w:val="nil"/>
                    <w:left w:val="nil"/>
                    <w:bottom w:val="nil"/>
                    <w:right w:val="nil"/>
                  </w:tcBorders>
                  <w:shd w:val="clear" w:color="auto" w:fill="auto"/>
                  <w:noWrap/>
                  <w:vAlign w:val="bottom"/>
                  <w:hideMark/>
                </w:tcPr>
                <w:p w14:paraId="024B6A8A" w14:textId="77777777" w:rsidR="00E70CD3" w:rsidRPr="00543D10" w:rsidRDefault="00E70CD3" w:rsidP="007729E5">
                  <w:pPr>
                    <w:spacing w:after="0" w:line="240" w:lineRule="auto"/>
                    <w:rPr>
                      <w:rFonts w:ascii="Arial" w:eastAsia="Times New Roman" w:hAnsi="Arial" w:cs="Arial"/>
                      <w:sz w:val="20"/>
                      <w:szCs w:val="20"/>
                      <w:lang w:eastAsia="en-GB"/>
                    </w:rPr>
                  </w:pPr>
                </w:p>
              </w:tc>
              <w:tc>
                <w:tcPr>
                  <w:tcW w:w="1197" w:type="dxa"/>
                  <w:tcBorders>
                    <w:top w:val="nil"/>
                    <w:left w:val="nil"/>
                    <w:bottom w:val="nil"/>
                    <w:right w:val="nil"/>
                  </w:tcBorders>
                  <w:shd w:val="clear" w:color="auto" w:fill="auto"/>
                  <w:noWrap/>
                  <w:vAlign w:val="bottom"/>
                </w:tcPr>
                <w:p w14:paraId="2242D107" w14:textId="77777777" w:rsidR="00E70CD3" w:rsidRPr="00543D10" w:rsidRDefault="00456CF6" w:rsidP="0069798A">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23</w:t>
                  </w:r>
                </w:p>
              </w:tc>
              <w:tc>
                <w:tcPr>
                  <w:tcW w:w="1195" w:type="dxa"/>
                  <w:tcBorders>
                    <w:top w:val="nil"/>
                    <w:left w:val="nil"/>
                    <w:bottom w:val="nil"/>
                    <w:right w:val="nil"/>
                  </w:tcBorders>
                  <w:shd w:val="clear" w:color="auto" w:fill="auto"/>
                  <w:noWrap/>
                  <w:vAlign w:val="bottom"/>
                </w:tcPr>
                <w:p w14:paraId="7859C96A" w14:textId="77777777" w:rsidR="00E70CD3" w:rsidRPr="00543D10" w:rsidRDefault="00456CF6" w:rsidP="005229F1">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(22)</w:t>
                  </w:r>
                </w:p>
              </w:tc>
              <w:tc>
                <w:tcPr>
                  <w:tcW w:w="953" w:type="dxa"/>
                  <w:tcBorders>
                    <w:top w:val="nil"/>
                    <w:left w:val="nil"/>
                    <w:bottom w:val="nil"/>
                    <w:right w:val="nil"/>
                  </w:tcBorders>
                  <w:shd w:val="clear" w:color="auto" w:fill="auto"/>
                  <w:noWrap/>
                  <w:vAlign w:val="bottom"/>
                </w:tcPr>
                <w:p w14:paraId="2790F07B" w14:textId="77777777" w:rsidR="00E70CD3" w:rsidRPr="00543D10" w:rsidRDefault="00456CF6" w:rsidP="005229F1">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1</w:t>
                  </w:r>
                </w:p>
              </w:tc>
              <w:tc>
                <w:tcPr>
                  <w:tcW w:w="976" w:type="dxa"/>
                  <w:tcBorders>
                    <w:top w:val="nil"/>
                    <w:left w:val="nil"/>
                    <w:bottom w:val="nil"/>
                    <w:right w:val="nil"/>
                  </w:tcBorders>
                  <w:shd w:val="clear" w:color="auto" w:fill="auto"/>
                  <w:noWrap/>
                  <w:vAlign w:val="bottom"/>
                </w:tcPr>
                <w:p w14:paraId="7E6653A8" w14:textId="77777777" w:rsidR="00E70CD3" w:rsidRPr="00543D10" w:rsidRDefault="00456CF6" w:rsidP="005229F1">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5</w:t>
                  </w:r>
                </w:p>
              </w:tc>
            </w:tr>
            <w:tr w:rsidR="00543D10" w:rsidRPr="00543D10" w14:paraId="26665C59" w14:textId="77777777" w:rsidTr="00022375">
              <w:trPr>
                <w:trHeight w:val="325"/>
              </w:trPr>
              <w:tc>
                <w:tcPr>
                  <w:tcW w:w="4354" w:type="dxa"/>
                  <w:tcBorders>
                    <w:top w:val="nil"/>
                    <w:left w:val="nil"/>
                    <w:bottom w:val="nil"/>
                    <w:right w:val="nil"/>
                  </w:tcBorders>
                  <w:shd w:val="clear" w:color="auto" w:fill="auto"/>
                  <w:noWrap/>
                  <w:vAlign w:val="center"/>
                  <w:hideMark/>
                </w:tcPr>
                <w:p w14:paraId="55EA9A07" w14:textId="77777777" w:rsidR="00E70CD3" w:rsidRPr="00543D10" w:rsidRDefault="00E70CD3" w:rsidP="007729E5">
                  <w:pPr>
                    <w:spacing w:after="0" w:line="240" w:lineRule="auto"/>
                    <w:rPr>
                      <w:rFonts w:ascii="Arial" w:eastAsia="Times New Roman" w:hAnsi="Arial" w:cs="Arial"/>
                      <w:sz w:val="20"/>
                      <w:szCs w:val="20"/>
                      <w:lang w:eastAsia="en-GB"/>
                    </w:rPr>
                  </w:pPr>
                  <w:r w:rsidRPr="00543D10">
                    <w:rPr>
                      <w:rFonts w:ascii="Arial" w:eastAsia="Times New Roman" w:hAnsi="Arial" w:cs="Arial"/>
                      <w:sz w:val="20"/>
                      <w:szCs w:val="20"/>
                      <w:lang w:eastAsia="en-GB"/>
                    </w:rPr>
                    <w:t>Re-measurement gains / losses</w:t>
                  </w:r>
                </w:p>
              </w:tc>
              <w:tc>
                <w:tcPr>
                  <w:tcW w:w="407" w:type="dxa"/>
                  <w:tcBorders>
                    <w:top w:val="nil"/>
                    <w:left w:val="nil"/>
                    <w:bottom w:val="nil"/>
                    <w:right w:val="nil"/>
                  </w:tcBorders>
                  <w:shd w:val="clear" w:color="auto" w:fill="auto"/>
                  <w:noWrap/>
                  <w:vAlign w:val="bottom"/>
                  <w:hideMark/>
                </w:tcPr>
                <w:p w14:paraId="2423E233" w14:textId="77777777" w:rsidR="00E70CD3" w:rsidRPr="00543D10" w:rsidRDefault="00E70CD3" w:rsidP="007729E5">
                  <w:pPr>
                    <w:spacing w:after="0" w:line="240" w:lineRule="auto"/>
                    <w:rPr>
                      <w:rFonts w:ascii="Arial" w:eastAsia="Times New Roman" w:hAnsi="Arial" w:cs="Arial"/>
                      <w:sz w:val="20"/>
                      <w:szCs w:val="20"/>
                      <w:lang w:eastAsia="en-GB"/>
                    </w:rPr>
                  </w:pPr>
                </w:p>
              </w:tc>
              <w:tc>
                <w:tcPr>
                  <w:tcW w:w="1197" w:type="dxa"/>
                  <w:tcBorders>
                    <w:top w:val="nil"/>
                    <w:left w:val="nil"/>
                    <w:bottom w:val="nil"/>
                    <w:right w:val="nil"/>
                  </w:tcBorders>
                  <w:shd w:val="clear" w:color="auto" w:fill="auto"/>
                  <w:noWrap/>
                  <w:vAlign w:val="bottom"/>
                </w:tcPr>
                <w:p w14:paraId="0FA98856" w14:textId="77777777" w:rsidR="00E70CD3" w:rsidRPr="00543D10" w:rsidRDefault="00E70CD3" w:rsidP="005229F1">
                  <w:pPr>
                    <w:spacing w:after="0" w:line="240" w:lineRule="auto"/>
                    <w:jc w:val="right"/>
                    <w:rPr>
                      <w:rFonts w:ascii="Times New Roman" w:eastAsia="Times New Roman" w:hAnsi="Times New Roman" w:cs="Times New Roman"/>
                      <w:sz w:val="20"/>
                      <w:szCs w:val="20"/>
                      <w:lang w:eastAsia="en-GB"/>
                    </w:rPr>
                  </w:pPr>
                </w:p>
              </w:tc>
              <w:tc>
                <w:tcPr>
                  <w:tcW w:w="1195" w:type="dxa"/>
                  <w:tcBorders>
                    <w:top w:val="nil"/>
                    <w:left w:val="nil"/>
                    <w:bottom w:val="nil"/>
                    <w:right w:val="nil"/>
                  </w:tcBorders>
                  <w:shd w:val="clear" w:color="auto" w:fill="auto"/>
                  <w:noWrap/>
                  <w:vAlign w:val="bottom"/>
                </w:tcPr>
                <w:p w14:paraId="75DFFB7E" w14:textId="77777777" w:rsidR="00E70CD3" w:rsidRPr="00543D10" w:rsidRDefault="00E70CD3" w:rsidP="005229F1">
                  <w:pPr>
                    <w:spacing w:after="0" w:line="240" w:lineRule="auto"/>
                    <w:jc w:val="right"/>
                    <w:rPr>
                      <w:rFonts w:ascii="Times New Roman" w:eastAsia="Times New Roman" w:hAnsi="Times New Roman" w:cs="Times New Roman"/>
                      <w:sz w:val="20"/>
                      <w:szCs w:val="20"/>
                      <w:lang w:eastAsia="en-GB"/>
                    </w:rPr>
                  </w:pPr>
                </w:p>
              </w:tc>
              <w:tc>
                <w:tcPr>
                  <w:tcW w:w="953" w:type="dxa"/>
                  <w:tcBorders>
                    <w:top w:val="nil"/>
                    <w:left w:val="nil"/>
                    <w:bottom w:val="nil"/>
                    <w:right w:val="nil"/>
                  </w:tcBorders>
                  <w:shd w:val="clear" w:color="auto" w:fill="auto"/>
                  <w:noWrap/>
                  <w:vAlign w:val="bottom"/>
                </w:tcPr>
                <w:p w14:paraId="2CC01014" w14:textId="77777777" w:rsidR="00E70CD3" w:rsidRPr="00543D10" w:rsidRDefault="00E70CD3" w:rsidP="005229F1">
                  <w:pPr>
                    <w:spacing w:after="0" w:line="240" w:lineRule="auto"/>
                    <w:jc w:val="right"/>
                    <w:rPr>
                      <w:rFonts w:ascii="Times New Roman" w:eastAsia="Times New Roman" w:hAnsi="Times New Roman" w:cs="Times New Roman"/>
                      <w:sz w:val="20"/>
                      <w:szCs w:val="20"/>
                      <w:lang w:eastAsia="en-GB"/>
                    </w:rPr>
                  </w:pPr>
                </w:p>
              </w:tc>
              <w:tc>
                <w:tcPr>
                  <w:tcW w:w="976" w:type="dxa"/>
                  <w:tcBorders>
                    <w:top w:val="nil"/>
                    <w:left w:val="nil"/>
                    <w:bottom w:val="nil"/>
                    <w:right w:val="nil"/>
                  </w:tcBorders>
                  <w:shd w:val="clear" w:color="auto" w:fill="auto"/>
                  <w:noWrap/>
                  <w:vAlign w:val="bottom"/>
                </w:tcPr>
                <w:p w14:paraId="5F359A1E" w14:textId="77777777" w:rsidR="00E70CD3" w:rsidRPr="00543D10" w:rsidRDefault="00E70CD3" w:rsidP="005229F1">
                  <w:pPr>
                    <w:spacing w:after="0" w:line="240" w:lineRule="auto"/>
                    <w:jc w:val="right"/>
                    <w:rPr>
                      <w:rFonts w:ascii="Times New Roman" w:eastAsia="Times New Roman" w:hAnsi="Times New Roman" w:cs="Times New Roman"/>
                      <w:sz w:val="20"/>
                      <w:szCs w:val="20"/>
                      <w:lang w:eastAsia="en-GB"/>
                    </w:rPr>
                  </w:pPr>
                </w:p>
              </w:tc>
            </w:tr>
            <w:tr w:rsidR="00543D10" w:rsidRPr="00543D10" w14:paraId="78D5329E" w14:textId="77777777" w:rsidTr="00022375">
              <w:trPr>
                <w:trHeight w:val="325"/>
              </w:trPr>
              <w:tc>
                <w:tcPr>
                  <w:tcW w:w="4354" w:type="dxa"/>
                  <w:tcBorders>
                    <w:top w:val="nil"/>
                    <w:left w:val="nil"/>
                    <w:bottom w:val="nil"/>
                    <w:right w:val="nil"/>
                  </w:tcBorders>
                  <w:shd w:val="clear" w:color="auto" w:fill="auto"/>
                  <w:noWrap/>
                  <w:vAlign w:val="center"/>
                  <w:hideMark/>
                </w:tcPr>
                <w:p w14:paraId="3FF187F1" w14:textId="77777777" w:rsidR="00E70CD3" w:rsidRPr="00543D10" w:rsidRDefault="00E70CD3" w:rsidP="007729E5">
                  <w:pPr>
                    <w:spacing w:after="0" w:line="240" w:lineRule="auto"/>
                    <w:rPr>
                      <w:rFonts w:ascii="Arial" w:eastAsia="Times New Roman" w:hAnsi="Arial" w:cs="Arial"/>
                      <w:sz w:val="20"/>
                      <w:szCs w:val="20"/>
                      <w:lang w:eastAsia="en-GB"/>
                    </w:rPr>
                  </w:pPr>
                  <w:r w:rsidRPr="00543D10">
                    <w:rPr>
                      <w:rFonts w:ascii="Arial" w:eastAsia="Times New Roman" w:hAnsi="Arial" w:cs="Arial"/>
                      <w:sz w:val="20"/>
                      <w:szCs w:val="20"/>
                      <w:lang w:eastAsia="en-GB"/>
                    </w:rPr>
                    <w:t xml:space="preserve">- Actuarial </w:t>
                  </w:r>
                  <w:r w:rsidR="00FA6D09" w:rsidRPr="00543D10">
                    <w:rPr>
                      <w:rFonts w:ascii="Arial" w:eastAsia="Times New Roman" w:hAnsi="Arial" w:cs="Arial"/>
                      <w:sz w:val="20"/>
                      <w:szCs w:val="20"/>
                      <w:lang w:eastAsia="en-GB"/>
                    </w:rPr>
                    <w:t>gain</w:t>
                  </w:r>
                  <w:r w:rsidR="00FA6D09">
                    <w:rPr>
                      <w:rFonts w:ascii="Arial" w:eastAsia="Times New Roman" w:hAnsi="Arial" w:cs="Arial"/>
                      <w:sz w:val="20"/>
                      <w:szCs w:val="20"/>
                      <w:lang w:eastAsia="en-GB"/>
                    </w:rPr>
                    <w:t xml:space="preserve"> </w:t>
                  </w:r>
                  <w:r w:rsidR="00FA6D09" w:rsidRPr="00543D10">
                    <w:rPr>
                      <w:rFonts w:ascii="Arial" w:eastAsia="Times New Roman" w:hAnsi="Arial" w:cs="Arial"/>
                      <w:sz w:val="20"/>
                      <w:szCs w:val="20"/>
                      <w:lang w:eastAsia="en-GB"/>
                    </w:rPr>
                    <w:t>/ (loss)</w:t>
                  </w:r>
                </w:p>
              </w:tc>
              <w:tc>
                <w:tcPr>
                  <w:tcW w:w="407" w:type="dxa"/>
                  <w:tcBorders>
                    <w:top w:val="nil"/>
                    <w:left w:val="nil"/>
                    <w:bottom w:val="nil"/>
                    <w:right w:val="nil"/>
                  </w:tcBorders>
                  <w:shd w:val="clear" w:color="auto" w:fill="auto"/>
                  <w:noWrap/>
                  <w:vAlign w:val="bottom"/>
                  <w:hideMark/>
                </w:tcPr>
                <w:p w14:paraId="2FF8F893" w14:textId="77777777" w:rsidR="00E70CD3" w:rsidRPr="00543D10" w:rsidRDefault="00E70CD3" w:rsidP="007729E5">
                  <w:pPr>
                    <w:spacing w:after="0" w:line="240" w:lineRule="auto"/>
                    <w:rPr>
                      <w:rFonts w:ascii="Arial" w:eastAsia="Times New Roman" w:hAnsi="Arial" w:cs="Arial"/>
                      <w:sz w:val="20"/>
                      <w:szCs w:val="20"/>
                      <w:lang w:eastAsia="en-GB"/>
                    </w:rPr>
                  </w:pPr>
                </w:p>
              </w:tc>
              <w:tc>
                <w:tcPr>
                  <w:tcW w:w="1197" w:type="dxa"/>
                  <w:tcBorders>
                    <w:top w:val="nil"/>
                    <w:left w:val="nil"/>
                    <w:bottom w:val="nil"/>
                    <w:right w:val="nil"/>
                  </w:tcBorders>
                  <w:shd w:val="clear" w:color="auto" w:fill="auto"/>
                  <w:noWrap/>
                  <w:vAlign w:val="bottom"/>
                </w:tcPr>
                <w:p w14:paraId="7D64F8F0" w14:textId="77777777" w:rsidR="00E70CD3" w:rsidRPr="00543D10" w:rsidRDefault="00456CF6" w:rsidP="005229F1">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w:t>
                  </w:r>
                </w:p>
              </w:tc>
              <w:tc>
                <w:tcPr>
                  <w:tcW w:w="1195" w:type="dxa"/>
                  <w:tcBorders>
                    <w:top w:val="nil"/>
                    <w:left w:val="nil"/>
                    <w:bottom w:val="nil"/>
                    <w:right w:val="nil"/>
                  </w:tcBorders>
                  <w:shd w:val="clear" w:color="auto" w:fill="auto"/>
                  <w:noWrap/>
                  <w:vAlign w:val="bottom"/>
                </w:tcPr>
                <w:p w14:paraId="25AF11B7" w14:textId="77777777" w:rsidR="00E70CD3" w:rsidRPr="00543D10" w:rsidRDefault="00456CF6" w:rsidP="005229F1">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15</w:t>
                  </w:r>
                </w:p>
              </w:tc>
              <w:tc>
                <w:tcPr>
                  <w:tcW w:w="953" w:type="dxa"/>
                  <w:tcBorders>
                    <w:top w:val="nil"/>
                    <w:left w:val="nil"/>
                    <w:bottom w:val="nil"/>
                    <w:right w:val="nil"/>
                  </w:tcBorders>
                  <w:shd w:val="clear" w:color="auto" w:fill="auto"/>
                  <w:noWrap/>
                  <w:vAlign w:val="bottom"/>
                </w:tcPr>
                <w:p w14:paraId="48475D24" w14:textId="77777777" w:rsidR="00E70CD3" w:rsidRPr="00543D10" w:rsidRDefault="00456CF6" w:rsidP="005229F1">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15</w:t>
                  </w:r>
                </w:p>
              </w:tc>
              <w:tc>
                <w:tcPr>
                  <w:tcW w:w="976" w:type="dxa"/>
                  <w:tcBorders>
                    <w:top w:val="nil"/>
                    <w:left w:val="nil"/>
                    <w:bottom w:val="nil"/>
                    <w:right w:val="nil"/>
                  </w:tcBorders>
                  <w:shd w:val="clear" w:color="auto" w:fill="auto"/>
                  <w:noWrap/>
                  <w:vAlign w:val="bottom"/>
                </w:tcPr>
                <w:p w14:paraId="74CD08BD" w14:textId="77777777" w:rsidR="00E70CD3" w:rsidRPr="00543D10" w:rsidRDefault="00456CF6" w:rsidP="005229F1">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(262)</w:t>
                  </w:r>
                </w:p>
              </w:tc>
            </w:tr>
            <w:tr w:rsidR="00543D10" w:rsidRPr="00543D10" w14:paraId="5566E11D" w14:textId="77777777" w:rsidTr="00022375">
              <w:trPr>
                <w:trHeight w:val="325"/>
              </w:trPr>
              <w:tc>
                <w:tcPr>
                  <w:tcW w:w="4761" w:type="dxa"/>
                  <w:gridSpan w:val="2"/>
                  <w:tcBorders>
                    <w:top w:val="nil"/>
                    <w:left w:val="nil"/>
                    <w:bottom w:val="nil"/>
                    <w:right w:val="nil"/>
                  </w:tcBorders>
                  <w:shd w:val="clear" w:color="auto" w:fill="auto"/>
                  <w:noWrap/>
                  <w:vAlign w:val="center"/>
                  <w:hideMark/>
                </w:tcPr>
                <w:p w14:paraId="2603D042" w14:textId="77777777" w:rsidR="00E70CD3" w:rsidRPr="00543D10" w:rsidRDefault="00E70CD3" w:rsidP="007729E5">
                  <w:pPr>
                    <w:spacing w:after="0" w:line="240" w:lineRule="auto"/>
                    <w:rPr>
                      <w:rFonts w:ascii="Arial" w:eastAsia="Times New Roman" w:hAnsi="Arial" w:cs="Arial"/>
                      <w:sz w:val="20"/>
                      <w:szCs w:val="20"/>
                      <w:lang w:eastAsia="en-GB"/>
                    </w:rPr>
                  </w:pPr>
                  <w:r w:rsidRPr="00543D10">
                    <w:rPr>
                      <w:rFonts w:ascii="Arial" w:eastAsia="Times New Roman" w:hAnsi="Arial" w:cs="Arial"/>
                      <w:sz w:val="20"/>
                      <w:szCs w:val="20"/>
                      <w:lang w:eastAsia="en-GB"/>
                    </w:rPr>
                    <w:t>- Return on plan assets excluding interest income</w:t>
                  </w:r>
                </w:p>
              </w:tc>
              <w:tc>
                <w:tcPr>
                  <w:tcW w:w="1197" w:type="dxa"/>
                  <w:tcBorders>
                    <w:top w:val="nil"/>
                    <w:left w:val="nil"/>
                    <w:bottom w:val="nil"/>
                    <w:right w:val="nil"/>
                  </w:tcBorders>
                  <w:shd w:val="clear" w:color="auto" w:fill="auto"/>
                  <w:noWrap/>
                  <w:vAlign w:val="bottom"/>
                </w:tcPr>
                <w:p w14:paraId="7B594D5D" w14:textId="77777777" w:rsidR="00E70CD3" w:rsidRPr="00543D10" w:rsidRDefault="00456CF6" w:rsidP="005229F1">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(33)</w:t>
                  </w:r>
                </w:p>
              </w:tc>
              <w:tc>
                <w:tcPr>
                  <w:tcW w:w="1195" w:type="dxa"/>
                  <w:tcBorders>
                    <w:top w:val="nil"/>
                    <w:left w:val="nil"/>
                    <w:bottom w:val="nil"/>
                    <w:right w:val="nil"/>
                  </w:tcBorders>
                  <w:shd w:val="clear" w:color="auto" w:fill="auto"/>
                  <w:noWrap/>
                  <w:vAlign w:val="bottom"/>
                </w:tcPr>
                <w:p w14:paraId="2BF9DD60" w14:textId="77777777" w:rsidR="00E70CD3" w:rsidRPr="00543D10" w:rsidRDefault="00FA6D09" w:rsidP="005229F1">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w:t>
                  </w:r>
                </w:p>
              </w:tc>
              <w:tc>
                <w:tcPr>
                  <w:tcW w:w="953" w:type="dxa"/>
                  <w:tcBorders>
                    <w:top w:val="nil"/>
                    <w:left w:val="nil"/>
                    <w:bottom w:val="nil"/>
                    <w:right w:val="nil"/>
                  </w:tcBorders>
                  <w:shd w:val="clear" w:color="auto" w:fill="auto"/>
                  <w:noWrap/>
                  <w:vAlign w:val="bottom"/>
                </w:tcPr>
                <w:p w14:paraId="2BAE77A1" w14:textId="77777777" w:rsidR="00E70CD3" w:rsidRPr="00543D10" w:rsidRDefault="00456CF6" w:rsidP="005229F1">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(33)</w:t>
                  </w:r>
                </w:p>
              </w:tc>
              <w:tc>
                <w:tcPr>
                  <w:tcW w:w="976" w:type="dxa"/>
                  <w:tcBorders>
                    <w:top w:val="nil"/>
                    <w:left w:val="nil"/>
                    <w:bottom w:val="nil"/>
                    <w:right w:val="nil"/>
                  </w:tcBorders>
                  <w:shd w:val="clear" w:color="auto" w:fill="auto"/>
                  <w:noWrap/>
                  <w:vAlign w:val="bottom"/>
                </w:tcPr>
                <w:p w14:paraId="5F302777" w14:textId="77777777" w:rsidR="00E70CD3" w:rsidRPr="00543D10" w:rsidRDefault="00456CF6" w:rsidP="005229F1">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77</w:t>
                  </w:r>
                </w:p>
              </w:tc>
            </w:tr>
            <w:tr w:rsidR="00543D10" w:rsidRPr="00543D10" w14:paraId="69058285" w14:textId="77777777" w:rsidTr="00022375">
              <w:trPr>
                <w:trHeight w:val="325"/>
              </w:trPr>
              <w:tc>
                <w:tcPr>
                  <w:tcW w:w="4761" w:type="dxa"/>
                  <w:gridSpan w:val="2"/>
                  <w:tcBorders>
                    <w:top w:val="single" w:sz="4" w:space="0" w:color="auto"/>
                    <w:left w:val="nil"/>
                    <w:bottom w:val="single" w:sz="4" w:space="0" w:color="auto"/>
                    <w:right w:val="nil"/>
                  </w:tcBorders>
                  <w:shd w:val="clear" w:color="auto" w:fill="auto"/>
                  <w:noWrap/>
                  <w:vAlign w:val="center"/>
                  <w:hideMark/>
                </w:tcPr>
                <w:p w14:paraId="66D6EA0D" w14:textId="77777777" w:rsidR="00E70CD3" w:rsidRPr="00543D10" w:rsidRDefault="00E70CD3" w:rsidP="007729E5">
                  <w:pPr>
                    <w:spacing w:after="0" w:line="240" w:lineRule="auto"/>
                    <w:rPr>
                      <w:rFonts w:ascii="Arial" w:eastAsia="Times New Roman" w:hAnsi="Arial" w:cs="Arial"/>
                      <w:sz w:val="20"/>
                      <w:szCs w:val="20"/>
                      <w:lang w:eastAsia="en-GB"/>
                    </w:rPr>
                  </w:pPr>
                  <w:r w:rsidRPr="00543D10">
                    <w:rPr>
                      <w:rFonts w:ascii="Arial" w:eastAsia="Times New Roman" w:hAnsi="Arial" w:cs="Arial"/>
                      <w:sz w:val="20"/>
                      <w:szCs w:val="20"/>
                      <w:lang w:eastAsia="en-GB"/>
                    </w:rPr>
                    <w:t xml:space="preserve">Surplus in the scheme as at 31 August </w:t>
                  </w:r>
                  <w:r w:rsidR="0037645F">
                    <w:rPr>
                      <w:rFonts w:ascii="Arial" w:eastAsia="Times New Roman" w:hAnsi="Arial" w:cs="Arial"/>
                      <w:sz w:val="20"/>
                      <w:szCs w:val="20"/>
                      <w:lang w:eastAsia="en-GB"/>
                    </w:rPr>
                    <w:t>2020</w:t>
                  </w:r>
                </w:p>
              </w:tc>
              <w:tc>
                <w:tcPr>
                  <w:tcW w:w="1197" w:type="dxa"/>
                  <w:tcBorders>
                    <w:top w:val="single" w:sz="4" w:space="0" w:color="auto"/>
                    <w:left w:val="nil"/>
                    <w:bottom w:val="single" w:sz="4" w:space="0" w:color="auto"/>
                    <w:right w:val="nil"/>
                  </w:tcBorders>
                  <w:shd w:val="clear" w:color="auto" w:fill="auto"/>
                  <w:noWrap/>
                  <w:vAlign w:val="center"/>
                </w:tcPr>
                <w:p w14:paraId="5DDDF0BA" w14:textId="77777777" w:rsidR="00E70CD3" w:rsidRPr="00543D10" w:rsidRDefault="00456CF6" w:rsidP="005229F1">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1,243</w:t>
                  </w:r>
                </w:p>
              </w:tc>
              <w:tc>
                <w:tcPr>
                  <w:tcW w:w="1195" w:type="dxa"/>
                  <w:tcBorders>
                    <w:top w:val="single" w:sz="4" w:space="0" w:color="auto"/>
                    <w:left w:val="nil"/>
                    <w:bottom w:val="single" w:sz="4" w:space="0" w:color="auto"/>
                    <w:right w:val="nil"/>
                  </w:tcBorders>
                  <w:shd w:val="clear" w:color="auto" w:fill="auto"/>
                  <w:noWrap/>
                  <w:vAlign w:val="center"/>
                </w:tcPr>
                <w:p w14:paraId="26690103" w14:textId="77777777" w:rsidR="00E70CD3" w:rsidRPr="00543D10" w:rsidRDefault="00456CF6" w:rsidP="005229F1">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(1,202)</w:t>
                  </w:r>
                </w:p>
              </w:tc>
              <w:tc>
                <w:tcPr>
                  <w:tcW w:w="953" w:type="dxa"/>
                  <w:tcBorders>
                    <w:top w:val="single" w:sz="4" w:space="0" w:color="auto"/>
                    <w:left w:val="nil"/>
                    <w:bottom w:val="single" w:sz="4" w:space="0" w:color="auto"/>
                    <w:right w:val="nil"/>
                  </w:tcBorders>
                  <w:shd w:val="clear" w:color="auto" w:fill="auto"/>
                  <w:noWrap/>
                  <w:vAlign w:val="center"/>
                </w:tcPr>
                <w:p w14:paraId="2558AA15" w14:textId="77777777" w:rsidR="00E70CD3" w:rsidRPr="00543D10" w:rsidRDefault="00456CF6" w:rsidP="005229F1">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41</w:t>
                  </w:r>
                </w:p>
              </w:tc>
              <w:tc>
                <w:tcPr>
                  <w:tcW w:w="976" w:type="dxa"/>
                  <w:tcBorders>
                    <w:top w:val="single" w:sz="4" w:space="0" w:color="auto"/>
                    <w:left w:val="nil"/>
                    <w:bottom w:val="single" w:sz="4" w:space="0" w:color="auto"/>
                    <w:right w:val="nil"/>
                  </w:tcBorders>
                  <w:shd w:val="clear" w:color="auto" w:fill="auto"/>
                  <w:noWrap/>
                  <w:vAlign w:val="center"/>
                </w:tcPr>
                <w:p w14:paraId="5581A0E0" w14:textId="77777777" w:rsidR="00E70CD3" w:rsidRPr="00543D10" w:rsidRDefault="00456CF6" w:rsidP="005229F1">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34</w:t>
                  </w:r>
                </w:p>
              </w:tc>
            </w:tr>
          </w:tbl>
          <w:p w14:paraId="136D1DA8" w14:textId="77777777" w:rsidR="00E70CD3" w:rsidRPr="00543D10" w:rsidRDefault="00E70CD3" w:rsidP="007729E5">
            <w:pPr>
              <w:spacing w:after="0" w:line="240" w:lineRule="auto"/>
              <w:rPr>
                <w:rFonts w:ascii="Arial" w:eastAsia="Times New Roman" w:hAnsi="Arial" w:cs="Arial"/>
                <w:sz w:val="20"/>
                <w:szCs w:val="20"/>
                <w:lang w:eastAsia="en-GB"/>
              </w:rPr>
            </w:pPr>
          </w:p>
        </w:tc>
      </w:tr>
    </w:tbl>
    <w:p w14:paraId="0BCC9428" w14:textId="77777777" w:rsidR="00E70CD3" w:rsidRPr="00543D10" w:rsidRDefault="00E70CD3" w:rsidP="00E70CD3">
      <w:pPr>
        <w:autoSpaceDE w:val="0"/>
        <w:autoSpaceDN w:val="0"/>
        <w:adjustRightInd w:val="0"/>
        <w:spacing w:after="0" w:line="240" w:lineRule="auto"/>
        <w:rPr>
          <w:rFonts w:ascii="Arial" w:hAnsi="Arial" w:cs="Arial"/>
          <w:b/>
          <w:sz w:val="24"/>
          <w:szCs w:val="24"/>
        </w:rPr>
      </w:pPr>
    </w:p>
    <w:p w14:paraId="425C80CC" w14:textId="77777777" w:rsidR="00E70CD3" w:rsidRPr="00543D10" w:rsidRDefault="00E70CD3" w:rsidP="00E70CD3">
      <w:pPr>
        <w:autoSpaceDE w:val="0"/>
        <w:autoSpaceDN w:val="0"/>
        <w:adjustRightInd w:val="0"/>
        <w:spacing w:after="0" w:line="240" w:lineRule="auto"/>
        <w:rPr>
          <w:rFonts w:ascii="Arial" w:hAnsi="Arial" w:cs="Arial"/>
          <w:sz w:val="20"/>
          <w:szCs w:val="20"/>
        </w:rPr>
      </w:pPr>
    </w:p>
    <w:tbl>
      <w:tblPr>
        <w:tblW w:w="10661" w:type="dxa"/>
        <w:tblLook w:val="04A0" w:firstRow="1" w:lastRow="0" w:firstColumn="1" w:lastColumn="0" w:noHBand="0" w:noVBand="1"/>
      </w:tblPr>
      <w:tblGrid>
        <w:gridCol w:w="3604"/>
        <w:gridCol w:w="592"/>
        <w:gridCol w:w="66"/>
        <w:gridCol w:w="249"/>
        <w:gridCol w:w="876"/>
        <w:gridCol w:w="823"/>
        <w:gridCol w:w="159"/>
        <w:gridCol w:w="217"/>
        <w:gridCol w:w="97"/>
        <w:gridCol w:w="29"/>
        <w:gridCol w:w="981"/>
        <w:gridCol w:w="67"/>
        <w:gridCol w:w="284"/>
        <w:gridCol w:w="1114"/>
        <w:gridCol w:w="19"/>
        <w:gridCol w:w="505"/>
        <w:gridCol w:w="980"/>
      </w:tblGrid>
      <w:tr w:rsidR="00543D10" w:rsidRPr="00543D10" w14:paraId="666295DD" w14:textId="77777777" w:rsidTr="005D62D2">
        <w:trPr>
          <w:gridAfter w:val="1"/>
          <w:wAfter w:w="979" w:type="dxa"/>
          <w:trHeight w:val="376"/>
        </w:trPr>
        <w:tc>
          <w:tcPr>
            <w:tcW w:w="3604" w:type="dxa"/>
            <w:tcBorders>
              <w:top w:val="nil"/>
              <w:left w:val="nil"/>
              <w:bottom w:val="nil"/>
              <w:right w:val="nil"/>
            </w:tcBorders>
            <w:shd w:val="clear" w:color="auto" w:fill="auto"/>
            <w:noWrap/>
            <w:vAlign w:val="center"/>
            <w:hideMark/>
          </w:tcPr>
          <w:p w14:paraId="71C5E9C6" w14:textId="77777777" w:rsidR="00E70CD3" w:rsidRPr="00543D10" w:rsidRDefault="00E70CD3" w:rsidP="007729E5">
            <w:pPr>
              <w:rPr>
                <w:rFonts w:ascii="Arial" w:eastAsia="Times New Roman" w:hAnsi="Arial" w:cs="Arial"/>
                <w:b/>
                <w:bCs/>
                <w:sz w:val="20"/>
                <w:szCs w:val="20"/>
                <w:lang w:eastAsia="en-GB"/>
              </w:rPr>
            </w:pPr>
            <w:r w:rsidRPr="00543D10">
              <w:rPr>
                <w:rFonts w:ascii="Arial" w:eastAsia="Times New Roman" w:hAnsi="Arial" w:cs="Arial"/>
                <w:b/>
                <w:bCs/>
                <w:sz w:val="20"/>
                <w:szCs w:val="20"/>
                <w:lang w:eastAsia="en-GB"/>
              </w:rPr>
              <w:t>Total cost recognised as expense:</w:t>
            </w:r>
          </w:p>
        </w:tc>
        <w:tc>
          <w:tcPr>
            <w:tcW w:w="658" w:type="dxa"/>
            <w:gridSpan w:val="2"/>
            <w:tcBorders>
              <w:top w:val="nil"/>
              <w:left w:val="nil"/>
              <w:bottom w:val="nil"/>
              <w:right w:val="nil"/>
            </w:tcBorders>
            <w:shd w:val="clear" w:color="auto" w:fill="auto"/>
            <w:noWrap/>
            <w:vAlign w:val="center"/>
            <w:hideMark/>
          </w:tcPr>
          <w:p w14:paraId="50A63EB3" w14:textId="77777777" w:rsidR="00E70CD3" w:rsidRPr="00543D10" w:rsidRDefault="00E70CD3" w:rsidP="007729E5">
            <w:pPr>
              <w:spacing w:after="0" w:line="240" w:lineRule="auto"/>
              <w:rPr>
                <w:rFonts w:ascii="Arial" w:eastAsia="Times New Roman" w:hAnsi="Arial" w:cs="Arial"/>
                <w:b/>
                <w:bCs/>
                <w:sz w:val="20"/>
                <w:szCs w:val="20"/>
                <w:lang w:eastAsia="en-GB"/>
              </w:rPr>
            </w:pPr>
          </w:p>
        </w:tc>
        <w:tc>
          <w:tcPr>
            <w:tcW w:w="2107" w:type="dxa"/>
            <w:gridSpan w:val="4"/>
            <w:tcBorders>
              <w:top w:val="nil"/>
              <w:left w:val="nil"/>
              <w:bottom w:val="nil"/>
              <w:right w:val="nil"/>
            </w:tcBorders>
            <w:shd w:val="clear" w:color="auto" w:fill="auto"/>
            <w:noWrap/>
            <w:vAlign w:val="center"/>
            <w:hideMark/>
          </w:tcPr>
          <w:p w14:paraId="14C036EA" w14:textId="77777777" w:rsidR="00E70CD3" w:rsidRPr="00543D10" w:rsidRDefault="00E70CD3" w:rsidP="007729E5">
            <w:pPr>
              <w:spacing w:after="0" w:line="240" w:lineRule="auto"/>
              <w:rPr>
                <w:rFonts w:ascii="Times New Roman" w:eastAsia="Times New Roman" w:hAnsi="Times New Roman" w:cs="Times New Roman"/>
                <w:sz w:val="20"/>
                <w:szCs w:val="20"/>
                <w:lang w:eastAsia="en-GB"/>
              </w:rPr>
            </w:pPr>
          </w:p>
        </w:tc>
        <w:tc>
          <w:tcPr>
            <w:tcW w:w="314" w:type="dxa"/>
            <w:gridSpan w:val="2"/>
            <w:tcBorders>
              <w:top w:val="nil"/>
              <w:left w:val="nil"/>
              <w:bottom w:val="nil"/>
              <w:right w:val="nil"/>
            </w:tcBorders>
            <w:shd w:val="clear" w:color="auto" w:fill="auto"/>
            <w:noWrap/>
            <w:vAlign w:val="center"/>
            <w:hideMark/>
          </w:tcPr>
          <w:p w14:paraId="2D077957" w14:textId="77777777" w:rsidR="00E70CD3" w:rsidRPr="00543D10" w:rsidRDefault="00E70CD3" w:rsidP="007729E5">
            <w:pPr>
              <w:spacing w:after="0" w:line="240" w:lineRule="auto"/>
              <w:rPr>
                <w:rFonts w:ascii="Times New Roman" w:eastAsia="Times New Roman" w:hAnsi="Times New Roman" w:cs="Times New Roman"/>
                <w:sz w:val="20"/>
                <w:szCs w:val="20"/>
                <w:lang w:eastAsia="en-GB"/>
              </w:rPr>
            </w:pPr>
          </w:p>
        </w:tc>
        <w:tc>
          <w:tcPr>
            <w:tcW w:w="2475" w:type="dxa"/>
            <w:gridSpan w:val="5"/>
            <w:tcBorders>
              <w:top w:val="nil"/>
              <w:left w:val="nil"/>
              <w:bottom w:val="nil"/>
              <w:right w:val="nil"/>
            </w:tcBorders>
            <w:shd w:val="clear" w:color="auto" w:fill="auto"/>
            <w:noWrap/>
            <w:vAlign w:val="center"/>
            <w:hideMark/>
          </w:tcPr>
          <w:p w14:paraId="12C6B947" w14:textId="77777777" w:rsidR="00E70CD3" w:rsidRPr="00543D10" w:rsidRDefault="00E70CD3" w:rsidP="007729E5">
            <w:pPr>
              <w:spacing w:after="0" w:line="240" w:lineRule="auto"/>
              <w:rPr>
                <w:rFonts w:ascii="Times New Roman" w:eastAsia="Times New Roman" w:hAnsi="Times New Roman" w:cs="Times New Roman"/>
                <w:sz w:val="20"/>
                <w:szCs w:val="20"/>
                <w:lang w:eastAsia="en-GB"/>
              </w:rPr>
            </w:pPr>
          </w:p>
        </w:tc>
        <w:tc>
          <w:tcPr>
            <w:tcW w:w="524" w:type="dxa"/>
            <w:gridSpan w:val="2"/>
            <w:tcBorders>
              <w:top w:val="nil"/>
              <w:left w:val="nil"/>
              <w:bottom w:val="nil"/>
              <w:right w:val="nil"/>
            </w:tcBorders>
            <w:shd w:val="clear" w:color="auto" w:fill="auto"/>
            <w:noWrap/>
            <w:vAlign w:val="center"/>
            <w:hideMark/>
          </w:tcPr>
          <w:p w14:paraId="6CBE94E2" w14:textId="77777777" w:rsidR="00E70CD3" w:rsidRPr="00543D10" w:rsidRDefault="00E70CD3" w:rsidP="007729E5">
            <w:pPr>
              <w:spacing w:after="0" w:line="240" w:lineRule="auto"/>
              <w:rPr>
                <w:rFonts w:ascii="Times New Roman" w:eastAsia="Times New Roman" w:hAnsi="Times New Roman" w:cs="Times New Roman"/>
                <w:sz w:val="20"/>
                <w:szCs w:val="20"/>
                <w:lang w:eastAsia="en-GB"/>
              </w:rPr>
            </w:pPr>
          </w:p>
        </w:tc>
      </w:tr>
      <w:tr w:rsidR="00543D10" w:rsidRPr="00543D10" w14:paraId="4932F41D" w14:textId="77777777" w:rsidTr="005D62D2">
        <w:trPr>
          <w:gridAfter w:val="3"/>
          <w:wAfter w:w="1504" w:type="dxa"/>
          <w:trHeight w:val="376"/>
        </w:trPr>
        <w:tc>
          <w:tcPr>
            <w:tcW w:w="5387" w:type="dxa"/>
            <w:gridSpan w:val="5"/>
            <w:tcBorders>
              <w:top w:val="nil"/>
              <w:left w:val="nil"/>
              <w:bottom w:val="nil"/>
              <w:right w:val="nil"/>
            </w:tcBorders>
            <w:shd w:val="clear" w:color="auto" w:fill="auto"/>
            <w:noWrap/>
            <w:vAlign w:val="center"/>
            <w:hideMark/>
          </w:tcPr>
          <w:p w14:paraId="6F1C318C" w14:textId="77777777" w:rsidR="00BC537E" w:rsidRPr="00543D10" w:rsidRDefault="00BC537E" w:rsidP="007729E5">
            <w:pPr>
              <w:spacing w:after="0" w:line="240" w:lineRule="auto"/>
              <w:rPr>
                <w:rFonts w:ascii="Times New Roman" w:eastAsia="Times New Roman" w:hAnsi="Times New Roman" w:cs="Times New Roman"/>
                <w:sz w:val="20"/>
                <w:szCs w:val="20"/>
                <w:lang w:eastAsia="en-GB"/>
              </w:rPr>
            </w:pPr>
          </w:p>
        </w:tc>
        <w:tc>
          <w:tcPr>
            <w:tcW w:w="981" w:type="dxa"/>
            <w:gridSpan w:val="2"/>
            <w:tcBorders>
              <w:top w:val="nil"/>
              <w:left w:val="nil"/>
              <w:bottom w:val="nil"/>
              <w:right w:val="nil"/>
            </w:tcBorders>
            <w:shd w:val="clear" w:color="auto" w:fill="auto"/>
            <w:noWrap/>
            <w:vAlign w:val="bottom"/>
            <w:hideMark/>
          </w:tcPr>
          <w:p w14:paraId="27A5C823" w14:textId="77777777" w:rsidR="00BC537E" w:rsidRPr="00543D10" w:rsidRDefault="00BC537E" w:rsidP="007729E5">
            <w:pPr>
              <w:spacing w:after="0" w:line="240" w:lineRule="auto"/>
              <w:rPr>
                <w:rFonts w:ascii="Times New Roman" w:eastAsia="Times New Roman" w:hAnsi="Times New Roman" w:cs="Times New Roman"/>
                <w:sz w:val="20"/>
                <w:szCs w:val="20"/>
                <w:lang w:eastAsia="en-GB"/>
              </w:rPr>
            </w:pPr>
          </w:p>
        </w:tc>
        <w:tc>
          <w:tcPr>
            <w:tcW w:w="1391" w:type="dxa"/>
            <w:gridSpan w:val="5"/>
            <w:tcBorders>
              <w:top w:val="nil"/>
              <w:left w:val="nil"/>
              <w:bottom w:val="nil"/>
              <w:right w:val="nil"/>
            </w:tcBorders>
            <w:shd w:val="clear" w:color="auto" w:fill="auto"/>
            <w:noWrap/>
            <w:vAlign w:val="center"/>
            <w:hideMark/>
          </w:tcPr>
          <w:p w14:paraId="1DFBBF5B" w14:textId="77777777" w:rsidR="00BC537E" w:rsidRPr="00543D10" w:rsidRDefault="0037645F" w:rsidP="005229F1">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2020</w:t>
            </w:r>
          </w:p>
        </w:tc>
        <w:tc>
          <w:tcPr>
            <w:tcW w:w="1398" w:type="dxa"/>
            <w:gridSpan w:val="2"/>
            <w:tcBorders>
              <w:top w:val="nil"/>
              <w:left w:val="nil"/>
              <w:bottom w:val="nil"/>
              <w:right w:val="nil"/>
            </w:tcBorders>
            <w:shd w:val="clear" w:color="auto" w:fill="auto"/>
            <w:noWrap/>
            <w:vAlign w:val="center"/>
            <w:hideMark/>
          </w:tcPr>
          <w:p w14:paraId="5DE8DB53" w14:textId="77777777" w:rsidR="00BC537E" w:rsidRPr="00543D10" w:rsidRDefault="0037645F" w:rsidP="005229F1">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2019</w:t>
            </w:r>
          </w:p>
        </w:tc>
      </w:tr>
      <w:tr w:rsidR="00543D10" w:rsidRPr="00543D10" w14:paraId="5407FC49" w14:textId="77777777" w:rsidTr="005D62D2">
        <w:trPr>
          <w:gridAfter w:val="3"/>
          <w:wAfter w:w="1504" w:type="dxa"/>
          <w:trHeight w:val="376"/>
        </w:trPr>
        <w:tc>
          <w:tcPr>
            <w:tcW w:w="5387" w:type="dxa"/>
            <w:gridSpan w:val="5"/>
            <w:tcBorders>
              <w:top w:val="nil"/>
              <w:left w:val="nil"/>
              <w:bottom w:val="single" w:sz="4" w:space="0" w:color="auto"/>
              <w:right w:val="nil"/>
            </w:tcBorders>
            <w:shd w:val="clear" w:color="auto" w:fill="auto"/>
            <w:noWrap/>
            <w:vAlign w:val="center"/>
            <w:hideMark/>
          </w:tcPr>
          <w:p w14:paraId="42CBEB21" w14:textId="77777777" w:rsidR="00BC537E" w:rsidRPr="00543D10" w:rsidRDefault="00BC537E" w:rsidP="007729E5">
            <w:pPr>
              <w:spacing w:after="0" w:line="240" w:lineRule="auto"/>
              <w:rPr>
                <w:rFonts w:ascii="Arial" w:eastAsia="Times New Roman" w:hAnsi="Arial" w:cs="Arial"/>
                <w:sz w:val="20"/>
                <w:szCs w:val="20"/>
                <w:lang w:eastAsia="en-GB"/>
              </w:rPr>
            </w:pPr>
            <w:r w:rsidRPr="00543D10">
              <w:rPr>
                <w:rFonts w:ascii="Arial" w:eastAsia="Times New Roman" w:hAnsi="Arial" w:cs="Arial"/>
                <w:sz w:val="20"/>
                <w:szCs w:val="20"/>
                <w:lang w:eastAsia="en-GB"/>
              </w:rPr>
              <w:t> </w:t>
            </w:r>
          </w:p>
        </w:tc>
        <w:tc>
          <w:tcPr>
            <w:tcW w:w="981" w:type="dxa"/>
            <w:gridSpan w:val="2"/>
            <w:tcBorders>
              <w:top w:val="nil"/>
              <w:left w:val="nil"/>
              <w:bottom w:val="single" w:sz="4" w:space="0" w:color="auto"/>
              <w:right w:val="nil"/>
            </w:tcBorders>
            <w:shd w:val="clear" w:color="auto" w:fill="auto"/>
            <w:noWrap/>
            <w:vAlign w:val="bottom"/>
            <w:hideMark/>
          </w:tcPr>
          <w:p w14:paraId="24082EBA" w14:textId="77777777" w:rsidR="00BC537E" w:rsidRPr="00543D10" w:rsidRDefault="00BC537E" w:rsidP="007729E5">
            <w:pPr>
              <w:spacing w:after="0" w:line="240" w:lineRule="auto"/>
              <w:rPr>
                <w:rFonts w:ascii="Arial" w:eastAsia="Times New Roman" w:hAnsi="Arial" w:cs="Arial"/>
                <w:sz w:val="20"/>
                <w:szCs w:val="20"/>
                <w:lang w:eastAsia="en-GB"/>
              </w:rPr>
            </w:pPr>
            <w:r w:rsidRPr="00543D10">
              <w:rPr>
                <w:rFonts w:ascii="Arial" w:eastAsia="Times New Roman" w:hAnsi="Arial" w:cs="Arial"/>
                <w:sz w:val="20"/>
                <w:szCs w:val="20"/>
                <w:lang w:eastAsia="en-GB"/>
              </w:rPr>
              <w:t> </w:t>
            </w:r>
          </w:p>
        </w:tc>
        <w:tc>
          <w:tcPr>
            <w:tcW w:w="1391" w:type="dxa"/>
            <w:gridSpan w:val="5"/>
            <w:tcBorders>
              <w:top w:val="nil"/>
              <w:left w:val="nil"/>
              <w:bottom w:val="single" w:sz="4" w:space="0" w:color="auto"/>
              <w:right w:val="nil"/>
            </w:tcBorders>
            <w:shd w:val="clear" w:color="auto" w:fill="auto"/>
            <w:noWrap/>
            <w:vAlign w:val="center"/>
            <w:hideMark/>
          </w:tcPr>
          <w:p w14:paraId="68F551F6" w14:textId="77777777" w:rsidR="00BC537E" w:rsidRPr="00543D10" w:rsidRDefault="00BC537E" w:rsidP="005229F1">
            <w:pPr>
              <w:spacing w:after="0" w:line="240" w:lineRule="auto"/>
              <w:jc w:val="right"/>
              <w:rPr>
                <w:rFonts w:ascii="Arial" w:eastAsia="Times New Roman" w:hAnsi="Arial" w:cs="Arial"/>
                <w:b/>
                <w:bCs/>
                <w:sz w:val="20"/>
                <w:szCs w:val="20"/>
                <w:lang w:eastAsia="en-GB"/>
              </w:rPr>
            </w:pPr>
            <w:r w:rsidRPr="00543D10">
              <w:rPr>
                <w:rFonts w:ascii="Arial" w:eastAsia="Times New Roman" w:hAnsi="Arial" w:cs="Arial"/>
                <w:b/>
                <w:bCs/>
                <w:sz w:val="20"/>
                <w:szCs w:val="20"/>
                <w:lang w:eastAsia="en-GB"/>
              </w:rPr>
              <w:t>£'000</w:t>
            </w:r>
          </w:p>
        </w:tc>
        <w:tc>
          <w:tcPr>
            <w:tcW w:w="1398" w:type="dxa"/>
            <w:gridSpan w:val="2"/>
            <w:tcBorders>
              <w:top w:val="nil"/>
              <w:left w:val="nil"/>
              <w:bottom w:val="single" w:sz="4" w:space="0" w:color="auto"/>
              <w:right w:val="nil"/>
            </w:tcBorders>
            <w:shd w:val="clear" w:color="auto" w:fill="auto"/>
            <w:noWrap/>
            <w:vAlign w:val="center"/>
            <w:hideMark/>
          </w:tcPr>
          <w:p w14:paraId="265633A5" w14:textId="77777777" w:rsidR="00BC537E" w:rsidRPr="00543D10" w:rsidRDefault="00BC537E" w:rsidP="005229F1">
            <w:pPr>
              <w:spacing w:after="0" w:line="240" w:lineRule="auto"/>
              <w:jc w:val="right"/>
              <w:rPr>
                <w:rFonts w:ascii="Arial" w:eastAsia="Times New Roman" w:hAnsi="Arial" w:cs="Arial"/>
                <w:sz w:val="20"/>
                <w:szCs w:val="20"/>
                <w:lang w:eastAsia="en-GB"/>
              </w:rPr>
            </w:pPr>
            <w:r w:rsidRPr="00543D10">
              <w:rPr>
                <w:rFonts w:ascii="Arial" w:eastAsia="Times New Roman" w:hAnsi="Arial" w:cs="Arial"/>
                <w:sz w:val="20"/>
                <w:szCs w:val="20"/>
                <w:lang w:eastAsia="en-GB"/>
              </w:rPr>
              <w:t>£'000</w:t>
            </w:r>
          </w:p>
        </w:tc>
      </w:tr>
      <w:tr w:rsidR="00416FDD" w:rsidRPr="00543D10" w14:paraId="7DE3413C" w14:textId="77777777" w:rsidTr="005D62D2">
        <w:trPr>
          <w:gridAfter w:val="3"/>
          <w:wAfter w:w="1504" w:type="dxa"/>
          <w:trHeight w:val="376"/>
        </w:trPr>
        <w:tc>
          <w:tcPr>
            <w:tcW w:w="5387" w:type="dxa"/>
            <w:gridSpan w:val="5"/>
            <w:tcBorders>
              <w:top w:val="nil"/>
              <w:left w:val="nil"/>
              <w:bottom w:val="nil"/>
              <w:right w:val="nil"/>
            </w:tcBorders>
            <w:shd w:val="clear" w:color="auto" w:fill="auto"/>
            <w:noWrap/>
            <w:vAlign w:val="center"/>
            <w:hideMark/>
          </w:tcPr>
          <w:p w14:paraId="516650F7" w14:textId="77777777" w:rsidR="00416FDD" w:rsidRPr="00543D10" w:rsidRDefault="00416FDD" w:rsidP="00416FDD">
            <w:pPr>
              <w:spacing w:after="0" w:line="240" w:lineRule="auto"/>
              <w:rPr>
                <w:rFonts w:ascii="Arial" w:eastAsia="Times New Roman" w:hAnsi="Arial" w:cs="Arial"/>
                <w:sz w:val="20"/>
                <w:szCs w:val="20"/>
                <w:lang w:eastAsia="en-GB"/>
              </w:rPr>
            </w:pPr>
            <w:r w:rsidRPr="00543D10">
              <w:rPr>
                <w:rFonts w:ascii="Arial" w:eastAsia="Times New Roman" w:hAnsi="Arial" w:cs="Arial"/>
                <w:sz w:val="20"/>
                <w:szCs w:val="20"/>
                <w:lang w:eastAsia="en-GB"/>
              </w:rPr>
              <w:t>Current service cost</w:t>
            </w:r>
            <w:r w:rsidR="00BD465F">
              <w:rPr>
                <w:rFonts w:ascii="Arial" w:eastAsia="Times New Roman" w:hAnsi="Arial" w:cs="Arial"/>
                <w:sz w:val="20"/>
                <w:szCs w:val="20"/>
                <w:lang w:eastAsia="en-GB"/>
              </w:rPr>
              <w:t xml:space="preserve"> and administration expenses</w:t>
            </w:r>
          </w:p>
        </w:tc>
        <w:tc>
          <w:tcPr>
            <w:tcW w:w="981" w:type="dxa"/>
            <w:gridSpan w:val="2"/>
            <w:tcBorders>
              <w:top w:val="nil"/>
              <w:left w:val="nil"/>
              <w:bottom w:val="nil"/>
              <w:right w:val="nil"/>
            </w:tcBorders>
            <w:shd w:val="clear" w:color="auto" w:fill="auto"/>
            <w:noWrap/>
            <w:vAlign w:val="bottom"/>
            <w:hideMark/>
          </w:tcPr>
          <w:p w14:paraId="5D3CE267" w14:textId="77777777" w:rsidR="00416FDD" w:rsidRPr="00543D10" w:rsidRDefault="00416FDD" w:rsidP="00416FDD">
            <w:pPr>
              <w:spacing w:after="0" w:line="240" w:lineRule="auto"/>
              <w:rPr>
                <w:rFonts w:ascii="Arial" w:eastAsia="Times New Roman" w:hAnsi="Arial" w:cs="Arial"/>
                <w:sz w:val="20"/>
                <w:szCs w:val="20"/>
                <w:lang w:eastAsia="en-GB"/>
              </w:rPr>
            </w:pPr>
            <w:r w:rsidRPr="00543D10">
              <w:rPr>
                <w:rFonts w:ascii="Arial" w:eastAsia="Times New Roman" w:hAnsi="Arial" w:cs="Arial"/>
                <w:sz w:val="20"/>
                <w:szCs w:val="20"/>
                <w:lang w:eastAsia="en-GB"/>
              </w:rPr>
              <w:t> </w:t>
            </w:r>
          </w:p>
        </w:tc>
        <w:tc>
          <w:tcPr>
            <w:tcW w:w="1391" w:type="dxa"/>
            <w:gridSpan w:val="5"/>
            <w:tcBorders>
              <w:top w:val="nil"/>
              <w:left w:val="nil"/>
              <w:bottom w:val="nil"/>
              <w:right w:val="nil"/>
            </w:tcBorders>
            <w:shd w:val="clear" w:color="auto" w:fill="auto"/>
            <w:noWrap/>
            <w:vAlign w:val="center"/>
          </w:tcPr>
          <w:p w14:paraId="03C67EFC" w14:textId="77777777" w:rsidR="00416FDD" w:rsidRPr="00543D10" w:rsidRDefault="00FF0663" w:rsidP="00416FDD">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21</w:t>
            </w:r>
          </w:p>
        </w:tc>
        <w:tc>
          <w:tcPr>
            <w:tcW w:w="1398" w:type="dxa"/>
            <w:gridSpan w:val="2"/>
            <w:tcBorders>
              <w:top w:val="nil"/>
              <w:left w:val="nil"/>
              <w:bottom w:val="nil"/>
              <w:right w:val="nil"/>
            </w:tcBorders>
            <w:shd w:val="clear" w:color="auto" w:fill="auto"/>
            <w:noWrap/>
            <w:vAlign w:val="center"/>
            <w:hideMark/>
          </w:tcPr>
          <w:p w14:paraId="71023CCC" w14:textId="77777777" w:rsidR="00416FDD" w:rsidRPr="00416FDD" w:rsidRDefault="00FA6D09" w:rsidP="00416FDD">
            <w:pPr>
              <w:spacing w:after="0" w:line="240" w:lineRule="auto"/>
              <w:jc w:val="right"/>
              <w:rPr>
                <w:rFonts w:ascii="Arial" w:eastAsia="Times New Roman" w:hAnsi="Arial" w:cs="Arial"/>
                <w:sz w:val="20"/>
                <w:szCs w:val="20"/>
                <w:lang w:eastAsia="en-GB"/>
              </w:rPr>
            </w:pPr>
            <w:r>
              <w:rPr>
                <w:rFonts w:ascii="Arial" w:eastAsia="Times New Roman" w:hAnsi="Arial" w:cs="Arial"/>
                <w:bCs/>
                <w:sz w:val="20"/>
                <w:szCs w:val="20"/>
                <w:lang w:eastAsia="en-GB"/>
              </w:rPr>
              <w:t>26</w:t>
            </w:r>
          </w:p>
        </w:tc>
      </w:tr>
      <w:tr w:rsidR="00416FDD" w:rsidRPr="00543D10" w14:paraId="1B6CC4F1" w14:textId="77777777" w:rsidTr="005D62D2">
        <w:trPr>
          <w:gridAfter w:val="3"/>
          <w:wAfter w:w="1504" w:type="dxa"/>
          <w:trHeight w:val="376"/>
        </w:trPr>
        <w:tc>
          <w:tcPr>
            <w:tcW w:w="5387" w:type="dxa"/>
            <w:gridSpan w:val="5"/>
            <w:tcBorders>
              <w:top w:val="nil"/>
              <w:left w:val="nil"/>
              <w:bottom w:val="nil"/>
              <w:right w:val="nil"/>
            </w:tcBorders>
            <w:shd w:val="clear" w:color="auto" w:fill="auto"/>
            <w:noWrap/>
            <w:vAlign w:val="center"/>
            <w:hideMark/>
          </w:tcPr>
          <w:p w14:paraId="124AA6FE" w14:textId="77777777" w:rsidR="00416FDD" w:rsidRPr="00543D10" w:rsidRDefault="00416FDD" w:rsidP="00416FDD">
            <w:pPr>
              <w:spacing w:after="0" w:line="240" w:lineRule="auto"/>
              <w:rPr>
                <w:rFonts w:ascii="Arial" w:eastAsia="Times New Roman" w:hAnsi="Arial" w:cs="Arial"/>
                <w:sz w:val="20"/>
                <w:szCs w:val="20"/>
                <w:lang w:eastAsia="en-GB"/>
              </w:rPr>
            </w:pPr>
            <w:r w:rsidRPr="00543D10">
              <w:rPr>
                <w:rFonts w:ascii="Arial" w:eastAsia="Times New Roman" w:hAnsi="Arial" w:cs="Arial"/>
                <w:sz w:val="20"/>
                <w:szCs w:val="20"/>
                <w:lang w:eastAsia="en-GB"/>
              </w:rPr>
              <w:t>Interest cost</w:t>
            </w:r>
          </w:p>
        </w:tc>
        <w:tc>
          <w:tcPr>
            <w:tcW w:w="981" w:type="dxa"/>
            <w:gridSpan w:val="2"/>
            <w:tcBorders>
              <w:top w:val="nil"/>
              <w:left w:val="nil"/>
              <w:bottom w:val="single" w:sz="4" w:space="0" w:color="auto"/>
              <w:right w:val="nil"/>
            </w:tcBorders>
            <w:shd w:val="clear" w:color="auto" w:fill="auto"/>
            <w:noWrap/>
            <w:vAlign w:val="bottom"/>
            <w:hideMark/>
          </w:tcPr>
          <w:p w14:paraId="54F50C0E" w14:textId="77777777" w:rsidR="00416FDD" w:rsidRPr="00543D10" w:rsidRDefault="00416FDD" w:rsidP="00416FDD">
            <w:pPr>
              <w:spacing w:after="0" w:line="240" w:lineRule="auto"/>
              <w:rPr>
                <w:rFonts w:ascii="Arial" w:eastAsia="Times New Roman" w:hAnsi="Arial" w:cs="Arial"/>
                <w:sz w:val="20"/>
                <w:szCs w:val="20"/>
                <w:lang w:eastAsia="en-GB"/>
              </w:rPr>
            </w:pPr>
            <w:r w:rsidRPr="00543D10">
              <w:rPr>
                <w:rFonts w:ascii="Arial" w:eastAsia="Times New Roman" w:hAnsi="Arial" w:cs="Arial"/>
                <w:sz w:val="20"/>
                <w:szCs w:val="20"/>
                <w:lang w:eastAsia="en-GB"/>
              </w:rPr>
              <w:t> </w:t>
            </w:r>
          </w:p>
        </w:tc>
        <w:tc>
          <w:tcPr>
            <w:tcW w:w="1391" w:type="dxa"/>
            <w:gridSpan w:val="5"/>
            <w:tcBorders>
              <w:top w:val="nil"/>
              <w:left w:val="nil"/>
              <w:bottom w:val="nil"/>
              <w:right w:val="nil"/>
            </w:tcBorders>
            <w:shd w:val="clear" w:color="auto" w:fill="auto"/>
            <w:noWrap/>
            <w:vAlign w:val="center"/>
          </w:tcPr>
          <w:p w14:paraId="57DC4E40" w14:textId="77777777" w:rsidR="00416FDD" w:rsidRPr="00543D10" w:rsidRDefault="00FF0663" w:rsidP="00416FDD">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(1)</w:t>
            </w:r>
          </w:p>
        </w:tc>
        <w:tc>
          <w:tcPr>
            <w:tcW w:w="1398" w:type="dxa"/>
            <w:gridSpan w:val="2"/>
            <w:tcBorders>
              <w:top w:val="nil"/>
              <w:left w:val="nil"/>
              <w:bottom w:val="nil"/>
              <w:right w:val="nil"/>
            </w:tcBorders>
            <w:shd w:val="clear" w:color="auto" w:fill="auto"/>
            <w:noWrap/>
            <w:vAlign w:val="center"/>
            <w:hideMark/>
          </w:tcPr>
          <w:p w14:paraId="39B2CCEF" w14:textId="77777777" w:rsidR="00416FDD" w:rsidRPr="00416FDD" w:rsidRDefault="00416FDD" w:rsidP="00416FDD">
            <w:pPr>
              <w:spacing w:after="0" w:line="240" w:lineRule="auto"/>
              <w:jc w:val="right"/>
              <w:rPr>
                <w:rFonts w:ascii="Arial" w:eastAsia="Times New Roman" w:hAnsi="Arial" w:cs="Arial"/>
                <w:sz w:val="20"/>
                <w:szCs w:val="20"/>
                <w:lang w:eastAsia="en-GB"/>
              </w:rPr>
            </w:pPr>
            <w:r w:rsidRPr="00416FDD">
              <w:rPr>
                <w:rFonts w:ascii="Arial" w:eastAsia="Times New Roman" w:hAnsi="Arial" w:cs="Arial"/>
                <w:bCs/>
                <w:sz w:val="20"/>
                <w:szCs w:val="20"/>
                <w:lang w:eastAsia="en-GB"/>
              </w:rPr>
              <w:t>(5)</w:t>
            </w:r>
          </w:p>
        </w:tc>
      </w:tr>
      <w:tr w:rsidR="00416FDD" w:rsidRPr="00543D10" w14:paraId="5350B58A" w14:textId="77777777" w:rsidTr="005D62D2">
        <w:trPr>
          <w:gridAfter w:val="3"/>
          <w:wAfter w:w="1504" w:type="dxa"/>
          <w:trHeight w:val="376"/>
        </w:trPr>
        <w:tc>
          <w:tcPr>
            <w:tcW w:w="5387" w:type="dxa"/>
            <w:gridSpan w:val="5"/>
            <w:tcBorders>
              <w:top w:val="single" w:sz="4" w:space="0" w:color="auto"/>
              <w:left w:val="nil"/>
              <w:bottom w:val="single" w:sz="4" w:space="0" w:color="auto"/>
              <w:right w:val="nil"/>
            </w:tcBorders>
            <w:shd w:val="clear" w:color="auto" w:fill="auto"/>
            <w:noWrap/>
            <w:vAlign w:val="center"/>
            <w:hideMark/>
          </w:tcPr>
          <w:p w14:paraId="36CC1C68" w14:textId="77777777" w:rsidR="00416FDD" w:rsidRPr="00543D10" w:rsidRDefault="00416FDD" w:rsidP="00416FDD">
            <w:pPr>
              <w:spacing w:after="0" w:line="240" w:lineRule="auto"/>
              <w:rPr>
                <w:rFonts w:ascii="Arial" w:eastAsia="Times New Roman" w:hAnsi="Arial" w:cs="Arial"/>
                <w:sz w:val="20"/>
                <w:szCs w:val="20"/>
                <w:lang w:eastAsia="en-GB"/>
              </w:rPr>
            </w:pPr>
            <w:r w:rsidRPr="00543D10">
              <w:rPr>
                <w:rFonts w:ascii="Arial" w:eastAsia="Times New Roman" w:hAnsi="Arial" w:cs="Arial"/>
                <w:sz w:val="20"/>
                <w:szCs w:val="20"/>
                <w:lang w:eastAsia="en-GB"/>
              </w:rPr>
              <w:t>Total operating charge</w:t>
            </w:r>
          </w:p>
        </w:tc>
        <w:tc>
          <w:tcPr>
            <w:tcW w:w="981" w:type="dxa"/>
            <w:gridSpan w:val="2"/>
            <w:tcBorders>
              <w:top w:val="nil"/>
              <w:left w:val="nil"/>
              <w:bottom w:val="single" w:sz="4" w:space="0" w:color="auto"/>
              <w:right w:val="nil"/>
            </w:tcBorders>
            <w:shd w:val="clear" w:color="auto" w:fill="auto"/>
            <w:noWrap/>
            <w:vAlign w:val="bottom"/>
            <w:hideMark/>
          </w:tcPr>
          <w:p w14:paraId="4F6A86DD" w14:textId="77777777" w:rsidR="00416FDD" w:rsidRPr="00543D10" w:rsidRDefault="00416FDD" w:rsidP="00416FDD">
            <w:pPr>
              <w:spacing w:after="0" w:line="240" w:lineRule="auto"/>
              <w:rPr>
                <w:rFonts w:ascii="Arial" w:eastAsia="Times New Roman" w:hAnsi="Arial" w:cs="Arial"/>
                <w:sz w:val="20"/>
                <w:szCs w:val="20"/>
                <w:lang w:eastAsia="en-GB"/>
              </w:rPr>
            </w:pPr>
            <w:r w:rsidRPr="00543D10">
              <w:rPr>
                <w:rFonts w:ascii="Arial" w:eastAsia="Times New Roman" w:hAnsi="Arial" w:cs="Arial"/>
                <w:sz w:val="20"/>
                <w:szCs w:val="20"/>
                <w:lang w:eastAsia="en-GB"/>
              </w:rPr>
              <w:t> </w:t>
            </w:r>
          </w:p>
        </w:tc>
        <w:tc>
          <w:tcPr>
            <w:tcW w:w="1391" w:type="dxa"/>
            <w:gridSpan w:val="5"/>
            <w:tcBorders>
              <w:top w:val="single" w:sz="4" w:space="0" w:color="auto"/>
              <w:left w:val="nil"/>
              <w:bottom w:val="single" w:sz="4" w:space="0" w:color="auto"/>
              <w:right w:val="nil"/>
            </w:tcBorders>
            <w:shd w:val="clear" w:color="auto" w:fill="auto"/>
            <w:noWrap/>
            <w:vAlign w:val="center"/>
          </w:tcPr>
          <w:p w14:paraId="44C4B842" w14:textId="77777777" w:rsidR="00416FDD" w:rsidRPr="00543D10" w:rsidRDefault="00FF0663" w:rsidP="00416FDD">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20</w:t>
            </w:r>
          </w:p>
        </w:tc>
        <w:tc>
          <w:tcPr>
            <w:tcW w:w="1398" w:type="dxa"/>
            <w:gridSpan w:val="2"/>
            <w:tcBorders>
              <w:top w:val="single" w:sz="4" w:space="0" w:color="auto"/>
              <w:left w:val="nil"/>
              <w:bottom w:val="single" w:sz="4" w:space="0" w:color="auto"/>
              <w:right w:val="nil"/>
            </w:tcBorders>
            <w:shd w:val="clear" w:color="auto" w:fill="auto"/>
            <w:noWrap/>
            <w:vAlign w:val="center"/>
            <w:hideMark/>
          </w:tcPr>
          <w:p w14:paraId="49DD8C00" w14:textId="77777777" w:rsidR="00416FDD" w:rsidRPr="00416FDD" w:rsidRDefault="00416FDD" w:rsidP="00416FDD">
            <w:pPr>
              <w:spacing w:after="0" w:line="240" w:lineRule="auto"/>
              <w:jc w:val="right"/>
              <w:rPr>
                <w:rFonts w:ascii="Arial" w:eastAsia="Times New Roman" w:hAnsi="Arial" w:cs="Arial"/>
                <w:sz w:val="20"/>
                <w:szCs w:val="20"/>
                <w:lang w:eastAsia="en-GB"/>
              </w:rPr>
            </w:pPr>
            <w:r w:rsidRPr="00416FDD">
              <w:rPr>
                <w:rFonts w:ascii="Arial" w:eastAsia="Times New Roman" w:hAnsi="Arial" w:cs="Arial"/>
                <w:bCs/>
                <w:sz w:val="20"/>
                <w:szCs w:val="20"/>
                <w:lang w:eastAsia="en-GB"/>
              </w:rPr>
              <w:t>21</w:t>
            </w:r>
          </w:p>
        </w:tc>
      </w:tr>
      <w:tr w:rsidR="00543D10" w:rsidRPr="00543D10" w14:paraId="1D631B50" w14:textId="77777777" w:rsidTr="005D62D2">
        <w:trPr>
          <w:trHeight w:val="376"/>
        </w:trPr>
        <w:tc>
          <w:tcPr>
            <w:tcW w:w="5387" w:type="dxa"/>
            <w:gridSpan w:val="5"/>
            <w:tcBorders>
              <w:top w:val="nil"/>
              <w:left w:val="nil"/>
              <w:bottom w:val="nil"/>
              <w:right w:val="nil"/>
            </w:tcBorders>
            <w:shd w:val="clear" w:color="auto" w:fill="auto"/>
            <w:noWrap/>
            <w:vAlign w:val="center"/>
            <w:hideMark/>
          </w:tcPr>
          <w:p w14:paraId="5A514B4B" w14:textId="77777777" w:rsidR="00022375" w:rsidRDefault="00022375" w:rsidP="006E7C43">
            <w:pPr>
              <w:tabs>
                <w:tab w:val="left" w:pos="567"/>
              </w:tabs>
              <w:ind w:left="567" w:hanging="567"/>
              <w:rPr>
                <w:rFonts w:ascii="Arial" w:hAnsi="Arial" w:cs="Arial"/>
                <w:b/>
                <w:i/>
                <w:sz w:val="24"/>
                <w:szCs w:val="24"/>
              </w:rPr>
            </w:pPr>
          </w:p>
          <w:p w14:paraId="7BC2661E" w14:textId="77777777" w:rsidR="006C07DD" w:rsidRDefault="006C07DD" w:rsidP="005D62D2">
            <w:pPr>
              <w:spacing w:after="0" w:line="240" w:lineRule="auto"/>
              <w:ind w:right="-722"/>
              <w:rPr>
                <w:rFonts w:ascii="Arial" w:hAnsi="Arial" w:cs="Arial"/>
                <w:b/>
                <w:i/>
                <w:sz w:val="24"/>
                <w:szCs w:val="24"/>
              </w:rPr>
            </w:pPr>
            <w:r w:rsidRPr="0088736E">
              <w:rPr>
                <w:rFonts w:ascii="Arial" w:hAnsi="Arial" w:cs="Arial"/>
                <w:b/>
                <w:i/>
                <w:sz w:val="24"/>
                <w:szCs w:val="24"/>
              </w:rPr>
              <w:lastRenderedPageBreak/>
              <w:t xml:space="preserve">Notes to the financial </w:t>
            </w:r>
            <w:r>
              <w:rPr>
                <w:rFonts w:ascii="Arial" w:hAnsi="Arial" w:cs="Arial"/>
                <w:b/>
                <w:i/>
                <w:sz w:val="24"/>
                <w:szCs w:val="24"/>
              </w:rPr>
              <w:t>statements</w:t>
            </w:r>
            <w:r w:rsidRPr="0088736E">
              <w:rPr>
                <w:rFonts w:ascii="Arial" w:hAnsi="Arial" w:cs="Arial"/>
                <w:b/>
                <w:i/>
                <w:sz w:val="24"/>
                <w:szCs w:val="24"/>
              </w:rPr>
              <w:t xml:space="preserve"> </w:t>
            </w:r>
            <w:r w:rsidR="005D62D2">
              <w:rPr>
                <w:rFonts w:ascii="Arial" w:hAnsi="Arial" w:cs="Arial"/>
                <w:b/>
                <w:i/>
                <w:sz w:val="24"/>
                <w:szCs w:val="24"/>
              </w:rPr>
              <w:t>(</w:t>
            </w:r>
            <w:r w:rsidRPr="0088736E">
              <w:rPr>
                <w:rFonts w:ascii="Arial" w:hAnsi="Arial" w:cs="Arial"/>
                <w:b/>
                <w:i/>
                <w:sz w:val="24"/>
                <w:szCs w:val="24"/>
              </w:rPr>
              <w:t>continued</w:t>
            </w:r>
            <w:r w:rsidR="005D62D2">
              <w:rPr>
                <w:rFonts w:ascii="Arial" w:hAnsi="Arial" w:cs="Arial"/>
                <w:b/>
                <w:i/>
                <w:sz w:val="24"/>
                <w:szCs w:val="24"/>
              </w:rPr>
              <w:t>)</w:t>
            </w:r>
          </w:p>
          <w:p w14:paraId="6BD47FFC" w14:textId="77777777" w:rsidR="006C07DD" w:rsidRDefault="006C07DD" w:rsidP="006E7C43">
            <w:pPr>
              <w:autoSpaceDE w:val="0"/>
              <w:autoSpaceDN w:val="0"/>
              <w:adjustRightInd w:val="0"/>
              <w:spacing w:after="0" w:line="240" w:lineRule="auto"/>
              <w:rPr>
                <w:rFonts w:ascii="Arial" w:hAnsi="Arial" w:cs="Arial"/>
                <w:b/>
                <w:sz w:val="24"/>
                <w:szCs w:val="24"/>
              </w:rPr>
            </w:pPr>
          </w:p>
          <w:p w14:paraId="523EE6C0" w14:textId="475A7533" w:rsidR="006E7C43" w:rsidRDefault="006E7C43" w:rsidP="006E7C43">
            <w:pPr>
              <w:autoSpaceDE w:val="0"/>
              <w:autoSpaceDN w:val="0"/>
              <w:adjustRightInd w:val="0"/>
              <w:spacing w:after="0" w:line="240" w:lineRule="auto"/>
              <w:rPr>
                <w:rFonts w:ascii="Arial" w:hAnsi="Arial" w:cs="Arial"/>
                <w:b/>
                <w:sz w:val="24"/>
                <w:szCs w:val="24"/>
              </w:rPr>
            </w:pPr>
            <w:r w:rsidRPr="005076F2">
              <w:rPr>
                <w:rFonts w:ascii="Arial" w:hAnsi="Arial" w:cs="Arial"/>
                <w:b/>
                <w:sz w:val="24"/>
                <w:szCs w:val="24"/>
              </w:rPr>
              <w:t>24. Pension commitments (continued)</w:t>
            </w:r>
          </w:p>
          <w:p w14:paraId="744F04C2" w14:textId="77777777" w:rsidR="00753BD7" w:rsidRDefault="00753BD7" w:rsidP="006E7C43">
            <w:pPr>
              <w:autoSpaceDE w:val="0"/>
              <w:autoSpaceDN w:val="0"/>
              <w:adjustRightInd w:val="0"/>
              <w:spacing w:after="0" w:line="240" w:lineRule="auto"/>
              <w:rPr>
                <w:rFonts w:ascii="Arial" w:hAnsi="Arial" w:cs="Arial"/>
                <w:b/>
                <w:sz w:val="24"/>
                <w:szCs w:val="24"/>
              </w:rPr>
            </w:pPr>
          </w:p>
          <w:p w14:paraId="5227257F" w14:textId="77777777" w:rsidR="00E70CD3" w:rsidRPr="00543D10" w:rsidRDefault="00E70CD3" w:rsidP="007729E5">
            <w:pPr>
              <w:spacing w:after="0" w:line="240" w:lineRule="auto"/>
              <w:rPr>
                <w:rFonts w:ascii="Arial" w:eastAsia="Times New Roman" w:hAnsi="Arial" w:cs="Arial"/>
                <w:sz w:val="20"/>
                <w:szCs w:val="20"/>
                <w:lang w:eastAsia="en-GB"/>
              </w:rPr>
            </w:pPr>
          </w:p>
        </w:tc>
        <w:tc>
          <w:tcPr>
            <w:tcW w:w="981" w:type="dxa"/>
            <w:gridSpan w:val="2"/>
            <w:tcBorders>
              <w:top w:val="nil"/>
              <w:left w:val="nil"/>
              <w:bottom w:val="nil"/>
              <w:right w:val="nil"/>
            </w:tcBorders>
            <w:shd w:val="clear" w:color="auto" w:fill="auto"/>
            <w:noWrap/>
            <w:vAlign w:val="center"/>
            <w:hideMark/>
          </w:tcPr>
          <w:p w14:paraId="42D6597F" w14:textId="77777777" w:rsidR="00E70CD3" w:rsidRPr="00543D10" w:rsidRDefault="00E70CD3" w:rsidP="007729E5">
            <w:pPr>
              <w:spacing w:after="0" w:line="240" w:lineRule="auto"/>
              <w:rPr>
                <w:rFonts w:ascii="Times New Roman" w:eastAsia="Times New Roman" w:hAnsi="Times New Roman" w:cs="Times New Roman"/>
                <w:sz w:val="20"/>
                <w:szCs w:val="20"/>
                <w:lang w:eastAsia="en-GB"/>
              </w:rPr>
            </w:pPr>
          </w:p>
        </w:tc>
        <w:tc>
          <w:tcPr>
            <w:tcW w:w="343" w:type="dxa"/>
            <w:gridSpan w:val="3"/>
            <w:tcBorders>
              <w:top w:val="nil"/>
              <w:left w:val="nil"/>
              <w:bottom w:val="nil"/>
              <w:right w:val="nil"/>
            </w:tcBorders>
            <w:shd w:val="clear" w:color="auto" w:fill="auto"/>
            <w:noWrap/>
            <w:vAlign w:val="center"/>
            <w:hideMark/>
          </w:tcPr>
          <w:p w14:paraId="3434273E" w14:textId="77777777" w:rsidR="00E70CD3" w:rsidRPr="00543D10" w:rsidRDefault="00E70CD3" w:rsidP="007729E5">
            <w:pPr>
              <w:spacing w:after="0" w:line="240" w:lineRule="auto"/>
              <w:rPr>
                <w:rFonts w:ascii="Times New Roman" w:eastAsia="Times New Roman" w:hAnsi="Times New Roman" w:cs="Times New Roman"/>
                <w:sz w:val="20"/>
                <w:szCs w:val="20"/>
                <w:lang w:eastAsia="en-GB"/>
              </w:rPr>
            </w:pPr>
          </w:p>
        </w:tc>
        <w:tc>
          <w:tcPr>
            <w:tcW w:w="1332" w:type="dxa"/>
            <w:gridSpan w:val="3"/>
            <w:tcBorders>
              <w:top w:val="nil"/>
              <w:left w:val="nil"/>
              <w:bottom w:val="nil"/>
              <w:right w:val="nil"/>
            </w:tcBorders>
            <w:shd w:val="clear" w:color="auto" w:fill="auto"/>
            <w:noWrap/>
            <w:vAlign w:val="center"/>
            <w:hideMark/>
          </w:tcPr>
          <w:p w14:paraId="4FD241A6" w14:textId="77777777" w:rsidR="00E70CD3" w:rsidRPr="00543D10" w:rsidRDefault="00E70CD3" w:rsidP="007729E5">
            <w:pPr>
              <w:spacing w:after="0" w:line="240" w:lineRule="auto"/>
              <w:rPr>
                <w:rFonts w:ascii="Times New Roman" w:eastAsia="Times New Roman" w:hAnsi="Times New Roman" w:cs="Times New Roman"/>
                <w:sz w:val="20"/>
                <w:szCs w:val="20"/>
                <w:lang w:eastAsia="en-GB"/>
              </w:rPr>
            </w:pPr>
          </w:p>
        </w:tc>
        <w:tc>
          <w:tcPr>
            <w:tcW w:w="1114" w:type="dxa"/>
            <w:tcBorders>
              <w:top w:val="nil"/>
              <w:left w:val="nil"/>
              <w:bottom w:val="nil"/>
              <w:right w:val="nil"/>
            </w:tcBorders>
            <w:shd w:val="clear" w:color="auto" w:fill="auto"/>
            <w:noWrap/>
            <w:vAlign w:val="center"/>
            <w:hideMark/>
          </w:tcPr>
          <w:p w14:paraId="502D6C1F" w14:textId="77777777" w:rsidR="00E70CD3" w:rsidRPr="00543D10" w:rsidRDefault="00E70CD3" w:rsidP="007729E5">
            <w:pPr>
              <w:spacing w:after="0" w:line="240" w:lineRule="auto"/>
              <w:rPr>
                <w:rFonts w:ascii="Times New Roman" w:eastAsia="Times New Roman" w:hAnsi="Times New Roman" w:cs="Times New Roman"/>
                <w:sz w:val="20"/>
                <w:szCs w:val="20"/>
                <w:lang w:eastAsia="en-GB"/>
              </w:rPr>
            </w:pPr>
          </w:p>
        </w:tc>
        <w:tc>
          <w:tcPr>
            <w:tcW w:w="1504" w:type="dxa"/>
            <w:gridSpan w:val="3"/>
            <w:tcBorders>
              <w:top w:val="nil"/>
              <w:left w:val="nil"/>
              <w:bottom w:val="nil"/>
              <w:right w:val="nil"/>
            </w:tcBorders>
            <w:shd w:val="clear" w:color="auto" w:fill="auto"/>
            <w:noWrap/>
            <w:vAlign w:val="center"/>
            <w:hideMark/>
          </w:tcPr>
          <w:p w14:paraId="7999D3E6" w14:textId="77777777" w:rsidR="00E70CD3" w:rsidRPr="00543D10" w:rsidRDefault="00E70CD3" w:rsidP="007729E5">
            <w:pPr>
              <w:spacing w:after="0" w:line="240" w:lineRule="auto"/>
              <w:rPr>
                <w:rFonts w:ascii="Times New Roman" w:eastAsia="Times New Roman" w:hAnsi="Times New Roman" w:cs="Times New Roman"/>
                <w:sz w:val="20"/>
                <w:szCs w:val="20"/>
                <w:lang w:eastAsia="en-GB"/>
              </w:rPr>
            </w:pPr>
          </w:p>
        </w:tc>
      </w:tr>
      <w:tr w:rsidR="00E70CD3" w:rsidRPr="00A42EEB" w14:paraId="0276C619" w14:textId="77777777" w:rsidTr="005D62D2">
        <w:trPr>
          <w:gridAfter w:val="3"/>
          <w:wAfter w:w="1503" w:type="dxa"/>
          <w:trHeight w:val="376"/>
        </w:trPr>
        <w:tc>
          <w:tcPr>
            <w:tcW w:w="9158" w:type="dxa"/>
            <w:gridSpan w:val="14"/>
            <w:tcBorders>
              <w:top w:val="nil"/>
              <w:left w:val="nil"/>
              <w:bottom w:val="nil"/>
              <w:right w:val="nil"/>
            </w:tcBorders>
            <w:shd w:val="clear" w:color="auto" w:fill="auto"/>
            <w:noWrap/>
            <w:vAlign w:val="center"/>
            <w:hideMark/>
          </w:tcPr>
          <w:p w14:paraId="7E1B902B" w14:textId="77777777" w:rsidR="00E70CD3" w:rsidRPr="002B2F3F" w:rsidRDefault="00E70CD3" w:rsidP="007729E5">
            <w:pPr>
              <w:spacing w:after="0" w:line="240" w:lineRule="auto"/>
              <w:rPr>
                <w:rFonts w:ascii="Arial" w:eastAsia="Times New Roman" w:hAnsi="Arial" w:cs="Arial"/>
                <w:bCs/>
                <w:sz w:val="24"/>
                <w:szCs w:val="24"/>
                <w:lang w:eastAsia="en-GB"/>
              </w:rPr>
            </w:pPr>
            <w:r w:rsidRPr="002B2F3F">
              <w:rPr>
                <w:rFonts w:ascii="Arial" w:eastAsia="Times New Roman" w:hAnsi="Arial" w:cs="Arial"/>
                <w:bCs/>
                <w:sz w:val="24"/>
                <w:szCs w:val="24"/>
                <w:lang w:eastAsia="en-GB"/>
              </w:rPr>
              <w:t>Shaw Trust's assessed share of the fair value of the assets of this scheme were:</w:t>
            </w:r>
          </w:p>
        </w:tc>
      </w:tr>
      <w:tr w:rsidR="00BC537E" w:rsidRPr="00A42EEB" w14:paraId="09443B73" w14:textId="77777777" w:rsidTr="005D62D2">
        <w:trPr>
          <w:gridAfter w:val="3"/>
          <w:wAfter w:w="1504" w:type="dxa"/>
          <w:trHeight w:val="1277"/>
        </w:trPr>
        <w:tc>
          <w:tcPr>
            <w:tcW w:w="5387" w:type="dxa"/>
            <w:gridSpan w:val="5"/>
            <w:tcBorders>
              <w:top w:val="nil"/>
              <w:left w:val="nil"/>
              <w:bottom w:val="nil"/>
              <w:right w:val="nil"/>
            </w:tcBorders>
            <w:shd w:val="clear" w:color="auto" w:fill="auto"/>
            <w:noWrap/>
            <w:vAlign w:val="center"/>
            <w:hideMark/>
          </w:tcPr>
          <w:p w14:paraId="219A65F4" w14:textId="77777777" w:rsidR="00BC537E" w:rsidRPr="002B2F3F" w:rsidRDefault="00BC537E" w:rsidP="007729E5">
            <w:pPr>
              <w:spacing w:after="0" w:line="240" w:lineRule="auto"/>
              <w:rPr>
                <w:rFonts w:ascii="Arial" w:eastAsia="Times New Roman" w:hAnsi="Arial" w:cs="Arial"/>
                <w:b/>
                <w:bCs/>
                <w:sz w:val="24"/>
                <w:szCs w:val="24"/>
                <w:lang w:eastAsia="en-GB"/>
              </w:rPr>
            </w:pPr>
          </w:p>
        </w:tc>
        <w:tc>
          <w:tcPr>
            <w:tcW w:w="981" w:type="dxa"/>
            <w:gridSpan w:val="2"/>
            <w:tcBorders>
              <w:top w:val="nil"/>
              <w:left w:val="nil"/>
              <w:bottom w:val="nil"/>
              <w:right w:val="nil"/>
            </w:tcBorders>
            <w:shd w:val="clear" w:color="auto" w:fill="auto"/>
            <w:noWrap/>
            <w:vAlign w:val="bottom"/>
            <w:hideMark/>
          </w:tcPr>
          <w:p w14:paraId="3B461650" w14:textId="77777777" w:rsidR="00BC537E" w:rsidRPr="002B2F3F" w:rsidRDefault="00BC537E" w:rsidP="007729E5">
            <w:pPr>
              <w:spacing w:after="0" w:line="240" w:lineRule="auto"/>
              <w:rPr>
                <w:rFonts w:ascii="Times New Roman" w:eastAsia="Times New Roman" w:hAnsi="Times New Roman" w:cs="Times New Roman"/>
                <w:sz w:val="24"/>
                <w:szCs w:val="24"/>
                <w:lang w:eastAsia="en-GB"/>
              </w:rPr>
            </w:pPr>
          </w:p>
        </w:tc>
        <w:tc>
          <w:tcPr>
            <w:tcW w:w="1391" w:type="dxa"/>
            <w:gridSpan w:val="5"/>
            <w:tcBorders>
              <w:top w:val="nil"/>
              <w:left w:val="nil"/>
              <w:bottom w:val="nil"/>
              <w:right w:val="nil"/>
            </w:tcBorders>
            <w:shd w:val="clear" w:color="auto" w:fill="auto"/>
            <w:vAlign w:val="center"/>
            <w:hideMark/>
          </w:tcPr>
          <w:p w14:paraId="0AD2CF49" w14:textId="77777777" w:rsidR="00BC537E" w:rsidRPr="00A42EEB" w:rsidRDefault="00BC537E" w:rsidP="005229F1">
            <w:pPr>
              <w:spacing w:after="0" w:line="240" w:lineRule="auto"/>
              <w:jc w:val="right"/>
              <w:rPr>
                <w:rFonts w:ascii="Arial" w:eastAsia="Times New Roman" w:hAnsi="Arial" w:cs="Arial"/>
                <w:b/>
                <w:bCs/>
                <w:sz w:val="20"/>
                <w:szCs w:val="20"/>
                <w:lang w:eastAsia="en-GB"/>
              </w:rPr>
            </w:pPr>
            <w:r w:rsidRPr="00A42EEB">
              <w:rPr>
                <w:rFonts w:ascii="Arial" w:eastAsia="Times New Roman" w:hAnsi="Arial" w:cs="Arial"/>
                <w:b/>
                <w:bCs/>
                <w:sz w:val="20"/>
                <w:szCs w:val="20"/>
                <w:lang w:eastAsia="en-GB"/>
              </w:rPr>
              <w:t xml:space="preserve">Value at 31 August </w:t>
            </w:r>
            <w:r w:rsidR="0037645F">
              <w:rPr>
                <w:rFonts w:ascii="Arial" w:eastAsia="Times New Roman" w:hAnsi="Arial" w:cs="Arial"/>
                <w:b/>
                <w:bCs/>
                <w:sz w:val="20"/>
                <w:szCs w:val="20"/>
                <w:lang w:eastAsia="en-GB"/>
              </w:rPr>
              <w:t>2020</w:t>
            </w:r>
          </w:p>
        </w:tc>
        <w:tc>
          <w:tcPr>
            <w:tcW w:w="1398" w:type="dxa"/>
            <w:gridSpan w:val="2"/>
            <w:tcBorders>
              <w:top w:val="nil"/>
              <w:left w:val="nil"/>
              <w:bottom w:val="nil"/>
              <w:right w:val="nil"/>
            </w:tcBorders>
            <w:shd w:val="clear" w:color="auto" w:fill="auto"/>
            <w:vAlign w:val="center"/>
            <w:hideMark/>
          </w:tcPr>
          <w:p w14:paraId="5466DD4A" w14:textId="77777777" w:rsidR="00BC537E" w:rsidRPr="00A42EEB" w:rsidRDefault="00BC537E" w:rsidP="005229F1">
            <w:pPr>
              <w:spacing w:after="0" w:line="240" w:lineRule="auto"/>
              <w:jc w:val="right"/>
              <w:rPr>
                <w:rFonts w:ascii="Arial" w:eastAsia="Times New Roman" w:hAnsi="Arial" w:cs="Arial"/>
                <w:sz w:val="20"/>
                <w:szCs w:val="20"/>
                <w:lang w:eastAsia="en-GB"/>
              </w:rPr>
            </w:pPr>
            <w:r w:rsidRPr="00A42EEB">
              <w:rPr>
                <w:rFonts w:ascii="Arial" w:eastAsia="Times New Roman" w:hAnsi="Arial" w:cs="Arial"/>
                <w:sz w:val="20"/>
                <w:szCs w:val="20"/>
                <w:lang w:eastAsia="en-GB"/>
              </w:rPr>
              <w:t xml:space="preserve">Value at 31 August </w:t>
            </w:r>
            <w:r w:rsidR="0037645F">
              <w:rPr>
                <w:rFonts w:ascii="Arial" w:eastAsia="Times New Roman" w:hAnsi="Arial" w:cs="Arial"/>
                <w:sz w:val="20"/>
                <w:szCs w:val="20"/>
                <w:lang w:eastAsia="en-GB"/>
              </w:rPr>
              <w:t>2019</w:t>
            </w:r>
          </w:p>
        </w:tc>
      </w:tr>
      <w:tr w:rsidR="00BC537E" w:rsidRPr="00A42EEB" w14:paraId="41D7441F" w14:textId="77777777" w:rsidTr="005D62D2">
        <w:trPr>
          <w:gridAfter w:val="3"/>
          <w:wAfter w:w="1504" w:type="dxa"/>
          <w:trHeight w:val="376"/>
        </w:trPr>
        <w:tc>
          <w:tcPr>
            <w:tcW w:w="5387" w:type="dxa"/>
            <w:gridSpan w:val="5"/>
            <w:tcBorders>
              <w:top w:val="nil"/>
              <w:left w:val="nil"/>
              <w:bottom w:val="single" w:sz="4" w:space="0" w:color="auto"/>
              <w:right w:val="nil"/>
            </w:tcBorders>
            <w:shd w:val="clear" w:color="auto" w:fill="auto"/>
            <w:noWrap/>
            <w:vAlign w:val="center"/>
            <w:hideMark/>
          </w:tcPr>
          <w:p w14:paraId="19A95CE8" w14:textId="77777777" w:rsidR="00BC537E" w:rsidRPr="00A42EEB" w:rsidRDefault="00BC537E" w:rsidP="007729E5">
            <w:pPr>
              <w:spacing w:after="0" w:line="240" w:lineRule="auto"/>
              <w:rPr>
                <w:rFonts w:ascii="Arial" w:eastAsia="Times New Roman" w:hAnsi="Arial" w:cs="Arial"/>
                <w:sz w:val="20"/>
                <w:szCs w:val="20"/>
                <w:lang w:eastAsia="en-GB"/>
              </w:rPr>
            </w:pPr>
            <w:r w:rsidRPr="00A42EEB">
              <w:rPr>
                <w:rFonts w:ascii="Arial" w:eastAsia="Times New Roman" w:hAnsi="Arial" w:cs="Arial"/>
                <w:sz w:val="20"/>
                <w:szCs w:val="20"/>
                <w:lang w:eastAsia="en-GB"/>
              </w:rPr>
              <w:t> </w:t>
            </w:r>
          </w:p>
        </w:tc>
        <w:tc>
          <w:tcPr>
            <w:tcW w:w="981" w:type="dxa"/>
            <w:gridSpan w:val="2"/>
            <w:tcBorders>
              <w:top w:val="nil"/>
              <w:left w:val="nil"/>
              <w:bottom w:val="single" w:sz="4" w:space="0" w:color="auto"/>
              <w:right w:val="nil"/>
            </w:tcBorders>
            <w:shd w:val="clear" w:color="auto" w:fill="auto"/>
            <w:noWrap/>
            <w:vAlign w:val="bottom"/>
            <w:hideMark/>
          </w:tcPr>
          <w:p w14:paraId="115DF79E" w14:textId="77777777" w:rsidR="00BC537E" w:rsidRPr="00A42EEB" w:rsidRDefault="00BC537E" w:rsidP="007729E5">
            <w:pPr>
              <w:spacing w:after="0" w:line="240" w:lineRule="auto"/>
              <w:rPr>
                <w:rFonts w:ascii="Arial" w:eastAsia="Times New Roman" w:hAnsi="Arial" w:cs="Arial"/>
                <w:sz w:val="20"/>
                <w:szCs w:val="20"/>
                <w:lang w:eastAsia="en-GB"/>
              </w:rPr>
            </w:pPr>
            <w:r w:rsidRPr="00A42EEB">
              <w:rPr>
                <w:rFonts w:ascii="Arial" w:eastAsia="Times New Roman" w:hAnsi="Arial" w:cs="Arial"/>
                <w:sz w:val="20"/>
                <w:szCs w:val="20"/>
                <w:lang w:eastAsia="en-GB"/>
              </w:rPr>
              <w:t> </w:t>
            </w:r>
          </w:p>
        </w:tc>
        <w:tc>
          <w:tcPr>
            <w:tcW w:w="1391" w:type="dxa"/>
            <w:gridSpan w:val="5"/>
            <w:tcBorders>
              <w:top w:val="nil"/>
              <w:left w:val="nil"/>
              <w:bottom w:val="single" w:sz="4" w:space="0" w:color="auto"/>
              <w:right w:val="nil"/>
            </w:tcBorders>
            <w:shd w:val="clear" w:color="auto" w:fill="auto"/>
            <w:noWrap/>
            <w:vAlign w:val="center"/>
            <w:hideMark/>
          </w:tcPr>
          <w:p w14:paraId="5CF118E0" w14:textId="77777777" w:rsidR="00BC537E" w:rsidRPr="00A42EEB" w:rsidRDefault="00BC537E" w:rsidP="005229F1">
            <w:pPr>
              <w:spacing w:after="0" w:line="240" w:lineRule="auto"/>
              <w:jc w:val="right"/>
              <w:rPr>
                <w:rFonts w:ascii="Arial" w:eastAsia="Times New Roman" w:hAnsi="Arial" w:cs="Arial"/>
                <w:b/>
                <w:bCs/>
                <w:sz w:val="20"/>
                <w:szCs w:val="20"/>
                <w:lang w:eastAsia="en-GB"/>
              </w:rPr>
            </w:pPr>
            <w:r w:rsidRPr="00A42EEB">
              <w:rPr>
                <w:rFonts w:ascii="Arial" w:eastAsia="Times New Roman" w:hAnsi="Arial" w:cs="Arial"/>
                <w:b/>
                <w:bCs/>
                <w:sz w:val="20"/>
                <w:szCs w:val="20"/>
                <w:lang w:eastAsia="en-GB"/>
              </w:rPr>
              <w:t>£'000</w:t>
            </w:r>
          </w:p>
        </w:tc>
        <w:tc>
          <w:tcPr>
            <w:tcW w:w="1398" w:type="dxa"/>
            <w:gridSpan w:val="2"/>
            <w:tcBorders>
              <w:top w:val="nil"/>
              <w:left w:val="nil"/>
              <w:bottom w:val="single" w:sz="4" w:space="0" w:color="auto"/>
              <w:right w:val="nil"/>
            </w:tcBorders>
            <w:shd w:val="clear" w:color="auto" w:fill="auto"/>
            <w:noWrap/>
            <w:vAlign w:val="center"/>
            <w:hideMark/>
          </w:tcPr>
          <w:p w14:paraId="28543739" w14:textId="77777777" w:rsidR="00BC537E" w:rsidRPr="00A42EEB" w:rsidRDefault="00BC537E" w:rsidP="005229F1">
            <w:pPr>
              <w:spacing w:after="0" w:line="240" w:lineRule="auto"/>
              <w:jc w:val="right"/>
              <w:rPr>
                <w:rFonts w:ascii="Arial" w:eastAsia="Times New Roman" w:hAnsi="Arial" w:cs="Arial"/>
                <w:sz w:val="20"/>
                <w:szCs w:val="20"/>
                <w:lang w:eastAsia="en-GB"/>
              </w:rPr>
            </w:pPr>
            <w:r w:rsidRPr="00A42EEB">
              <w:rPr>
                <w:rFonts w:ascii="Arial" w:eastAsia="Times New Roman" w:hAnsi="Arial" w:cs="Arial"/>
                <w:sz w:val="20"/>
                <w:szCs w:val="20"/>
                <w:lang w:eastAsia="en-GB"/>
              </w:rPr>
              <w:t>£'000</w:t>
            </w:r>
          </w:p>
        </w:tc>
      </w:tr>
      <w:tr w:rsidR="00416FDD" w:rsidRPr="00A42EEB" w14:paraId="6524FBE5" w14:textId="77777777" w:rsidTr="005D62D2">
        <w:trPr>
          <w:gridAfter w:val="3"/>
          <w:wAfter w:w="1504" w:type="dxa"/>
          <w:trHeight w:val="376"/>
        </w:trPr>
        <w:tc>
          <w:tcPr>
            <w:tcW w:w="5387" w:type="dxa"/>
            <w:gridSpan w:val="5"/>
            <w:tcBorders>
              <w:top w:val="nil"/>
              <w:left w:val="nil"/>
              <w:bottom w:val="nil"/>
              <w:right w:val="nil"/>
            </w:tcBorders>
            <w:shd w:val="clear" w:color="auto" w:fill="auto"/>
            <w:noWrap/>
            <w:vAlign w:val="center"/>
            <w:hideMark/>
          </w:tcPr>
          <w:p w14:paraId="7A5D3EDC" w14:textId="77777777" w:rsidR="00416FDD" w:rsidRPr="00A42EEB" w:rsidRDefault="00416FDD" w:rsidP="00416FDD">
            <w:pPr>
              <w:spacing w:after="0" w:line="240" w:lineRule="auto"/>
              <w:rPr>
                <w:rFonts w:ascii="Arial" w:eastAsia="Times New Roman" w:hAnsi="Arial" w:cs="Arial"/>
                <w:sz w:val="20"/>
                <w:szCs w:val="20"/>
                <w:lang w:eastAsia="en-GB"/>
              </w:rPr>
            </w:pPr>
            <w:r w:rsidRPr="00A42EEB">
              <w:rPr>
                <w:rFonts w:ascii="Arial" w:eastAsia="Times New Roman" w:hAnsi="Arial" w:cs="Arial"/>
                <w:sz w:val="20"/>
                <w:szCs w:val="20"/>
                <w:lang w:eastAsia="en-GB"/>
              </w:rPr>
              <w:t>Equities</w:t>
            </w:r>
          </w:p>
        </w:tc>
        <w:tc>
          <w:tcPr>
            <w:tcW w:w="981" w:type="dxa"/>
            <w:gridSpan w:val="2"/>
            <w:tcBorders>
              <w:top w:val="nil"/>
              <w:left w:val="nil"/>
              <w:bottom w:val="nil"/>
              <w:right w:val="nil"/>
            </w:tcBorders>
            <w:shd w:val="clear" w:color="auto" w:fill="auto"/>
            <w:noWrap/>
            <w:vAlign w:val="bottom"/>
            <w:hideMark/>
          </w:tcPr>
          <w:p w14:paraId="664189D0" w14:textId="77777777" w:rsidR="00416FDD" w:rsidRPr="00A42EEB" w:rsidRDefault="00416FDD" w:rsidP="00416FDD">
            <w:pPr>
              <w:spacing w:after="0" w:line="240" w:lineRule="auto"/>
              <w:rPr>
                <w:rFonts w:ascii="Arial" w:eastAsia="Times New Roman" w:hAnsi="Arial" w:cs="Arial"/>
                <w:sz w:val="20"/>
                <w:szCs w:val="20"/>
                <w:lang w:eastAsia="en-GB"/>
              </w:rPr>
            </w:pPr>
          </w:p>
        </w:tc>
        <w:tc>
          <w:tcPr>
            <w:tcW w:w="1391" w:type="dxa"/>
            <w:gridSpan w:val="5"/>
            <w:tcBorders>
              <w:top w:val="nil"/>
              <w:left w:val="nil"/>
              <w:bottom w:val="nil"/>
              <w:right w:val="nil"/>
            </w:tcBorders>
            <w:shd w:val="clear" w:color="auto" w:fill="auto"/>
            <w:noWrap/>
            <w:vAlign w:val="center"/>
          </w:tcPr>
          <w:p w14:paraId="7B50CF32" w14:textId="77777777" w:rsidR="00416FDD" w:rsidRPr="00416FDD" w:rsidRDefault="00FF0663" w:rsidP="00416FDD">
            <w:pPr>
              <w:spacing w:after="0" w:line="240" w:lineRule="auto"/>
              <w:jc w:val="right"/>
              <w:rPr>
                <w:rFonts w:ascii="Arial" w:eastAsia="Times New Roman" w:hAnsi="Arial" w:cs="Arial"/>
                <w:b/>
                <w:sz w:val="20"/>
                <w:szCs w:val="20"/>
                <w:lang w:eastAsia="en-GB"/>
              </w:rPr>
            </w:pPr>
            <w:r>
              <w:rPr>
                <w:rFonts w:ascii="Arial" w:eastAsia="Times New Roman" w:hAnsi="Arial" w:cs="Arial"/>
                <w:b/>
                <w:sz w:val="20"/>
                <w:szCs w:val="20"/>
                <w:lang w:eastAsia="en-GB"/>
              </w:rPr>
              <w:t>518</w:t>
            </w:r>
          </w:p>
        </w:tc>
        <w:tc>
          <w:tcPr>
            <w:tcW w:w="1398" w:type="dxa"/>
            <w:gridSpan w:val="2"/>
            <w:tcBorders>
              <w:top w:val="nil"/>
              <w:left w:val="nil"/>
              <w:bottom w:val="nil"/>
              <w:right w:val="nil"/>
            </w:tcBorders>
            <w:shd w:val="clear" w:color="auto" w:fill="auto"/>
            <w:noWrap/>
            <w:vAlign w:val="center"/>
            <w:hideMark/>
          </w:tcPr>
          <w:p w14:paraId="66299AD0" w14:textId="77777777" w:rsidR="00416FDD" w:rsidRPr="00416FDD" w:rsidRDefault="00416FDD" w:rsidP="00416FDD">
            <w:pPr>
              <w:spacing w:after="0" w:line="240" w:lineRule="auto"/>
              <w:jc w:val="right"/>
              <w:rPr>
                <w:rFonts w:ascii="Arial" w:eastAsia="Times New Roman" w:hAnsi="Arial" w:cs="Arial"/>
                <w:sz w:val="20"/>
                <w:szCs w:val="20"/>
                <w:lang w:eastAsia="en-GB"/>
              </w:rPr>
            </w:pPr>
            <w:r w:rsidRPr="00416FDD">
              <w:rPr>
                <w:rFonts w:ascii="Arial" w:eastAsia="Times New Roman" w:hAnsi="Arial" w:cs="Arial"/>
                <w:sz w:val="20"/>
                <w:szCs w:val="20"/>
                <w:lang w:eastAsia="en-GB"/>
              </w:rPr>
              <w:t>536</w:t>
            </w:r>
          </w:p>
        </w:tc>
      </w:tr>
      <w:tr w:rsidR="00416FDD" w:rsidRPr="00A42EEB" w14:paraId="6D3E51BE" w14:textId="77777777" w:rsidTr="005D62D2">
        <w:trPr>
          <w:gridAfter w:val="3"/>
          <w:wAfter w:w="1504" w:type="dxa"/>
          <w:trHeight w:val="376"/>
        </w:trPr>
        <w:tc>
          <w:tcPr>
            <w:tcW w:w="5387" w:type="dxa"/>
            <w:gridSpan w:val="5"/>
            <w:tcBorders>
              <w:top w:val="nil"/>
              <w:left w:val="nil"/>
              <w:bottom w:val="nil"/>
              <w:right w:val="nil"/>
            </w:tcBorders>
            <w:shd w:val="clear" w:color="auto" w:fill="auto"/>
            <w:noWrap/>
            <w:vAlign w:val="center"/>
            <w:hideMark/>
          </w:tcPr>
          <w:p w14:paraId="56E07454" w14:textId="77777777" w:rsidR="00416FDD" w:rsidRPr="00A42EEB" w:rsidRDefault="00416FDD" w:rsidP="00416FDD">
            <w:pPr>
              <w:spacing w:after="0" w:line="240" w:lineRule="auto"/>
              <w:rPr>
                <w:rFonts w:ascii="Arial" w:eastAsia="Times New Roman" w:hAnsi="Arial" w:cs="Arial"/>
                <w:sz w:val="20"/>
                <w:szCs w:val="20"/>
                <w:lang w:eastAsia="en-GB"/>
              </w:rPr>
            </w:pPr>
            <w:r w:rsidRPr="00A42EEB">
              <w:rPr>
                <w:rFonts w:ascii="Arial" w:eastAsia="Times New Roman" w:hAnsi="Arial" w:cs="Arial"/>
                <w:sz w:val="20"/>
                <w:szCs w:val="20"/>
                <w:lang w:eastAsia="en-GB"/>
              </w:rPr>
              <w:t>Bonds</w:t>
            </w:r>
          </w:p>
        </w:tc>
        <w:tc>
          <w:tcPr>
            <w:tcW w:w="981" w:type="dxa"/>
            <w:gridSpan w:val="2"/>
            <w:tcBorders>
              <w:top w:val="nil"/>
              <w:left w:val="nil"/>
              <w:bottom w:val="nil"/>
              <w:right w:val="nil"/>
            </w:tcBorders>
            <w:shd w:val="clear" w:color="auto" w:fill="auto"/>
            <w:noWrap/>
            <w:vAlign w:val="bottom"/>
            <w:hideMark/>
          </w:tcPr>
          <w:p w14:paraId="7BDBA92E" w14:textId="77777777" w:rsidR="00416FDD" w:rsidRPr="00A42EEB" w:rsidRDefault="00416FDD" w:rsidP="00416FDD">
            <w:pPr>
              <w:spacing w:after="0" w:line="240" w:lineRule="auto"/>
              <w:rPr>
                <w:rFonts w:ascii="Arial" w:eastAsia="Times New Roman" w:hAnsi="Arial" w:cs="Arial"/>
                <w:sz w:val="20"/>
                <w:szCs w:val="20"/>
                <w:lang w:eastAsia="en-GB"/>
              </w:rPr>
            </w:pPr>
          </w:p>
        </w:tc>
        <w:tc>
          <w:tcPr>
            <w:tcW w:w="1391" w:type="dxa"/>
            <w:gridSpan w:val="5"/>
            <w:tcBorders>
              <w:top w:val="nil"/>
              <w:left w:val="nil"/>
              <w:bottom w:val="nil"/>
              <w:right w:val="nil"/>
            </w:tcBorders>
            <w:shd w:val="clear" w:color="auto" w:fill="auto"/>
            <w:noWrap/>
            <w:vAlign w:val="center"/>
          </w:tcPr>
          <w:p w14:paraId="34F654C7" w14:textId="77777777" w:rsidR="00416FDD" w:rsidRPr="00416FDD" w:rsidRDefault="00FF0663" w:rsidP="00416FDD">
            <w:pPr>
              <w:spacing w:after="0" w:line="240" w:lineRule="auto"/>
              <w:jc w:val="right"/>
              <w:rPr>
                <w:rFonts w:ascii="Arial" w:eastAsia="Times New Roman" w:hAnsi="Arial" w:cs="Arial"/>
                <w:b/>
                <w:sz w:val="20"/>
                <w:szCs w:val="20"/>
                <w:lang w:eastAsia="en-GB"/>
              </w:rPr>
            </w:pPr>
            <w:r>
              <w:rPr>
                <w:rFonts w:ascii="Arial" w:eastAsia="Times New Roman" w:hAnsi="Arial" w:cs="Arial"/>
                <w:b/>
                <w:sz w:val="20"/>
                <w:szCs w:val="20"/>
                <w:lang w:eastAsia="en-GB"/>
              </w:rPr>
              <w:t>264</w:t>
            </w:r>
          </w:p>
        </w:tc>
        <w:tc>
          <w:tcPr>
            <w:tcW w:w="1398" w:type="dxa"/>
            <w:gridSpan w:val="2"/>
            <w:tcBorders>
              <w:top w:val="nil"/>
              <w:left w:val="nil"/>
              <w:bottom w:val="nil"/>
              <w:right w:val="nil"/>
            </w:tcBorders>
            <w:shd w:val="clear" w:color="auto" w:fill="auto"/>
            <w:noWrap/>
            <w:vAlign w:val="center"/>
            <w:hideMark/>
          </w:tcPr>
          <w:p w14:paraId="691F34ED" w14:textId="77777777" w:rsidR="00416FDD" w:rsidRPr="00416FDD" w:rsidRDefault="00416FDD" w:rsidP="00416FDD">
            <w:pPr>
              <w:spacing w:after="0" w:line="240" w:lineRule="auto"/>
              <w:jc w:val="right"/>
              <w:rPr>
                <w:rFonts w:ascii="Arial" w:eastAsia="Times New Roman" w:hAnsi="Arial" w:cs="Arial"/>
                <w:sz w:val="20"/>
                <w:szCs w:val="20"/>
                <w:lang w:eastAsia="en-GB"/>
              </w:rPr>
            </w:pPr>
            <w:r w:rsidRPr="00416FDD">
              <w:rPr>
                <w:rFonts w:ascii="Arial" w:eastAsia="Times New Roman" w:hAnsi="Arial" w:cs="Arial"/>
                <w:sz w:val="20"/>
                <w:szCs w:val="20"/>
                <w:lang w:eastAsia="en-GB"/>
              </w:rPr>
              <w:t>245</w:t>
            </w:r>
          </w:p>
        </w:tc>
      </w:tr>
      <w:tr w:rsidR="00416FDD" w:rsidRPr="00A42EEB" w14:paraId="2920B5BB" w14:textId="77777777" w:rsidTr="005D62D2">
        <w:trPr>
          <w:gridAfter w:val="3"/>
          <w:wAfter w:w="1504" w:type="dxa"/>
          <w:trHeight w:val="376"/>
        </w:trPr>
        <w:tc>
          <w:tcPr>
            <w:tcW w:w="5387" w:type="dxa"/>
            <w:gridSpan w:val="5"/>
            <w:tcBorders>
              <w:top w:val="nil"/>
              <w:left w:val="nil"/>
              <w:bottom w:val="nil"/>
              <w:right w:val="nil"/>
            </w:tcBorders>
            <w:shd w:val="clear" w:color="auto" w:fill="auto"/>
            <w:noWrap/>
            <w:vAlign w:val="center"/>
            <w:hideMark/>
          </w:tcPr>
          <w:p w14:paraId="0AD2EA93" w14:textId="77777777" w:rsidR="00416FDD" w:rsidRPr="00A42EEB" w:rsidRDefault="00416FDD" w:rsidP="00416FDD">
            <w:pPr>
              <w:spacing w:after="0" w:line="240" w:lineRule="auto"/>
              <w:rPr>
                <w:rFonts w:ascii="Arial" w:eastAsia="Times New Roman" w:hAnsi="Arial" w:cs="Arial"/>
                <w:sz w:val="20"/>
                <w:szCs w:val="20"/>
                <w:lang w:eastAsia="en-GB"/>
              </w:rPr>
            </w:pPr>
            <w:r w:rsidRPr="00A42EEB">
              <w:rPr>
                <w:rFonts w:ascii="Arial" w:eastAsia="Times New Roman" w:hAnsi="Arial" w:cs="Arial"/>
                <w:sz w:val="20"/>
                <w:szCs w:val="20"/>
                <w:lang w:eastAsia="en-GB"/>
              </w:rPr>
              <w:t>Gilts</w:t>
            </w:r>
          </w:p>
        </w:tc>
        <w:tc>
          <w:tcPr>
            <w:tcW w:w="981" w:type="dxa"/>
            <w:gridSpan w:val="2"/>
            <w:tcBorders>
              <w:top w:val="nil"/>
              <w:left w:val="nil"/>
              <w:bottom w:val="nil"/>
              <w:right w:val="nil"/>
            </w:tcBorders>
            <w:shd w:val="clear" w:color="auto" w:fill="auto"/>
            <w:noWrap/>
            <w:vAlign w:val="bottom"/>
            <w:hideMark/>
          </w:tcPr>
          <w:p w14:paraId="587DC951" w14:textId="77777777" w:rsidR="00416FDD" w:rsidRPr="00A42EEB" w:rsidRDefault="00416FDD" w:rsidP="00416FDD">
            <w:pPr>
              <w:spacing w:after="0" w:line="240" w:lineRule="auto"/>
              <w:rPr>
                <w:rFonts w:ascii="Arial" w:eastAsia="Times New Roman" w:hAnsi="Arial" w:cs="Arial"/>
                <w:sz w:val="20"/>
                <w:szCs w:val="20"/>
                <w:lang w:eastAsia="en-GB"/>
              </w:rPr>
            </w:pPr>
          </w:p>
        </w:tc>
        <w:tc>
          <w:tcPr>
            <w:tcW w:w="1391" w:type="dxa"/>
            <w:gridSpan w:val="5"/>
            <w:tcBorders>
              <w:top w:val="nil"/>
              <w:left w:val="nil"/>
              <w:bottom w:val="nil"/>
              <w:right w:val="nil"/>
            </w:tcBorders>
            <w:shd w:val="clear" w:color="auto" w:fill="auto"/>
            <w:noWrap/>
            <w:vAlign w:val="center"/>
          </w:tcPr>
          <w:p w14:paraId="6CA0FFF1" w14:textId="77777777" w:rsidR="00416FDD" w:rsidRPr="00416FDD" w:rsidRDefault="00FF0663" w:rsidP="00416FDD">
            <w:pPr>
              <w:spacing w:after="0" w:line="240" w:lineRule="auto"/>
              <w:jc w:val="right"/>
              <w:rPr>
                <w:rFonts w:ascii="Arial" w:eastAsia="Times New Roman" w:hAnsi="Arial" w:cs="Arial"/>
                <w:b/>
                <w:sz w:val="20"/>
                <w:szCs w:val="20"/>
                <w:lang w:eastAsia="en-GB"/>
              </w:rPr>
            </w:pPr>
            <w:r>
              <w:rPr>
                <w:rFonts w:ascii="Arial" w:eastAsia="Times New Roman" w:hAnsi="Arial" w:cs="Arial"/>
                <w:b/>
                <w:sz w:val="20"/>
                <w:szCs w:val="20"/>
                <w:lang w:eastAsia="en-GB"/>
              </w:rPr>
              <w:t>240</w:t>
            </w:r>
          </w:p>
        </w:tc>
        <w:tc>
          <w:tcPr>
            <w:tcW w:w="1398" w:type="dxa"/>
            <w:gridSpan w:val="2"/>
            <w:tcBorders>
              <w:top w:val="nil"/>
              <w:left w:val="nil"/>
              <w:bottom w:val="nil"/>
              <w:right w:val="nil"/>
            </w:tcBorders>
            <w:shd w:val="clear" w:color="auto" w:fill="auto"/>
            <w:noWrap/>
            <w:vAlign w:val="center"/>
            <w:hideMark/>
          </w:tcPr>
          <w:p w14:paraId="7787A062" w14:textId="77777777" w:rsidR="00416FDD" w:rsidRPr="00416FDD" w:rsidRDefault="00416FDD" w:rsidP="00416FDD">
            <w:pPr>
              <w:spacing w:after="0" w:line="240" w:lineRule="auto"/>
              <w:jc w:val="right"/>
              <w:rPr>
                <w:rFonts w:ascii="Arial" w:eastAsia="Times New Roman" w:hAnsi="Arial" w:cs="Arial"/>
                <w:sz w:val="20"/>
                <w:szCs w:val="20"/>
                <w:lang w:eastAsia="en-GB"/>
              </w:rPr>
            </w:pPr>
            <w:r w:rsidRPr="00416FDD">
              <w:rPr>
                <w:rFonts w:ascii="Arial" w:eastAsia="Times New Roman" w:hAnsi="Arial" w:cs="Arial"/>
                <w:sz w:val="20"/>
                <w:szCs w:val="20"/>
                <w:lang w:eastAsia="en-GB"/>
              </w:rPr>
              <w:t>242</w:t>
            </w:r>
          </w:p>
        </w:tc>
      </w:tr>
      <w:tr w:rsidR="00416FDD" w:rsidRPr="00A42EEB" w14:paraId="30F999A6" w14:textId="77777777" w:rsidTr="005D62D2">
        <w:trPr>
          <w:gridAfter w:val="3"/>
          <w:wAfter w:w="1504" w:type="dxa"/>
          <w:trHeight w:val="376"/>
        </w:trPr>
        <w:tc>
          <w:tcPr>
            <w:tcW w:w="5387" w:type="dxa"/>
            <w:gridSpan w:val="5"/>
            <w:tcBorders>
              <w:top w:val="nil"/>
              <w:left w:val="nil"/>
              <w:bottom w:val="single" w:sz="4" w:space="0" w:color="auto"/>
              <w:right w:val="nil"/>
            </w:tcBorders>
            <w:shd w:val="clear" w:color="auto" w:fill="auto"/>
            <w:noWrap/>
            <w:vAlign w:val="center"/>
            <w:hideMark/>
          </w:tcPr>
          <w:p w14:paraId="66E89096" w14:textId="77777777" w:rsidR="00416FDD" w:rsidRPr="00A42EEB" w:rsidRDefault="00416FDD" w:rsidP="00416FDD">
            <w:pPr>
              <w:spacing w:after="0" w:line="240" w:lineRule="auto"/>
              <w:rPr>
                <w:rFonts w:ascii="Arial" w:eastAsia="Times New Roman" w:hAnsi="Arial" w:cs="Arial"/>
                <w:sz w:val="20"/>
                <w:szCs w:val="20"/>
                <w:lang w:eastAsia="en-GB"/>
              </w:rPr>
            </w:pPr>
            <w:r w:rsidRPr="00A42EEB">
              <w:rPr>
                <w:rFonts w:ascii="Arial" w:eastAsia="Times New Roman" w:hAnsi="Arial" w:cs="Arial"/>
                <w:sz w:val="20"/>
                <w:szCs w:val="20"/>
                <w:lang w:eastAsia="en-GB"/>
              </w:rPr>
              <w:t>Other</w:t>
            </w:r>
          </w:p>
        </w:tc>
        <w:tc>
          <w:tcPr>
            <w:tcW w:w="981" w:type="dxa"/>
            <w:gridSpan w:val="2"/>
            <w:tcBorders>
              <w:top w:val="nil"/>
              <w:left w:val="nil"/>
              <w:bottom w:val="single" w:sz="4" w:space="0" w:color="auto"/>
              <w:right w:val="nil"/>
            </w:tcBorders>
            <w:shd w:val="clear" w:color="auto" w:fill="auto"/>
            <w:noWrap/>
            <w:vAlign w:val="bottom"/>
            <w:hideMark/>
          </w:tcPr>
          <w:p w14:paraId="02FFB98A" w14:textId="77777777" w:rsidR="00416FDD" w:rsidRPr="00A42EEB" w:rsidRDefault="00416FDD" w:rsidP="00416FDD">
            <w:pPr>
              <w:spacing w:after="0" w:line="240" w:lineRule="auto"/>
              <w:rPr>
                <w:rFonts w:ascii="Arial" w:eastAsia="Times New Roman" w:hAnsi="Arial" w:cs="Arial"/>
                <w:sz w:val="20"/>
                <w:szCs w:val="20"/>
                <w:lang w:eastAsia="en-GB"/>
              </w:rPr>
            </w:pPr>
            <w:r w:rsidRPr="00A42EEB">
              <w:rPr>
                <w:rFonts w:ascii="Arial" w:eastAsia="Times New Roman" w:hAnsi="Arial" w:cs="Arial"/>
                <w:sz w:val="20"/>
                <w:szCs w:val="20"/>
                <w:lang w:eastAsia="en-GB"/>
              </w:rPr>
              <w:t> </w:t>
            </w:r>
          </w:p>
        </w:tc>
        <w:tc>
          <w:tcPr>
            <w:tcW w:w="1391" w:type="dxa"/>
            <w:gridSpan w:val="5"/>
            <w:tcBorders>
              <w:top w:val="nil"/>
              <w:left w:val="nil"/>
              <w:bottom w:val="single" w:sz="4" w:space="0" w:color="auto"/>
              <w:right w:val="nil"/>
            </w:tcBorders>
            <w:shd w:val="clear" w:color="auto" w:fill="auto"/>
            <w:noWrap/>
            <w:vAlign w:val="center"/>
          </w:tcPr>
          <w:p w14:paraId="277D9DF4" w14:textId="77777777" w:rsidR="00416FDD" w:rsidRPr="00416FDD" w:rsidRDefault="00FF0663" w:rsidP="00416FDD">
            <w:pPr>
              <w:spacing w:after="0" w:line="240" w:lineRule="auto"/>
              <w:jc w:val="right"/>
              <w:rPr>
                <w:rFonts w:ascii="Arial" w:eastAsia="Times New Roman" w:hAnsi="Arial" w:cs="Arial"/>
                <w:b/>
                <w:sz w:val="20"/>
                <w:szCs w:val="20"/>
                <w:lang w:eastAsia="en-GB"/>
              </w:rPr>
            </w:pPr>
            <w:r>
              <w:rPr>
                <w:rFonts w:ascii="Arial" w:eastAsia="Times New Roman" w:hAnsi="Arial" w:cs="Arial"/>
                <w:b/>
                <w:sz w:val="20"/>
                <w:szCs w:val="20"/>
                <w:lang w:eastAsia="en-GB"/>
              </w:rPr>
              <w:t>221</w:t>
            </w:r>
          </w:p>
        </w:tc>
        <w:tc>
          <w:tcPr>
            <w:tcW w:w="1398" w:type="dxa"/>
            <w:gridSpan w:val="2"/>
            <w:tcBorders>
              <w:top w:val="nil"/>
              <w:left w:val="nil"/>
              <w:bottom w:val="single" w:sz="4" w:space="0" w:color="auto"/>
              <w:right w:val="nil"/>
            </w:tcBorders>
            <w:shd w:val="clear" w:color="auto" w:fill="auto"/>
            <w:noWrap/>
            <w:vAlign w:val="center"/>
            <w:hideMark/>
          </w:tcPr>
          <w:p w14:paraId="192163AD" w14:textId="77777777" w:rsidR="00416FDD" w:rsidRPr="00416FDD" w:rsidRDefault="00416FDD" w:rsidP="00416FDD">
            <w:pPr>
              <w:spacing w:after="0" w:line="240" w:lineRule="auto"/>
              <w:jc w:val="right"/>
              <w:rPr>
                <w:rFonts w:ascii="Arial" w:eastAsia="Times New Roman" w:hAnsi="Arial" w:cs="Arial"/>
                <w:sz w:val="20"/>
                <w:szCs w:val="20"/>
                <w:lang w:eastAsia="en-GB"/>
              </w:rPr>
            </w:pPr>
            <w:r w:rsidRPr="00416FDD">
              <w:rPr>
                <w:rFonts w:ascii="Arial" w:eastAsia="Times New Roman" w:hAnsi="Arial" w:cs="Arial"/>
                <w:sz w:val="20"/>
                <w:szCs w:val="20"/>
                <w:lang w:eastAsia="en-GB"/>
              </w:rPr>
              <w:t>224</w:t>
            </w:r>
          </w:p>
        </w:tc>
      </w:tr>
      <w:tr w:rsidR="00416FDD" w:rsidRPr="00A42EEB" w14:paraId="315CFAD1" w14:textId="77777777" w:rsidTr="005D62D2">
        <w:trPr>
          <w:gridAfter w:val="3"/>
          <w:wAfter w:w="1504" w:type="dxa"/>
          <w:trHeight w:val="376"/>
        </w:trPr>
        <w:tc>
          <w:tcPr>
            <w:tcW w:w="5387" w:type="dxa"/>
            <w:gridSpan w:val="5"/>
            <w:tcBorders>
              <w:top w:val="nil"/>
              <w:left w:val="nil"/>
              <w:bottom w:val="nil"/>
              <w:right w:val="nil"/>
            </w:tcBorders>
            <w:shd w:val="clear" w:color="auto" w:fill="auto"/>
            <w:noWrap/>
            <w:vAlign w:val="center"/>
            <w:hideMark/>
          </w:tcPr>
          <w:p w14:paraId="728838D0" w14:textId="77777777" w:rsidR="00416FDD" w:rsidRPr="00A42EEB" w:rsidRDefault="00416FDD" w:rsidP="00416FDD">
            <w:pPr>
              <w:spacing w:after="0" w:line="240" w:lineRule="auto"/>
              <w:rPr>
                <w:rFonts w:ascii="Arial" w:eastAsia="Times New Roman" w:hAnsi="Arial" w:cs="Arial"/>
                <w:sz w:val="20"/>
                <w:szCs w:val="20"/>
                <w:lang w:eastAsia="en-GB"/>
              </w:rPr>
            </w:pPr>
            <w:r w:rsidRPr="00A42EEB">
              <w:rPr>
                <w:rFonts w:ascii="Arial" w:eastAsia="Times New Roman" w:hAnsi="Arial" w:cs="Arial"/>
                <w:sz w:val="20"/>
                <w:szCs w:val="20"/>
                <w:lang w:eastAsia="en-GB"/>
              </w:rPr>
              <w:t>Total market value of assets</w:t>
            </w:r>
          </w:p>
        </w:tc>
        <w:tc>
          <w:tcPr>
            <w:tcW w:w="981" w:type="dxa"/>
            <w:gridSpan w:val="2"/>
            <w:tcBorders>
              <w:top w:val="nil"/>
              <w:left w:val="nil"/>
              <w:bottom w:val="nil"/>
              <w:right w:val="nil"/>
            </w:tcBorders>
            <w:shd w:val="clear" w:color="auto" w:fill="auto"/>
            <w:noWrap/>
            <w:vAlign w:val="bottom"/>
            <w:hideMark/>
          </w:tcPr>
          <w:p w14:paraId="6EF876A6" w14:textId="77777777" w:rsidR="00416FDD" w:rsidRPr="00A42EEB" w:rsidRDefault="00416FDD" w:rsidP="00416FDD">
            <w:pPr>
              <w:spacing w:after="0" w:line="240" w:lineRule="auto"/>
              <w:rPr>
                <w:rFonts w:ascii="Arial" w:eastAsia="Times New Roman" w:hAnsi="Arial" w:cs="Arial"/>
                <w:sz w:val="20"/>
                <w:szCs w:val="20"/>
                <w:lang w:eastAsia="en-GB"/>
              </w:rPr>
            </w:pPr>
          </w:p>
        </w:tc>
        <w:tc>
          <w:tcPr>
            <w:tcW w:w="1391" w:type="dxa"/>
            <w:gridSpan w:val="5"/>
            <w:tcBorders>
              <w:top w:val="nil"/>
              <w:left w:val="nil"/>
              <w:bottom w:val="nil"/>
              <w:right w:val="nil"/>
            </w:tcBorders>
            <w:shd w:val="clear" w:color="auto" w:fill="auto"/>
            <w:noWrap/>
            <w:vAlign w:val="center"/>
          </w:tcPr>
          <w:p w14:paraId="4CECBE82" w14:textId="77777777" w:rsidR="00416FDD" w:rsidRPr="00A42EEB" w:rsidRDefault="00FF0663" w:rsidP="00416FDD">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1,243</w:t>
            </w:r>
          </w:p>
        </w:tc>
        <w:tc>
          <w:tcPr>
            <w:tcW w:w="1398" w:type="dxa"/>
            <w:gridSpan w:val="2"/>
            <w:tcBorders>
              <w:top w:val="nil"/>
              <w:left w:val="nil"/>
              <w:bottom w:val="nil"/>
              <w:right w:val="nil"/>
            </w:tcBorders>
            <w:shd w:val="clear" w:color="auto" w:fill="auto"/>
            <w:noWrap/>
            <w:vAlign w:val="center"/>
            <w:hideMark/>
          </w:tcPr>
          <w:p w14:paraId="315552F9" w14:textId="77777777" w:rsidR="00416FDD" w:rsidRPr="00416FDD" w:rsidRDefault="00416FDD" w:rsidP="00416FDD">
            <w:pPr>
              <w:spacing w:after="0" w:line="240" w:lineRule="auto"/>
              <w:jc w:val="right"/>
              <w:rPr>
                <w:rFonts w:ascii="Arial" w:eastAsia="Times New Roman" w:hAnsi="Arial" w:cs="Arial"/>
                <w:sz w:val="20"/>
                <w:szCs w:val="20"/>
                <w:lang w:eastAsia="en-GB"/>
              </w:rPr>
            </w:pPr>
            <w:r w:rsidRPr="00416FDD">
              <w:rPr>
                <w:rFonts w:ascii="Arial" w:eastAsia="Times New Roman" w:hAnsi="Arial" w:cs="Arial"/>
                <w:bCs/>
                <w:sz w:val="20"/>
                <w:szCs w:val="20"/>
                <w:lang w:eastAsia="en-GB"/>
              </w:rPr>
              <w:t>1,247</w:t>
            </w:r>
          </w:p>
        </w:tc>
      </w:tr>
      <w:tr w:rsidR="00416FDD" w:rsidRPr="00A42EEB" w14:paraId="463D8C2B" w14:textId="77777777" w:rsidTr="005D62D2">
        <w:trPr>
          <w:gridAfter w:val="3"/>
          <w:wAfter w:w="1504" w:type="dxa"/>
          <w:trHeight w:val="376"/>
        </w:trPr>
        <w:tc>
          <w:tcPr>
            <w:tcW w:w="5387" w:type="dxa"/>
            <w:gridSpan w:val="5"/>
            <w:tcBorders>
              <w:top w:val="nil"/>
              <w:left w:val="nil"/>
              <w:bottom w:val="nil"/>
              <w:right w:val="nil"/>
            </w:tcBorders>
            <w:shd w:val="clear" w:color="auto" w:fill="auto"/>
            <w:noWrap/>
            <w:vAlign w:val="center"/>
            <w:hideMark/>
          </w:tcPr>
          <w:p w14:paraId="570EEE07" w14:textId="77777777" w:rsidR="00416FDD" w:rsidRPr="00A42EEB" w:rsidRDefault="00416FDD" w:rsidP="00416FDD">
            <w:pPr>
              <w:spacing w:after="0" w:line="240" w:lineRule="auto"/>
              <w:rPr>
                <w:rFonts w:ascii="Arial" w:eastAsia="Times New Roman" w:hAnsi="Arial" w:cs="Arial"/>
                <w:sz w:val="20"/>
                <w:szCs w:val="20"/>
                <w:lang w:eastAsia="en-GB"/>
              </w:rPr>
            </w:pPr>
            <w:r w:rsidRPr="00A42EEB">
              <w:rPr>
                <w:rFonts w:ascii="Arial" w:eastAsia="Times New Roman" w:hAnsi="Arial" w:cs="Arial"/>
                <w:sz w:val="20"/>
                <w:szCs w:val="20"/>
                <w:lang w:eastAsia="en-GB"/>
              </w:rPr>
              <w:t>Present value of scheme liabilities</w:t>
            </w:r>
          </w:p>
        </w:tc>
        <w:tc>
          <w:tcPr>
            <w:tcW w:w="981" w:type="dxa"/>
            <w:gridSpan w:val="2"/>
            <w:tcBorders>
              <w:top w:val="nil"/>
              <w:left w:val="nil"/>
              <w:bottom w:val="nil"/>
              <w:right w:val="nil"/>
            </w:tcBorders>
            <w:shd w:val="clear" w:color="auto" w:fill="auto"/>
            <w:noWrap/>
            <w:vAlign w:val="bottom"/>
            <w:hideMark/>
          </w:tcPr>
          <w:p w14:paraId="72CE7508" w14:textId="77777777" w:rsidR="00416FDD" w:rsidRPr="00A42EEB" w:rsidRDefault="00416FDD" w:rsidP="00416FDD">
            <w:pPr>
              <w:spacing w:after="0" w:line="240" w:lineRule="auto"/>
              <w:rPr>
                <w:rFonts w:ascii="Arial" w:eastAsia="Times New Roman" w:hAnsi="Arial" w:cs="Arial"/>
                <w:sz w:val="20"/>
                <w:szCs w:val="20"/>
                <w:lang w:eastAsia="en-GB"/>
              </w:rPr>
            </w:pPr>
          </w:p>
        </w:tc>
        <w:tc>
          <w:tcPr>
            <w:tcW w:w="1391" w:type="dxa"/>
            <w:gridSpan w:val="5"/>
            <w:tcBorders>
              <w:top w:val="nil"/>
              <w:left w:val="nil"/>
              <w:bottom w:val="nil"/>
              <w:right w:val="nil"/>
            </w:tcBorders>
            <w:shd w:val="clear" w:color="auto" w:fill="auto"/>
            <w:noWrap/>
            <w:vAlign w:val="center"/>
          </w:tcPr>
          <w:p w14:paraId="756CA2B9" w14:textId="77777777" w:rsidR="00416FDD" w:rsidRPr="00543D10" w:rsidRDefault="00FF0663" w:rsidP="0069798A">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(1,202)</w:t>
            </w:r>
          </w:p>
        </w:tc>
        <w:tc>
          <w:tcPr>
            <w:tcW w:w="1398" w:type="dxa"/>
            <w:gridSpan w:val="2"/>
            <w:tcBorders>
              <w:top w:val="nil"/>
              <w:left w:val="nil"/>
              <w:bottom w:val="nil"/>
              <w:right w:val="nil"/>
            </w:tcBorders>
            <w:shd w:val="clear" w:color="auto" w:fill="auto"/>
            <w:noWrap/>
            <w:vAlign w:val="center"/>
            <w:hideMark/>
          </w:tcPr>
          <w:p w14:paraId="63AB85EC" w14:textId="77777777" w:rsidR="00416FDD" w:rsidRPr="00416FDD" w:rsidRDefault="00416FDD" w:rsidP="00416FDD">
            <w:pPr>
              <w:spacing w:after="0" w:line="240" w:lineRule="auto"/>
              <w:jc w:val="right"/>
              <w:rPr>
                <w:rFonts w:ascii="Arial" w:eastAsia="Times New Roman" w:hAnsi="Arial" w:cs="Arial"/>
                <w:sz w:val="20"/>
                <w:szCs w:val="20"/>
                <w:lang w:eastAsia="en-GB"/>
              </w:rPr>
            </w:pPr>
            <w:r w:rsidRPr="00416FDD">
              <w:rPr>
                <w:rFonts w:ascii="Arial" w:eastAsia="Times New Roman" w:hAnsi="Arial" w:cs="Arial"/>
                <w:bCs/>
                <w:sz w:val="20"/>
                <w:szCs w:val="20"/>
                <w:lang w:eastAsia="en-GB"/>
              </w:rPr>
              <w:t>(1,213)</w:t>
            </w:r>
          </w:p>
        </w:tc>
      </w:tr>
      <w:tr w:rsidR="00416FDD" w:rsidRPr="00A42EEB" w14:paraId="4EB5E49A" w14:textId="77777777" w:rsidTr="005D62D2">
        <w:trPr>
          <w:gridAfter w:val="3"/>
          <w:wAfter w:w="1504" w:type="dxa"/>
          <w:trHeight w:val="376"/>
        </w:trPr>
        <w:tc>
          <w:tcPr>
            <w:tcW w:w="5387" w:type="dxa"/>
            <w:gridSpan w:val="5"/>
            <w:tcBorders>
              <w:top w:val="single" w:sz="4" w:space="0" w:color="auto"/>
              <w:left w:val="nil"/>
              <w:bottom w:val="single" w:sz="4" w:space="0" w:color="auto"/>
              <w:right w:val="nil"/>
            </w:tcBorders>
            <w:shd w:val="clear" w:color="auto" w:fill="auto"/>
            <w:noWrap/>
            <w:vAlign w:val="center"/>
            <w:hideMark/>
          </w:tcPr>
          <w:p w14:paraId="42373ADE" w14:textId="77777777" w:rsidR="00416FDD" w:rsidRPr="00A42EEB" w:rsidRDefault="00416FDD" w:rsidP="00416FDD">
            <w:pPr>
              <w:spacing w:after="0" w:line="240" w:lineRule="auto"/>
              <w:rPr>
                <w:rFonts w:ascii="Arial" w:eastAsia="Times New Roman" w:hAnsi="Arial" w:cs="Arial"/>
                <w:sz w:val="20"/>
                <w:szCs w:val="20"/>
                <w:lang w:eastAsia="en-GB"/>
              </w:rPr>
            </w:pPr>
            <w:r w:rsidRPr="00A42EEB">
              <w:rPr>
                <w:rFonts w:ascii="Arial" w:eastAsia="Times New Roman" w:hAnsi="Arial" w:cs="Arial"/>
                <w:sz w:val="20"/>
                <w:szCs w:val="20"/>
                <w:lang w:eastAsia="en-GB"/>
              </w:rPr>
              <w:t>Total pension surplus</w:t>
            </w:r>
          </w:p>
        </w:tc>
        <w:tc>
          <w:tcPr>
            <w:tcW w:w="981" w:type="dxa"/>
            <w:gridSpan w:val="2"/>
            <w:tcBorders>
              <w:top w:val="single" w:sz="4" w:space="0" w:color="auto"/>
              <w:left w:val="nil"/>
              <w:bottom w:val="single" w:sz="4" w:space="0" w:color="auto"/>
              <w:right w:val="nil"/>
            </w:tcBorders>
            <w:shd w:val="clear" w:color="auto" w:fill="auto"/>
            <w:noWrap/>
            <w:vAlign w:val="bottom"/>
            <w:hideMark/>
          </w:tcPr>
          <w:p w14:paraId="5BDA2A0B" w14:textId="77777777" w:rsidR="00416FDD" w:rsidRPr="00A42EEB" w:rsidRDefault="00416FDD" w:rsidP="00416FDD">
            <w:pPr>
              <w:spacing w:after="0" w:line="240" w:lineRule="auto"/>
              <w:rPr>
                <w:rFonts w:ascii="Arial" w:eastAsia="Times New Roman" w:hAnsi="Arial" w:cs="Arial"/>
                <w:sz w:val="20"/>
                <w:szCs w:val="20"/>
                <w:lang w:eastAsia="en-GB"/>
              </w:rPr>
            </w:pPr>
            <w:r w:rsidRPr="00A42EEB">
              <w:rPr>
                <w:rFonts w:ascii="Arial" w:eastAsia="Times New Roman" w:hAnsi="Arial" w:cs="Arial"/>
                <w:sz w:val="20"/>
                <w:szCs w:val="20"/>
                <w:lang w:eastAsia="en-GB"/>
              </w:rPr>
              <w:t> </w:t>
            </w:r>
          </w:p>
        </w:tc>
        <w:tc>
          <w:tcPr>
            <w:tcW w:w="1391" w:type="dxa"/>
            <w:gridSpan w:val="5"/>
            <w:tcBorders>
              <w:top w:val="single" w:sz="4" w:space="0" w:color="auto"/>
              <w:left w:val="nil"/>
              <w:bottom w:val="single" w:sz="4" w:space="0" w:color="auto"/>
              <w:right w:val="nil"/>
            </w:tcBorders>
            <w:shd w:val="clear" w:color="auto" w:fill="auto"/>
            <w:noWrap/>
            <w:vAlign w:val="center"/>
          </w:tcPr>
          <w:p w14:paraId="5B8BC834" w14:textId="77777777" w:rsidR="00416FDD" w:rsidRPr="00A42EEB" w:rsidRDefault="00FF0663" w:rsidP="00416FDD">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41</w:t>
            </w:r>
          </w:p>
        </w:tc>
        <w:tc>
          <w:tcPr>
            <w:tcW w:w="1398" w:type="dxa"/>
            <w:gridSpan w:val="2"/>
            <w:tcBorders>
              <w:top w:val="single" w:sz="4" w:space="0" w:color="auto"/>
              <w:left w:val="nil"/>
              <w:bottom w:val="single" w:sz="4" w:space="0" w:color="auto"/>
              <w:right w:val="nil"/>
            </w:tcBorders>
            <w:shd w:val="clear" w:color="auto" w:fill="auto"/>
            <w:noWrap/>
            <w:vAlign w:val="center"/>
            <w:hideMark/>
          </w:tcPr>
          <w:p w14:paraId="1C8C556C" w14:textId="77777777" w:rsidR="00416FDD" w:rsidRPr="00416FDD" w:rsidRDefault="00416FDD" w:rsidP="00416FDD">
            <w:pPr>
              <w:spacing w:after="0" w:line="240" w:lineRule="auto"/>
              <w:jc w:val="right"/>
              <w:rPr>
                <w:rFonts w:ascii="Arial" w:eastAsia="Times New Roman" w:hAnsi="Arial" w:cs="Arial"/>
                <w:sz w:val="20"/>
                <w:szCs w:val="20"/>
                <w:lang w:eastAsia="en-GB"/>
              </w:rPr>
            </w:pPr>
            <w:r w:rsidRPr="00416FDD">
              <w:rPr>
                <w:rFonts w:ascii="Arial" w:eastAsia="Times New Roman" w:hAnsi="Arial" w:cs="Arial"/>
                <w:bCs/>
                <w:sz w:val="20"/>
                <w:szCs w:val="20"/>
                <w:lang w:eastAsia="en-GB"/>
              </w:rPr>
              <w:t>34</w:t>
            </w:r>
          </w:p>
        </w:tc>
      </w:tr>
      <w:tr w:rsidR="00E70CD3" w:rsidRPr="00A42EEB" w14:paraId="073537DA" w14:textId="77777777" w:rsidTr="005D62D2">
        <w:trPr>
          <w:gridAfter w:val="1"/>
          <w:wAfter w:w="979" w:type="dxa"/>
          <w:trHeight w:val="376"/>
        </w:trPr>
        <w:tc>
          <w:tcPr>
            <w:tcW w:w="3604" w:type="dxa"/>
            <w:tcBorders>
              <w:top w:val="nil"/>
              <w:left w:val="nil"/>
              <w:bottom w:val="nil"/>
              <w:right w:val="nil"/>
            </w:tcBorders>
            <w:shd w:val="clear" w:color="auto" w:fill="auto"/>
            <w:noWrap/>
            <w:vAlign w:val="center"/>
          </w:tcPr>
          <w:p w14:paraId="330FD604" w14:textId="77777777" w:rsidR="00E70CD3" w:rsidRPr="00A42EEB" w:rsidRDefault="00E70CD3" w:rsidP="007729E5">
            <w:pPr>
              <w:spacing w:after="0" w:line="240" w:lineRule="auto"/>
              <w:rPr>
                <w:rFonts w:ascii="Arial" w:eastAsia="Times New Roman" w:hAnsi="Arial" w:cs="Arial"/>
                <w:b/>
                <w:bCs/>
                <w:sz w:val="20"/>
                <w:szCs w:val="20"/>
                <w:lang w:eastAsia="en-GB"/>
              </w:rPr>
            </w:pPr>
          </w:p>
        </w:tc>
        <w:tc>
          <w:tcPr>
            <w:tcW w:w="658" w:type="dxa"/>
            <w:gridSpan w:val="2"/>
            <w:tcBorders>
              <w:top w:val="nil"/>
              <w:left w:val="nil"/>
              <w:bottom w:val="nil"/>
              <w:right w:val="nil"/>
            </w:tcBorders>
            <w:shd w:val="clear" w:color="auto" w:fill="auto"/>
            <w:noWrap/>
            <w:vAlign w:val="center"/>
          </w:tcPr>
          <w:p w14:paraId="01922AC7" w14:textId="77777777" w:rsidR="00E70CD3" w:rsidRPr="00A42EEB" w:rsidRDefault="00E70CD3" w:rsidP="007729E5">
            <w:pPr>
              <w:spacing w:after="0" w:line="240" w:lineRule="auto"/>
              <w:rPr>
                <w:rFonts w:ascii="Arial" w:eastAsia="Times New Roman" w:hAnsi="Arial" w:cs="Arial"/>
                <w:b/>
                <w:bCs/>
                <w:sz w:val="20"/>
                <w:szCs w:val="20"/>
                <w:lang w:eastAsia="en-GB"/>
              </w:rPr>
            </w:pPr>
          </w:p>
        </w:tc>
        <w:tc>
          <w:tcPr>
            <w:tcW w:w="2107" w:type="dxa"/>
            <w:gridSpan w:val="4"/>
            <w:tcBorders>
              <w:top w:val="nil"/>
              <w:left w:val="nil"/>
              <w:bottom w:val="nil"/>
              <w:right w:val="nil"/>
            </w:tcBorders>
            <w:shd w:val="clear" w:color="auto" w:fill="auto"/>
            <w:noWrap/>
            <w:vAlign w:val="center"/>
          </w:tcPr>
          <w:p w14:paraId="5F7FC72B" w14:textId="77777777" w:rsidR="00E70CD3" w:rsidRPr="00A42EEB" w:rsidRDefault="00E70CD3" w:rsidP="007729E5">
            <w:pPr>
              <w:spacing w:after="0" w:line="240" w:lineRule="auto"/>
              <w:rPr>
                <w:rFonts w:ascii="Times New Roman" w:eastAsia="Times New Roman" w:hAnsi="Times New Roman" w:cs="Times New Roman"/>
                <w:sz w:val="20"/>
                <w:szCs w:val="20"/>
                <w:lang w:eastAsia="en-GB"/>
              </w:rPr>
            </w:pPr>
          </w:p>
        </w:tc>
        <w:tc>
          <w:tcPr>
            <w:tcW w:w="314" w:type="dxa"/>
            <w:gridSpan w:val="2"/>
            <w:tcBorders>
              <w:top w:val="nil"/>
              <w:left w:val="nil"/>
              <w:bottom w:val="nil"/>
              <w:right w:val="nil"/>
            </w:tcBorders>
            <w:shd w:val="clear" w:color="auto" w:fill="auto"/>
            <w:noWrap/>
            <w:vAlign w:val="center"/>
          </w:tcPr>
          <w:p w14:paraId="4408A346" w14:textId="77777777" w:rsidR="00E70CD3" w:rsidRPr="00A42EEB" w:rsidRDefault="00E70CD3" w:rsidP="007729E5">
            <w:pPr>
              <w:spacing w:after="0" w:line="240" w:lineRule="auto"/>
              <w:rPr>
                <w:rFonts w:ascii="Times New Roman" w:eastAsia="Times New Roman" w:hAnsi="Times New Roman" w:cs="Times New Roman"/>
                <w:sz w:val="20"/>
                <w:szCs w:val="20"/>
                <w:lang w:eastAsia="en-GB"/>
              </w:rPr>
            </w:pPr>
          </w:p>
        </w:tc>
        <w:tc>
          <w:tcPr>
            <w:tcW w:w="2475" w:type="dxa"/>
            <w:gridSpan w:val="5"/>
            <w:tcBorders>
              <w:top w:val="nil"/>
              <w:left w:val="nil"/>
              <w:bottom w:val="nil"/>
              <w:right w:val="nil"/>
            </w:tcBorders>
            <w:shd w:val="clear" w:color="auto" w:fill="auto"/>
            <w:noWrap/>
            <w:vAlign w:val="center"/>
          </w:tcPr>
          <w:p w14:paraId="1A6C93E4" w14:textId="77777777" w:rsidR="00E70CD3" w:rsidRPr="00A42EEB" w:rsidRDefault="00E70CD3" w:rsidP="007729E5">
            <w:pPr>
              <w:spacing w:after="0" w:line="240" w:lineRule="auto"/>
              <w:rPr>
                <w:rFonts w:ascii="Times New Roman" w:eastAsia="Times New Roman" w:hAnsi="Times New Roman" w:cs="Times New Roman"/>
                <w:sz w:val="20"/>
                <w:szCs w:val="20"/>
                <w:lang w:eastAsia="en-GB"/>
              </w:rPr>
            </w:pPr>
          </w:p>
        </w:tc>
        <w:tc>
          <w:tcPr>
            <w:tcW w:w="524" w:type="dxa"/>
            <w:gridSpan w:val="2"/>
            <w:tcBorders>
              <w:top w:val="nil"/>
              <w:left w:val="nil"/>
              <w:bottom w:val="nil"/>
              <w:right w:val="nil"/>
            </w:tcBorders>
            <w:shd w:val="clear" w:color="auto" w:fill="auto"/>
            <w:noWrap/>
            <w:vAlign w:val="bottom"/>
            <w:hideMark/>
          </w:tcPr>
          <w:p w14:paraId="5272550A" w14:textId="77777777" w:rsidR="00E70CD3" w:rsidRPr="00A42EEB" w:rsidRDefault="00E70CD3" w:rsidP="007729E5">
            <w:pPr>
              <w:spacing w:after="0" w:line="240" w:lineRule="auto"/>
              <w:rPr>
                <w:rFonts w:ascii="Times New Roman" w:eastAsia="Times New Roman" w:hAnsi="Times New Roman" w:cs="Times New Roman"/>
                <w:sz w:val="20"/>
                <w:szCs w:val="20"/>
                <w:lang w:eastAsia="en-GB"/>
              </w:rPr>
            </w:pPr>
          </w:p>
        </w:tc>
      </w:tr>
      <w:tr w:rsidR="00A54371" w:rsidRPr="00A42EEB" w14:paraId="38B4AC06" w14:textId="77777777" w:rsidTr="005D62D2">
        <w:trPr>
          <w:gridAfter w:val="2"/>
          <w:wAfter w:w="1484" w:type="dxa"/>
          <w:trHeight w:val="398"/>
        </w:trPr>
        <w:tc>
          <w:tcPr>
            <w:tcW w:w="4196" w:type="dxa"/>
            <w:gridSpan w:val="2"/>
            <w:tcBorders>
              <w:top w:val="nil"/>
              <w:left w:val="nil"/>
              <w:bottom w:val="nil"/>
              <w:right w:val="nil"/>
            </w:tcBorders>
            <w:shd w:val="clear" w:color="auto" w:fill="auto"/>
            <w:noWrap/>
            <w:vAlign w:val="center"/>
            <w:hideMark/>
          </w:tcPr>
          <w:p w14:paraId="1FAC6A28" w14:textId="77777777" w:rsidR="00A54371" w:rsidRDefault="00A54371" w:rsidP="00FF64EA">
            <w:pPr>
              <w:spacing w:after="0" w:line="240" w:lineRule="auto"/>
              <w:rPr>
                <w:rFonts w:ascii="Arial" w:eastAsia="Times New Roman" w:hAnsi="Arial" w:cs="Arial"/>
                <w:b/>
                <w:bCs/>
                <w:sz w:val="20"/>
                <w:szCs w:val="20"/>
                <w:lang w:eastAsia="en-GB"/>
              </w:rPr>
            </w:pPr>
          </w:p>
          <w:p w14:paraId="347150B5" w14:textId="77777777" w:rsidR="00A54371" w:rsidRPr="00A42EEB" w:rsidRDefault="00A54371" w:rsidP="005D62D2">
            <w:pPr>
              <w:tabs>
                <w:tab w:val="left" w:pos="1882"/>
              </w:tabs>
              <w:spacing w:after="0" w:line="240" w:lineRule="auto"/>
              <w:rPr>
                <w:rFonts w:ascii="Arial" w:eastAsia="Times New Roman" w:hAnsi="Arial" w:cs="Arial"/>
                <w:b/>
                <w:bCs/>
                <w:sz w:val="20"/>
                <w:szCs w:val="20"/>
                <w:lang w:eastAsia="en-GB"/>
              </w:rPr>
            </w:pPr>
            <w:r w:rsidRPr="00A42EEB">
              <w:rPr>
                <w:rFonts w:ascii="Arial" w:eastAsia="Times New Roman" w:hAnsi="Arial" w:cs="Arial"/>
                <w:b/>
                <w:bCs/>
                <w:sz w:val="20"/>
                <w:szCs w:val="20"/>
                <w:lang w:eastAsia="en-GB"/>
              </w:rPr>
              <w:t>The return on the plan assets was:</w:t>
            </w:r>
          </w:p>
        </w:tc>
        <w:tc>
          <w:tcPr>
            <w:tcW w:w="315" w:type="dxa"/>
            <w:gridSpan w:val="2"/>
            <w:tcBorders>
              <w:top w:val="nil"/>
              <w:left w:val="nil"/>
              <w:bottom w:val="nil"/>
              <w:right w:val="nil"/>
            </w:tcBorders>
            <w:shd w:val="clear" w:color="auto" w:fill="auto"/>
            <w:noWrap/>
            <w:vAlign w:val="center"/>
            <w:hideMark/>
          </w:tcPr>
          <w:p w14:paraId="7A31F0DD" w14:textId="77777777" w:rsidR="00A54371" w:rsidRPr="00A42EEB" w:rsidRDefault="00A54371" w:rsidP="00FF64EA">
            <w:pPr>
              <w:spacing w:after="0" w:line="240" w:lineRule="auto"/>
              <w:rPr>
                <w:rFonts w:ascii="Arial" w:eastAsia="Times New Roman" w:hAnsi="Arial" w:cs="Arial"/>
                <w:b/>
                <w:bCs/>
                <w:sz w:val="20"/>
                <w:szCs w:val="20"/>
                <w:lang w:eastAsia="en-GB"/>
              </w:rPr>
            </w:pPr>
          </w:p>
        </w:tc>
        <w:tc>
          <w:tcPr>
            <w:tcW w:w="1699" w:type="dxa"/>
            <w:gridSpan w:val="2"/>
            <w:tcBorders>
              <w:top w:val="nil"/>
              <w:left w:val="nil"/>
              <w:bottom w:val="nil"/>
              <w:right w:val="nil"/>
            </w:tcBorders>
            <w:shd w:val="clear" w:color="auto" w:fill="auto"/>
            <w:noWrap/>
            <w:vAlign w:val="center"/>
            <w:hideMark/>
          </w:tcPr>
          <w:p w14:paraId="68F24891" w14:textId="77777777" w:rsidR="00A54371" w:rsidRPr="00A42EEB" w:rsidRDefault="00A54371" w:rsidP="00FF64EA">
            <w:pPr>
              <w:spacing w:after="0" w:line="240" w:lineRule="auto"/>
              <w:rPr>
                <w:rFonts w:ascii="Times New Roman" w:eastAsia="Times New Roman" w:hAnsi="Times New Roman" w:cs="Times New Roman"/>
                <w:sz w:val="20"/>
                <w:szCs w:val="20"/>
                <w:lang w:eastAsia="en-GB"/>
              </w:rPr>
            </w:pPr>
          </w:p>
        </w:tc>
        <w:tc>
          <w:tcPr>
            <w:tcW w:w="376" w:type="dxa"/>
            <w:gridSpan w:val="2"/>
            <w:tcBorders>
              <w:top w:val="nil"/>
              <w:left w:val="nil"/>
              <w:bottom w:val="nil"/>
              <w:right w:val="nil"/>
            </w:tcBorders>
            <w:shd w:val="clear" w:color="auto" w:fill="auto"/>
            <w:noWrap/>
            <w:vAlign w:val="center"/>
            <w:hideMark/>
          </w:tcPr>
          <w:p w14:paraId="31D6CD4D" w14:textId="77777777" w:rsidR="00A54371" w:rsidRPr="00A42EEB" w:rsidRDefault="00A54371" w:rsidP="00FF64EA">
            <w:pPr>
              <w:spacing w:after="0" w:line="240" w:lineRule="auto"/>
              <w:rPr>
                <w:rFonts w:ascii="Times New Roman" w:eastAsia="Times New Roman" w:hAnsi="Times New Roman" w:cs="Times New Roman"/>
                <w:sz w:val="20"/>
                <w:szCs w:val="20"/>
                <w:lang w:eastAsia="en-GB"/>
              </w:rPr>
            </w:pPr>
          </w:p>
        </w:tc>
        <w:tc>
          <w:tcPr>
            <w:tcW w:w="2591" w:type="dxa"/>
            <w:gridSpan w:val="7"/>
            <w:tcBorders>
              <w:top w:val="nil"/>
              <w:left w:val="nil"/>
              <w:bottom w:val="nil"/>
              <w:right w:val="nil"/>
            </w:tcBorders>
            <w:shd w:val="clear" w:color="auto" w:fill="auto"/>
            <w:noWrap/>
            <w:vAlign w:val="center"/>
            <w:hideMark/>
          </w:tcPr>
          <w:p w14:paraId="188EC8A9" w14:textId="77777777" w:rsidR="00A54371" w:rsidRPr="00A42EEB" w:rsidRDefault="00A54371" w:rsidP="00FF64EA">
            <w:pPr>
              <w:spacing w:after="0" w:line="240" w:lineRule="auto"/>
              <w:rPr>
                <w:rFonts w:ascii="Times New Roman" w:eastAsia="Times New Roman" w:hAnsi="Times New Roman" w:cs="Times New Roman"/>
                <w:sz w:val="20"/>
                <w:szCs w:val="20"/>
                <w:lang w:eastAsia="en-GB"/>
              </w:rPr>
            </w:pPr>
          </w:p>
        </w:tc>
      </w:tr>
      <w:tr w:rsidR="00A54371" w:rsidRPr="00A42EEB" w14:paraId="4C53C627" w14:textId="77777777" w:rsidTr="005D62D2">
        <w:trPr>
          <w:gridAfter w:val="2"/>
          <w:wAfter w:w="1484" w:type="dxa"/>
          <w:trHeight w:val="398"/>
        </w:trPr>
        <w:tc>
          <w:tcPr>
            <w:tcW w:w="4196" w:type="dxa"/>
            <w:gridSpan w:val="2"/>
            <w:tcBorders>
              <w:top w:val="nil"/>
              <w:left w:val="nil"/>
              <w:bottom w:val="nil"/>
              <w:right w:val="nil"/>
            </w:tcBorders>
            <w:shd w:val="clear" w:color="auto" w:fill="auto"/>
            <w:noWrap/>
            <w:vAlign w:val="center"/>
            <w:hideMark/>
          </w:tcPr>
          <w:p w14:paraId="0638379A" w14:textId="77777777" w:rsidR="00A54371" w:rsidRPr="00A42EEB" w:rsidRDefault="00A54371" w:rsidP="00FF64EA">
            <w:pPr>
              <w:spacing w:after="0" w:line="240" w:lineRule="auto"/>
              <w:rPr>
                <w:rFonts w:ascii="Times New Roman" w:eastAsia="Times New Roman" w:hAnsi="Times New Roman" w:cs="Times New Roman"/>
                <w:sz w:val="20"/>
                <w:szCs w:val="20"/>
                <w:lang w:eastAsia="en-GB"/>
              </w:rPr>
            </w:pPr>
          </w:p>
        </w:tc>
        <w:tc>
          <w:tcPr>
            <w:tcW w:w="315" w:type="dxa"/>
            <w:gridSpan w:val="2"/>
            <w:tcBorders>
              <w:top w:val="nil"/>
              <w:left w:val="nil"/>
              <w:bottom w:val="nil"/>
              <w:right w:val="nil"/>
            </w:tcBorders>
            <w:shd w:val="clear" w:color="auto" w:fill="auto"/>
            <w:noWrap/>
            <w:vAlign w:val="bottom"/>
            <w:hideMark/>
          </w:tcPr>
          <w:p w14:paraId="35B9C51F" w14:textId="77777777" w:rsidR="00A54371" w:rsidRPr="00A42EEB" w:rsidRDefault="00A54371" w:rsidP="00FF64EA">
            <w:pPr>
              <w:spacing w:after="0" w:line="240" w:lineRule="auto"/>
              <w:rPr>
                <w:rFonts w:ascii="Times New Roman" w:eastAsia="Times New Roman" w:hAnsi="Times New Roman" w:cs="Times New Roman"/>
                <w:sz w:val="20"/>
                <w:szCs w:val="20"/>
                <w:lang w:eastAsia="en-GB"/>
              </w:rPr>
            </w:pPr>
          </w:p>
        </w:tc>
        <w:tc>
          <w:tcPr>
            <w:tcW w:w="1699" w:type="dxa"/>
            <w:gridSpan w:val="2"/>
            <w:tcBorders>
              <w:top w:val="nil"/>
              <w:left w:val="nil"/>
              <w:bottom w:val="nil"/>
              <w:right w:val="nil"/>
            </w:tcBorders>
            <w:shd w:val="clear" w:color="auto" w:fill="auto"/>
            <w:noWrap/>
            <w:vAlign w:val="bottom"/>
            <w:hideMark/>
          </w:tcPr>
          <w:p w14:paraId="32CBF640" w14:textId="77777777" w:rsidR="00A54371" w:rsidRPr="00A42EEB" w:rsidRDefault="00A54371" w:rsidP="00FF64EA">
            <w:pPr>
              <w:spacing w:after="0" w:line="240" w:lineRule="auto"/>
              <w:rPr>
                <w:rFonts w:ascii="Times New Roman" w:eastAsia="Times New Roman" w:hAnsi="Times New Roman" w:cs="Times New Roman"/>
                <w:sz w:val="20"/>
                <w:szCs w:val="20"/>
                <w:lang w:eastAsia="en-GB"/>
              </w:rPr>
            </w:pPr>
          </w:p>
        </w:tc>
        <w:tc>
          <w:tcPr>
            <w:tcW w:w="1483" w:type="dxa"/>
            <w:gridSpan w:val="5"/>
            <w:tcBorders>
              <w:top w:val="nil"/>
              <w:left w:val="nil"/>
              <w:bottom w:val="nil"/>
              <w:right w:val="nil"/>
            </w:tcBorders>
            <w:shd w:val="clear" w:color="auto" w:fill="auto"/>
            <w:noWrap/>
            <w:vAlign w:val="center"/>
            <w:hideMark/>
          </w:tcPr>
          <w:p w14:paraId="55B2D3BC" w14:textId="77777777" w:rsidR="00A54371" w:rsidRPr="00A42EEB" w:rsidRDefault="0037645F" w:rsidP="00FF64EA">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2020</w:t>
            </w:r>
          </w:p>
        </w:tc>
        <w:tc>
          <w:tcPr>
            <w:tcW w:w="1484" w:type="dxa"/>
            <w:gridSpan w:val="4"/>
            <w:tcBorders>
              <w:top w:val="nil"/>
              <w:left w:val="nil"/>
              <w:bottom w:val="nil"/>
              <w:right w:val="nil"/>
            </w:tcBorders>
            <w:shd w:val="clear" w:color="auto" w:fill="auto"/>
            <w:noWrap/>
            <w:vAlign w:val="center"/>
            <w:hideMark/>
          </w:tcPr>
          <w:p w14:paraId="4871AF02" w14:textId="77777777" w:rsidR="00A54371" w:rsidRPr="00416FDD" w:rsidRDefault="0037645F" w:rsidP="00FF64EA">
            <w:pPr>
              <w:spacing w:after="0" w:line="240" w:lineRule="auto"/>
              <w:jc w:val="right"/>
              <w:rPr>
                <w:rFonts w:ascii="Arial" w:eastAsia="Times New Roman" w:hAnsi="Arial" w:cs="Arial"/>
                <w:bCs/>
                <w:sz w:val="20"/>
                <w:szCs w:val="20"/>
                <w:lang w:eastAsia="en-GB"/>
              </w:rPr>
            </w:pPr>
            <w:r w:rsidRPr="00416FDD">
              <w:rPr>
                <w:rFonts w:ascii="Arial" w:eastAsia="Times New Roman" w:hAnsi="Arial" w:cs="Arial"/>
                <w:bCs/>
                <w:sz w:val="20"/>
                <w:szCs w:val="20"/>
                <w:lang w:eastAsia="en-GB"/>
              </w:rPr>
              <w:t>2019</w:t>
            </w:r>
          </w:p>
        </w:tc>
      </w:tr>
      <w:tr w:rsidR="00A54371" w:rsidRPr="00A42EEB" w14:paraId="60B9115A" w14:textId="77777777" w:rsidTr="005D62D2">
        <w:trPr>
          <w:gridAfter w:val="2"/>
          <w:wAfter w:w="1484" w:type="dxa"/>
          <w:trHeight w:val="314"/>
        </w:trPr>
        <w:tc>
          <w:tcPr>
            <w:tcW w:w="4196" w:type="dxa"/>
            <w:gridSpan w:val="2"/>
            <w:tcBorders>
              <w:top w:val="nil"/>
              <w:left w:val="nil"/>
              <w:bottom w:val="single" w:sz="4" w:space="0" w:color="auto"/>
              <w:right w:val="nil"/>
            </w:tcBorders>
            <w:shd w:val="clear" w:color="auto" w:fill="auto"/>
            <w:noWrap/>
            <w:vAlign w:val="center"/>
            <w:hideMark/>
          </w:tcPr>
          <w:p w14:paraId="44E5AB9F" w14:textId="77777777" w:rsidR="00A54371" w:rsidRPr="00A42EEB" w:rsidRDefault="00A54371" w:rsidP="00FF64EA">
            <w:pPr>
              <w:spacing w:after="0" w:line="240" w:lineRule="auto"/>
              <w:rPr>
                <w:rFonts w:ascii="Arial" w:eastAsia="Times New Roman" w:hAnsi="Arial" w:cs="Arial"/>
                <w:sz w:val="20"/>
                <w:szCs w:val="20"/>
                <w:lang w:eastAsia="en-GB"/>
              </w:rPr>
            </w:pPr>
            <w:r w:rsidRPr="00A42EEB">
              <w:rPr>
                <w:rFonts w:ascii="Arial" w:eastAsia="Times New Roman" w:hAnsi="Arial" w:cs="Arial"/>
                <w:sz w:val="20"/>
                <w:szCs w:val="20"/>
                <w:lang w:eastAsia="en-GB"/>
              </w:rPr>
              <w:t> </w:t>
            </w:r>
          </w:p>
        </w:tc>
        <w:tc>
          <w:tcPr>
            <w:tcW w:w="315" w:type="dxa"/>
            <w:gridSpan w:val="2"/>
            <w:tcBorders>
              <w:top w:val="nil"/>
              <w:left w:val="nil"/>
              <w:bottom w:val="single" w:sz="4" w:space="0" w:color="auto"/>
              <w:right w:val="nil"/>
            </w:tcBorders>
            <w:shd w:val="clear" w:color="auto" w:fill="auto"/>
            <w:noWrap/>
            <w:vAlign w:val="bottom"/>
            <w:hideMark/>
          </w:tcPr>
          <w:p w14:paraId="39F5CA5B" w14:textId="77777777" w:rsidR="00A54371" w:rsidRPr="00A42EEB" w:rsidRDefault="00A54371" w:rsidP="00FF64EA">
            <w:pPr>
              <w:spacing w:after="0" w:line="240" w:lineRule="auto"/>
              <w:rPr>
                <w:rFonts w:ascii="Arial" w:eastAsia="Times New Roman" w:hAnsi="Arial" w:cs="Arial"/>
                <w:sz w:val="20"/>
                <w:szCs w:val="20"/>
                <w:lang w:eastAsia="en-GB"/>
              </w:rPr>
            </w:pPr>
            <w:r w:rsidRPr="00A42EEB">
              <w:rPr>
                <w:rFonts w:ascii="Arial" w:eastAsia="Times New Roman" w:hAnsi="Arial" w:cs="Arial"/>
                <w:sz w:val="20"/>
                <w:szCs w:val="20"/>
                <w:lang w:eastAsia="en-GB"/>
              </w:rPr>
              <w:t> </w:t>
            </w:r>
          </w:p>
        </w:tc>
        <w:tc>
          <w:tcPr>
            <w:tcW w:w="1699" w:type="dxa"/>
            <w:gridSpan w:val="2"/>
            <w:tcBorders>
              <w:top w:val="nil"/>
              <w:left w:val="nil"/>
              <w:bottom w:val="single" w:sz="4" w:space="0" w:color="auto"/>
              <w:right w:val="nil"/>
            </w:tcBorders>
            <w:shd w:val="clear" w:color="auto" w:fill="auto"/>
            <w:noWrap/>
            <w:vAlign w:val="bottom"/>
            <w:hideMark/>
          </w:tcPr>
          <w:p w14:paraId="2560C580" w14:textId="77777777" w:rsidR="00A54371" w:rsidRPr="00A42EEB" w:rsidRDefault="00A54371" w:rsidP="00FF64EA">
            <w:pPr>
              <w:spacing w:after="0" w:line="240" w:lineRule="auto"/>
              <w:rPr>
                <w:rFonts w:ascii="Arial" w:eastAsia="Times New Roman" w:hAnsi="Arial" w:cs="Arial"/>
                <w:sz w:val="20"/>
                <w:szCs w:val="20"/>
                <w:lang w:eastAsia="en-GB"/>
              </w:rPr>
            </w:pPr>
            <w:r w:rsidRPr="00A42EEB">
              <w:rPr>
                <w:rFonts w:ascii="Arial" w:eastAsia="Times New Roman" w:hAnsi="Arial" w:cs="Arial"/>
                <w:sz w:val="20"/>
                <w:szCs w:val="20"/>
                <w:lang w:eastAsia="en-GB"/>
              </w:rPr>
              <w:t> </w:t>
            </w:r>
          </w:p>
        </w:tc>
        <w:tc>
          <w:tcPr>
            <w:tcW w:w="1483" w:type="dxa"/>
            <w:gridSpan w:val="5"/>
            <w:tcBorders>
              <w:top w:val="nil"/>
              <w:left w:val="nil"/>
              <w:bottom w:val="single" w:sz="4" w:space="0" w:color="auto"/>
              <w:right w:val="nil"/>
            </w:tcBorders>
            <w:shd w:val="clear" w:color="auto" w:fill="auto"/>
            <w:noWrap/>
            <w:vAlign w:val="center"/>
            <w:hideMark/>
          </w:tcPr>
          <w:p w14:paraId="0C857B12" w14:textId="77777777" w:rsidR="00A54371" w:rsidRPr="00A42EEB" w:rsidRDefault="00A54371" w:rsidP="00FF64EA">
            <w:pPr>
              <w:spacing w:after="0" w:line="240" w:lineRule="auto"/>
              <w:jc w:val="right"/>
              <w:rPr>
                <w:rFonts w:ascii="Arial" w:eastAsia="Times New Roman" w:hAnsi="Arial" w:cs="Arial"/>
                <w:b/>
                <w:bCs/>
                <w:sz w:val="20"/>
                <w:szCs w:val="20"/>
                <w:lang w:eastAsia="en-GB"/>
              </w:rPr>
            </w:pPr>
            <w:r w:rsidRPr="00A42EEB">
              <w:rPr>
                <w:rFonts w:ascii="Arial" w:eastAsia="Times New Roman" w:hAnsi="Arial" w:cs="Arial"/>
                <w:b/>
                <w:bCs/>
                <w:sz w:val="20"/>
                <w:szCs w:val="20"/>
                <w:lang w:eastAsia="en-GB"/>
              </w:rPr>
              <w:t>£'000</w:t>
            </w:r>
          </w:p>
        </w:tc>
        <w:tc>
          <w:tcPr>
            <w:tcW w:w="1484" w:type="dxa"/>
            <w:gridSpan w:val="4"/>
            <w:tcBorders>
              <w:top w:val="nil"/>
              <w:left w:val="nil"/>
              <w:bottom w:val="single" w:sz="4" w:space="0" w:color="auto"/>
              <w:right w:val="nil"/>
            </w:tcBorders>
            <w:shd w:val="clear" w:color="auto" w:fill="auto"/>
            <w:noWrap/>
            <w:vAlign w:val="center"/>
            <w:hideMark/>
          </w:tcPr>
          <w:p w14:paraId="77CF2486" w14:textId="77777777" w:rsidR="00A54371" w:rsidRPr="00A42EEB" w:rsidRDefault="00A54371" w:rsidP="00FF64EA">
            <w:pPr>
              <w:spacing w:after="0" w:line="240" w:lineRule="auto"/>
              <w:jc w:val="right"/>
              <w:rPr>
                <w:rFonts w:ascii="Arial" w:eastAsia="Times New Roman" w:hAnsi="Arial" w:cs="Arial"/>
                <w:sz w:val="20"/>
                <w:szCs w:val="20"/>
                <w:lang w:eastAsia="en-GB"/>
              </w:rPr>
            </w:pPr>
            <w:r w:rsidRPr="00A42EEB">
              <w:rPr>
                <w:rFonts w:ascii="Arial" w:eastAsia="Times New Roman" w:hAnsi="Arial" w:cs="Arial"/>
                <w:sz w:val="20"/>
                <w:szCs w:val="20"/>
                <w:lang w:eastAsia="en-GB"/>
              </w:rPr>
              <w:t>£'000</w:t>
            </w:r>
          </w:p>
        </w:tc>
      </w:tr>
      <w:tr w:rsidR="00416FDD" w:rsidRPr="00A42EEB" w14:paraId="357C38B9" w14:textId="77777777" w:rsidTr="005D62D2">
        <w:trPr>
          <w:gridAfter w:val="2"/>
          <w:wAfter w:w="1484" w:type="dxa"/>
          <w:trHeight w:val="314"/>
        </w:trPr>
        <w:tc>
          <w:tcPr>
            <w:tcW w:w="4196" w:type="dxa"/>
            <w:gridSpan w:val="2"/>
            <w:tcBorders>
              <w:top w:val="nil"/>
              <w:left w:val="nil"/>
              <w:bottom w:val="nil"/>
              <w:right w:val="nil"/>
            </w:tcBorders>
            <w:shd w:val="clear" w:color="auto" w:fill="auto"/>
            <w:noWrap/>
            <w:vAlign w:val="center"/>
            <w:hideMark/>
          </w:tcPr>
          <w:p w14:paraId="36DBA075" w14:textId="77777777" w:rsidR="00416FDD" w:rsidRPr="00A42EEB" w:rsidRDefault="00416FDD" w:rsidP="00416FDD">
            <w:pPr>
              <w:spacing w:after="0" w:line="240" w:lineRule="auto"/>
              <w:rPr>
                <w:rFonts w:ascii="Arial" w:eastAsia="Times New Roman" w:hAnsi="Arial" w:cs="Arial"/>
                <w:sz w:val="20"/>
                <w:szCs w:val="20"/>
                <w:lang w:eastAsia="en-GB"/>
              </w:rPr>
            </w:pPr>
            <w:r w:rsidRPr="00A42EEB">
              <w:rPr>
                <w:rFonts w:ascii="Arial" w:eastAsia="Times New Roman" w:hAnsi="Arial" w:cs="Arial"/>
                <w:sz w:val="20"/>
                <w:szCs w:val="20"/>
                <w:lang w:eastAsia="en-GB"/>
              </w:rPr>
              <w:t>Interest income</w:t>
            </w:r>
          </w:p>
        </w:tc>
        <w:tc>
          <w:tcPr>
            <w:tcW w:w="315" w:type="dxa"/>
            <w:gridSpan w:val="2"/>
            <w:tcBorders>
              <w:top w:val="nil"/>
              <w:left w:val="nil"/>
              <w:bottom w:val="nil"/>
              <w:right w:val="nil"/>
            </w:tcBorders>
            <w:shd w:val="clear" w:color="auto" w:fill="auto"/>
            <w:noWrap/>
            <w:vAlign w:val="bottom"/>
            <w:hideMark/>
          </w:tcPr>
          <w:p w14:paraId="22A77E86" w14:textId="77777777" w:rsidR="00416FDD" w:rsidRPr="00A42EEB" w:rsidRDefault="00416FDD" w:rsidP="00416FDD">
            <w:pPr>
              <w:spacing w:after="0" w:line="240" w:lineRule="auto"/>
              <w:rPr>
                <w:rFonts w:ascii="Arial" w:eastAsia="Times New Roman" w:hAnsi="Arial" w:cs="Arial"/>
                <w:sz w:val="20"/>
                <w:szCs w:val="20"/>
                <w:lang w:eastAsia="en-GB"/>
              </w:rPr>
            </w:pPr>
          </w:p>
        </w:tc>
        <w:tc>
          <w:tcPr>
            <w:tcW w:w="1699" w:type="dxa"/>
            <w:gridSpan w:val="2"/>
            <w:tcBorders>
              <w:top w:val="nil"/>
              <w:left w:val="nil"/>
              <w:bottom w:val="nil"/>
              <w:right w:val="nil"/>
            </w:tcBorders>
            <w:shd w:val="clear" w:color="auto" w:fill="auto"/>
            <w:noWrap/>
            <w:vAlign w:val="bottom"/>
            <w:hideMark/>
          </w:tcPr>
          <w:p w14:paraId="0EADA23D" w14:textId="77777777" w:rsidR="00416FDD" w:rsidRPr="00A42EEB" w:rsidRDefault="00416FDD" w:rsidP="00416FDD">
            <w:pPr>
              <w:spacing w:after="0" w:line="240" w:lineRule="auto"/>
              <w:rPr>
                <w:rFonts w:ascii="Times New Roman" w:eastAsia="Times New Roman" w:hAnsi="Times New Roman" w:cs="Times New Roman"/>
                <w:sz w:val="20"/>
                <w:szCs w:val="20"/>
                <w:lang w:eastAsia="en-GB"/>
              </w:rPr>
            </w:pPr>
          </w:p>
        </w:tc>
        <w:tc>
          <w:tcPr>
            <w:tcW w:w="1483" w:type="dxa"/>
            <w:gridSpan w:val="5"/>
            <w:tcBorders>
              <w:top w:val="nil"/>
              <w:left w:val="nil"/>
              <w:bottom w:val="nil"/>
              <w:right w:val="nil"/>
            </w:tcBorders>
            <w:shd w:val="clear" w:color="auto" w:fill="auto"/>
            <w:noWrap/>
            <w:vAlign w:val="center"/>
          </w:tcPr>
          <w:p w14:paraId="3635C38B" w14:textId="77777777" w:rsidR="00416FDD" w:rsidRPr="00A42EEB" w:rsidRDefault="00FF0663" w:rsidP="00416FDD">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23</w:t>
            </w:r>
          </w:p>
        </w:tc>
        <w:tc>
          <w:tcPr>
            <w:tcW w:w="1484" w:type="dxa"/>
            <w:gridSpan w:val="4"/>
            <w:tcBorders>
              <w:top w:val="nil"/>
              <w:left w:val="nil"/>
              <w:bottom w:val="nil"/>
              <w:right w:val="nil"/>
            </w:tcBorders>
            <w:shd w:val="clear" w:color="auto" w:fill="auto"/>
            <w:noWrap/>
            <w:vAlign w:val="center"/>
            <w:hideMark/>
          </w:tcPr>
          <w:p w14:paraId="479B8CFA" w14:textId="77777777" w:rsidR="00416FDD" w:rsidRPr="00416FDD" w:rsidRDefault="00416FDD" w:rsidP="00416FDD">
            <w:pPr>
              <w:spacing w:after="0" w:line="240" w:lineRule="auto"/>
              <w:jc w:val="right"/>
              <w:rPr>
                <w:rFonts w:ascii="Arial" w:eastAsia="Times New Roman" w:hAnsi="Arial" w:cs="Arial"/>
                <w:sz w:val="20"/>
                <w:szCs w:val="20"/>
                <w:lang w:eastAsia="en-GB"/>
              </w:rPr>
            </w:pPr>
            <w:r w:rsidRPr="00416FDD">
              <w:rPr>
                <w:rFonts w:ascii="Arial" w:eastAsia="Times New Roman" w:hAnsi="Arial" w:cs="Arial"/>
                <w:bCs/>
                <w:sz w:val="20"/>
                <w:szCs w:val="20"/>
                <w:lang w:eastAsia="en-GB"/>
              </w:rPr>
              <w:t>30</w:t>
            </w:r>
          </w:p>
        </w:tc>
      </w:tr>
      <w:tr w:rsidR="00416FDD" w:rsidRPr="00A42EEB" w14:paraId="2D79F5E6" w14:textId="77777777" w:rsidTr="005D62D2">
        <w:trPr>
          <w:gridAfter w:val="2"/>
          <w:wAfter w:w="1484" w:type="dxa"/>
          <w:trHeight w:val="314"/>
        </w:trPr>
        <w:tc>
          <w:tcPr>
            <w:tcW w:w="6210" w:type="dxa"/>
            <w:gridSpan w:val="6"/>
            <w:tcBorders>
              <w:top w:val="nil"/>
              <w:left w:val="nil"/>
              <w:bottom w:val="nil"/>
              <w:right w:val="nil"/>
            </w:tcBorders>
            <w:shd w:val="clear" w:color="auto" w:fill="auto"/>
            <w:noWrap/>
            <w:vAlign w:val="center"/>
            <w:hideMark/>
          </w:tcPr>
          <w:p w14:paraId="7998EC3E" w14:textId="77777777" w:rsidR="00416FDD" w:rsidRPr="00A42EEB" w:rsidRDefault="00416FDD" w:rsidP="00416FDD">
            <w:pPr>
              <w:spacing w:after="0" w:line="240" w:lineRule="auto"/>
              <w:rPr>
                <w:rFonts w:ascii="Arial" w:eastAsia="Times New Roman" w:hAnsi="Arial" w:cs="Arial"/>
                <w:sz w:val="20"/>
                <w:szCs w:val="20"/>
                <w:lang w:eastAsia="en-GB"/>
              </w:rPr>
            </w:pPr>
            <w:r w:rsidRPr="00A42EEB">
              <w:rPr>
                <w:rFonts w:ascii="Arial" w:eastAsia="Times New Roman" w:hAnsi="Arial" w:cs="Arial"/>
                <w:sz w:val="20"/>
                <w:szCs w:val="20"/>
                <w:lang w:eastAsia="en-GB"/>
              </w:rPr>
              <w:t>Return on pension scheme assets less interest income</w:t>
            </w:r>
          </w:p>
        </w:tc>
        <w:tc>
          <w:tcPr>
            <w:tcW w:w="1483" w:type="dxa"/>
            <w:gridSpan w:val="5"/>
            <w:tcBorders>
              <w:top w:val="nil"/>
              <w:left w:val="nil"/>
              <w:bottom w:val="nil"/>
              <w:right w:val="nil"/>
            </w:tcBorders>
            <w:shd w:val="clear" w:color="auto" w:fill="auto"/>
            <w:noWrap/>
            <w:vAlign w:val="center"/>
          </w:tcPr>
          <w:p w14:paraId="7AABFAF5" w14:textId="77777777" w:rsidR="00416FDD" w:rsidRPr="00A42EEB" w:rsidRDefault="00FF0663" w:rsidP="00416FDD">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(33)</w:t>
            </w:r>
          </w:p>
        </w:tc>
        <w:tc>
          <w:tcPr>
            <w:tcW w:w="1484" w:type="dxa"/>
            <w:gridSpan w:val="4"/>
            <w:tcBorders>
              <w:top w:val="nil"/>
              <w:left w:val="nil"/>
              <w:bottom w:val="nil"/>
              <w:right w:val="nil"/>
            </w:tcBorders>
            <w:shd w:val="clear" w:color="auto" w:fill="auto"/>
            <w:noWrap/>
            <w:vAlign w:val="center"/>
            <w:hideMark/>
          </w:tcPr>
          <w:p w14:paraId="32C793B3" w14:textId="77777777" w:rsidR="00416FDD" w:rsidRPr="00416FDD" w:rsidRDefault="00416FDD" w:rsidP="00416FDD">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77</w:t>
            </w:r>
          </w:p>
        </w:tc>
      </w:tr>
      <w:tr w:rsidR="00416FDD" w:rsidRPr="00A42EEB" w14:paraId="36CD1B25" w14:textId="77777777" w:rsidTr="005D62D2">
        <w:trPr>
          <w:gridAfter w:val="2"/>
          <w:wAfter w:w="1484" w:type="dxa"/>
          <w:trHeight w:val="314"/>
        </w:trPr>
        <w:tc>
          <w:tcPr>
            <w:tcW w:w="4196" w:type="dxa"/>
            <w:gridSpan w:val="2"/>
            <w:tcBorders>
              <w:top w:val="single" w:sz="4" w:space="0" w:color="auto"/>
              <w:left w:val="nil"/>
              <w:bottom w:val="single" w:sz="4" w:space="0" w:color="auto"/>
              <w:right w:val="nil"/>
            </w:tcBorders>
            <w:shd w:val="clear" w:color="auto" w:fill="auto"/>
            <w:noWrap/>
            <w:vAlign w:val="center"/>
            <w:hideMark/>
          </w:tcPr>
          <w:p w14:paraId="3ADB310D" w14:textId="77777777" w:rsidR="00416FDD" w:rsidRPr="00A42EEB" w:rsidRDefault="00416FDD" w:rsidP="00416FDD">
            <w:pPr>
              <w:spacing w:after="0" w:line="240" w:lineRule="auto"/>
              <w:rPr>
                <w:rFonts w:ascii="Arial" w:eastAsia="Times New Roman" w:hAnsi="Arial" w:cs="Arial"/>
                <w:sz w:val="20"/>
                <w:szCs w:val="20"/>
                <w:lang w:eastAsia="en-GB"/>
              </w:rPr>
            </w:pPr>
            <w:r w:rsidRPr="00A42EEB">
              <w:rPr>
                <w:rFonts w:ascii="Arial" w:eastAsia="Times New Roman" w:hAnsi="Arial" w:cs="Arial"/>
                <w:sz w:val="20"/>
                <w:szCs w:val="20"/>
                <w:lang w:eastAsia="en-GB"/>
              </w:rPr>
              <w:t>Total return on plan assets</w:t>
            </w:r>
          </w:p>
        </w:tc>
        <w:tc>
          <w:tcPr>
            <w:tcW w:w="315" w:type="dxa"/>
            <w:gridSpan w:val="2"/>
            <w:tcBorders>
              <w:top w:val="single" w:sz="4" w:space="0" w:color="auto"/>
              <w:left w:val="nil"/>
              <w:bottom w:val="single" w:sz="4" w:space="0" w:color="auto"/>
              <w:right w:val="nil"/>
            </w:tcBorders>
            <w:shd w:val="clear" w:color="auto" w:fill="auto"/>
            <w:noWrap/>
            <w:vAlign w:val="bottom"/>
            <w:hideMark/>
          </w:tcPr>
          <w:p w14:paraId="05F597EB" w14:textId="77777777" w:rsidR="00416FDD" w:rsidRPr="00A42EEB" w:rsidRDefault="00416FDD" w:rsidP="00416FDD">
            <w:pPr>
              <w:spacing w:after="0" w:line="240" w:lineRule="auto"/>
              <w:rPr>
                <w:rFonts w:ascii="Arial" w:eastAsia="Times New Roman" w:hAnsi="Arial" w:cs="Arial"/>
                <w:sz w:val="20"/>
                <w:szCs w:val="20"/>
                <w:lang w:eastAsia="en-GB"/>
              </w:rPr>
            </w:pPr>
            <w:r w:rsidRPr="00A42EEB">
              <w:rPr>
                <w:rFonts w:ascii="Arial" w:eastAsia="Times New Roman" w:hAnsi="Arial" w:cs="Arial"/>
                <w:sz w:val="20"/>
                <w:szCs w:val="20"/>
                <w:lang w:eastAsia="en-GB"/>
              </w:rPr>
              <w:t> </w:t>
            </w:r>
          </w:p>
        </w:tc>
        <w:tc>
          <w:tcPr>
            <w:tcW w:w="1699" w:type="dxa"/>
            <w:gridSpan w:val="2"/>
            <w:tcBorders>
              <w:top w:val="single" w:sz="4" w:space="0" w:color="auto"/>
              <w:left w:val="nil"/>
              <w:bottom w:val="single" w:sz="4" w:space="0" w:color="auto"/>
              <w:right w:val="nil"/>
            </w:tcBorders>
            <w:shd w:val="clear" w:color="auto" w:fill="auto"/>
            <w:noWrap/>
            <w:vAlign w:val="bottom"/>
            <w:hideMark/>
          </w:tcPr>
          <w:p w14:paraId="39D1BDD5" w14:textId="77777777" w:rsidR="00416FDD" w:rsidRPr="00A42EEB" w:rsidRDefault="00416FDD" w:rsidP="00416FDD">
            <w:pPr>
              <w:spacing w:after="0" w:line="240" w:lineRule="auto"/>
              <w:rPr>
                <w:rFonts w:ascii="Arial" w:eastAsia="Times New Roman" w:hAnsi="Arial" w:cs="Arial"/>
                <w:sz w:val="20"/>
                <w:szCs w:val="20"/>
                <w:lang w:eastAsia="en-GB"/>
              </w:rPr>
            </w:pPr>
            <w:r w:rsidRPr="00A42EEB">
              <w:rPr>
                <w:rFonts w:ascii="Arial" w:eastAsia="Times New Roman" w:hAnsi="Arial" w:cs="Arial"/>
                <w:sz w:val="20"/>
                <w:szCs w:val="20"/>
                <w:lang w:eastAsia="en-GB"/>
              </w:rPr>
              <w:t> </w:t>
            </w:r>
          </w:p>
        </w:tc>
        <w:tc>
          <w:tcPr>
            <w:tcW w:w="1483" w:type="dxa"/>
            <w:gridSpan w:val="5"/>
            <w:tcBorders>
              <w:top w:val="single" w:sz="4" w:space="0" w:color="auto"/>
              <w:left w:val="nil"/>
              <w:bottom w:val="single" w:sz="4" w:space="0" w:color="auto"/>
              <w:right w:val="nil"/>
            </w:tcBorders>
            <w:shd w:val="clear" w:color="auto" w:fill="auto"/>
            <w:noWrap/>
            <w:vAlign w:val="center"/>
          </w:tcPr>
          <w:p w14:paraId="3E6C5558" w14:textId="77777777" w:rsidR="00416FDD" w:rsidRPr="00A42EEB" w:rsidRDefault="00FF0663" w:rsidP="00416FDD">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(10)</w:t>
            </w:r>
          </w:p>
        </w:tc>
        <w:tc>
          <w:tcPr>
            <w:tcW w:w="1484" w:type="dxa"/>
            <w:gridSpan w:val="4"/>
            <w:tcBorders>
              <w:top w:val="single" w:sz="4" w:space="0" w:color="auto"/>
              <w:left w:val="nil"/>
              <w:bottom w:val="single" w:sz="4" w:space="0" w:color="auto"/>
              <w:right w:val="nil"/>
            </w:tcBorders>
            <w:shd w:val="clear" w:color="auto" w:fill="auto"/>
            <w:noWrap/>
            <w:vAlign w:val="center"/>
            <w:hideMark/>
          </w:tcPr>
          <w:p w14:paraId="5D12D6F3" w14:textId="77777777" w:rsidR="00416FDD" w:rsidRPr="00416FDD" w:rsidRDefault="00416FDD" w:rsidP="00416FDD">
            <w:pPr>
              <w:spacing w:after="0" w:line="240" w:lineRule="auto"/>
              <w:jc w:val="right"/>
              <w:rPr>
                <w:rFonts w:ascii="Arial" w:eastAsia="Times New Roman" w:hAnsi="Arial" w:cs="Arial"/>
                <w:sz w:val="20"/>
                <w:szCs w:val="20"/>
                <w:lang w:eastAsia="en-GB"/>
              </w:rPr>
            </w:pPr>
            <w:r w:rsidRPr="00416FDD">
              <w:rPr>
                <w:rFonts w:ascii="Arial" w:eastAsia="Times New Roman" w:hAnsi="Arial" w:cs="Arial"/>
                <w:bCs/>
                <w:sz w:val="20"/>
                <w:szCs w:val="20"/>
                <w:lang w:eastAsia="en-GB"/>
              </w:rPr>
              <w:t>107</w:t>
            </w:r>
          </w:p>
        </w:tc>
      </w:tr>
    </w:tbl>
    <w:p w14:paraId="75971F5F" w14:textId="77777777" w:rsidR="00A54371" w:rsidRDefault="00A54371"/>
    <w:p w14:paraId="419B83E9" w14:textId="77777777" w:rsidR="006E7C43" w:rsidRDefault="006E7C43">
      <w:pPr>
        <w:rPr>
          <w:rFonts w:ascii="Arial" w:eastAsia="Times New Roman" w:hAnsi="Arial" w:cs="Arial"/>
          <w:b/>
          <w:bCs/>
          <w:sz w:val="24"/>
          <w:szCs w:val="24"/>
          <w:lang w:eastAsia="en-GB"/>
        </w:rPr>
      </w:pPr>
    </w:p>
    <w:p w14:paraId="062059FD" w14:textId="77777777" w:rsidR="006E7C43" w:rsidRDefault="006E7C43">
      <w:pPr>
        <w:rPr>
          <w:rFonts w:ascii="Arial" w:eastAsia="Times New Roman" w:hAnsi="Arial" w:cs="Arial"/>
          <w:b/>
          <w:bCs/>
          <w:sz w:val="24"/>
          <w:szCs w:val="24"/>
          <w:lang w:eastAsia="en-GB"/>
        </w:rPr>
      </w:pPr>
    </w:p>
    <w:p w14:paraId="2228F84F" w14:textId="77777777" w:rsidR="006E7C43" w:rsidRDefault="006E7C43">
      <w:pPr>
        <w:rPr>
          <w:rFonts w:ascii="Arial" w:eastAsia="Times New Roman" w:hAnsi="Arial" w:cs="Arial"/>
          <w:b/>
          <w:bCs/>
          <w:sz w:val="24"/>
          <w:szCs w:val="24"/>
          <w:lang w:eastAsia="en-GB"/>
        </w:rPr>
      </w:pPr>
    </w:p>
    <w:p w14:paraId="18CAA76C" w14:textId="77777777" w:rsidR="006E7C43" w:rsidRDefault="006E7C43">
      <w:pPr>
        <w:rPr>
          <w:rFonts w:ascii="Arial" w:eastAsia="Times New Roman" w:hAnsi="Arial" w:cs="Arial"/>
          <w:b/>
          <w:bCs/>
          <w:sz w:val="24"/>
          <w:szCs w:val="24"/>
          <w:lang w:eastAsia="en-GB"/>
        </w:rPr>
      </w:pPr>
    </w:p>
    <w:p w14:paraId="3185A0F8" w14:textId="77777777" w:rsidR="006E7C43" w:rsidRDefault="006E7C43">
      <w:pPr>
        <w:rPr>
          <w:rFonts w:ascii="Arial" w:eastAsia="Times New Roman" w:hAnsi="Arial" w:cs="Arial"/>
          <w:b/>
          <w:bCs/>
          <w:sz w:val="24"/>
          <w:szCs w:val="24"/>
          <w:lang w:eastAsia="en-GB"/>
        </w:rPr>
      </w:pPr>
    </w:p>
    <w:p w14:paraId="6E7D0F8D" w14:textId="77777777" w:rsidR="006E7C43" w:rsidRDefault="006E7C43">
      <w:pPr>
        <w:rPr>
          <w:rFonts w:ascii="Arial" w:eastAsia="Times New Roman" w:hAnsi="Arial" w:cs="Arial"/>
          <w:b/>
          <w:bCs/>
          <w:sz w:val="24"/>
          <w:szCs w:val="24"/>
          <w:lang w:eastAsia="en-GB"/>
        </w:rPr>
      </w:pPr>
    </w:p>
    <w:p w14:paraId="4ECA7CAC" w14:textId="77777777" w:rsidR="006E7C43" w:rsidRDefault="006E7C43">
      <w:pPr>
        <w:rPr>
          <w:rFonts w:ascii="Arial" w:eastAsia="Times New Roman" w:hAnsi="Arial" w:cs="Arial"/>
          <w:b/>
          <w:bCs/>
          <w:sz w:val="24"/>
          <w:szCs w:val="24"/>
          <w:lang w:eastAsia="en-GB"/>
        </w:rPr>
      </w:pPr>
    </w:p>
    <w:p w14:paraId="491DB46A" w14:textId="77777777" w:rsidR="006E7C43" w:rsidRDefault="006E7C43">
      <w:pPr>
        <w:rPr>
          <w:rFonts w:ascii="Arial" w:eastAsia="Times New Roman" w:hAnsi="Arial" w:cs="Arial"/>
          <w:b/>
          <w:bCs/>
          <w:sz w:val="24"/>
          <w:szCs w:val="24"/>
          <w:lang w:eastAsia="en-GB"/>
        </w:rPr>
      </w:pPr>
    </w:p>
    <w:p w14:paraId="139F2FDC" w14:textId="77777777" w:rsidR="006E7C43" w:rsidRDefault="006E7C43">
      <w:pPr>
        <w:rPr>
          <w:rFonts w:ascii="Arial" w:eastAsia="Times New Roman" w:hAnsi="Arial" w:cs="Arial"/>
          <w:b/>
          <w:bCs/>
          <w:sz w:val="24"/>
          <w:szCs w:val="24"/>
          <w:lang w:eastAsia="en-GB"/>
        </w:rPr>
      </w:pPr>
    </w:p>
    <w:p w14:paraId="5CFBCD3B" w14:textId="77777777" w:rsidR="006E7C43" w:rsidRDefault="006E7C43">
      <w:pPr>
        <w:rPr>
          <w:rFonts w:ascii="Arial" w:eastAsia="Times New Roman" w:hAnsi="Arial" w:cs="Arial"/>
          <w:b/>
          <w:bCs/>
          <w:sz w:val="24"/>
          <w:szCs w:val="24"/>
          <w:lang w:eastAsia="en-GB"/>
        </w:rPr>
      </w:pPr>
    </w:p>
    <w:p w14:paraId="42FD471F" w14:textId="77777777" w:rsidR="006E7C43" w:rsidRDefault="006E7C43">
      <w:pPr>
        <w:rPr>
          <w:rFonts w:ascii="Arial" w:eastAsia="Times New Roman" w:hAnsi="Arial" w:cs="Arial"/>
          <w:b/>
          <w:bCs/>
          <w:sz w:val="24"/>
          <w:szCs w:val="24"/>
          <w:lang w:eastAsia="en-GB"/>
        </w:rPr>
      </w:pPr>
    </w:p>
    <w:p w14:paraId="099E3F51" w14:textId="10BCED57" w:rsidR="006E7C43" w:rsidRDefault="006E7C43">
      <w:pPr>
        <w:rPr>
          <w:rFonts w:ascii="Arial" w:eastAsia="Times New Roman" w:hAnsi="Arial" w:cs="Arial"/>
          <w:b/>
          <w:bCs/>
          <w:sz w:val="24"/>
          <w:szCs w:val="24"/>
          <w:lang w:eastAsia="en-GB"/>
        </w:rPr>
      </w:pPr>
    </w:p>
    <w:p w14:paraId="16EFABBE" w14:textId="77777777" w:rsidR="006C07DD" w:rsidRDefault="006C07DD" w:rsidP="006C07DD">
      <w:pPr>
        <w:spacing w:after="0" w:line="240" w:lineRule="auto"/>
        <w:rPr>
          <w:rFonts w:ascii="Arial" w:hAnsi="Arial" w:cs="Arial"/>
          <w:b/>
          <w:i/>
          <w:sz w:val="24"/>
          <w:szCs w:val="24"/>
        </w:rPr>
      </w:pPr>
      <w:r w:rsidRPr="0088736E">
        <w:rPr>
          <w:rFonts w:ascii="Arial" w:hAnsi="Arial" w:cs="Arial"/>
          <w:b/>
          <w:i/>
          <w:sz w:val="24"/>
          <w:szCs w:val="24"/>
        </w:rPr>
        <w:lastRenderedPageBreak/>
        <w:t xml:space="preserve">Notes to the financial </w:t>
      </w:r>
      <w:r>
        <w:rPr>
          <w:rFonts w:ascii="Arial" w:hAnsi="Arial" w:cs="Arial"/>
          <w:b/>
          <w:i/>
          <w:sz w:val="24"/>
          <w:szCs w:val="24"/>
        </w:rPr>
        <w:t>statements</w:t>
      </w:r>
      <w:r w:rsidRPr="0088736E">
        <w:rPr>
          <w:rFonts w:ascii="Arial" w:hAnsi="Arial" w:cs="Arial"/>
          <w:b/>
          <w:i/>
          <w:sz w:val="24"/>
          <w:szCs w:val="24"/>
        </w:rPr>
        <w:t xml:space="preserve"> (continued)</w:t>
      </w:r>
    </w:p>
    <w:p w14:paraId="039C5D09" w14:textId="77777777" w:rsidR="006C07DD" w:rsidRDefault="006C07DD" w:rsidP="006E7C43">
      <w:pPr>
        <w:autoSpaceDE w:val="0"/>
        <w:autoSpaceDN w:val="0"/>
        <w:adjustRightInd w:val="0"/>
        <w:spacing w:after="0" w:line="240" w:lineRule="auto"/>
        <w:rPr>
          <w:rFonts w:ascii="Arial" w:hAnsi="Arial" w:cs="Arial"/>
          <w:b/>
          <w:sz w:val="24"/>
          <w:szCs w:val="24"/>
        </w:rPr>
      </w:pPr>
    </w:p>
    <w:p w14:paraId="20A9E0E9" w14:textId="77777777" w:rsidR="006E7C43" w:rsidRDefault="006E7C43" w:rsidP="006E7C43">
      <w:pPr>
        <w:autoSpaceDE w:val="0"/>
        <w:autoSpaceDN w:val="0"/>
        <w:adjustRightInd w:val="0"/>
        <w:spacing w:after="0" w:line="240" w:lineRule="auto"/>
        <w:rPr>
          <w:rFonts w:ascii="Arial" w:hAnsi="Arial" w:cs="Arial"/>
          <w:b/>
          <w:sz w:val="24"/>
          <w:szCs w:val="24"/>
        </w:rPr>
      </w:pPr>
      <w:r w:rsidRPr="005076F2">
        <w:rPr>
          <w:rFonts w:ascii="Arial" w:hAnsi="Arial" w:cs="Arial"/>
          <w:b/>
          <w:sz w:val="24"/>
          <w:szCs w:val="24"/>
        </w:rPr>
        <w:t>24. Pension commitments (continued)</w:t>
      </w:r>
    </w:p>
    <w:p w14:paraId="30261ECA" w14:textId="77777777" w:rsidR="006E7C43" w:rsidRDefault="006E7C43">
      <w:pPr>
        <w:rPr>
          <w:rFonts w:ascii="Arial" w:eastAsia="Times New Roman" w:hAnsi="Arial" w:cs="Arial"/>
          <w:b/>
          <w:bCs/>
          <w:sz w:val="24"/>
          <w:szCs w:val="24"/>
          <w:lang w:eastAsia="en-GB"/>
        </w:rPr>
      </w:pPr>
    </w:p>
    <w:p w14:paraId="4178048C" w14:textId="77777777" w:rsidR="00697C96" w:rsidRDefault="00697C96">
      <w:r w:rsidRPr="00D2091D">
        <w:rPr>
          <w:rFonts w:ascii="Arial" w:eastAsia="Times New Roman" w:hAnsi="Arial" w:cs="Arial"/>
          <w:b/>
          <w:bCs/>
          <w:sz w:val="24"/>
          <w:szCs w:val="24"/>
          <w:lang w:eastAsia="en-GB"/>
        </w:rPr>
        <w:t>Staffordshire Council (LPGS), Wes</w:t>
      </w:r>
      <w:r w:rsidR="004401D0">
        <w:rPr>
          <w:rFonts w:ascii="Arial" w:eastAsia="Times New Roman" w:hAnsi="Arial" w:cs="Arial"/>
          <w:b/>
          <w:bCs/>
          <w:sz w:val="24"/>
          <w:szCs w:val="24"/>
          <w:lang w:eastAsia="en-GB"/>
        </w:rPr>
        <w:t xml:space="preserve">t Midland Pension Fund, Greater </w:t>
      </w:r>
      <w:r w:rsidRPr="00D2091D">
        <w:rPr>
          <w:rFonts w:ascii="Arial" w:eastAsia="Times New Roman" w:hAnsi="Arial" w:cs="Arial"/>
          <w:b/>
          <w:bCs/>
          <w:sz w:val="24"/>
          <w:szCs w:val="24"/>
          <w:lang w:eastAsia="en-GB"/>
        </w:rPr>
        <w:t>Manchester Pension Fund</w:t>
      </w:r>
      <w:r>
        <w:rPr>
          <w:rFonts w:ascii="Arial" w:eastAsia="Times New Roman" w:hAnsi="Arial" w:cs="Arial"/>
          <w:b/>
          <w:bCs/>
          <w:sz w:val="24"/>
          <w:szCs w:val="24"/>
          <w:lang w:eastAsia="en-GB"/>
        </w:rPr>
        <w:t>,</w:t>
      </w:r>
      <w:r w:rsidRPr="00D2091D">
        <w:rPr>
          <w:rFonts w:ascii="Arial" w:eastAsia="Times New Roman" w:hAnsi="Arial" w:cs="Arial"/>
          <w:b/>
          <w:bCs/>
          <w:sz w:val="24"/>
          <w:szCs w:val="24"/>
          <w:lang w:eastAsia="en-GB"/>
        </w:rPr>
        <w:t xml:space="preserve"> Cheshire Pension Fund </w:t>
      </w:r>
      <w:r>
        <w:rPr>
          <w:rFonts w:ascii="Arial" w:eastAsia="Times New Roman" w:hAnsi="Arial" w:cs="Arial"/>
          <w:b/>
          <w:bCs/>
          <w:sz w:val="24"/>
          <w:szCs w:val="24"/>
          <w:lang w:eastAsia="en-GB"/>
        </w:rPr>
        <w:t xml:space="preserve">and Derbyshire Pension Fund </w:t>
      </w:r>
      <w:r w:rsidRPr="00D2091D">
        <w:rPr>
          <w:rFonts w:ascii="Arial" w:eastAsia="Times New Roman" w:hAnsi="Arial" w:cs="Arial"/>
          <w:b/>
          <w:bCs/>
          <w:sz w:val="24"/>
          <w:szCs w:val="24"/>
          <w:lang w:eastAsia="en-GB"/>
        </w:rPr>
        <w:t>form</w:t>
      </w:r>
      <w:r>
        <w:rPr>
          <w:rFonts w:ascii="Arial" w:eastAsia="Times New Roman" w:hAnsi="Arial" w:cs="Arial"/>
          <w:b/>
          <w:bCs/>
          <w:sz w:val="24"/>
          <w:szCs w:val="24"/>
          <w:lang w:eastAsia="en-GB"/>
        </w:rPr>
        <w:t xml:space="preserve"> the pension scheme for Shaw Education Trust</w:t>
      </w:r>
    </w:p>
    <w:tbl>
      <w:tblPr>
        <w:tblW w:w="13782" w:type="dxa"/>
        <w:tblLook w:val="04A0" w:firstRow="1" w:lastRow="0" w:firstColumn="1" w:lastColumn="0" w:noHBand="0" w:noVBand="1"/>
      </w:tblPr>
      <w:tblGrid>
        <w:gridCol w:w="8660"/>
        <w:gridCol w:w="222"/>
        <w:gridCol w:w="258"/>
        <w:gridCol w:w="480"/>
        <w:gridCol w:w="462"/>
        <w:gridCol w:w="738"/>
        <w:gridCol w:w="462"/>
        <w:gridCol w:w="838"/>
        <w:gridCol w:w="462"/>
        <w:gridCol w:w="738"/>
        <w:gridCol w:w="462"/>
      </w:tblGrid>
      <w:tr w:rsidR="00E70CD3" w:rsidRPr="00DA5F44" w14:paraId="16F12951" w14:textId="77777777" w:rsidTr="007729E5">
        <w:trPr>
          <w:trHeight w:val="315"/>
        </w:trPr>
        <w:tc>
          <w:tcPr>
            <w:tcW w:w="8660" w:type="dxa"/>
            <w:tcBorders>
              <w:top w:val="nil"/>
              <w:left w:val="nil"/>
              <w:bottom w:val="nil"/>
              <w:right w:val="nil"/>
            </w:tcBorders>
            <w:shd w:val="clear" w:color="auto" w:fill="auto"/>
            <w:noWrap/>
            <w:vAlign w:val="center"/>
            <w:hideMark/>
          </w:tcPr>
          <w:p w14:paraId="34534E8B" w14:textId="77777777" w:rsidR="009B5A00" w:rsidRDefault="009B5A00" w:rsidP="007729E5">
            <w:pPr>
              <w:spacing w:after="0" w:line="240" w:lineRule="auto"/>
              <w:rPr>
                <w:rFonts w:ascii="Arial" w:eastAsia="Times New Roman" w:hAnsi="Arial" w:cs="Arial"/>
                <w:b/>
                <w:bCs/>
                <w:sz w:val="24"/>
                <w:szCs w:val="24"/>
                <w:lang w:eastAsia="en-GB"/>
              </w:rPr>
            </w:pPr>
          </w:p>
          <w:p w14:paraId="7AF9029C" w14:textId="77777777" w:rsidR="00D2091D" w:rsidRPr="00D2091D" w:rsidRDefault="009B5A00" w:rsidP="00CB2C14">
            <w:pPr>
              <w:spacing w:after="0" w:line="240" w:lineRule="auto"/>
              <w:ind w:left="-102"/>
              <w:rPr>
                <w:rFonts w:ascii="Arial" w:eastAsia="Times New Roman" w:hAnsi="Arial" w:cs="Arial"/>
                <w:b/>
                <w:bCs/>
                <w:sz w:val="24"/>
                <w:szCs w:val="24"/>
                <w:lang w:eastAsia="en-GB"/>
              </w:rPr>
            </w:pPr>
            <w:r>
              <w:rPr>
                <w:rFonts w:ascii="Arial" w:eastAsia="Times New Roman" w:hAnsi="Arial" w:cs="Arial"/>
                <w:b/>
                <w:bCs/>
                <w:sz w:val="24"/>
                <w:szCs w:val="24"/>
                <w:lang w:eastAsia="en-GB"/>
              </w:rPr>
              <w:t>(Shaw Education Trust Pension Schemes)</w:t>
            </w:r>
          </w:p>
          <w:p w14:paraId="3DE60BE4" w14:textId="77777777" w:rsidR="00D2091D" w:rsidRDefault="00D2091D" w:rsidP="007729E5">
            <w:pPr>
              <w:spacing w:after="0" w:line="240" w:lineRule="auto"/>
              <w:rPr>
                <w:rFonts w:ascii="Arial" w:eastAsia="Times New Roman" w:hAnsi="Arial" w:cs="Arial"/>
                <w:b/>
                <w:bCs/>
                <w:sz w:val="24"/>
                <w:szCs w:val="24"/>
                <w:lang w:eastAsia="en-GB"/>
              </w:rPr>
            </w:pPr>
          </w:p>
          <w:p w14:paraId="3D62EEFD" w14:textId="77777777" w:rsidR="00E70CD3" w:rsidRPr="00DA5F44" w:rsidRDefault="00E70CD3" w:rsidP="00CB2C14">
            <w:pPr>
              <w:spacing w:after="0" w:line="240" w:lineRule="auto"/>
              <w:ind w:left="-102"/>
              <w:rPr>
                <w:rFonts w:ascii="Arial" w:eastAsia="Times New Roman" w:hAnsi="Arial" w:cs="Arial"/>
                <w:b/>
                <w:bCs/>
                <w:sz w:val="24"/>
                <w:szCs w:val="24"/>
                <w:lang w:eastAsia="en-GB"/>
              </w:rPr>
            </w:pPr>
            <w:r w:rsidRPr="00DA5F44">
              <w:rPr>
                <w:rFonts w:ascii="Arial" w:eastAsia="Times New Roman" w:hAnsi="Arial" w:cs="Arial"/>
                <w:b/>
                <w:bCs/>
                <w:sz w:val="24"/>
                <w:szCs w:val="24"/>
                <w:lang w:eastAsia="en-GB"/>
              </w:rPr>
              <w:t>Staffordshire Council  (LGPS)</w:t>
            </w:r>
          </w:p>
        </w:tc>
        <w:tc>
          <w:tcPr>
            <w:tcW w:w="222" w:type="dxa"/>
            <w:tcBorders>
              <w:top w:val="nil"/>
              <w:left w:val="nil"/>
              <w:bottom w:val="nil"/>
              <w:right w:val="nil"/>
            </w:tcBorders>
            <w:shd w:val="clear" w:color="auto" w:fill="auto"/>
            <w:noWrap/>
            <w:vAlign w:val="center"/>
            <w:hideMark/>
          </w:tcPr>
          <w:p w14:paraId="17772C7D" w14:textId="77777777" w:rsidR="00E70CD3" w:rsidRPr="00DA5F44" w:rsidRDefault="00E70CD3" w:rsidP="007729E5">
            <w:pPr>
              <w:spacing w:after="0" w:line="240" w:lineRule="auto"/>
              <w:rPr>
                <w:rFonts w:ascii="Arial" w:eastAsia="Times New Roman" w:hAnsi="Arial" w:cs="Arial"/>
                <w:b/>
                <w:bCs/>
                <w:sz w:val="24"/>
                <w:szCs w:val="24"/>
                <w:lang w:eastAsia="en-GB"/>
              </w:rPr>
            </w:pPr>
          </w:p>
        </w:tc>
        <w:tc>
          <w:tcPr>
            <w:tcW w:w="1200" w:type="dxa"/>
            <w:gridSpan w:val="3"/>
            <w:tcBorders>
              <w:top w:val="nil"/>
              <w:left w:val="nil"/>
              <w:bottom w:val="nil"/>
              <w:right w:val="nil"/>
            </w:tcBorders>
            <w:shd w:val="clear" w:color="auto" w:fill="auto"/>
            <w:noWrap/>
            <w:vAlign w:val="center"/>
            <w:hideMark/>
          </w:tcPr>
          <w:p w14:paraId="51F28350" w14:textId="77777777" w:rsidR="00E70CD3" w:rsidRPr="00DA5F44" w:rsidRDefault="00E70CD3" w:rsidP="007729E5">
            <w:pPr>
              <w:spacing w:after="0" w:line="240" w:lineRule="auto"/>
              <w:rPr>
                <w:rFonts w:ascii="Times New Roman" w:eastAsia="Times New Roman" w:hAnsi="Times New Roman" w:cs="Times New Roman"/>
                <w:sz w:val="20"/>
                <w:szCs w:val="20"/>
                <w:lang w:eastAsia="en-GB"/>
              </w:rPr>
            </w:pPr>
          </w:p>
        </w:tc>
        <w:tc>
          <w:tcPr>
            <w:tcW w:w="1200" w:type="dxa"/>
            <w:gridSpan w:val="2"/>
            <w:tcBorders>
              <w:top w:val="nil"/>
              <w:left w:val="nil"/>
              <w:bottom w:val="nil"/>
              <w:right w:val="nil"/>
            </w:tcBorders>
            <w:shd w:val="clear" w:color="auto" w:fill="auto"/>
            <w:noWrap/>
            <w:vAlign w:val="center"/>
            <w:hideMark/>
          </w:tcPr>
          <w:p w14:paraId="5FA46DFA" w14:textId="77777777" w:rsidR="00E70CD3" w:rsidRPr="00DA5F44" w:rsidRDefault="00E70CD3" w:rsidP="007729E5">
            <w:pPr>
              <w:spacing w:after="0" w:line="240" w:lineRule="auto"/>
              <w:rPr>
                <w:rFonts w:ascii="Times New Roman" w:eastAsia="Times New Roman" w:hAnsi="Times New Roman" w:cs="Times New Roman"/>
                <w:sz w:val="20"/>
                <w:szCs w:val="20"/>
                <w:lang w:eastAsia="en-GB"/>
              </w:rPr>
            </w:pPr>
          </w:p>
        </w:tc>
        <w:tc>
          <w:tcPr>
            <w:tcW w:w="1300" w:type="dxa"/>
            <w:gridSpan w:val="2"/>
            <w:tcBorders>
              <w:top w:val="nil"/>
              <w:left w:val="nil"/>
              <w:bottom w:val="nil"/>
              <w:right w:val="nil"/>
            </w:tcBorders>
            <w:shd w:val="clear" w:color="auto" w:fill="auto"/>
            <w:noWrap/>
            <w:vAlign w:val="center"/>
            <w:hideMark/>
          </w:tcPr>
          <w:p w14:paraId="421BE876" w14:textId="77777777" w:rsidR="00E70CD3" w:rsidRPr="00DA5F44" w:rsidRDefault="00E70CD3" w:rsidP="007729E5">
            <w:pPr>
              <w:spacing w:after="0" w:line="240" w:lineRule="auto"/>
              <w:rPr>
                <w:rFonts w:ascii="Times New Roman" w:eastAsia="Times New Roman" w:hAnsi="Times New Roman" w:cs="Times New Roman"/>
                <w:sz w:val="20"/>
                <w:szCs w:val="20"/>
                <w:lang w:eastAsia="en-GB"/>
              </w:rPr>
            </w:pPr>
          </w:p>
        </w:tc>
        <w:tc>
          <w:tcPr>
            <w:tcW w:w="1200" w:type="dxa"/>
            <w:gridSpan w:val="2"/>
            <w:tcBorders>
              <w:top w:val="nil"/>
              <w:left w:val="nil"/>
              <w:bottom w:val="nil"/>
              <w:right w:val="nil"/>
            </w:tcBorders>
            <w:shd w:val="clear" w:color="auto" w:fill="auto"/>
            <w:noWrap/>
            <w:vAlign w:val="bottom"/>
            <w:hideMark/>
          </w:tcPr>
          <w:p w14:paraId="43B1CC23" w14:textId="77777777" w:rsidR="00E70CD3" w:rsidRPr="00DA5F44" w:rsidRDefault="00E70CD3" w:rsidP="007729E5">
            <w:pPr>
              <w:spacing w:after="0" w:line="240" w:lineRule="auto"/>
              <w:rPr>
                <w:rFonts w:ascii="Times New Roman" w:eastAsia="Times New Roman" w:hAnsi="Times New Roman" w:cs="Times New Roman"/>
                <w:sz w:val="20"/>
                <w:szCs w:val="20"/>
                <w:lang w:eastAsia="en-GB"/>
              </w:rPr>
            </w:pPr>
          </w:p>
        </w:tc>
      </w:tr>
      <w:tr w:rsidR="00E70CD3" w:rsidRPr="00DA5F44" w14:paraId="34C1FC97" w14:textId="77777777" w:rsidTr="007729E5">
        <w:trPr>
          <w:trHeight w:val="255"/>
        </w:trPr>
        <w:tc>
          <w:tcPr>
            <w:tcW w:w="8660" w:type="dxa"/>
            <w:tcBorders>
              <w:top w:val="nil"/>
              <w:left w:val="nil"/>
              <w:bottom w:val="nil"/>
              <w:right w:val="nil"/>
            </w:tcBorders>
            <w:shd w:val="clear" w:color="auto" w:fill="auto"/>
            <w:noWrap/>
            <w:vAlign w:val="center"/>
            <w:hideMark/>
          </w:tcPr>
          <w:p w14:paraId="3CCAD0A8" w14:textId="77777777" w:rsidR="00E70CD3" w:rsidRPr="00DA5F44" w:rsidRDefault="00E70CD3" w:rsidP="007729E5">
            <w:pPr>
              <w:spacing w:after="0" w:line="240" w:lineRule="auto"/>
              <w:rPr>
                <w:rFonts w:ascii="Times New Roman" w:eastAsia="Times New Roman" w:hAnsi="Times New Roman" w:cs="Times New Roman"/>
                <w:sz w:val="20"/>
                <w:szCs w:val="20"/>
                <w:lang w:eastAsia="en-GB"/>
              </w:rPr>
            </w:pPr>
          </w:p>
        </w:tc>
        <w:tc>
          <w:tcPr>
            <w:tcW w:w="222" w:type="dxa"/>
            <w:tcBorders>
              <w:top w:val="nil"/>
              <w:left w:val="nil"/>
              <w:bottom w:val="nil"/>
              <w:right w:val="nil"/>
            </w:tcBorders>
            <w:shd w:val="clear" w:color="auto" w:fill="auto"/>
            <w:noWrap/>
            <w:vAlign w:val="center"/>
            <w:hideMark/>
          </w:tcPr>
          <w:p w14:paraId="4BB39AC4" w14:textId="77777777" w:rsidR="00E70CD3" w:rsidRPr="00DA5F44" w:rsidRDefault="00E70CD3" w:rsidP="007729E5">
            <w:pPr>
              <w:spacing w:after="0" w:line="240" w:lineRule="auto"/>
              <w:rPr>
                <w:rFonts w:ascii="Times New Roman" w:eastAsia="Times New Roman" w:hAnsi="Times New Roman" w:cs="Times New Roman"/>
                <w:sz w:val="20"/>
                <w:szCs w:val="20"/>
                <w:lang w:eastAsia="en-GB"/>
              </w:rPr>
            </w:pPr>
          </w:p>
        </w:tc>
        <w:tc>
          <w:tcPr>
            <w:tcW w:w="1200" w:type="dxa"/>
            <w:gridSpan w:val="3"/>
            <w:tcBorders>
              <w:top w:val="nil"/>
              <w:left w:val="nil"/>
              <w:bottom w:val="nil"/>
              <w:right w:val="nil"/>
            </w:tcBorders>
            <w:shd w:val="clear" w:color="auto" w:fill="auto"/>
            <w:noWrap/>
            <w:vAlign w:val="center"/>
            <w:hideMark/>
          </w:tcPr>
          <w:p w14:paraId="444533F5" w14:textId="77777777" w:rsidR="00E70CD3" w:rsidRPr="00DA5F44" w:rsidRDefault="00E70CD3" w:rsidP="007729E5">
            <w:pPr>
              <w:spacing w:after="0" w:line="240" w:lineRule="auto"/>
              <w:rPr>
                <w:rFonts w:ascii="Times New Roman" w:eastAsia="Times New Roman" w:hAnsi="Times New Roman" w:cs="Times New Roman"/>
                <w:sz w:val="20"/>
                <w:szCs w:val="20"/>
                <w:lang w:eastAsia="en-GB"/>
              </w:rPr>
            </w:pPr>
          </w:p>
        </w:tc>
        <w:tc>
          <w:tcPr>
            <w:tcW w:w="1200" w:type="dxa"/>
            <w:gridSpan w:val="2"/>
            <w:tcBorders>
              <w:top w:val="nil"/>
              <w:left w:val="nil"/>
              <w:bottom w:val="nil"/>
              <w:right w:val="nil"/>
            </w:tcBorders>
            <w:shd w:val="clear" w:color="auto" w:fill="auto"/>
            <w:noWrap/>
            <w:vAlign w:val="center"/>
            <w:hideMark/>
          </w:tcPr>
          <w:p w14:paraId="2DE72748" w14:textId="77777777" w:rsidR="00E70CD3" w:rsidRPr="00DA5F44" w:rsidRDefault="00E70CD3" w:rsidP="007729E5">
            <w:pPr>
              <w:spacing w:after="0" w:line="240" w:lineRule="auto"/>
              <w:rPr>
                <w:rFonts w:ascii="Times New Roman" w:eastAsia="Times New Roman" w:hAnsi="Times New Roman" w:cs="Times New Roman"/>
                <w:sz w:val="20"/>
                <w:szCs w:val="20"/>
                <w:lang w:eastAsia="en-GB"/>
              </w:rPr>
            </w:pPr>
          </w:p>
        </w:tc>
        <w:tc>
          <w:tcPr>
            <w:tcW w:w="1300" w:type="dxa"/>
            <w:gridSpan w:val="2"/>
            <w:tcBorders>
              <w:top w:val="nil"/>
              <w:left w:val="nil"/>
              <w:bottom w:val="nil"/>
              <w:right w:val="nil"/>
            </w:tcBorders>
            <w:shd w:val="clear" w:color="auto" w:fill="auto"/>
            <w:noWrap/>
            <w:vAlign w:val="center"/>
            <w:hideMark/>
          </w:tcPr>
          <w:p w14:paraId="17DAB081" w14:textId="77777777" w:rsidR="00E70CD3" w:rsidRPr="00DA5F44" w:rsidRDefault="00E70CD3" w:rsidP="007729E5">
            <w:pPr>
              <w:spacing w:after="0" w:line="240" w:lineRule="auto"/>
              <w:rPr>
                <w:rFonts w:ascii="Times New Roman" w:eastAsia="Times New Roman" w:hAnsi="Times New Roman" w:cs="Times New Roman"/>
                <w:sz w:val="20"/>
                <w:szCs w:val="20"/>
                <w:lang w:eastAsia="en-GB"/>
              </w:rPr>
            </w:pPr>
          </w:p>
        </w:tc>
        <w:tc>
          <w:tcPr>
            <w:tcW w:w="1200" w:type="dxa"/>
            <w:gridSpan w:val="2"/>
            <w:tcBorders>
              <w:top w:val="nil"/>
              <w:left w:val="nil"/>
              <w:bottom w:val="nil"/>
              <w:right w:val="nil"/>
            </w:tcBorders>
            <w:shd w:val="clear" w:color="auto" w:fill="auto"/>
            <w:noWrap/>
            <w:vAlign w:val="bottom"/>
            <w:hideMark/>
          </w:tcPr>
          <w:p w14:paraId="3BB1F2F2" w14:textId="77777777" w:rsidR="00E70CD3" w:rsidRPr="00DA5F44" w:rsidRDefault="00E70CD3" w:rsidP="007729E5">
            <w:pPr>
              <w:spacing w:after="0" w:line="240" w:lineRule="auto"/>
              <w:rPr>
                <w:rFonts w:ascii="Times New Roman" w:eastAsia="Times New Roman" w:hAnsi="Times New Roman" w:cs="Times New Roman"/>
                <w:sz w:val="20"/>
                <w:szCs w:val="20"/>
                <w:lang w:eastAsia="en-GB"/>
              </w:rPr>
            </w:pPr>
          </w:p>
        </w:tc>
      </w:tr>
      <w:tr w:rsidR="00E70CD3" w:rsidRPr="00DA5F44" w14:paraId="486B614A" w14:textId="77777777" w:rsidTr="007729E5">
        <w:trPr>
          <w:trHeight w:val="255"/>
        </w:trPr>
        <w:tc>
          <w:tcPr>
            <w:tcW w:w="13782" w:type="dxa"/>
            <w:gridSpan w:val="11"/>
            <w:tcBorders>
              <w:top w:val="nil"/>
              <w:left w:val="nil"/>
              <w:bottom w:val="nil"/>
              <w:right w:val="nil"/>
            </w:tcBorders>
            <w:shd w:val="clear" w:color="auto" w:fill="auto"/>
            <w:hideMark/>
          </w:tcPr>
          <w:p w14:paraId="1103FC0F" w14:textId="77777777" w:rsidR="00E70CD3" w:rsidRDefault="00E70CD3" w:rsidP="007729E5">
            <w:pPr>
              <w:spacing w:after="0" w:line="240" w:lineRule="auto"/>
              <w:rPr>
                <w:rFonts w:ascii="Arial" w:eastAsia="Times New Roman" w:hAnsi="Arial" w:cs="Arial"/>
                <w:sz w:val="20"/>
                <w:szCs w:val="20"/>
                <w:lang w:eastAsia="en-GB"/>
              </w:rPr>
            </w:pPr>
            <w:r w:rsidRPr="00DA5F44">
              <w:rPr>
                <w:rFonts w:ascii="Arial" w:eastAsia="Times New Roman" w:hAnsi="Arial" w:cs="Arial"/>
                <w:sz w:val="20"/>
                <w:szCs w:val="20"/>
                <w:lang w:eastAsia="en-GB"/>
              </w:rPr>
              <w:t>Principal actuarial assump</w:t>
            </w:r>
            <w:r>
              <w:rPr>
                <w:rFonts w:ascii="Arial" w:eastAsia="Times New Roman" w:hAnsi="Arial" w:cs="Arial"/>
                <w:sz w:val="20"/>
                <w:szCs w:val="20"/>
                <w:lang w:eastAsia="en-GB"/>
              </w:rPr>
              <w:t>t</w:t>
            </w:r>
            <w:r w:rsidRPr="00DA5F44">
              <w:rPr>
                <w:rFonts w:ascii="Arial" w:eastAsia="Times New Roman" w:hAnsi="Arial" w:cs="Arial"/>
                <w:sz w:val="20"/>
                <w:szCs w:val="20"/>
                <w:lang w:eastAsia="en-GB"/>
              </w:rPr>
              <w:t>ions:</w:t>
            </w:r>
          </w:p>
          <w:p w14:paraId="60E97EB3" w14:textId="77777777" w:rsidR="00E70CD3" w:rsidRDefault="00E70CD3" w:rsidP="007729E5">
            <w:pPr>
              <w:spacing w:after="0" w:line="240" w:lineRule="auto"/>
              <w:rPr>
                <w:rFonts w:ascii="Arial" w:eastAsia="Times New Roman" w:hAnsi="Arial" w:cs="Arial"/>
                <w:sz w:val="20"/>
                <w:szCs w:val="20"/>
                <w:lang w:eastAsia="en-GB"/>
              </w:rPr>
            </w:pPr>
          </w:p>
          <w:tbl>
            <w:tblPr>
              <w:tblW w:w="9045" w:type="dxa"/>
              <w:tblLook w:val="04A0" w:firstRow="1" w:lastRow="0" w:firstColumn="1" w:lastColumn="0" w:noHBand="0" w:noVBand="1"/>
            </w:tblPr>
            <w:tblGrid>
              <w:gridCol w:w="3700"/>
              <w:gridCol w:w="443"/>
              <w:gridCol w:w="1202"/>
              <w:gridCol w:w="1200"/>
              <w:gridCol w:w="1300"/>
              <w:gridCol w:w="1200"/>
            </w:tblGrid>
            <w:tr w:rsidR="00E70CD3" w:rsidRPr="00DA5F44" w14:paraId="72D561D0" w14:textId="77777777" w:rsidTr="006647C2">
              <w:trPr>
                <w:trHeight w:val="255"/>
              </w:trPr>
              <w:tc>
                <w:tcPr>
                  <w:tcW w:w="3700" w:type="dxa"/>
                  <w:tcBorders>
                    <w:top w:val="nil"/>
                    <w:left w:val="nil"/>
                    <w:bottom w:val="single" w:sz="4" w:space="0" w:color="auto"/>
                    <w:right w:val="nil"/>
                  </w:tcBorders>
                  <w:shd w:val="clear" w:color="auto" w:fill="auto"/>
                  <w:noWrap/>
                  <w:vAlign w:val="center"/>
                  <w:hideMark/>
                </w:tcPr>
                <w:p w14:paraId="78AE7C28" w14:textId="77777777" w:rsidR="00E70CD3" w:rsidRPr="00DA5F44" w:rsidRDefault="00E70CD3" w:rsidP="007729E5">
                  <w:pPr>
                    <w:spacing w:after="0" w:line="240" w:lineRule="auto"/>
                    <w:rPr>
                      <w:rFonts w:ascii="Arial" w:eastAsia="Times New Roman" w:hAnsi="Arial" w:cs="Arial"/>
                      <w:sz w:val="20"/>
                      <w:szCs w:val="20"/>
                      <w:lang w:eastAsia="en-GB"/>
                    </w:rPr>
                  </w:pPr>
                  <w:r w:rsidRPr="00DA5F44">
                    <w:rPr>
                      <w:rFonts w:ascii="Arial" w:eastAsia="Times New Roman" w:hAnsi="Arial" w:cs="Arial"/>
                      <w:sz w:val="20"/>
                      <w:szCs w:val="20"/>
                      <w:lang w:eastAsia="en-GB"/>
                    </w:rPr>
                    <w:t> </w:t>
                  </w:r>
                </w:p>
              </w:tc>
              <w:tc>
                <w:tcPr>
                  <w:tcW w:w="443" w:type="dxa"/>
                  <w:tcBorders>
                    <w:top w:val="nil"/>
                    <w:left w:val="nil"/>
                    <w:bottom w:val="single" w:sz="4" w:space="0" w:color="auto"/>
                    <w:right w:val="nil"/>
                  </w:tcBorders>
                  <w:shd w:val="clear" w:color="auto" w:fill="auto"/>
                  <w:noWrap/>
                  <w:vAlign w:val="bottom"/>
                  <w:hideMark/>
                </w:tcPr>
                <w:p w14:paraId="58DDF048" w14:textId="77777777" w:rsidR="00E70CD3" w:rsidRPr="00DA5F44" w:rsidRDefault="00E70CD3" w:rsidP="007729E5">
                  <w:pPr>
                    <w:spacing w:after="0" w:line="240" w:lineRule="auto"/>
                    <w:rPr>
                      <w:rFonts w:ascii="Arial" w:eastAsia="Times New Roman" w:hAnsi="Arial" w:cs="Arial"/>
                      <w:sz w:val="20"/>
                      <w:szCs w:val="20"/>
                      <w:lang w:eastAsia="en-GB"/>
                    </w:rPr>
                  </w:pPr>
                  <w:r w:rsidRPr="00DA5F44">
                    <w:rPr>
                      <w:rFonts w:ascii="Arial" w:eastAsia="Times New Roman" w:hAnsi="Arial" w:cs="Arial"/>
                      <w:sz w:val="20"/>
                      <w:szCs w:val="20"/>
                      <w:lang w:eastAsia="en-GB"/>
                    </w:rPr>
                    <w:t> </w:t>
                  </w:r>
                </w:p>
              </w:tc>
              <w:tc>
                <w:tcPr>
                  <w:tcW w:w="1200" w:type="dxa"/>
                  <w:tcBorders>
                    <w:top w:val="nil"/>
                    <w:left w:val="nil"/>
                    <w:bottom w:val="single" w:sz="4" w:space="0" w:color="auto"/>
                    <w:right w:val="nil"/>
                  </w:tcBorders>
                  <w:shd w:val="clear" w:color="auto" w:fill="auto"/>
                  <w:noWrap/>
                  <w:vAlign w:val="bottom"/>
                  <w:hideMark/>
                </w:tcPr>
                <w:p w14:paraId="5557EDC5" w14:textId="77777777" w:rsidR="00E70CD3" w:rsidRPr="00DA5F44" w:rsidRDefault="00E70CD3" w:rsidP="007729E5">
                  <w:pPr>
                    <w:spacing w:after="0" w:line="240" w:lineRule="auto"/>
                    <w:rPr>
                      <w:rFonts w:ascii="Arial" w:eastAsia="Times New Roman" w:hAnsi="Arial" w:cs="Arial"/>
                      <w:sz w:val="20"/>
                      <w:szCs w:val="20"/>
                      <w:lang w:eastAsia="en-GB"/>
                    </w:rPr>
                  </w:pPr>
                  <w:r w:rsidRPr="00DA5F44">
                    <w:rPr>
                      <w:rFonts w:ascii="Arial" w:eastAsia="Times New Roman" w:hAnsi="Arial" w:cs="Arial"/>
                      <w:sz w:val="20"/>
                      <w:szCs w:val="20"/>
                      <w:lang w:eastAsia="en-GB"/>
                    </w:rPr>
                    <w:t> </w:t>
                  </w:r>
                </w:p>
              </w:tc>
              <w:tc>
                <w:tcPr>
                  <w:tcW w:w="1200" w:type="dxa"/>
                  <w:tcBorders>
                    <w:top w:val="nil"/>
                    <w:left w:val="nil"/>
                    <w:bottom w:val="single" w:sz="4" w:space="0" w:color="auto"/>
                    <w:right w:val="nil"/>
                  </w:tcBorders>
                  <w:shd w:val="clear" w:color="auto" w:fill="auto"/>
                  <w:noWrap/>
                  <w:vAlign w:val="bottom"/>
                  <w:hideMark/>
                </w:tcPr>
                <w:p w14:paraId="294982D2" w14:textId="77777777" w:rsidR="00E70CD3" w:rsidRPr="00DA5F44" w:rsidRDefault="00E70CD3" w:rsidP="007729E5">
                  <w:pPr>
                    <w:spacing w:after="0" w:line="240" w:lineRule="auto"/>
                    <w:rPr>
                      <w:rFonts w:ascii="Arial" w:eastAsia="Times New Roman" w:hAnsi="Arial" w:cs="Arial"/>
                      <w:sz w:val="20"/>
                      <w:szCs w:val="20"/>
                      <w:lang w:eastAsia="en-GB"/>
                    </w:rPr>
                  </w:pPr>
                  <w:r w:rsidRPr="00DA5F44">
                    <w:rPr>
                      <w:rFonts w:ascii="Arial" w:eastAsia="Times New Roman" w:hAnsi="Arial" w:cs="Arial"/>
                      <w:sz w:val="20"/>
                      <w:szCs w:val="20"/>
                      <w:lang w:eastAsia="en-GB"/>
                    </w:rPr>
                    <w:t> </w:t>
                  </w:r>
                </w:p>
              </w:tc>
              <w:tc>
                <w:tcPr>
                  <w:tcW w:w="1300" w:type="dxa"/>
                  <w:tcBorders>
                    <w:top w:val="nil"/>
                    <w:left w:val="nil"/>
                    <w:bottom w:val="single" w:sz="4" w:space="0" w:color="auto"/>
                    <w:right w:val="nil"/>
                  </w:tcBorders>
                  <w:shd w:val="clear" w:color="auto" w:fill="auto"/>
                  <w:noWrap/>
                  <w:vAlign w:val="center"/>
                  <w:hideMark/>
                </w:tcPr>
                <w:p w14:paraId="042C8D7B" w14:textId="77777777" w:rsidR="00E70CD3" w:rsidRPr="00DA5F44" w:rsidRDefault="0037645F" w:rsidP="005229F1">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2020</w:t>
                  </w:r>
                </w:p>
              </w:tc>
              <w:tc>
                <w:tcPr>
                  <w:tcW w:w="1200" w:type="dxa"/>
                  <w:tcBorders>
                    <w:top w:val="nil"/>
                    <w:left w:val="nil"/>
                    <w:bottom w:val="single" w:sz="4" w:space="0" w:color="auto"/>
                    <w:right w:val="nil"/>
                  </w:tcBorders>
                  <w:shd w:val="clear" w:color="auto" w:fill="auto"/>
                  <w:noWrap/>
                  <w:vAlign w:val="bottom"/>
                  <w:hideMark/>
                </w:tcPr>
                <w:p w14:paraId="3C3C5D55" w14:textId="77777777" w:rsidR="00E70CD3" w:rsidRPr="00DA5F44" w:rsidRDefault="0037645F" w:rsidP="005229F1">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2019</w:t>
                  </w:r>
                </w:p>
              </w:tc>
            </w:tr>
            <w:tr w:rsidR="00416FDD" w:rsidRPr="00DA5F44" w14:paraId="3F1F1687" w14:textId="77777777" w:rsidTr="006647C2">
              <w:trPr>
                <w:trHeight w:val="255"/>
              </w:trPr>
              <w:tc>
                <w:tcPr>
                  <w:tcW w:w="3700" w:type="dxa"/>
                  <w:tcBorders>
                    <w:top w:val="nil"/>
                    <w:left w:val="nil"/>
                    <w:bottom w:val="nil"/>
                    <w:right w:val="nil"/>
                  </w:tcBorders>
                  <w:shd w:val="clear" w:color="auto" w:fill="auto"/>
                  <w:noWrap/>
                  <w:vAlign w:val="center"/>
                  <w:hideMark/>
                </w:tcPr>
                <w:p w14:paraId="7F1663E4" w14:textId="77777777" w:rsidR="00416FDD" w:rsidRPr="00DA5F44" w:rsidRDefault="00416FDD" w:rsidP="00416FDD">
                  <w:pPr>
                    <w:spacing w:after="0" w:line="240" w:lineRule="auto"/>
                    <w:rPr>
                      <w:rFonts w:ascii="Arial" w:eastAsia="Times New Roman" w:hAnsi="Arial" w:cs="Arial"/>
                      <w:sz w:val="20"/>
                      <w:szCs w:val="20"/>
                      <w:lang w:eastAsia="en-GB"/>
                    </w:rPr>
                  </w:pPr>
                  <w:r w:rsidRPr="00DA5F44">
                    <w:rPr>
                      <w:rFonts w:ascii="Arial" w:eastAsia="Times New Roman" w:hAnsi="Arial" w:cs="Arial"/>
                      <w:sz w:val="20"/>
                      <w:szCs w:val="20"/>
                      <w:lang w:eastAsia="en-GB"/>
                    </w:rPr>
                    <w:t>Expected rate of salary increases</w:t>
                  </w:r>
                </w:p>
              </w:tc>
              <w:tc>
                <w:tcPr>
                  <w:tcW w:w="443" w:type="dxa"/>
                  <w:tcBorders>
                    <w:top w:val="nil"/>
                    <w:left w:val="nil"/>
                    <w:bottom w:val="nil"/>
                    <w:right w:val="nil"/>
                  </w:tcBorders>
                  <w:shd w:val="clear" w:color="auto" w:fill="auto"/>
                  <w:noWrap/>
                  <w:vAlign w:val="bottom"/>
                  <w:hideMark/>
                </w:tcPr>
                <w:p w14:paraId="1903216F" w14:textId="77777777" w:rsidR="00416FDD" w:rsidRPr="00DA5F44" w:rsidRDefault="00416FDD" w:rsidP="00416FDD">
                  <w:pPr>
                    <w:spacing w:after="0" w:line="240" w:lineRule="auto"/>
                    <w:rPr>
                      <w:rFonts w:ascii="Arial" w:eastAsia="Times New Roman" w:hAnsi="Arial" w:cs="Arial"/>
                      <w:sz w:val="20"/>
                      <w:szCs w:val="20"/>
                      <w:lang w:eastAsia="en-GB"/>
                    </w:rPr>
                  </w:pPr>
                </w:p>
              </w:tc>
              <w:tc>
                <w:tcPr>
                  <w:tcW w:w="1200" w:type="dxa"/>
                  <w:tcBorders>
                    <w:top w:val="nil"/>
                    <w:left w:val="nil"/>
                    <w:bottom w:val="nil"/>
                    <w:right w:val="nil"/>
                  </w:tcBorders>
                  <w:shd w:val="clear" w:color="auto" w:fill="auto"/>
                  <w:noWrap/>
                  <w:vAlign w:val="bottom"/>
                  <w:hideMark/>
                </w:tcPr>
                <w:p w14:paraId="28265FB0" w14:textId="77777777" w:rsidR="00416FDD" w:rsidRPr="00DA5F44" w:rsidRDefault="00416FDD" w:rsidP="00416FDD">
                  <w:pPr>
                    <w:spacing w:after="0" w:line="240" w:lineRule="auto"/>
                    <w:rPr>
                      <w:rFonts w:ascii="Times New Roman" w:eastAsia="Times New Roman" w:hAnsi="Times New Roman" w:cs="Times New Roman"/>
                      <w:sz w:val="20"/>
                      <w:szCs w:val="20"/>
                      <w:lang w:eastAsia="en-GB"/>
                    </w:rPr>
                  </w:pPr>
                </w:p>
              </w:tc>
              <w:tc>
                <w:tcPr>
                  <w:tcW w:w="1200" w:type="dxa"/>
                  <w:tcBorders>
                    <w:top w:val="nil"/>
                    <w:left w:val="nil"/>
                    <w:bottom w:val="nil"/>
                    <w:right w:val="nil"/>
                  </w:tcBorders>
                  <w:shd w:val="clear" w:color="auto" w:fill="auto"/>
                  <w:noWrap/>
                  <w:vAlign w:val="bottom"/>
                  <w:hideMark/>
                </w:tcPr>
                <w:p w14:paraId="6331BDE6" w14:textId="77777777" w:rsidR="00416FDD" w:rsidRPr="00DA5F44" w:rsidRDefault="00416FDD" w:rsidP="00416FDD">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064F0E07" w14:textId="77777777" w:rsidR="00416FDD" w:rsidRPr="00DA5F44" w:rsidRDefault="00416FDD" w:rsidP="00416FDD">
                  <w:pPr>
                    <w:spacing w:after="0" w:line="240" w:lineRule="auto"/>
                    <w:jc w:val="right"/>
                    <w:rPr>
                      <w:rFonts w:ascii="Arial" w:eastAsia="Times New Roman" w:hAnsi="Arial" w:cs="Arial"/>
                      <w:b/>
                      <w:bCs/>
                      <w:sz w:val="20"/>
                      <w:szCs w:val="20"/>
                      <w:lang w:eastAsia="en-GB"/>
                    </w:rPr>
                  </w:pPr>
                  <w:r w:rsidRPr="00DA5F44">
                    <w:rPr>
                      <w:rFonts w:ascii="Arial" w:eastAsia="Times New Roman" w:hAnsi="Arial" w:cs="Arial"/>
                      <w:b/>
                      <w:bCs/>
                      <w:sz w:val="20"/>
                      <w:szCs w:val="20"/>
                      <w:lang w:eastAsia="en-GB"/>
                    </w:rPr>
                    <w:t>2.</w:t>
                  </w:r>
                  <w:r w:rsidR="00FF0663">
                    <w:rPr>
                      <w:rFonts w:ascii="Arial" w:eastAsia="Times New Roman" w:hAnsi="Arial" w:cs="Arial"/>
                      <w:b/>
                      <w:bCs/>
                      <w:sz w:val="20"/>
                      <w:szCs w:val="20"/>
                      <w:lang w:eastAsia="en-GB"/>
                    </w:rPr>
                    <w:t>6</w:t>
                  </w:r>
                  <w:r w:rsidRPr="00DA5F44">
                    <w:rPr>
                      <w:rFonts w:ascii="Arial" w:eastAsia="Times New Roman" w:hAnsi="Arial" w:cs="Arial"/>
                      <w:b/>
                      <w:bCs/>
                      <w:sz w:val="20"/>
                      <w:szCs w:val="20"/>
                      <w:lang w:eastAsia="en-GB"/>
                    </w:rPr>
                    <w:t>%</w:t>
                  </w:r>
                </w:p>
              </w:tc>
              <w:tc>
                <w:tcPr>
                  <w:tcW w:w="1200" w:type="dxa"/>
                  <w:tcBorders>
                    <w:top w:val="nil"/>
                    <w:left w:val="nil"/>
                    <w:bottom w:val="nil"/>
                    <w:right w:val="nil"/>
                  </w:tcBorders>
                  <w:shd w:val="clear" w:color="auto" w:fill="auto"/>
                  <w:noWrap/>
                  <w:vAlign w:val="center"/>
                  <w:hideMark/>
                </w:tcPr>
                <w:p w14:paraId="21D9E47B" w14:textId="77777777" w:rsidR="00416FDD" w:rsidRPr="00416FDD" w:rsidRDefault="00416FDD" w:rsidP="00416FDD">
                  <w:pPr>
                    <w:spacing w:after="0" w:line="240" w:lineRule="auto"/>
                    <w:jc w:val="right"/>
                    <w:rPr>
                      <w:rFonts w:ascii="Arial" w:eastAsia="Times New Roman" w:hAnsi="Arial" w:cs="Arial"/>
                      <w:sz w:val="20"/>
                      <w:szCs w:val="20"/>
                      <w:lang w:eastAsia="en-GB"/>
                    </w:rPr>
                  </w:pPr>
                  <w:r w:rsidRPr="00416FDD">
                    <w:rPr>
                      <w:rFonts w:ascii="Arial" w:eastAsia="Times New Roman" w:hAnsi="Arial" w:cs="Arial"/>
                      <w:bCs/>
                      <w:sz w:val="20"/>
                      <w:szCs w:val="20"/>
                      <w:lang w:eastAsia="en-GB"/>
                    </w:rPr>
                    <w:t>2.7%</w:t>
                  </w:r>
                </w:p>
              </w:tc>
            </w:tr>
            <w:tr w:rsidR="00416FDD" w:rsidRPr="00DA5F44" w14:paraId="6F3ADC8B" w14:textId="77777777" w:rsidTr="006647C2">
              <w:trPr>
                <w:trHeight w:val="255"/>
              </w:trPr>
              <w:tc>
                <w:tcPr>
                  <w:tcW w:w="5345" w:type="dxa"/>
                  <w:gridSpan w:val="3"/>
                  <w:tcBorders>
                    <w:top w:val="nil"/>
                    <w:left w:val="nil"/>
                    <w:bottom w:val="nil"/>
                    <w:right w:val="nil"/>
                  </w:tcBorders>
                  <w:shd w:val="clear" w:color="auto" w:fill="auto"/>
                  <w:noWrap/>
                  <w:vAlign w:val="center"/>
                  <w:hideMark/>
                </w:tcPr>
                <w:p w14:paraId="26B01CB3" w14:textId="77777777" w:rsidR="00416FDD" w:rsidRPr="00DA5F44" w:rsidRDefault="00416FDD" w:rsidP="00416FDD">
                  <w:pPr>
                    <w:spacing w:after="0" w:line="240" w:lineRule="auto"/>
                    <w:rPr>
                      <w:rFonts w:ascii="Arial" w:eastAsia="Times New Roman" w:hAnsi="Arial" w:cs="Arial"/>
                      <w:sz w:val="20"/>
                      <w:szCs w:val="20"/>
                      <w:lang w:eastAsia="en-GB"/>
                    </w:rPr>
                  </w:pPr>
                  <w:r w:rsidRPr="00DA5F44">
                    <w:rPr>
                      <w:rFonts w:ascii="Arial" w:eastAsia="Times New Roman" w:hAnsi="Arial" w:cs="Arial"/>
                      <w:sz w:val="20"/>
                      <w:szCs w:val="20"/>
                      <w:lang w:eastAsia="en-GB"/>
                    </w:rPr>
                    <w:t>Expected rate of increase of pensions in payments</w:t>
                  </w:r>
                </w:p>
              </w:tc>
              <w:tc>
                <w:tcPr>
                  <w:tcW w:w="1200" w:type="dxa"/>
                  <w:tcBorders>
                    <w:top w:val="nil"/>
                    <w:left w:val="nil"/>
                    <w:bottom w:val="nil"/>
                    <w:right w:val="nil"/>
                  </w:tcBorders>
                  <w:shd w:val="clear" w:color="auto" w:fill="auto"/>
                  <w:noWrap/>
                  <w:vAlign w:val="bottom"/>
                  <w:hideMark/>
                </w:tcPr>
                <w:p w14:paraId="4D49C8D5" w14:textId="77777777" w:rsidR="00416FDD" w:rsidRPr="00DA5F44" w:rsidRDefault="00416FDD" w:rsidP="00416FDD">
                  <w:pPr>
                    <w:spacing w:after="0" w:line="240" w:lineRule="auto"/>
                    <w:rPr>
                      <w:rFonts w:ascii="Arial" w:eastAsia="Times New Roman" w:hAnsi="Arial" w:cs="Arial"/>
                      <w:sz w:val="20"/>
                      <w:szCs w:val="20"/>
                      <w:lang w:eastAsia="en-GB"/>
                    </w:rPr>
                  </w:pPr>
                </w:p>
              </w:tc>
              <w:tc>
                <w:tcPr>
                  <w:tcW w:w="1300" w:type="dxa"/>
                  <w:tcBorders>
                    <w:top w:val="nil"/>
                    <w:left w:val="nil"/>
                    <w:bottom w:val="nil"/>
                    <w:right w:val="nil"/>
                  </w:tcBorders>
                  <w:shd w:val="clear" w:color="auto" w:fill="auto"/>
                  <w:noWrap/>
                  <w:vAlign w:val="center"/>
                  <w:hideMark/>
                </w:tcPr>
                <w:p w14:paraId="22AA6A00" w14:textId="77777777" w:rsidR="00416FDD" w:rsidRPr="00DA5F44" w:rsidRDefault="00416FDD" w:rsidP="00416FDD">
                  <w:pPr>
                    <w:spacing w:after="0" w:line="240" w:lineRule="auto"/>
                    <w:jc w:val="right"/>
                    <w:rPr>
                      <w:rFonts w:ascii="Arial" w:eastAsia="Times New Roman" w:hAnsi="Arial" w:cs="Arial"/>
                      <w:b/>
                      <w:bCs/>
                      <w:sz w:val="20"/>
                      <w:szCs w:val="20"/>
                      <w:lang w:eastAsia="en-GB"/>
                    </w:rPr>
                  </w:pPr>
                  <w:r w:rsidRPr="00DA5F44">
                    <w:rPr>
                      <w:rFonts w:ascii="Arial" w:eastAsia="Times New Roman" w:hAnsi="Arial" w:cs="Arial"/>
                      <w:b/>
                      <w:bCs/>
                      <w:sz w:val="20"/>
                      <w:szCs w:val="20"/>
                      <w:lang w:eastAsia="en-GB"/>
                    </w:rPr>
                    <w:t>2.</w:t>
                  </w:r>
                  <w:r w:rsidR="00FF0663">
                    <w:rPr>
                      <w:rFonts w:ascii="Arial" w:eastAsia="Times New Roman" w:hAnsi="Arial" w:cs="Arial"/>
                      <w:b/>
                      <w:bCs/>
                      <w:sz w:val="20"/>
                      <w:szCs w:val="20"/>
                      <w:lang w:eastAsia="en-GB"/>
                    </w:rPr>
                    <w:t>2</w:t>
                  </w:r>
                  <w:r w:rsidRPr="00DA5F44">
                    <w:rPr>
                      <w:rFonts w:ascii="Arial" w:eastAsia="Times New Roman" w:hAnsi="Arial" w:cs="Arial"/>
                      <w:b/>
                      <w:bCs/>
                      <w:sz w:val="20"/>
                      <w:szCs w:val="20"/>
                      <w:lang w:eastAsia="en-GB"/>
                    </w:rPr>
                    <w:t>%</w:t>
                  </w:r>
                </w:p>
              </w:tc>
              <w:tc>
                <w:tcPr>
                  <w:tcW w:w="1200" w:type="dxa"/>
                  <w:tcBorders>
                    <w:top w:val="nil"/>
                    <w:left w:val="nil"/>
                    <w:bottom w:val="nil"/>
                    <w:right w:val="nil"/>
                  </w:tcBorders>
                  <w:shd w:val="clear" w:color="auto" w:fill="auto"/>
                  <w:noWrap/>
                  <w:vAlign w:val="center"/>
                  <w:hideMark/>
                </w:tcPr>
                <w:p w14:paraId="7EB13493" w14:textId="77777777" w:rsidR="00416FDD" w:rsidRPr="00416FDD" w:rsidRDefault="00416FDD" w:rsidP="00416FDD">
                  <w:pPr>
                    <w:spacing w:after="0" w:line="240" w:lineRule="auto"/>
                    <w:jc w:val="right"/>
                    <w:rPr>
                      <w:rFonts w:ascii="Arial" w:eastAsia="Times New Roman" w:hAnsi="Arial" w:cs="Arial"/>
                      <w:sz w:val="20"/>
                      <w:szCs w:val="20"/>
                      <w:lang w:eastAsia="en-GB"/>
                    </w:rPr>
                  </w:pPr>
                  <w:r w:rsidRPr="00416FDD">
                    <w:rPr>
                      <w:rFonts w:ascii="Arial" w:eastAsia="Times New Roman" w:hAnsi="Arial" w:cs="Arial"/>
                      <w:sz w:val="20"/>
                      <w:szCs w:val="20"/>
                      <w:lang w:eastAsia="en-GB"/>
                    </w:rPr>
                    <w:t>2.3%</w:t>
                  </w:r>
                </w:p>
              </w:tc>
            </w:tr>
            <w:tr w:rsidR="00416FDD" w:rsidRPr="00DA5F44" w14:paraId="183B53CC" w14:textId="77777777" w:rsidTr="006647C2">
              <w:trPr>
                <w:trHeight w:val="255"/>
              </w:trPr>
              <w:tc>
                <w:tcPr>
                  <w:tcW w:w="3700" w:type="dxa"/>
                  <w:tcBorders>
                    <w:top w:val="nil"/>
                    <w:left w:val="nil"/>
                    <w:bottom w:val="nil"/>
                    <w:right w:val="nil"/>
                  </w:tcBorders>
                  <w:shd w:val="clear" w:color="auto" w:fill="auto"/>
                  <w:noWrap/>
                  <w:vAlign w:val="center"/>
                </w:tcPr>
                <w:p w14:paraId="402BA520" w14:textId="77777777" w:rsidR="00416FDD" w:rsidRPr="00DA5F44" w:rsidRDefault="00416FDD" w:rsidP="00416FDD">
                  <w:pPr>
                    <w:spacing w:after="0" w:line="240" w:lineRule="auto"/>
                    <w:rPr>
                      <w:rFonts w:ascii="Arial" w:eastAsia="Times New Roman" w:hAnsi="Arial" w:cs="Arial"/>
                      <w:sz w:val="20"/>
                      <w:szCs w:val="20"/>
                      <w:lang w:eastAsia="en-GB"/>
                    </w:rPr>
                  </w:pPr>
                  <w:r w:rsidRPr="00DA5F44">
                    <w:rPr>
                      <w:rFonts w:ascii="Arial" w:eastAsia="Times New Roman" w:hAnsi="Arial" w:cs="Arial"/>
                      <w:sz w:val="20"/>
                      <w:szCs w:val="20"/>
                      <w:lang w:eastAsia="en-GB"/>
                    </w:rPr>
                    <w:t>Rate of inflation</w:t>
                  </w:r>
                </w:p>
              </w:tc>
              <w:tc>
                <w:tcPr>
                  <w:tcW w:w="443" w:type="dxa"/>
                  <w:tcBorders>
                    <w:top w:val="nil"/>
                    <w:left w:val="nil"/>
                    <w:bottom w:val="nil"/>
                    <w:right w:val="nil"/>
                  </w:tcBorders>
                  <w:shd w:val="clear" w:color="auto" w:fill="auto"/>
                  <w:noWrap/>
                  <w:vAlign w:val="bottom"/>
                </w:tcPr>
                <w:p w14:paraId="656A945D" w14:textId="77777777" w:rsidR="00416FDD" w:rsidRPr="00DA5F44" w:rsidRDefault="00416FDD" w:rsidP="00416FDD">
                  <w:pPr>
                    <w:spacing w:after="0" w:line="240" w:lineRule="auto"/>
                    <w:rPr>
                      <w:rFonts w:ascii="Arial" w:eastAsia="Times New Roman" w:hAnsi="Arial" w:cs="Arial"/>
                      <w:sz w:val="20"/>
                      <w:szCs w:val="20"/>
                      <w:lang w:eastAsia="en-GB"/>
                    </w:rPr>
                  </w:pPr>
                </w:p>
              </w:tc>
              <w:tc>
                <w:tcPr>
                  <w:tcW w:w="1200" w:type="dxa"/>
                  <w:tcBorders>
                    <w:top w:val="nil"/>
                    <w:left w:val="nil"/>
                    <w:bottom w:val="nil"/>
                    <w:right w:val="nil"/>
                  </w:tcBorders>
                  <w:shd w:val="clear" w:color="auto" w:fill="auto"/>
                  <w:noWrap/>
                  <w:vAlign w:val="bottom"/>
                </w:tcPr>
                <w:p w14:paraId="44CAA886" w14:textId="77777777" w:rsidR="00416FDD" w:rsidRPr="00DA5F44" w:rsidRDefault="00416FDD" w:rsidP="00416FDD">
                  <w:pPr>
                    <w:spacing w:after="0" w:line="240" w:lineRule="auto"/>
                    <w:rPr>
                      <w:rFonts w:ascii="Times New Roman" w:eastAsia="Times New Roman" w:hAnsi="Times New Roman" w:cs="Times New Roman"/>
                      <w:sz w:val="20"/>
                      <w:szCs w:val="20"/>
                      <w:lang w:eastAsia="en-GB"/>
                    </w:rPr>
                  </w:pPr>
                </w:p>
              </w:tc>
              <w:tc>
                <w:tcPr>
                  <w:tcW w:w="1200" w:type="dxa"/>
                  <w:tcBorders>
                    <w:top w:val="nil"/>
                    <w:left w:val="nil"/>
                    <w:bottom w:val="nil"/>
                    <w:right w:val="nil"/>
                  </w:tcBorders>
                  <w:shd w:val="clear" w:color="auto" w:fill="auto"/>
                  <w:noWrap/>
                  <w:vAlign w:val="bottom"/>
                </w:tcPr>
                <w:p w14:paraId="2DAFF65F" w14:textId="77777777" w:rsidR="00416FDD" w:rsidRPr="00DA5F44" w:rsidRDefault="00416FDD" w:rsidP="00416FDD">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tcPr>
                <w:p w14:paraId="528B5E3F" w14:textId="77777777" w:rsidR="00416FDD" w:rsidRPr="00DA5F44" w:rsidRDefault="00416FDD" w:rsidP="00416FDD">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2.</w:t>
                  </w:r>
                  <w:r w:rsidR="00FF0663">
                    <w:rPr>
                      <w:rFonts w:ascii="Arial" w:eastAsia="Times New Roman" w:hAnsi="Arial" w:cs="Arial"/>
                      <w:b/>
                      <w:bCs/>
                      <w:sz w:val="20"/>
                      <w:szCs w:val="20"/>
                      <w:lang w:eastAsia="en-GB"/>
                    </w:rPr>
                    <w:t>2</w:t>
                  </w:r>
                  <w:r>
                    <w:rPr>
                      <w:rFonts w:ascii="Arial" w:eastAsia="Times New Roman" w:hAnsi="Arial" w:cs="Arial"/>
                      <w:b/>
                      <w:bCs/>
                      <w:sz w:val="20"/>
                      <w:szCs w:val="20"/>
                      <w:lang w:eastAsia="en-GB"/>
                    </w:rPr>
                    <w:t>%</w:t>
                  </w:r>
                </w:p>
              </w:tc>
              <w:tc>
                <w:tcPr>
                  <w:tcW w:w="1200" w:type="dxa"/>
                  <w:tcBorders>
                    <w:top w:val="nil"/>
                    <w:left w:val="nil"/>
                    <w:bottom w:val="nil"/>
                    <w:right w:val="nil"/>
                  </w:tcBorders>
                  <w:shd w:val="clear" w:color="auto" w:fill="auto"/>
                  <w:noWrap/>
                  <w:vAlign w:val="center"/>
                </w:tcPr>
                <w:p w14:paraId="47AB7885" w14:textId="77777777" w:rsidR="00416FDD" w:rsidRPr="00416FDD" w:rsidRDefault="00416FDD" w:rsidP="00416FDD">
                  <w:pPr>
                    <w:spacing w:after="0" w:line="240" w:lineRule="auto"/>
                    <w:jc w:val="right"/>
                    <w:rPr>
                      <w:rFonts w:ascii="Arial" w:eastAsia="Times New Roman" w:hAnsi="Arial" w:cs="Arial"/>
                      <w:sz w:val="20"/>
                      <w:szCs w:val="20"/>
                      <w:lang w:eastAsia="en-GB"/>
                    </w:rPr>
                  </w:pPr>
                  <w:r w:rsidRPr="00416FDD">
                    <w:rPr>
                      <w:rFonts w:ascii="Arial" w:eastAsia="Times New Roman" w:hAnsi="Arial" w:cs="Arial"/>
                      <w:bCs/>
                      <w:sz w:val="20"/>
                      <w:szCs w:val="20"/>
                      <w:lang w:eastAsia="en-GB"/>
                    </w:rPr>
                    <w:t>2.3%</w:t>
                  </w:r>
                </w:p>
              </w:tc>
            </w:tr>
            <w:tr w:rsidR="00416FDD" w:rsidRPr="00DA5F44" w14:paraId="4460F460" w14:textId="77777777" w:rsidTr="006647C2">
              <w:trPr>
                <w:trHeight w:val="255"/>
              </w:trPr>
              <w:tc>
                <w:tcPr>
                  <w:tcW w:w="3700" w:type="dxa"/>
                  <w:tcBorders>
                    <w:top w:val="nil"/>
                    <w:left w:val="nil"/>
                    <w:bottom w:val="nil"/>
                    <w:right w:val="nil"/>
                  </w:tcBorders>
                  <w:shd w:val="clear" w:color="auto" w:fill="auto"/>
                  <w:noWrap/>
                  <w:vAlign w:val="center"/>
                  <w:hideMark/>
                </w:tcPr>
                <w:p w14:paraId="370A658B" w14:textId="77777777" w:rsidR="00416FDD" w:rsidRPr="00DA5F44" w:rsidRDefault="00416FDD" w:rsidP="00416FDD">
                  <w:pPr>
                    <w:spacing w:after="0" w:line="240" w:lineRule="auto"/>
                    <w:rPr>
                      <w:rFonts w:ascii="Arial" w:eastAsia="Times New Roman" w:hAnsi="Arial" w:cs="Arial"/>
                      <w:sz w:val="20"/>
                      <w:szCs w:val="20"/>
                      <w:lang w:eastAsia="en-GB"/>
                    </w:rPr>
                  </w:pPr>
                  <w:r w:rsidRPr="00DA5F44">
                    <w:rPr>
                      <w:rFonts w:ascii="Arial" w:eastAsia="Times New Roman" w:hAnsi="Arial" w:cs="Arial"/>
                      <w:sz w:val="20"/>
                      <w:szCs w:val="20"/>
                      <w:lang w:eastAsia="en-GB"/>
                    </w:rPr>
                    <w:t>Discount rate</w:t>
                  </w:r>
                </w:p>
              </w:tc>
              <w:tc>
                <w:tcPr>
                  <w:tcW w:w="443" w:type="dxa"/>
                  <w:tcBorders>
                    <w:top w:val="nil"/>
                    <w:left w:val="nil"/>
                    <w:bottom w:val="nil"/>
                    <w:right w:val="nil"/>
                  </w:tcBorders>
                  <w:shd w:val="clear" w:color="auto" w:fill="auto"/>
                  <w:noWrap/>
                  <w:vAlign w:val="bottom"/>
                  <w:hideMark/>
                </w:tcPr>
                <w:p w14:paraId="24E65453" w14:textId="77777777" w:rsidR="00416FDD" w:rsidRPr="00DA5F44" w:rsidRDefault="00416FDD" w:rsidP="00416FDD">
                  <w:pPr>
                    <w:spacing w:after="0" w:line="240" w:lineRule="auto"/>
                    <w:rPr>
                      <w:rFonts w:ascii="Arial" w:eastAsia="Times New Roman" w:hAnsi="Arial" w:cs="Arial"/>
                      <w:sz w:val="20"/>
                      <w:szCs w:val="20"/>
                      <w:lang w:eastAsia="en-GB"/>
                    </w:rPr>
                  </w:pPr>
                </w:p>
              </w:tc>
              <w:tc>
                <w:tcPr>
                  <w:tcW w:w="1200" w:type="dxa"/>
                  <w:tcBorders>
                    <w:top w:val="nil"/>
                    <w:left w:val="nil"/>
                    <w:bottom w:val="nil"/>
                    <w:right w:val="nil"/>
                  </w:tcBorders>
                  <w:shd w:val="clear" w:color="auto" w:fill="auto"/>
                  <w:noWrap/>
                  <w:vAlign w:val="bottom"/>
                  <w:hideMark/>
                </w:tcPr>
                <w:p w14:paraId="333DAAED" w14:textId="77777777" w:rsidR="00416FDD" w:rsidRPr="00DA5F44" w:rsidRDefault="00416FDD" w:rsidP="00416FDD">
                  <w:pPr>
                    <w:spacing w:after="0" w:line="240" w:lineRule="auto"/>
                    <w:rPr>
                      <w:rFonts w:ascii="Times New Roman" w:eastAsia="Times New Roman" w:hAnsi="Times New Roman" w:cs="Times New Roman"/>
                      <w:sz w:val="20"/>
                      <w:szCs w:val="20"/>
                      <w:lang w:eastAsia="en-GB"/>
                    </w:rPr>
                  </w:pPr>
                </w:p>
              </w:tc>
              <w:tc>
                <w:tcPr>
                  <w:tcW w:w="1200" w:type="dxa"/>
                  <w:tcBorders>
                    <w:top w:val="nil"/>
                    <w:left w:val="nil"/>
                    <w:bottom w:val="nil"/>
                    <w:right w:val="nil"/>
                  </w:tcBorders>
                  <w:shd w:val="clear" w:color="auto" w:fill="auto"/>
                  <w:noWrap/>
                  <w:vAlign w:val="bottom"/>
                  <w:hideMark/>
                </w:tcPr>
                <w:p w14:paraId="5FD31778" w14:textId="77777777" w:rsidR="00416FDD" w:rsidRPr="00DA5F44" w:rsidRDefault="00416FDD" w:rsidP="00416FDD">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40383A79" w14:textId="77777777" w:rsidR="00416FDD" w:rsidRPr="00DA5F44" w:rsidRDefault="00416FDD" w:rsidP="00416FDD">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1.</w:t>
                  </w:r>
                  <w:r w:rsidR="00FF0663">
                    <w:rPr>
                      <w:rFonts w:ascii="Arial" w:eastAsia="Times New Roman" w:hAnsi="Arial" w:cs="Arial"/>
                      <w:b/>
                      <w:bCs/>
                      <w:sz w:val="20"/>
                      <w:szCs w:val="20"/>
                      <w:lang w:eastAsia="en-GB"/>
                    </w:rPr>
                    <w:t>7</w:t>
                  </w:r>
                  <w:r w:rsidRPr="00DA5F44">
                    <w:rPr>
                      <w:rFonts w:ascii="Arial" w:eastAsia="Times New Roman" w:hAnsi="Arial" w:cs="Arial"/>
                      <w:b/>
                      <w:bCs/>
                      <w:sz w:val="20"/>
                      <w:szCs w:val="20"/>
                      <w:lang w:eastAsia="en-GB"/>
                    </w:rPr>
                    <w:t>%</w:t>
                  </w:r>
                </w:p>
              </w:tc>
              <w:tc>
                <w:tcPr>
                  <w:tcW w:w="1200" w:type="dxa"/>
                  <w:tcBorders>
                    <w:top w:val="nil"/>
                    <w:left w:val="nil"/>
                    <w:bottom w:val="nil"/>
                    <w:right w:val="nil"/>
                  </w:tcBorders>
                  <w:shd w:val="clear" w:color="auto" w:fill="auto"/>
                  <w:noWrap/>
                  <w:vAlign w:val="center"/>
                  <w:hideMark/>
                </w:tcPr>
                <w:p w14:paraId="482812AB" w14:textId="77777777" w:rsidR="00416FDD" w:rsidRPr="00416FDD" w:rsidRDefault="00416FDD" w:rsidP="00416FDD">
                  <w:pPr>
                    <w:spacing w:after="0" w:line="240" w:lineRule="auto"/>
                    <w:jc w:val="right"/>
                    <w:rPr>
                      <w:rFonts w:ascii="Arial" w:eastAsia="Times New Roman" w:hAnsi="Arial" w:cs="Arial"/>
                      <w:sz w:val="20"/>
                      <w:szCs w:val="20"/>
                      <w:lang w:eastAsia="en-GB"/>
                    </w:rPr>
                  </w:pPr>
                  <w:r w:rsidRPr="00416FDD">
                    <w:rPr>
                      <w:rFonts w:ascii="Arial" w:eastAsia="Times New Roman" w:hAnsi="Arial" w:cs="Arial"/>
                      <w:bCs/>
                      <w:sz w:val="20"/>
                      <w:szCs w:val="20"/>
                      <w:lang w:eastAsia="en-GB"/>
                    </w:rPr>
                    <w:t>1.9%</w:t>
                  </w:r>
                </w:p>
              </w:tc>
            </w:tr>
            <w:tr w:rsidR="00416FDD" w:rsidRPr="00DA5F44" w14:paraId="4A61EA94" w14:textId="77777777" w:rsidTr="006647C2">
              <w:trPr>
                <w:trHeight w:val="255"/>
              </w:trPr>
              <w:tc>
                <w:tcPr>
                  <w:tcW w:w="3700" w:type="dxa"/>
                  <w:tcBorders>
                    <w:top w:val="nil"/>
                    <w:left w:val="nil"/>
                    <w:bottom w:val="nil"/>
                    <w:right w:val="nil"/>
                  </w:tcBorders>
                  <w:shd w:val="clear" w:color="auto" w:fill="auto"/>
                  <w:noWrap/>
                  <w:vAlign w:val="center"/>
                  <w:hideMark/>
                </w:tcPr>
                <w:p w14:paraId="568BE0F0" w14:textId="77777777" w:rsidR="00416FDD" w:rsidRPr="00DA5F44" w:rsidRDefault="00416FDD" w:rsidP="00416FDD">
                  <w:pPr>
                    <w:spacing w:after="0" w:line="240" w:lineRule="auto"/>
                    <w:rPr>
                      <w:rFonts w:ascii="Arial" w:eastAsia="Times New Roman" w:hAnsi="Arial" w:cs="Arial"/>
                      <w:sz w:val="20"/>
                      <w:szCs w:val="20"/>
                      <w:lang w:eastAsia="en-GB"/>
                    </w:rPr>
                  </w:pPr>
                </w:p>
              </w:tc>
              <w:tc>
                <w:tcPr>
                  <w:tcW w:w="443" w:type="dxa"/>
                  <w:tcBorders>
                    <w:top w:val="nil"/>
                    <w:left w:val="nil"/>
                    <w:bottom w:val="nil"/>
                    <w:right w:val="nil"/>
                  </w:tcBorders>
                  <w:shd w:val="clear" w:color="auto" w:fill="auto"/>
                  <w:noWrap/>
                  <w:vAlign w:val="bottom"/>
                  <w:hideMark/>
                </w:tcPr>
                <w:p w14:paraId="4F413DC4" w14:textId="77777777" w:rsidR="00416FDD" w:rsidRPr="00DA5F44" w:rsidRDefault="00416FDD" w:rsidP="00416FDD">
                  <w:pPr>
                    <w:spacing w:after="0" w:line="240" w:lineRule="auto"/>
                    <w:rPr>
                      <w:rFonts w:ascii="Times New Roman" w:eastAsia="Times New Roman" w:hAnsi="Times New Roman" w:cs="Times New Roman"/>
                      <w:sz w:val="20"/>
                      <w:szCs w:val="20"/>
                      <w:lang w:eastAsia="en-GB"/>
                    </w:rPr>
                  </w:pPr>
                </w:p>
              </w:tc>
              <w:tc>
                <w:tcPr>
                  <w:tcW w:w="1200" w:type="dxa"/>
                  <w:tcBorders>
                    <w:top w:val="nil"/>
                    <w:left w:val="nil"/>
                    <w:bottom w:val="nil"/>
                    <w:right w:val="nil"/>
                  </w:tcBorders>
                  <w:shd w:val="clear" w:color="auto" w:fill="auto"/>
                  <w:noWrap/>
                  <w:vAlign w:val="bottom"/>
                  <w:hideMark/>
                </w:tcPr>
                <w:p w14:paraId="14EB553B" w14:textId="77777777" w:rsidR="00416FDD" w:rsidRPr="00DA5F44" w:rsidRDefault="00416FDD" w:rsidP="00416FDD">
                  <w:pPr>
                    <w:spacing w:after="0" w:line="240" w:lineRule="auto"/>
                    <w:rPr>
                      <w:rFonts w:ascii="Times New Roman" w:eastAsia="Times New Roman" w:hAnsi="Times New Roman" w:cs="Times New Roman"/>
                      <w:sz w:val="20"/>
                      <w:szCs w:val="20"/>
                      <w:lang w:eastAsia="en-GB"/>
                    </w:rPr>
                  </w:pPr>
                </w:p>
              </w:tc>
              <w:tc>
                <w:tcPr>
                  <w:tcW w:w="1200" w:type="dxa"/>
                  <w:tcBorders>
                    <w:top w:val="nil"/>
                    <w:left w:val="nil"/>
                    <w:bottom w:val="nil"/>
                    <w:right w:val="nil"/>
                  </w:tcBorders>
                  <w:shd w:val="clear" w:color="auto" w:fill="auto"/>
                  <w:noWrap/>
                  <w:vAlign w:val="bottom"/>
                  <w:hideMark/>
                </w:tcPr>
                <w:p w14:paraId="233187C9" w14:textId="77777777" w:rsidR="00416FDD" w:rsidRPr="00DA5F44" w:rsidRDefault="00416FDD" w:rsidP="00416FDD">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3E32EB35" w14:textId="77777777" w:rsidR="00416FDD" w:rsidRPr="00DA5F44" w:rsidRDefault="00416FDD" w:rsidP="00416FDD">
                  <w:pPr>
                    <w:spacing w:after="0" w:line="240" w:lineRule="auto"/>
                    <w:jc w:val="right"/>
                    <w:rPr>
                      <w:rFonts w:ascii="Times New Roman" w:eastAsia="Times New Roman" w:hAnsi="Times New Roman" w:cs="Times New Roman"/>
                      <w:sz w:val="20"/>
                      <w:szCs w:val="20"/>
                      <w:lang w:eastAsia="en-GB"/>
                    </w:rPr>
                  </w:pPr>
                </w:p>
              </w:tc>
              <w:tc>
                <w:tcPr>
                  <w:tcW w:w="1200" w:type="dxa"/>
                  <w:tcBorders>
                    <w:top w:val="nil"/>
                    <w:left w:val="nil"/>
                    <w:bottom w:val="nil"/>
                    <w:right w:val="nil"/>
                  </w:tcBorders>
                  <w:shd w:val="clear" w:color="auto" w:fill="auto"/>
                  <w:noWrap/>
                  <w:vAlign w:val="center"/>
                  <w:hideMark/>
                </w:tcPr>
                <w:p w14:paraId="42762B24" w14:textId="77777777" w:rsidR="00416FDD" w:rsidRPr="00416FDD" w:rsidRDefault="00416FDD" w:rsidP="00416FDD">
                  <w:pPr>
                    <w:spacing w:after="0" w:line="240" w:lineRule="auto"/>
                    <w:jc w:val="right"/>
                    <w:rPr>
                      <w:rFonts w:ascii="Times New Roman" w:eastAsia="Times New Roman" w:hAnsi="Times New Roman" w:cs="Times New Roman"/>
                      <w:sz w:val="20"/>
                      <w:szCs w:val="20"/>
                      <w:lang w:eastAsia="en-GB"/>
                    </w:rPr>
                  </w:pPr>
                </w:p>
              </w:tc>
            </w:tr>
            <w:tr w:rsidR="00416FDD" w:rsidRPr="00DA5F44" w14:paraId="652E069F" w14:textId="77777777" w:rsidTr="006647C2">
              <w:trPr>
                <w:trHeight w:val="255"/>
              </w:trPr>
              <w:tc>
                <w:tcPr>
                  <w:tcW w:w="5345" w:type="dxa"/>
                  <w:gridSpan w:val="3"/>
                  <w:tcBorders>
                    <w:top w:val="nil"/>
                    <w:left w:val="nil"/>
                    <w:bottom w:val="nil"/>
                    <w:right w:val="nil"/>
                  </w:tcBorders>
                  <w:shd w:val="clear" w:color="auto" w:fill="auto"/>
                  <w:noWrap/>
                  <w:vAlign w:val="center"/>
                  <w:hideMark/>
                </w:tcPr>
                <w:p w14:paraId="29711C30" w14:textId="77777777" w:rsidR="00416FDD" w:rsidRPr="00DA5F44" w:rsidRDefault="00416FDD" w:rsidP="00416FDD">
                  <w:pPr>
                    <w:spacing w:after="0" w:line="240" w:lineRule="auto"/>
                    <w:rPr>
                      <w:rFonts w:ascii="Arial" w:eastAsia="Times New Roman" w:hAnsi="Arial" w:cs="Arial"/>
                      <w:sz w:val="20"/>
                      <w:szCs w:val="20"/>
                      <w:lang w:eastAsia="en-GB"/>
                    </w:rPr>
                  </w:pPr>
                  <w:r w:rsidRPr="00DA5F44">
                    <w:rPr>
                      <w:rFonts w:ascii="Arial" w:eastAsia="Times New Roman" w:hAnsi="Arial" w:cs="Arial"/>
                      <w:sz w:val="20"/>
                      <w:szCs w:val="20"/>
                      <w:lang w:eastAsia="en-GB"/>
                    </w:rPr>
                    <w:t>The mortality assumptions used were as follows:</w:t>
                  </w:r>
                </w:p>
              </w:tc>
              <w:tc>
                <w:tcPr>
                  <w:tcW w:w="1200" w:type="dxa"/>
                  <w:tcBorders>
                    <w:top w:val="nil"/>
                    <w:left w:val="nil"/>
                    <w:bottom w:val="nil"/>
                    <w:right w:val="nil"/>
                  </w:tcBorders>
                  <w:shd w:val="clear" w:color="auto" w:fill="auto"/>
                  <w:noWrap/>
                  <w:vAlign w:val="bottom"/>
                  <w:hideMark/>
                </w:tcPr>
                <w:p w14:paraId="735330E8" w14:textId="77777777" w:rsidR="00416FDD" w:rsidRPr="00DA5F44" w:rsidRDefault="00416FDD" w:rsidP="00416FDD">
                  <w:pPr>
                    <w:spacing w:after="0" w:line="240" w:lineRule="auto"/>
                    <w:rPr>
                      <w:rFonts w:ascii="Arial" w:eastAsia="Times New Roman" w:hAnsi="Arial" w:cs="Arial"/>
                      <w:sz w:val="20"/>
                      <w:szCs w:val="20"/>
                      <w:lang w:eastAsia="en-GB"/>
                    </w:rPr>
                  </w:pPr>
                </w:p>
              </w:tc>
              <w:tc>
                <w:tcPr>
                  <w:tcW w:w="1300" w:type="dxa"/>
                  <w:tcBorders>
                    <w:top w:val="nil"/>
                    <w:left w:val="nil"/>
                    <w:bottom w:val="nil"/>
                    <w:right w:val="nil"/>
                  </w:tcBorders>
                  <w:shd w:val="clear" w:color="auto" w:fill="auto"/>
                  <w:noWrap/>
                  <w:vAlign w:val="center"/>
                  <w:hideMark/>
                </w:tcPr>
                <w:p w14:paraId="59881B75" w14:textId="77777777" w:rsidR="00416FDD" w:rsidRPr="00DA5F44" w:rsidRDefault="00416FDD" w:rsidP="00416FDD">
                  <w:pPr>
                    <w:spacing w:after="0" w:line="240" w:lineRule="auto"/>
                    <w:jc w:val="right"/>
                    <w:rPr>
                      <w:rFonts w:ascii="Times New Roman" w:eastAsia="Times New Roman" w:hAnsi="Times New Roman" w:cs="Times New Roman"/>
                      <w:sz w:val="20"/>
                      <w:szCs w:val="20"/>
                      <w:lang w:eastAsia="en-GB"/>
                    </w:rPr>
                  </w:pPr>
                </w:p>
              </w:tc>
              <w:tc>
                <w:tcPr>
                  <w:tcW w:w="1200" w:type="dxa"/>
                  <w:tcBorders>
                    <w:top w:val="nil"/>
                    <w:left w:val="nil"/>
                    <w:bottom w:val="nil"/>
                    <w:right w:val="nil"/>
                  </w:tcBorders>
                  <w:shd w:val="clear" w:color="auto" w:fill="auto"/>
                  <w:noWrap/>
                  <w:vAlign w:val="center"/>
                  <w:hideMark/>
                </w:tcPr>
                <w:p w14:paraId="559235FD" w14:textId="77777777" w:rsidR="00416FDD" w:rsidRPr="00416FDD" w:rsidRDefault="00416FDD" w:rsidP="00416FDD">
                  <w:pPr>
                    <w:spacing w:after="0" w:line="240" w:lineRule="auto"/>
                    <w:jc w:val="right"/>
                    <w:rPr>
                      <w:rFonts w:ascii="Times New Roman" w:eastAsia="Times New Roman" w:hAnsi="Times New Roman" w:cs="Times New Roman"/>
                      <w:sz w:val="20"/>
                      <w:szCs w:val="20"/>
                      <w:lang w:eastAsia="en-GB"/>
                    </w:rPr>
                  </w:pPr>
                </w:p>
              </w:tc>
            </w:tr>
            <w:tr w:rsidR="00416FDD" w:rsidRPr="00DA5F44" w14:paraId="506D8072" w14:textId="77777777" w:rsidTr="006647C2">
              <w:trPr>
                <w:trHeight w:val="255"/>
              </w:trPr>
              <w:tc>
                <w:tcPr>
                  <w:tcW w:w="3700" w:type="dxa"/>
                  <w:tcBorders>
                    <w:top w:val="nil"/>
                    <w:left w:val="nil"/>
                    <w:bottom w:val="nil"/>
                    <w:right w:val="nil"/>
                  </w:tcBorders>
                  <w:shd w:val="clear" w:color="auto" w:fill="auto"/>
                  <w:noWrap/>
                  <w:vAlign w:val="center"/>
                  <w:hideMark/>
                </w:tcPr>
                <w:p w14:paraId="31C0E831" w14:textId="77777777" w:rsidR="00416FDD" w:rsidRPr="00DA5F44" w:rsidRDefault="00416FDD" w:rsidP="00416FDD">
                  <w:pPr>
                    <w:spacing w:after="0" w:line="240" w:lineRule="auto"/>
                    <w:rPr>
                      <w:rFonts w:ascii="Times New Roman" w:eastAsia="Times New Roman" w:hAnsi="Times New Roman" w:cs="Times New Roman"/>
                      <w:sz w:val="20"/>
                      <w:szCs w:val="20"/>
                      <w:lang w:eastAsia="en-GB"/>
                    </w:rPr>
                  </w:pPr>
                </w:p>
              </w:tc>
              <w:tc>
                <w:tcPr>
                  <w:tcW w:w="443" w:type="dxa"/>
                  <w:tcBorders>
                    <w:top w:val="nil"/>
                    <w:left w:val="nil"/>
                    <w:bottom w:val="nil"/>
                    <w:right w:val="nil"/>
                  </w:tcBorders>
                  <w:shd w:val="clear" w:color="auto" w:fill="auto"/>
                  <w:noWrap/>
                  <w:vAlign w:val="bottom"/>
                  <w:hideMark/>
                </w:tcPr>
                <w:p w14:paraId="50985EE4" w14:textId="77777777" w:rsidR="00416FDD" w:rsidRPr="00DA5F44" w:rsidRDefault="00416FDD" w:rsidP="00416FDD">
                  <w:pPr>
                    <w:spacing w:after="0" w:line="240" w:lineRule="auto"/>
                    <w:rPr>
                      <w:rFonts w:ascii="Times New Roman" w:eastAsia="Times New Roman" w:hAnsi="Times New Roman" w:cs="Times New Roman"/>
                      <w:sz w:val="20"/>
                      <w:szCs w:val="20"/>
                      <w:lang w:eastAsia="en-GB"/>
                    </w:rPr>
                  </w:pPr>
                </w:p>
              </w:tc>
              <w:tc>
                <w:tcPr>
                  <w:tcW w:w="1200" w:type="dxa"/>
                  <w:tcBorders>
                    <w:top w:val="nil"/>
                    <w:left w:val="nil"/>
                    <w:bottom w:val="nil"/>
                    <w:right w:val="nil"/>
                  </w:tcBorders>
                  <w:shd w:val="clear" w:color="auto" w:fill="auto"/>
                  <w:noWrap/>
                  <w:vAlign w:val="bottom"/>
                  <w:hideMark/>
                </w:tcPr>
                <w:p w14:paraId="007D286C" w14:textId="77777777" w:rsidR="00416FDD" w:rsidRPr="00DA5F44" w:rsidRDefault="00416FDD" w:rsidP="00416FDD">
                  <w:pPr>
                    <w:spacing w:after="0" w:line="240" w:lineRule="auto"/>
                    <w:rPr>
                      <w:rFonts w:ascii="Times New Roman" w:eastAsia="Times New Roman" w:hAnsi="Times New Roman" w:cs="Times New Roman"/>
                      <w:sz w:val="20"/>
                      <w:szCs w:val="20"/>
                      <w:lang w:eastAsia="en-GB"/>
                    </w:rPr>
                  </w:pPr>
                </w:p>
              </w:tc>
              <w:tc>
                <w:tcPr>
                  <w:tcW w:w="1200" w:type="dxa"/>
                  <w:tcBorders>
                    <w:top w:val="nil"/>
                    <w:left w:val="nil"/>
                    <w:bottom w:val="nil"/>
                    <w:right w:val="nil"/>
                  </w:tcBorders>
                  <w:shd w:val="clear" w:color="auto" w:fill="auto"/>
                  <w:noWrap/>
                  <w:vAlign w:val="bottom"/>
                  <w:hideMark/>
                </w:tcPr>
                <w:p w14:paraId="5C8477AC" w14:textId="77777777" w:rsidR="00416FDD" w:rsidRPr="00DA5F44" w:rsidRDefault="00416FDD" w:rsidP="00416FDD">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60EFE36A" w14:textId="77777777" w:rsidR="00416FDD" w:rsidRPr="00DA5F44" w:rsidRDefault="00416FDD" w:rsidP="00416FDD">
                  <w:pPr>
                    <w:spacing w:after="0" w:line="240" w:lineRule="auto"/>
                    <w:jc w:val="right"/>
                    <w:rPr>
                      <w:rFonts w:ascii="Times New Roman" w:eastAsia="Times New Roman" w:hAnsi="Times New Roman" w:cs="Times New Roman"/>
                      <w:sz w:val="20"/>
                      <w:szCs w:val="20"/>
                      <w:lang w:eastAsia="en-GB"/>
                    </w:rPr>
                  </w:pPr>
                </w:p>
              </w:tc>
              <w:tc>
                <w:tcPr>
                  <w:tcW w:w="1200" w:type="dxa"/>
                  <w:tcBorders>
                    <w:top w:val="nil"/>
                    <w:left w:val="nil"/>
                    <w:bottom w:val="nil"/>
                    <w:right w:val="nil"/>
                  </w:tcBorders>
                  <w:shd w:val="clear" w:color="auto" w:fill="auto"/>
                  <w:noWrap/>
                  <w:vAlign w:val="center"/>
                  <w:hideMark/>
                </w:tcPr>
                <w:p w14:paraId="6DF44E52" w14:textId="77777777" w:rsidR="00416FDD" w:rsidRPr="00416FDD" w:rsidRDefault="00416FDD" w:rsidP="00416FDD">
                  <w:pPr>
                    <w:spacing w:after="0" w:line="240" w:lineRule="auto"/>
                    <w:jc w:val="right"/>
                    <w:rPr>
                      <w:rFonts w:ascii="Times New Roman" w:eastAsia="Times New Roman" w:hAnsi="Times New Roman" w:cs="Times New Roman"/>
                      <w:sz w:val="20"/>
                      <w:szCs w:val="20"/>
                      <w:lang w:eastAsia="en-GB"/>
                    </w:rPr>
                  </w:pPr>
                </w:p>
              </w:tc>
            </w:tr>
            <w:tr w:rsidR="00416FDD" w:rsidRPr="00DA5F44" w14:paraId="79AFCEEC" w14:textId="77777777" w:rsidTr="006647C2">
              <w:trPr>
                <w:trHeight w:val="255"/>
              </w:trPr>
              <w:tc>
                <w:tcPr>
                  <w:tcW w:w="3700" w:type="dxa"/>
                  <w:tcBorders>
                    <w:top w:val="nil"/>
                    <w:left w:val="nil"/>
                    <w:bottom w:val="nil"/>
                    <w:right w:val="nil"/>
                  </w:tcBorders>
                  <w:shd w:val="clear" w:color="auto" w:fill="auto"/>
                  <w:noWrap/>
                  <w:vAlign w:val="center"/>
                  <w:hideMark/>
                </w:tcPr>
                <w:p w14:paraId="13E57B8B" w14:textId="77777777" w:rsidR="00416FDD" w:rsidRPr="00DA5F44" w:rsidRDefault="00416FDD" w:rsidP="00416FDD">
                  <w:pPr>
                    <w:spacing w:after="0" w:line="240" w:lineRule="auto"/>
                    <w:rPr>
                      <w:rFonts w:ascii="Arial" w:eastAsia="Times New Roman" w:hAnsi="Arial" w:cs="Arial"/>
                      <w:sz w:val="20"/>
                      <w:szCs w:val="20"/>
                      <w:lang w:eastAsia="en-GB"/>
                    </w:rPr>
                  </w:pPr>
                  <w:r w:rsidRPr="00DA5F44">
                    <w:rPr>
                      <w:rFonts w:ascii="Arial" w:eastAsia="Times New Roman" w:hAnsi="Arial" w:cs="Arial"/>
                      <w:sz w:val="20"/>
                      <w:szCs w:val="20"/>
                      <w:lang w:eastAsia="en-GB"/>
                    </w:rPr>
                    <w:t>Longevity at age 65 for current pen</w:t>
                  </w:r>
                  <w:r>
                    <w:rPr>
                      <w:rFonts w:ascii="Arial" w:eastAsia="Times New Roman" w:hAnsi="Arial" w:cs="Arial"/>
                      <w:sz w:val="20"/>
                      <w:szCs w:val="20"/>
                      <w:lang w:eastAsia="en-GB"/>
                    </w:rPr>
                    <w:t>s</w:t>
                  </w:r>
                  <w:r w:rsidRPr="00DA5F44">
                    <w:rPr>
                      <w:rFonts w:ascii="Arial" w:eastAsia="Times New Roman" w:hAnsi="Arial" w:cs="Arial"/>
                      <w:sz w:val="20"/>
                      <w:szCs w:val="20"/>
                      <w:lang w:eastAsia="en-GB"/>
                    </w:rPr>
                    <w:t>ioners</w:t>
                  </w:r>
                </w:p>
              </w:tc>
              <w:tc>
                <w:tcPr>
                  <w:tcW w:w="443" w:type="dxa"/>
                  <w:tcBorders>
                    <w:top w:val="nil"/>
                    <w:left w:val="nil"/>
                    <w:bottom w:val="nil"/>
                    <w:right w:val="nil"/>
                  </w:tcBorders>
                  <w:shd w:val="clear" w:color="auto" w:fill="auto"/>
                  <w:noWrap/>
                  <w:vAlign w:val="bottom"/>
                  <w:hideMark/>
                </w:tcPr>
                <w:p w14:paraId="65C14D13" w14:textId="77777777" w:rsidR="00416FDD" w:rsidRPr="00DA5F44" w:rsidRDefault="00416FDD" w:rsidP="00416FDD">
                  <w:pPr>
                    <w:spacing w:after="0" w:line="240" w:lineRule="auto"/>
                    <w:rPr>
                      <w:rFonts w:ascii="Arial" w:eastAsia="Times New Roman" w:hAnsi="Arial" w:cs="Arial"/>
                      <w:sz w:val="20"/>
                      <w:szCs w:val="20"/>
                      <w:lang w:eastAsia="en-GB"/>
                    </w:rPr>
                  </w:pPr>
                </w:p>
              </w:tc>
              <w:tc>
                <w:tcPr>
                  <w:tcW w:w="1200" w:type="dxa"/>
                  <w:tcBorders>
                    <w:top w:val="nil"/>
                    <w:left w:val="nil"/>
                    <w:bottom w:val="nil"/>
                    <w:right w:val="nil"/>
                  </w:tcBorders>
                  <w:shd w:val="clear" w:color="auto" w:fill="auto"/>
                  <w:noWrap/>
                  <w:vAlign w:val="bottom"/>
                  <w:hideMark/>
                </w:tcPr>
                <w:p w14:paraId="43B6B9FA" w14:textId="77777777" w:rsidR="00416FDD" w:rsidRPr="00DA5F44" w:rsidRDefault="00416FDD" w:rsidP="00416FDD">
                  <w:pPr>
                    <w:spacing w:after="0" w:line="240" w:lineRule="auto"/>
                    <w:rPr>
                      <w:rFonts w:ascii="Times New Roman" w:eastAsia="Times New Roman" w:hAnsi="Times New Roman" w:cs="Times New Roman"/>
                      <w:sz w:val="20"/>
                      <w:szCs w:val="20"/>
                      <w:lang w:eastAsia="en-GB"/>
                    </w:rPr>
                  </w:pPr>
                </w:p>
              </w:tc>
              <w:tc>
                <w:tcPr>
                  <w:tcW w:w="1200" w:type="dxa"/>
                  <w:tcBorders>
                    <w:top w:val="nil"/>
                    <w:left w:val="nil"/>
                    <w:bottom w:val="nil"/>
                    <w:right w:val="nil"/>
                  </w:tcBorders>
                  <w:shd w:val="clear" w:color="auto" w:fill="auto"/>
                  <w:noWrap/>
                  <w:vAlign w:val="bottom"/>
                  <w:hideMark/>
                </w:tcPr>
                <w:p w14:paraId="5409911F" w14:textId="77777777" w:rsidR="00416FDD" w:rsidRPr="00DA5F44" w:rsidRDefault="00416FDD" w:rsidP="00416FDD">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0E114248" w14:textId="77777777" w:rsidR="00416FDD" w:rsidRPr="00DA5F44" w:rsidRDefault="00416FDD" w:rsidP="00416FDD">
                  <w:pPr>
                    <w:spacing w:after="0" w:line="240" w:lineRule="auto"/>
                    <w:jc w:val="right"/>
                    <w:rPr>
                      <w:rFonts w:ascii="Times New Roman" w:eastAsia="Times New Roman" w:hAnsi="Times New Roman" w:cs="Times New Roman"/>
                      <w:sz w:val="20"/>
                      <w:szCs w:val="20"/>
                      <w:lang w:eastAsia="en-GB"/>
                    </w:rPr>
                  </w:pPr>
                </w:p>
              </w:tc>
              <w:tc>
                <w:tcPr>
                  <w:tcW w:w="1200" w:type="dxa"/>
                  <w:tcBorders>
                    <w:top w:val="nil"/>
                    <w:left w:val="nil"/>
                    <w:bottom w:val="nil"/>
                    <w:right w:val="nil"/>
                  </w:tcBorders>
                  <w:shd w:val="clear" w:color="auto" w:fill="auto"/>
                  <w:noWrap/>
                  <w:vAlign w:val="center"/>
                  <w:hideMark/>
                </w:tcPr>
                <w:p w14:paraId="47288CD6" w14:textId="77777777" w:rsidR="00416FDD" w:rsidRPr="00416FDD" w:rsidRDefault="00416FDD" w:rsidP="00416FDD">
                  <w:pPr>
                    <w:spacing w:after="0" w:line="240" w:lineRule="auto"/>
                    <w:jc w:val="right"/>
                    <w:rPr>
                      <w:rFonts w:ascii="Times New Roman" w:eastAsia="Times New Roman" w:hAnsi="Times New Roman" w:cs="Times New Roman"/>
                      <w:sz w:val="20"/>
                      <w:szCs w:val="20"/>
                      <w:lang w:eastAsia="en-GB"/>
                    </w:rPr>
                  </w:pPr>
                </w:p>
              </w:tc>
            </w:tr>
            <w:tr w:rsidR="00416FDD" w:rsidRPr="00DA5F44" w14:paraId="7772BA17" w14:textId="77777777" w:rsidTr="006647C2">
              <w:trPr>
                <w:trHeight w:val="255"/>
              </w:trPr>
              <w:tc>
                <w:tcPr>
                  <w:tcW w:w="3700" w:type="dxa"/>
                  <w:tcBorders>
                    <w:top w:val="nil"/>
                    <w:left w:val="nil"/>
                    <w:bottom w:val="nil"/>
                    <w:right w:val="nil"/>
                  </w:tcBorders>
                  <w:shd w:val="clear" w:color="auto" w:fill="auto"/>
                  <w:noWrap/>
                  <w:vAlign w:val="center"/>
                  <w:hideMark/>
                </w:tcPr>
                <w:p w14:paraId="68A22420" w14:textId="77777777" w:rsidR="00416FDD" w:rsidRPr="00DA5F44" w:rsidRDefault="00416FDD" w:rsidP="00416FDD">
                  <w:pPr>
                    <w:spacing w:after="0" w:line="240" w:lineRule="auto"/>
                    <w:rPr>
                      <w:rFonts w:ascii="Arial" w:eastAsia="Times New Roman" w:hAnsi="Arial" w:cs="Arial"/>
                      <w:sz w:val="20"/>
                      <w:szCs w:val="20"/>
                      <w:lang w:eastAsia="en-GB"/>
                    </w:rPr>
                  </w:pPr>
                  <w:r w:rsidRPr="00DA5F44">
                    <w:rPr>
                      <w:rFonts w:ascii="Arial" w:eastAsia="Times New Roman" w:hAnsi="Arial" w:cs="Arial"/>
                      <w:sz w:val="20"/>
                      <w:szCs w:val="20"/>
                      <w:lang w:eastAsia="en-GB"/>
                    </w:rPr>
                    <w:t>- Men</w:t>
                  </w:r>
                </w:p>
              </w:tc>
              <w:tc>
                <w:tcPr>
                  <w:tcW w:w="443" w:type="dxa"/>
                  <w:tcBorders>
                    <w:top w:val="nil"/>
                    <w:left w:val="nil"/>
                    <w:bottom w:val="nil"/>
                    <w:right w:val="nil"/>
                  </w:tcBorders>
                  <w:shd w:val="clear" w:color="auto" w:fill="auto"/>
                  <w:noWrap/>
                  <w:vAlign w:val="bottom"/>
                  <w:hideMark/>
                </w:tcPr>
                <w:p w14:paraId="2F50CB26" w14:textId="77777777" w:rsidR="00416FDD" w:rsidRPr="00DA5F44" w:rsidRDefault="00416FDD" w:rsidP="00416FDD">
                  <w:pPr>
                    <w:spacing w:after="0" w:line="240" w:lineRule="auto"/>
                    <w:rPr>
                      <w:rFonts w:ascii="Arial" w:eastAsia="Times New Roman" w:hAnsi="Arial" w:cs="Arial"/>
                      <w:sz w:val="20"/>
                      <w:szCs w:val="20"/>
                      <w:lang w:eastAsia="en-GB"/>
                    </w:rPr>
                  </w:pPr>
                </w:p>
              </w:tc>
              <w:tc>
                <w:tcPr>
                  <w:tcW w:w="1200" w:type="dxa"/>
                  <w:tcBorders>
                    <w:top w:val="nil"/>
                    <w:left w:val="nil"/>
                    <w:bottom w:val="nil"/>
                    <w:right w:val="nil"/>
                  </w:tcBorders>
                  <w:shd w:val="clear" w:color="auto" w:fill="auto"/>
                  <w:noWrap/>
                  <w:vAlign w:val="bottom"/>
                  <w:hideMark/>
                </w:tcPr>
                <w:p w14:paraId="498E3D62" w14:textId="77777777" w:rsidR="00416FDD" w:rsidRPr="00DA5F44" w:rsidRDefault="00416FDD" w:rsidP="00416FDD">
                  <w:pPr>
                    <w:spacing w:after="0" w:line="240" w:lineRule="auto"/>
                    <w:rPr>
                      <w:rFonts w:ascii="Times New Roman" w:eastAsia="Times New Roman" w:hAnsi="Times New Roman" w:cs="Times New Roman"/>
                      <w:sz w:val="20"/>
                      <w:szCs w:val="20"/>
                      <w:lang w:eastAsia="en-GB"/>
                    </w:rPr>
                  </w:pPr>
                </w:p>
              </w:tc>
              <w:tc>
                <w:tcPr>
                  <w:tcW w:w="1200" w:type="dxa"/>
                  <w:tcBorders>
                    <w:top w:val="nil"/>
                    <w:left w:val="nil"/>
                    <w:bottom w:val="nil"/>
                    <w:right w:val="nil"/>
                  </w:tcBorders>
                  <w:shd w:val="clear" w:color="auto" w:fill="auto"/>
                  <w:noWrap/>
                  <w:vAlign w:val="bottom"/>
                  <w:hideMark/>
                </w:tcPr>
                <w:p w14:paraId="70D5A480" w14:textId="77777777" w:rsidR="00416FDD" w:rsidRPr="00DA5F44" w:rsidRDefault="00416FDD" w:rsidP="00416FDD">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4F14C2C7" w14:textId="77777777" w:rsidR="00416FDD" w:rsidRPr="00DA5F44" w:rsidRDefault="00416FDD" w:rsidP="00416FDD">
                  <w:pPr>
                    <w:spacing w:after="0" w:line="240" w:lineRule="auto"/>
                    <w:jc w:val="right"/>
                    <w:rPr>
                      <w:rFonts w:ascii="Arial" w:eastAsia="Times New Roman" w:hAnsi="Arial" w:cs="Arial"/>
                      <w:b/>
                      <w:bCs/>
                      <w:sz w:val="20"/>
                      <w:szCs w:val="20"/>
                      <w:lang w:eastAsia="en-GB"/>
                    </w:rPr>
                  </w:pPr>
                  <w:r w:rsidRPr="00DA5F44">
                    <w:rPr>
                      <w:rFonts w:ascii="Arial" w:eastAsia="Times New Roman" w:hAnsi="Arial" w:cs="Arial"/>
                      <w:b/>
                      <w:bCs/>
                      <w:sz w:val="20"/>
                      <w:szCs w:val="20"/>
                      <w:lang w:eastAsia="en-GB"/>
                    </w:rPr>
                    <w:t>8</w:t>
                  </w:r>
                  <w:r>
                    <w:rPr>
                      <w:rFonts w:ascii="Arial" w:eastAsia="Times New Roman" w:hAnsi="Arial" w:cs="Arial"/>
                      <w:b/>
                      <w:bCs/>
                      <w:sz w:val="20"/>
                      <w:szCs w:val="20"/>
                      <w:lang w:eastAsia="en-GB"/>
                    </w:rPr>
                    <w:t>6</w:t>
                  </w:r>
                  <w:r w:rsidRPr="00DA5F44">
                    <w:rPr>
                      <w:rFonts w:ascii="Arial" w:eastAsia="Times New Roman" w:hAnsi="Arial" w:cs="Arial"/>
                      <w:b/>
                      <w:bCs/>
                      <w:sz w:val="20"/>
                      <w:szCs w:val="20"/>
                      <w:lang w:eastAsia="en-GB"/>
                    </w:rPr>
                    <w:t>.</w:t>
                  </w:r>
                  <w:r w:rsidR="00FF0663">
                    <w:rPr>
                      <w:rFonts w:ascii="Arial" w:eastAsia="Times New Roman" w:hAnsi="Arial" w:cs="Arial"/>
                      <w:b/>
                      <w:bCs/>
                      <w:sz w:val="20"/>
                      <w:szCs w:val="20"/>
                      <w:lang w:eastAsia="en-GB"/>
                    </w:rPr>
                    <w:t>2</w:t>
                  </w:r>
                </w:p>
              </w:tc>
              <w:tc>
                <w:tcPr>
                  <w:tcW w:w="1200" w:type="dxa"/>
                  <w:tcBorders>
                    <w:top w:val="nil"/>
                    <w:left w:val="nil"/>
                    <w:bottom w:val="nil"/>
                    <w:right w:val="nil"/>
                  </w:tcBorders>
                  <w:shd w:val="clear" w:color="auto" w:fill="auto"/>
                  <w:noWrap/>
                  <w:vAlign w:val="center"/>
                  <w:hideMark/>
                </w:tcPr>
                <w:p w14:paraId="6A8124EE" w14:textId="77777777" w:rsidR="00416FDD" w:rsidRPr="00416FDD" w:rsidRDefault="00416FDD" w:rsidP="00416FDD">
                  <w:pPr>
                    <w:spacing w:after="0" w:line="240" w:lineRule="auto"/>
                    <w:jc w:val="right"/>
                    <w:rPr>
                      <w:rFonts w:ascii="Arial" w:eastAsia="Times New Roman" w:hAnsi="Arial" w:cs="Arial"/>
                      <w:bCs/>
                      <w:sz w:val="20"/>
                      <w:szCs w:val="20"/>
                      <w:lang w:eastAsia="en-GB"/>
                    </w:rPr>
                  </w:pPr>
                  <w:r w:rsidRPr="00416FDD">
                    <w:rPr>
                      <w:rFonts w:ascii="Arial" w:eastAsia="Times New Roman" w:hAnsi="Arial" w:cs="Arial"/>
                      <w:bCs/>
                      <w:sz w:val="20"/>
                      <w:szCs w:val="20"/>
                      <w:lang w:eastAsia="en-GB"/>
                    </w:rPr>
                    <w:t>86.1</w:t>
                  </w:r>
                </w:p>
              </w:tc>
            </w:tr>
            <w:tr w:rsidR="00416FDD" w:rsidRPr="00DA5F44" w14:paraId="03DA55F4" w14:textId="77777777" w:rsidTr="006647C2">
              <w:trPr>
                <w:trHeight w:val="255"/>
              </w:trPr>
              <w:tc>
                <w:tcPr>
                  <w:tcW w:w="3700" w:type="dxa"/>
                  <w:tcBorders>
                    <w:top w:val="nil"/>
                    <w:left w:val="nil"/>
                    <w:bottom w:val="nil"/>
                    <w:right w:val="nil"/>
                  </w:tcBorders>
                  <w:shd w:val="clear" w:color="auto" w:fill="auto"/>
                  <w:noWrap/>
                  <w:vAlign w:val="center"/>
                  <w:hideMark/>
                </w:tcPr>
                <w:p w14:paraId="0759F953" w14:textId="77777777" w:rsidR="00416FDD" w:rsidRPr="00DA5F44" w:rsidRDefault="00416FDD" w:rsidP="00416FDD">
                  <w:pPr>
                    <w:spacing w:after="0" w:line="240" w:lineRule="auto"/>
                    <w:rPr>
                      <w:rFonts w:ascii="Arial" w:eastAsia="Times New Roman" w:hAnsi="Arial" w:cs="Arial"/>
                      <w:sz w:val="20"/>
                      <w:szCs w:val="20"/>
                      <w:lang w:eastAsia="en-GB"/>
                    </w:rPr>
                  </w:pPr>
                  <w:r w:rsidRPr="00DA5F44">
                    <w:rPr>
                      <w:rFonts w:ascii="Arial" w:eastAsia="Times New Roman" w:hAnsi="Arial" w:cs="Arial"/>
                      <w:sz w:val="20"/>
                      <w:szCs w:val="20"/>
                      <w:lang w:eastAsia="en-GB"/>
                    </w:rPr>
                    <w:t>- Women</w:t>
                  </w:r>
                </w:p>
              </w:tc>
              <w:tc>
                <w:tcPr>
                  <w:tcW w:w="443" w:type="dxa"/>
                  <w:tcBorders>
                    <w:top w:val="nil"/>
                    <w:left w:val="nil"/>
                    <w:bottom w:val="nil"/>
                    <w:right w:val="nil"/>
                  </w:tcBorders>
                  <w:shd w:val="clear" w:color="auto" w:fill="auto"/>
                  <w:noWrap/>
                  <w:vAlign w:val="bottom"/>
                  <w:hideMark/>
                </w:tcPr>
                <w:p w14:paraId="21BE8719" w14:textId="77777777" w:rsidR="00416FDD" w:rsidRPr="00DA5F44" w:rsidRDefault="00416FDD" w:rsidP="00416FDD">
                  <w:pPr>
                    <w:spacing w:after="0" w:line="240" w:lineRule="auto"/>
                    <w:rPr>
                      <w:rFonts w:ascii="Arial" w:eastAsia="Times New Roman" w:hAnsi="Arial" w:cs="Arial"/>
                      <w:sz w:val="20"/>
                      <w:szCs w:val="20"/>
                      <w:lang w:eastAsia="en-GB"/>
                    </w:rPr>
                  </w:pPr>
                </w:p>
              </w:tc>
              <w:tc>
                <w:tcPr>
                  <w:tcW w:w="1200" w:type="dxa"/>
                  <w:tcBorders>
                    <w:top w:val="nil"/>
                    <w:left w:val="nil"/>
                    <w:bottom w:val="nil"/>
                    <w:right w:val="nil"/>
                  </w:tcBorders>
                  <w:shd w:val="clear" w:color="auto" w:fill="auto"/>
                  <w:noWrap/>
                  <w:vAlign w:val="bottom"/>
                  <w:hideMark/>
                </w:tcPr>
                <w:p w14:paraId="2551886D" w14:textId="77777777" w:rsidR="00416FDD" w:rsidRPr="00DA5F44" w:rsidRDefault="00416FDD" w:rsidP="00416FDD">
                  <w:pPr>
                    <w:spacing w:after="0" w:line="240" w:lineRule="auto"/>
                    <w:rPr>
                      <w:rFonts w:ascii="Times New Roman" w:eastAsia="Times New Roman" w:hAnsi="Times New Roman" w:cs="Times New Roman"/>
                      <w:sz w:val="20"/>
                      <w:szCs w:val="20"/>
                      <w:lang w:eastAsia="en-GB"/>
                    </w:rPr>
                  </w:pPr>
                </w:p>
              </w:tc>
              <w:tc>
                <w:tcPr>
                  <w:tcW w:w="1200" w:type="dxa"/>
                  <w:tcBorders>
                    <w:top w:val="nil"/>
                    <w:left w:val="nil"/>
                    <w:bottom w:val="nil"/>
                    <w:right w:val="nil"/>
                  </w:tcBorders>
                  <w:shd w:val="clear" w:color="auto" w:fill="auto"/>
                  <w:noWrap/>
                  <w:vAlign w:val="bottom"/>
                  <w:hideMark/>
                </w:tcPr>
                <w:p w14:paraId="43EB75DE" w14:textId="77777777" w:rsidR="00416FDD" w:rsidRPr="00DA5F44" w:rsidRDefault="00416FDD" w:rsidP="00416FDD">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3B15AF4C" w14:textId="77777777" w:rsidR="00416FDD" w:rsidRPr="00DA5F44" w:rsidRDefault="00416FDD" w:rsidP="00416FDD">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8</w:t>
                  </w:r>
                  <w:r w:rsidR="00FF0663">
                    <w:rPr>
                      <w:rFonts w:ascii="Arial" w:eastAsia="Times New Roman" w:hAnsi="Arial" w:cs="Arial"/>
                      <w:b/>
                      <w:bCs/>
                      <w:sz w:val="20"/>
                      <w:szCs w:val="20"/>
                      <w:lang w:eastAsia="en-GB"/>
                    </w:rPr>
                    <w:t>8.6</w:t>
                  </w:r>
                </w:p>
              </w:tc>
              <w:tc>
                <w:tcPr>
                  <w:tcW w:w="1200" w:type="dxa"/>
                  <w:tcBorders>
                    <w:top w:val="nil"/>
                    <w:left w:val="nil"/>
                    <w:bottom w:val="nil"/>
                    <w:right w:val="nil"/>
                  </w:tcBorders>
                  <w:shd w:val="clear" w:color="auto" w:fill="auto"/>
                  <w:noWrap/>
                  <w:vAlign w:val="center"/>
                  <w:hideMark/>
                </w:tcPr>
                <w:p w14:paraId="49F2D4CB" w14:textId="77777777" w:rsidR="00416FDD" w:rsidRPr="00416FDD" w:rsidRDefault="00416FDD" w:rsidP="00416FDD">
                  <w:pPr>
                    <w:spacing w:after="0" w:line="240" w:lineRule="auto"/>
                    <w:jc w:val="right"/>
                    <w:rPr>
                      <w:rFonts w:ascii="Arial" w:eastAsia="Times New Roman" w:hAnsi="Arial" w:cs="Arial"/>
                      <w:bCs/>
                      <w:sz w:val="20"/>
                      <w:szCs w:val="20"/>
                      <w:lang w:eastAsia="en-GB"/>
                    </w:rPr>
                  </w:pPr>
                  <w:r w:rsidRPr="00416FDD">
                    <w:rPr>
                      <w:rFonts w:ascii="Arial" w:eastAsia="Times New Roman" w:hAnsi="Arial" w:cs="Arial"/>
                      <w:bCs/>
                      <w:sz w:val="20"/>
                      <w:szCs w:val="20"/>
                      <w:lang w:eastAsia="en-GB"/>
                    </w:rPr>
                    <w:t>87.2</w:t>
                  </w:r>
                </w:p>
              </w:tc>
            </w:tr>
            <w:tr w:rsidR="00416FDD" w:rsidRPr="00DA5F44" w14:paraId="3CF4453A" w14:textId="77777777" w:rsidTr="006647C2">
              <w:trPr>
                <w:trHeight w:val="255"/>
              </w:trPr>
              <w:tc>
                <w:tcPr>
                  <w:tcW w:w="3700" w:type="dxa"/>
                  <w:tcBorders>
                    <w:top w:val="nil"/>
                    <w:left w:val="nil"/>
                    <w:bottom w:val="nil"/>
                    <w:right w:val="nil"/>
                  </w:tcBorders>
                  <w:shd w:val="clear" w:color="auto" w:fill="auto"/>
                  <w:noWrap/>
                  <w:vAlign w:val="center"/>
                  <w:hideMark/>
                </w:tcPr>
                <w:p w14:paraId="6A201BD3" w14:textId="77777777" w:rsidR="00416FDD" w:rsidRPr="00DA5F44" w:rsidRDefault="00416FDD" w:rsidP="00416FDD">
                  <w:pPr>
                    <w:spacing w:after="0" w:line="240" w:lineRule="auto"/>
                    <w:rPr>
                      <w:rFonts w:ascii="Arial" w:eastAsia="Times New Roman" w:hAnsi="Arial" w:cs="Arial"/>
                      <w:sz w:val="20"/>
                      <w:szCs w:val="20"/>
                      <w:lang w:eastAsia="en-GB"/>
                    </w:rPr>
                  </w:pPr>
                  <w:r w:rsidRPr="00DA5F44">
                    <w:rPr>
                      <w:rFonts w:ascii="Arial" w:eastAsia="Times New Roman" w:hAnsi="Arial" w:cs="Arial"/>
                      <w:sz w:val="20"/>
                      <w:szCs w:val="20"/>
                      <w:lang w:eastAsia="en-GB"/>
                    </w:rPr>
                    <w:t>Longevity at 65 for future pensioners:</w:t>
                  </w:r>
                </w:p>
              </w:tc>
              <w:tc>
                <w:tcPr>
                  <w:tcW w:w="443" w:type="dxa"/>
                  <w:tcBorders>
                    <w:top w:val="nil"/>
                    <w:left w:val="nil"/>
                    <w:bottom w:val="nil"/>
                    <w:right w:val="nil"/>
                  </w:tcBorders>
                  <w:shd w:val="clear" w:color="auto" w:fill="auto"/>
                  <w:noWrap/>
                  <w:vAlign w:val="bottom"/>
                  <w:hideMark/>
                </w:tcPr>
                <w:p w14:paraId="6CD8519B" w14:textId="77777777" w:rsidR="00416FDD" w:rsidRPr="00DA5F44" w:rsidRDefault="00416FDD" w:rsidP="00416FDD">
                  <w:pPr>
                    <w:spacing w:after="0" w:line="240" w:lineRule="auto"/>
                    <w:rPr>
                      <w:rFonts w:ascii="Arial" w:eastAsia="Times New Roman" w:hAnsi="Arial" w:cs="Arial"/>
                      <w:sz w:val="20"/>
                      <w:szCs w:val="20"/>
                      <w:lang w:eastAsia="en-GB"/>
                    </w:rPr>
                  </w:pPr>
                </w:p>
              </w:tc>
              <w:tc>
                <w:tcPr>
                  <w:tcW w:w="1200" w:type="dxa"/>
                  <w:tcBorders>
                    <w:top w:val="nil"/>
                    <w:left w:val="nil"/>
                    <w:bottom w:val="nil"/>
                    <w:right w:val="nil"/>
                  </w:tcBorders>
                  <w:shd w:val="clear" w:color="auto" w:fill="auto"/>
                  <w:noWrap/>
                  <w:vAlign w:val="bottom"/>
                  <w:hideMark/>
                </w:tcPr>
                <w:p w14:paraId="41BF8CFD" w14:textId="77777777" w:rsidR="00416FDD" w:rsidRPr="00DA5F44" w:rsidRDefault="00416FDD" w:rsidP="00416FDD">
                  <w:pPr>
                    <w:spacing w:after="0" w:line="240" w:lineRule="auto"/>
                    <w:rPr>
                      <w:rFonts w:ascii="Times New Roman" w:eastAsia="Times New Roman" w:hAnsi="Times New Roman" w:cs="Times New Roman"/>
                      <w:sz w:val="20"/>
                      <w:szCs w:val="20"/>
                      <w:lang w:eastAsia="en-GB"/>
                    </w:rPr>
                  </w:pPr>
                </w:p>
              </w:tc>
              <w:tc>
                <w:tcPr>
                  <w:tcW w:w="1200" w:type="dxa"/>
                  <w:tcBorders>
                    <w:top w:val="nil"/>
                    <w:left w:val="nil"/>
                    <w:bottom w:val="nil"/>
                    <w:right w:val="nil"/>
                  </w:tcBorders>
                  <w:shd w:val="clear" w:color="auto" w:fill="auto"/>
                  <w:noWrap/>
                  <w:vAlign w:val="bottom"/>
                  <w:hideMark/>
                </w:tcPr>
                <w:p w14:paraId="6C908C1E" w14:textId="77777777" w:rsidR="00416FDD" w:rsidRPr="00DA5F44" w:rsidRDefault="00416FDD" w:rsidP="00416FDD">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005C3C4F" w14:textId="77777777" w:rsidR="00416FDD" w:rsidRPr="00DA5F44" w:rsidRDefault="00416FDD" w:rsidP="00416FDD">
                  <w:pPr>
                    <w:spacing w:after="0" w:line="240" w:lineRule="auto"/>
                    <w:jc w:val="right"/>
                    <w:rPr>
                      <w:rFonts w:ascii="Times New Roman" w:eastAsia="Times New Roman" w:hAnsi="Times New Roman" w:cs="Times New Roman"/>
                      <w:sz w:val="20"/>
                      <w:szCs w:val="20"/>
                      <w:lang w:eastAsia="en-GB"/>
                    </w:rPr>
                  </w:pPr>
                </w:p>
              </w:tc>
              <w:tc>
                <w:tcPr>
                  <w:tcW w:w="1200" w:type="dxa"/>
                  <w:tcBorders>
                    <w:top w:val="nil"/>
                    <w:left w:val="nil"/>
                    <w:bottom w:val="nil"/>
                    <w:right w:val="nil"/>
                  </w:tcBorders>
                  <w:shd w:val="clear" w:color="auto" w:fill="auto"/>
                  <w:noWrap/>
                  <w:vAlign w:val="center"/>
                  <w:hideMark/>
                </w:tcPr>
                <w:p w14:paraId="6D825B45" w14:textId="77777777" w:rsidR="00416FDD" w:rsidRPr="00416FDD" w:rsidRDefault="00416FDD" w:rsidP="00416FDD">
                  <w:pPr>
                    <w:spacing w:after="0" w:line="240" w:lineRule="auto"/>
                    <w:jc w:val="right"/>
                    <w:rPr>
                      <w:rFonts w:ascii="Times New Roman" w:eastAsia="Times New Roman" w:hAnsi="Times New Roman" w:cs="Times New Roman"/>
                      <w:sz w:val="20"/>
                      <w:szCs w:val="20"/>
                      <w:lang w:eastAsia="en-GB"/>
                    </w:rPr>
                  </w:pPr>
                </w:p>
              </w:tc>
            </w:tr>
            <w:tr w:rsidR="00416FDD" w:rsidRPr="00DA5F44" w14:paraId="6B1F44E1" w14:textId="77777777" w:rsidTr="006647C2">
              <w:trPr>
                <w:trHeight w:val="255"/>
              </w:trPr>
              <w:tc>
                <w:tcPr>
                  <w:tcW w:w="3700" w:type="dxa"/>
                  <w:tcBorders>
                    <w:top w:val="nil"/>
                    <w:left w:val="nil"/>
                    <w:bottom w:val="nil"/>
                    <w:right w:val="nil"/>
                  </w:tcBorders>
                  <w:shd w:val="clear" w:color="auto" w:fill="auto"/>
                  <w:noWrap/>
                  <w:vAlign w:val="center"/>
                  <w:hideMark/>
                </w:tcPr>
                <w:p w14:paraId="02109E29" w14:textId="77777777" w:rsidR="00416FDD" w:rsidRPr="00DA5F44" w:rsidRDefault="00416FDD" w:rsidP="00416FDD">
                  <w:pPr>
                    <w:spacing w:after="0" w:line="240" w:lineRule="auto"/>
                    <w:rPr>
                      <w:rFonts w:ascii="Arial" w:eastAsia="Times New Roman" w:hAnsi="Arial" w:cs="Arial"/>
                      <w:sz w:val="20"/>
                      <w:szCs w:val="20"/>
                      <w:lang w:eastAsia="en-GB"/>
                    </w:rPr>
                  </w:pPr>
                  <w:r w:rsidRPr="00DA5F44">
                    <w:rPr>
                      <w:rFonts w:ascii="Arial" w:eastAsia="Times New Roman" w:hAnsi="Arial" w:cs="Arial"/>
                      <w:sz w:val="20"/>
                      <w:szCs w:val="20"/>
                      <w:lang w:eastAsia="en-GB"/>
                    </w:rPr>
                    <w:t>- Men</w:t>
                  </w:r>
                </w:p>
              </w:tc>
              <w:tc>
                <w:tcPr>
                  <w:tcW w:w="443" w:type="dxa"/>
                  <w:tcBorders>
                    <w:top w:val="nil"/>
                    <w:left w:val="nil"/>
                    <w:bottom w:val="nil"/>
                    <w:right w:val="nil"/>
                  </w:tcBorders>
                  <w:shd w:val="clear" w:color="auto" w:fill="auto"/>
                  <w:noWrap/>
                  <w:vAlign w:val="bottom"/>
                  <w:hideMark/>
                </w:tcPr>
                <w:p w14:paraId="52904770" w14:textId="77777777" w:rsidR="00416FDD" w:rsidRPr="00DA5F44" w:rsidRDefault="00416FDD" w:rsidP="00416FDD">
                  <w:pPr>
                    <w:spacing w:after="0" w:line="240" w:lineRule="auto"/>
                    <w:rPr>
                      <w:rFonts w:ascii="Arial" w:eastAsia="Times New Roman" w:hAnsi="Arial" w:cs="Arial"/>
                      <w:sz w:val="20"/>
                      <w:szCs w:val="20"/>
                      <w:lang w:eastAsia="en-GB"/>
                    </w:rPr>
                  </w:pPr>
                </w:p>
              </w:tc>
              <w:tc>
                <w:tcPr>
                  <w:tcW w:w="1200" w:type="dxa"/>
                  <w:tcBorders>
                    <w:top w:val="nil"/>
                    <w:left w:val="nil"/>
                    <w:bottom w:val="nil"/>
                    <w:right w:val="nil"/>
                  </w:tcBorders>
                  <w:shd w:val="clear" w:color="auto" w:fill="auto"/>
                  <w:noWrap/>
                  <w:vAlign w:val="bottom"/>
                  <w:hideMark/>
                </w:tcPr>
                <w:p w14:paraId="0411648B" w14:textId="77777777" w:rsidR="00416FDD" w:rsidRPr="00DA5F44" w:rsidRDefault="00416FDD" w:rsidP="00416FDD">
                  <w:pPr>
                    <w:spacing w:after="0" w:line="240" w:lineRule="auto"/>
                    <w:rPr>
                      <w:rFonts w:ascii="Times New Roman" w:eastAsia="Times New Roman" w:hAnsi="Times New Roman" w:cs="Times New Roman"/>
                      <w:sz w:val="20"/>
                      <w:szCs w:val="20"/>
                      <w:lang w:eastAsia="en-GB"/>
                    </w:rPr>
                  </w:pPr>
                </w:p>
              </w:tc>
              <w:tc>
                <w:tcPr>
                  <w:tcW w:w="1200" w:type="dxa"/>
                  <w:tcBorders>
                    <w:top w:val="nil"/>
                    <w:left w:val="nil"/>
                    <w:bottom w:val="nil"/>
                    <w:right w:val="nil"/>
                  </w:tcBorders>
                  <w:shd w:val="clear" w:color="auto" w:fill="auto"/>
                  <w:noWrap/>
                  <w:vAlign w:val="bottom"/>
                  <w:hideMark/>
                </w:tcPr>
                <w:p w14:paraId="2A4ACC3D" w14:textId="77777777" w:rsidR="00416FDD" w:rsidRPr="00DA5F44" w:rsidRDefault="00416FDD" w:rsidP="00416FDD">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128A0C4A" w14:textId="77777777" w:rsidR="00416FDD" w:rsidRPr="00DA5F44" w:rsidRDefault="00416FDD" w:rsidP="00416FDD">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8</w:t>
                  </w:r>
                  <w:r w:rsidR="00FF0663">
                    <w:rPr>
                      <w:rFonts w:ascii="Arial" w:eastAsia="Times New Roman" w:hAnsi="Arial" w:cs="Arial"/>
                      <w:b/>
                      <w:bCs/>
                      <w:sz w:val="20"/>
                      <w:szCs w:val="20"/>
                      <w:lang w:eastAsia="en-GB"/>
                    </w:rPr>
                    <w:t>7.1</w:t>
                  </w:r>
                </w:p>
              </w:tc>
              <w:tc>
                <w:tcPr>
                  <w:tcW w:w="1200" w:type="dxa"/>
                  <w:tcBorders>
                    <w:top w:val="nil"/>
                    <w:left w:val="nil"/>
                    <w:bottom w:val="nil"/>
                    <w:right w:val="nil"/>
                  </w:tcBorders>
                  <w:shd w:val="clear" w:color="auto" w:fill="auto"/>
                  <w:noWrap/>
                  <w:vAlign w:val="center"/>
                  <w:hideMark/>
                </w:tcPr>
                <w:p w14:paraId="55063B56" w14:textId="77777777" w:rsidR="00416FDD" w:rsidRPr="00416FDD" w:rsidRDefault="00416FDD" w:rsidP="00416FDD">
                  <w:pPr>
                    <w:spacing w:after="0" w:line="240" w:lineRule="auto"/>
                    <w:jc w:val="right"/>
                    <w:rPr>
                      <w:rFonts w:ascii="Arial" w:eastAsia="Times New Roman" w:hAnsi="Arial" w:cs="Arial"/>
                      <w:sz w:val="20"/>
                      <w:szCs w:val="20"/>
                      <w:lang w:eastAsia="en-GB"/>
                    </w:rPr>
                  </w:pPr>
                  <w:r w:rsidRPr="00416FDD">
                    <w:rPr>
                      <w:rFonts w:ascii="Arial" w:eastAsia="Times New Roman" w:hAnsi="Arial" w:cs="Arial"/>
                      <w:bCs/>
                      <w:sz w:val="20"/>
                      <w:szCs w:val="20"/>
                      <w:lang w:eastAsia="en-GB"/>
                    </w:rPr>
                    <w:t>88.5</w:t>
                  </w:r>
                </w:p>
              </w:tc>
            </w:tr>
            <w:tr w:rsidR="00416FDD" w:rsidRPr="00DA5F44" w14:paraId="7F441E94" w14:textId="77777777" w:rsidTr="006647C2">
              <w:trPr>
                <w:trHeight w:val="255"/>
              </w:trPr>
              <w:tc>
                <w:tcPr>
                  <w:tcW w:w="3700" w:type="dxa"/>
                  <w:tcBorders>
                    <w:top w:val="nil"/>
                    <w:left w:val="nil"/>
                    <w:bottom w:val="single" w:sz="4" w:space="0" w:color="auto"/>
                    <w:right w:val="nil"/>
                  </w:tcBorders>
                  <w:shd w:val="clear" w:color="auto" w:fill="auto"/>
                  <w:noWrap/>
                  <w:vAlign w:val="center"/>
                  <w:hideMark/>
                </w:tcPr>
                <w:p w14:paraId="29A2687F" w14:textId="77777777" w:rsidR="00416FDD" w:rsidRPr="00DA5F44" w:rsidRDefault="00416FDD" w:rsidP="00416FDD">
                  <w:pPr>
                    <w:spacing w:after="0" w:line="240" w:lineRule="auto"/>
                    <w:rPr>
                      <w:rFonts w:ascii="Arial" w:eastAsia="Times New Roman" w:hAnsi="Arial" w:cs="Arial"/>
                      <w:sz w:val="20"/>
                      <w:szCs w:val="20"/>
                      <w:lang w:eastAsia="en-GB"/>
                    </w:rPr>
                  </w:pPr>
                  <w:r w:rsidRPr="00DA5F44">
                    <w:rPr>
                      <w:rFonts w:ascii="Arial" w:eastAsia="Times New Roman" w:hAnsi="Arial" w:cs="Arial"/>
                      <w:sz w:val="20"/>
                      <w:szCs w:val="20"/>
                      <w:lang w:eastAsia="en-GB"/>
                    </w:rPr>
                    <w:t>- Women</w:t>
                  </w:r>
                </w:p>
              </w:tc>
              <w:tc>
                <w:tcPr>
                  <w:tcW w:w="443" w:type="dxa"/>
                  <w:tcBorders>
                    <w:top w:val="nil"/>
                    <w:left w:val="nil"/>
                    <w:bottom w:val="single" w:sz="4" w:space="0" w:color="auto"/>
                    <w:right w:val="nil"/>
                  </w:tcBorders>
                  <w:shd w:val="clear" w:color="auto" w:fill="auto"/>
                  <w:noWrap/>
                  <w:vAlign w:val="bottom"/>
                  <w:hideMark/>
                </w:tcPr>
                <w:p w14:paraId="568F943F" w14:textId="77777777" w:rsidR="00416FDD" w:rsidRPr="00DA5F44" w:rsidRDefault="00416FDD" w:rsidP="00416FDD">
                  <w:pPr>
                    <w:spacing w:after="0" w:line="240" w:lineRule="auto"/>
                    <w:rPr>
                      <w:rFonts w:ascii="Arial" w:eastAsia="Times New Roman" w:hAnsi="Arial" w:cs="Arial"/>
                      <w:sz w:val="20"/>
                      <w:szCs w:val="20"/>
                      <w:lang w:eastAsia="en-GB"/>
                    </w:rPr>
                  </w:pPr>
                  <w:r w:rsidRPr="00DA5F44">
                    <w:rPr>
                      <w:rFonts w:ascii="Arial" w:eastAsia="Times New Roman" w:hAnsi="Arial" w:cs="Arial"/>
                      <w:sz w:val="20"/>
                      <w:szCs w:val="20"/>
                      <w:lang w:eastAsia="en-GB"/>
                    </w:rPr>
                    <w:t> </w:t>
                  </w:r>
                </w:p>
              </w:tc>
              <w:tc>
                <w:tcPr>
                  <w:tcW w:w="1200" w:type="dxa"/>
                  <w:tcBorders>
                    <w:top w:val="nil"/>
                    <w:left w:val="nil"/>
                    <w:bottom w:val="single" w:sz="4" w:space="0" w:color="auto"/>
                    <w:right w:val="nil"/>
                  </w:tcBorders>
                  <w:shd w:val="clear" w:color="auto" w:fill="auto"/>
                  <w:noWrap/>
                  <w:vAlign w:val="bottom"/>
                  <w:hideMark/>
                </w:tcPr>
                <w:p w14:paraId="5D3712FF" w14:textId="77777777" w:rsidR="00416FDD" w:rsidRPr="00DA5F44" w:rsidRDefault="00416FDD" w:rsidP="00416FDD">
                  <w:pPr>
                    <w:spacing w:after="0" w:line="240" w:lineRule="auto"/>
                    <w:rPr>
                      <w:rFonts w:ascii="Arial" w:eastAsia="Times New Roman" w:hAnsi="Arial" w:cs="Arial"/>
                      <w:sz w:val="20"/>
                      <w:szCs w:val="20"/>
                      <w:lang w:eastAsia="en-GB"/>
                    </w:rPr>
                  </w:pPr>
                  <w:r w:rsidRPr="00DA5F44">
                    <w:rPr>
                      <w:rFonts w:ascii="Arial" w:eastAsia="Times New Roman" w:hAnsi="Arial" w:cs="Arial"/>
                      <w:sz w:val="20"/>
                      <w:szCs w:val="20"/>
                      <w:lang w:eastAsia="en-GB"/>
                    </w:rPr>
                    <w:t> </w:t>
                  </w:r>
                </w:p>
              </w:tc>
              <w:tc>
                <w:tcPr>
                  <w:tcW w:w="1200" w:type="dxa"/>
                  <w:tcBorders>
                    <w:top w:val="nil"/>
                    <w:left w:val="nil"/>
                    <w:bottom w:val="single" w:sz="4" w:space="0" w:color="auto"/>
                    <w:right w:val="nil"/>
                  </w:tcBorders>
                  <w:shd w:val="clear" w:color="auto" w:fill="auto"/>
                  <w:noWrap/>
                  <w:vAlign w:val="bottom"/>
                  <w:hideMark/>
                </w:tcPr>
                <w:p w14:paraId="24E09FDF" w14:textId="77777777" w:rsidR="00416FDD" w:rsidRPr="00DA5F44" w:rsidRDefault="00416FDD" w:rsidP="00416FDD">
                  <w:pPr>
                    <w:spacing w:after="0" w:line="240" w:lineRule="auto"/>
                    <w:rPr>
                      <w:rFonts w:ascii="Arial" w:eastAsia="Times New Roman" w:hAnsi="Arial" w:cs="Arial"/>
                      <w:sz w:val="20"/>
                      <w:szCs w:val="20"/>
                      <w:lang w:eastAsia="en-GB"/>
                    </w:rPr>
                  </w:pPr>
                  <w:r w:rsidRPr="00DA5F44">
                    <w:rPr>
                      <w:rFonts w:ascii="Arial" w:eastAsia="Times New Roman" w:hAnsi="Arial" w:cs="Arial"/>
                      <w:sz w:val="20"/>
                      <w:szCs w:val="20"/>
                      <w:lang w:eastAsia="en-GB"/>
                    </w:rPr>
                    <w:t> </w:t>
                  </w:r>
                </w:p>
              </w:tc>
              <w:tc>
                <w:tcPr>
                  <w:tcW w:w="1300" w:type="dxa"/>
                  <w:tcBorders>
                    <w:top w:val="nil"/>
                    <w:left w:val="nil"/>
                    <w:bottom w:val="single" w:sz="4" w:space="0" w:color="auto"/>
                    <w:right w:val="nil"/>
                  </w:tcBorders>
                  <w:shd w:val="clear" w:color="auto" w:fill="auto"/>
                  <w:noWrap/>
                  <w:vAlign w:val="center"/>
                  <w:hideMark/>
                </w:tcPr>
                <w:p w14:paraId="586202AE" w14:textId="77777777" w:rsidR="00416FDD" w:rsidRPr="00DA5F44" w:rsidRDefault="00FF0663" w:rsidP="00416FDD">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90.0</w:t>
                  </w:r>
                </w:p>
              </w:tc>
              <w:tc>
                <w:tcPr>
                  <w:tcW w:w="1200" w:type="dxa"/>
                  <w:tcBorders>
                    <w:top w:val="nil"/>
                    <w:left w:val="nil"/>
                    <w:bottom w:val="single" w:sz="4" w:space="0" w:color="auto"/>
                    <w:right w:val="nil"/>
                  </w:tcBorders>
                  <w:shd w:val="clear" w:color="auto" w:fill="auto"/>
                  <w:noWrap/>
                  <w:vAlign w:val="center"/>
                  <w:hideMark/>
                </w:tcPr>
                <w:p w14:paraId="430DB0CA" w14:textId="77777777" w:rsidR="00416FDD" w:rsidRPr="00416FDD" w:rsidRDefault="00416FDD" w:rsidP="00416FDD">
                  <w:pPr>
                    <w:spacing w:after="0" w:line="240" w:lineRule="auto"/>
                    <w:jc w:val="right"/>
                    <w:rPr>
                      <w:rFonts w:ascii="Arial" w:eastAsia="Times New Roman" w:hAnsi="Arial" w:cs="Arial"/>
                      <w:sz w:val="20"/>
                      <w:szCs w:val="20"/>
                      <w:lang w:eastAsia="en-GB"/>
                    </w:rPr>
                  </w:pPr>
                  <w:r w:rsidRPr="00416FDD">
                    <w:rPr>
                      <w:rFonts w:ascii="Arial" w:eastAsia="Times New Roman" w:hAnsi="Arial" w:cs="Arial"/>
                      <w:bCs/>
                      <w:sz w:val="20"/>
                      <w:szCs w:val="20"/>
                      <w:lang w:eastAsia="en-GB"/>
                    </w:rPr>
                    <w:t>89.8</w:t>
                  </w:r>
                </w:p>
              </w:tc>
            </w:tr>
          </w:tbl>
          <w:p w14:paraId="735614DD" w14:textId="77777777" w:rsidR="00E70CD3" w:rsidRPr="00DA5F44" w:rsidRDefault="00E70CD3" w:rsidP="007729E5">
            <w:pPr>
              <w:spacing w:after="0" w:line="240" w:lineRule="auto"/>
              <w:rPr>
                <w:rFonts w:ascii="Arial" w:eastAsia="Times New Roman" w:hAnsi="Arial" w:cs="Arial"/>
                <w:sz w:val="20"/>
                <w:szCs w:val="20"/>
                <w:lang w:eastAsia="en-GB"/>
              </w:rPr>
            </w:pPr>
          </w:p>
        </w:tc>
      </w:tr>
      <w:tr w:rsidR="00E70CD3" w:rsidRPr="00DA5F44" w14:paraId="76EF7212" w14:textId="77777777" w:rsidTr="007729E5">
        <w:trPr>
          <w:trHeight w:val="315"/>
        </w:trPr>
        <w:tc>
          <w:tcPr>
            <w:tcW w:w="8660" w:type="dxa"/>
            <w:tcBorders>
              <w:top w:val="nil"/>
              <w:left w:val="nil"/>
              <w:bottom w:val="nil"/>
              <w:right w:val="nil"/>
            </w:tcBorders>
            <w:shd w:val="clear" w:color="auto" w:fill="auto"/>
            <w:noWrap/>
            <w:vAlign w:val="center"/>
            <w:hideMark/>
          </w:tcPr>
          <w:p w14:paraId="5A80293A" w14:textId="77777777" w:rsidR="00E70CD3" w:rsidRDefault="00E70CD3" w:rsidP="007729E5">
            <w:pPr>
              <w:spacing w:after="0" w:line="240" w:lineRule="auto"/>
              <w:rPr>
                <w:rFonts w:ascii="Arial" w:eastAsia="Times New Roman" w:hAnsi="Arial" w:cs="Arial"/>
                <w:b/>
                <w:bCs/>
                <w:sz w:val="24"/>
                <w:szCs w:val="24"/>
                <w:lang w:eastAsia="en-GB"/>
              </w:rPr>
            </w:pPr>
          </w:p>
          <w:p w14:paraId="01BA6BA4" w14:textId="77777777" w:rsidR="00A54371" w:rsidRDefault="00A54371" w:rsidP="007729E5">
            <w:pPr>
              <w:spacing w:after="0" w:line="240" w:lineRule="auto"/>
              <w:rPr>
                <w:rFonts w:ascii="Arial" w:eastAsia="Times New Roman" w:hAnsi="Arial" w:cs="Arial"/>
                <w:b/>
                <w:bCs/>
                <w:sz w:val="24"/>
                <w:szCs w:val="24"/>
                <w:lang w:eastAsia="en-GB"/>
              </w:rPr>
            </w:pPr>
          </w:p>
          <w:p w14:paraId="67C036B0" w14:textId="77777777" w:rsidR="00E70CD3" w:rsidRPr="00DA5F44" w:rsidRDefault="00E70CD3" w:rsidP="007729E5">
            <w:pPr>
              <w:spacing w:after="0" w:line="240" w:lineRule="auto"/>
              <w:rPr>
                <w:rFonts w:ascii="Arial" w:eastAsia="Times New Roman" w:hAnsi="Arial" w:cs="Arial"/>
                <w:b/>
                <w:bCs/>
                <w:sz w:val="24"/>
                <w:szCs w:val="24"/>
                <w:lang w:eastAsia="en-GB"/>
              </w:rPr>
            </w:pPr>
            <w:r w:rsidRPr="00DA5F44">
              <w:rPr>
                <w:rFonts w:ascii="Arial" w:eastAsia="Times New Roman" w:hAnsi="Arial" w:cs="Arial"/>
                <w:b/>
                <w:bCs/>
                <w:sz w:val="24"/>
                <w:szCs w:val="24"/>
                <w:lang w:eastAsia="en-GB"/>
              </w:rPr>
              <w:t>West Midland Pension Fund</w:t>
            </w:r>
          </w:p>
        </w:tc>
        <w:tc>
          <w:tcPr>
            <w:tcW w:w="222" w:type="dxa"/>
            <w:tcBorders>
              <w:top w:val="nil"/>
              <w:left w:val="nil"/>
              <w:bottom w:val="nil"/>
              <w:right w:val="nil"/>
            </w:tcBorders>
            <w:shd w:val="clear" w:color="auto" w:fill="auto"/>
            <w:noWrap/>
            <w:vAlign w:val="center"/>
            <w:hideMark/>
          </w:tcPr>
          <w:p w14:paraId="53FEDC0D" w14:textId="77777777" w:rsidR="00E70CD3" w:rsidRPr="00DA5F44" w:rsidRDefault="00E70CD3" w:rsidP="007729E5">
            <w:pPr>
              <w:spacing w:after="0" w:line="240" w:lineRule="auto"/>
              <w:rPr>
                <w:rFonts w:ascii="Arial" w:eastAsia="Times New Roman" w:hAnsi="Arial" w:cs="Arial"/>
                <w:b/>
                <w:bCs/>
                <w:sz w:val="24"/>
                <w:szCs w:val="24"/>
                <w:lang w:eastAsia="en-GB"/>
              </w:rPr>
            </w:pPr>
          </w:p>
        </w:tc>
        <w:tc>
          <w:tcPr>
            <w:tcW w:w="1200" w:type="dxa"/>
            <w:gridSpan w:val="3"/>
            <w:tcBorders>
              <w:top w:val="nil"/>
              <w:left w:val="nil"/>
              <w:bottom w:val="nil"/>
              <w:right w:val="nil"/>
            </w:tcBorders>
            <w:shd w:val="clear" w:color="auto" w:fill="auto"/>
            <w:noWrap/>
            <w:vAlign w:val="center"/>
            <w:hideMark/>
          </w:tcPr>
          <w:p w14:paraId="734CAE98" w14:textId="77777777" w:rsidR="00E70CD3" w:rsidRPr="00DA5F44" w:rsidRDefault="00E70CD3" w:rsidP="007729E5">
            <w:pPr>
              <w:spacing w:after="0" w:line="240" w:lineRule="auto"/>
              <w:rPr>
                <w:rFonts w:ascii="Times New Roman" w:eastAsia="Times New Roman" w:hAnsi="Times New Roman" w:cs="Times New Roman"/>
                <w:sz w:val="20"/>
                <w:szCs w:val="20"/>
                <w:lang w:eastAsia="en-GB"/>
              </w:rPr>
            </w:pPr>
          </w:p>
        </w:tc>
        <w:tc>
          <w:tcPr>
            <w:tcW w:w="1200" w:type="dxa"/>
            <w:gridSpan w:val="2"/>
            <w:tcBorders>
              <w:top w:val="nil"/>
              <w:left w:val="nil"/>
              <w:bottom w:val="nil"/>
              <w:right w:val="nil"/>
            </w:tcBorders>
            <w:shd w:val="clear" w:color="auto" w:fill="auto"/>
            <w:noWrap/>
            <w:vAlign w:val="center"/>
            <w:hideMark/>
          </w:tcPr>
          <w:p w14:paraId="5FD2EF2F" w14:textId="77777777" w:rsidR="00E70CD3" w:rsidRPr="00DA5F44" w:rsidRDefault="00E70CD3" w:rsidP="007729E5">
            <w:pPr>
              <w:spacing w:after="0" w:line="240" w:lineRule="auto"/>
              <w:rPr>
                <w:rFonts w:ascii="Times New Roman" w:eastAsia="Times New Roman" w:hAnsi="Times New Roman" w:cs="Times New Roman"/>
                <w:sz w:val="20"/>
                <w:szCs w:val="20"/>
                <w:lang w:eastAsia="en-GB"/>
              </w:rPr>
            </w:pPr>
          </w:p>
        </w:tc>
        <w:tc>
          <w:tcPr>
            <w:tcW w:w="1300" w:type="dxa"/>
            <w:gridSpan w:val="2"/>
            <w:tcBorders>
              <w:top w:val="nil"/>
              <w:left w:val="nil"/>
              <w:bottom w:val="nil"/>
              <w:right w:val="nil"/>
            </w:tcBorders>
            <w:shd w:val="clear" w:color="auto" w:fill="auto"/>
            <w:noWrap/>
            <w:vAlign w:val="center"/>
            <w:hideMark/>
          </w:tcPr>
          <w:p w14:paraId="3A2EC28E" w14:textId="77777777" w:rsidR="00E70CD3" w:rsidRPr="00DA5F44" w:rsidRDefault="00E70CD3" w:rsidP="007729E5">
            <w:pPr>
              <w:spacing w:after="0" w:line="240" w:lineRule="auto"/>
              <w:rPr>
                <w:rFonts w:ascii="Times New Roman" w:eastAsia="Times New Roman" w:hAnsi="Times New Roman" w:cs="Times New Roman"/>
                <w:sz w:val="20"/>
                <w:szCs w:val="20"/>
                <w:lang w:eastAsia="en-GB"/>
              </w:rPr>
            </w:pPr>
          </w:p>
        </w:tc>
        <w:tc>
          <w:tcPr>
            <w:tcW w:w="1200" w:type="dxa"/>
            <w:gridSpan w:val="2"/>
            <w:tcBorders>
              <w:top w:val="nil"/>
              <w:left w:val="nil"/>
              <w:bottom w:val="nil"/>
              <w:right w:val="nil"/>
            </w:tcBorders>
            <w:shd w:val="clear" w:color="auto" w:fill="auto"/>
            <w:noWrap/>
            <w:vAlign w:val="bottom"/>
            <w:hideMark/>
          </w:tcPr>
          <w:p w14:paraId="2EEA8B51" w14:textId="77777777" w:rsidR="00E70CD3" w:rsidRPr="00DA5F44" w:rsidRDefault="00E70CD3" w:rsidP="007729E5">
            <w:pPr>
              <w:spacing w:after="0" w:line="240" w:lineRule="auto"/>
              <w:rPr>
                <w:rFonts w:ascii="Times New Roman" w:eastAsia="Times New Roman" w:hAnsi="Times New Roman" w:cs="Times New Roman"/>
                <w:sz w:val="20"/>
                <w:szCs w:val="20"/>
                <w:lang w:eastAsia="en-GB"/>
              </w:rPr>
            </w:pPr>
          </w:p>
        </w:tc>
      </w:tr>
      <w:tr w:rsidR="00E70CD3" w:rsidRPr="00DA5F44" w14:paraId="40056367" w14:textId="77777777" w:rsidTr="007729E5">
        <w:trPr>
          <w:trHeight w:val="255"/>
        </w:trPr>
        <w:tc>
          <w:tcPr>
            <w:tcW w:w="8660" w:type="dxa"/>
            <w:tcBorders>
              <w:top w:val="nil"/>
              <w:left w:val="nil"/>
              <w:bottom w:val="nil"/>
              <w:right w:val="nil"/>
            </w:tcBorders>
            <w:shd w:val="clear" w:color="auto" w:fill="auto"/>
            <w:noWrap/>
            <w:vAlign w:val="center"/>
            <w:hideMark/>
          </w:tcPr>
          <w:p w14:paraId="5AF81FF6" w14:textId="77777777" w:rsidR="00E70CD3" w:rsidRPr="00DA5F44" w:rsidRDefault="00E70CD3" w:rsidP="007729E5">
            <w:pPr>
              <w:spacing w:after="0" w:line="240" w:lineRule="auto"/>
              <w:rPr>
                <w:rFonts w:ascii="Times New Roman" w:eastAsia="Times New Roman" w:hAnsi="Times New Roman" w:cs="Times New Roman"/>
                <w:sz w:val="20"/>
                <w:szCs w:val="20"/>
                <w:lang w:eastAsia="en-GB"/>
              </w:rPr>
            </w:pPr>
          </w:p>
        </w:tc>
        <w:tc>
          <w:tcPr>
            <w:tcW w:w="222" w:type="dxa"/>
            <w:tcBorders>
              <w:top w:val="nil"/>
              <w:left w:val="nil"/>
              <w:bottom w:val="nil"/>
              <w:right w:val="nil"/>
            </w:tcBorders>
            <w:shd w:val="clear" w:color="auto" w:fill="auto"/>
            <w:noWrap/>
            <w:vAlign w:val="center"/>
            <w:hideMark/>
          </w:tcPr>
          <w:p w14:paraId="7BEF1148" w14:textId="77777777" w:rsidR="00E70CD3" w:rsidRPr="00DA5F44" w:rsidRDefault="00E70CD3" w:rsidP="007729E5">
            <w:pPr>
              <w:spacing w:after="0" w:line="240" w:lineRule="auto"/>
              <w:rPr>
                <w:rFonts w:ascii="Times New Roman" w:eastAsia="Times New Roman" w:hAnsi="Times New Roman" w:cs="Times New Roman"/>
                <w:sz w:val="20"/>
                <w:szCs w:val="20"/>
                <w:lang w:eastAsia="en-GB"/>
              </w:rPr>
            </w:pPr>
          </w:p>
        </w:tc>
        <w:tc>
          <w:tcPr>
            <w:tcW w:w="1200" w:type="dxa"/>
            <w:gridSpan w:val="3"/>
            <w:tcBorders>
              <w:top w:val="nil"/>
              <w:left w:val="nil"/>
              <w:bottom w:val="nil"/>
              <w:right w:val="nil"/>
            </w:tcBorders>
            <w:shd w:val="clear" w:color="auto" w:fill="auto"/>
            <w:noWrap/>
            <w:vAlign w:val="center"/>
            <w:hideMark/>
          </w:tcPr>
          <w:p w14:paraId="1D76ED19" w14:textId="77777777" w:rsidR="00E70CD3" w:rsidRPr="00DA5F44" w:rsidRDefault="00E70CD3" w:rsidP="007729E5">
            <w:pPr>
              <w:spacing w:after="0" w:line="240" w:lineRule="auto"/>
              <w:rPr>
                <w:rFonts w:ascii="Times New Roman" w:eastAsia="Times New Roman" w:hAnsi="Times New Roman" w:cs="Times New Roman"/>
                <w:sz w:val="20"/>
                <w:szCs w:val="20"/>
                <w:lang w:eastAsia="en-GB"/>
              </w:rPr>
            </w:pPr>
          </w:p>
        </w:tc>
        <w:tc>
          <w:tcPr>
            <w:tcW w:w="1200" w:type="dxa"/>
            <w:gridSpan w:val="2"/>
            <w:tcBorders>
              <w:top w:val="nil"/>
              <w:left w:val="nil"/>
              <w:bottom w:val="nil"/>
              <w:right w:val="nil"/>
            </w:tcBorders>
            <w:shd w:val="clear" w:color="auto" w:fill="auto"/>
            <w:noWrap/>
            <w:vAlign w:val="center"/>
            <w:hideMark/>
          </w:tcPr>
          <w:p w14:paraId="767287F5" w14:textId="77777777" w:rsidR="00E70CD3" w:rsidRPr="00DA5F44" w:rsidRDefault="00E70CD3" w:rsidP="007729E5">
            <w:pPr>
              <w:spacing w:after="0" w:line="240" w:lineRule="auto"/>
              <w:rPr>
                <w:rFonts w:ascii="Times New Roman" w:eastAsia="Times New Roman" w:hAnsi="Times New Roman" w:cs="Times New Roman"/>
                <w:sz w:val="20"/>
                <w:szCs w:val="20"/>
                <w:lang w:eastAsia="en-GB"/>
              </w:rPr>
            </w:pPr>
          </w:p>
        </w:tc>
        <w:tc>
          <w:tcPr>
            <w:tcW w:w="1300" w:type="dxa"/>
            <w:gridSpan w:val="2"/>
            <w:tcBorders>
              <w:top w:val="nil"/>
              <w:left w:val="nil"/>
              <w:bottom w:val="nil"/>
              <w:right w:val="nil"/>
            </w:tcBorders>
            <w:shd w:val="clear" w:color="auto" w:fill="auto"/>
            <w:noWrap/>
            <w:vAlign w:val="center"/>
            <w:hideMark/>
          </w:tcPr>
          <w:p w14:paraId="22D6C4D5" w14:textId="77777777" w:rsidR="00E70CD3" w:rsidRPr="00DA5F44" w:rsidRDefault="00E70CD3" w:rsidP="007729E5">
            <w:pPr>
              <w:spacing w:after="0" w:line="240" w:lineRule="auto"/>
              <w:rPr>
                <w:rFonts w:ascii="Times New Roman" w:eastAsia="Times New Roman" w:hAnsi="Times New Roman" w:cs="Times New Roman"/>
                <w:sz w:val="20"/>
                <w:szCs w:val="20"/>
                <w:lang w:eastAsia="en-GB"/>
              </w:rPr>
            </w:pPr>
          </w:p>
        </w:tc>
        <w:tc>
          <w:tcPr>
            <w:tcW w:w="1200" w:type="dxa"/>
            <w:gridSpan w:val="2"/>
            <w:tcBorders>
              <w:top w:val="nil"/>
              <w:left w:val="nil"/>
              <w:bottom w:val="nil"/>
              <w:right w:val="nil"/>
            </w:tcBorders>
            <w:shd w:val="clear" w:color="auto" w:fill="auto"/>
            <w:noWrap/>
            <w:vAlign w:val="bottom"/>
            <w:hideMark/>
          </w:tcPr>
          <w:p w14:paraId="2449D88D" w14:textId="77777777" w:rsidR="00E70CD3" w:rsidRPr="00DA5F44" w:rsidRDefault="00E70CD3" w:rsidP="007729E5">
            <w:pPr>
              <w:spacing w:after="0" w:line="240" w:lineRule="auto"/>
              <w:rPr>
                <w:rFonts w:ascii="Times New Roman" w:eastAsia="Times New Roman" w:hAnsi="Times New Roman" w:cs="Times New Roman"/>
                <w:sz w:val="20"/>
                <w:szCs w:val="20"/>
                <w:lang w:eastAsia="en-GB"/>
              </w:rPr>
            </w:pPr>
          </w:p>
        </w:tc>
      </w:tr>
      <w:tr w:rsidR="00E70CD3" w:rsidRPr="00DA5F44" w14:paraId="73A4B174" w14:textId="77777777" w:rsidTr="007729E5">
        <w:trPr>
          <w:trHeight w:val="255"/>
        </w:trPr>
        <w:tc>
          <w:tcPr>
            <w:tcW w:w="13782" w:type="dxa"/>
            <w:gridSpan w:val="11"/>
            <w:tcBorders>
              <w:top w:val="nil"/>
              <w:left w:val="nil"/>
              <w:bottom w:val="nil"/>
              <w:right w:val="nil"/>
            </w:tcBorders>
            <w:shd w:val="clear" w:color="auto" w:fill="auto"/>
            <w:hideMark/>
          </w:tcPr>
          <w:p w14:paraId="29C33984" w14:textId="77777777" w:rsidR="00E70CD3" w:rsidRDefault="00E70CD3" w:rsidP="007729E5">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Principal actuarial assum</w:t>
            </w:r>
            <w:r w:rsidRPr="00DA5F44">
              <w:rPr>
                <w:rFonts w:ascii="Arial" w:eastAsia="Times New Roman" w:hAnsi="Arial" w:cs="Arial"/>
                <w:sz w:val="20"/>
                <w:szCs w:val="20"/>
                <w:lang w:eastAsia="en-GB"/>
              </w:rPr>
              <w:t>p</w:t>
            </w:r>
            <w:r>
              <w:rPr>
                <w:rFonts w:ascii="Arial" w:eastAsia="Times New Roman" w:hAnsi="Arial" w:cs="Arial"/>
                <w:sz w:val="20"/>
                <w:szCs w:val="20"/>
                <w:lang w:eastAsia="en-GB"/>
              </w:rPr>
              <w:t>t</w:t>
            </w:r>
            <w:r w:rsidRPr="00DA5F44">
              <w:rPr>
                <w:rFonts w:ascii="Arial" w:eastAsia="Times New Roman" w:hAnsi="Arial" w:cs="Arial"/>
                <w:sz w:val="20"/>
                <w:szCs w:val="20"/>
                <w:lang w:eastAsia="en-GB"/>
              </w:rPr>
              <w:t>ions:</w:t>
            </w:r>
          </w:p>
          <w:p w14:paraId="4182414A" w14:textId="77777777" w:rsidR="00E70CD3" w:rsidRDefault="00E70CD3" w:rsidP="007729E5">
            <w:pPr>
              <w:spacing w:after="0" w:line="240" w:lineRule="auto"/>
              <w:rPr>
                <w:rFonts w:ascii="Arial" w:eastAsia="Times New Roman" w:hAnsi="Arial" w:cs="Arial"/>
                <w:sz w:val="20"/>
                <w:szCs w:val="20"/>
                <w:lang w:eastAsia="en-GB"/>
              </w:rPr>
            </w:pPr>
          </w:p>
          <w:tbl>
            <w:tblPr>
              <w:tblW w:w="8977" w:type="dxa"/>
              <w:tblLook w:val="04A0" w:firstRow="1" w:lastRow="0" w:firstColumn="1" w:lastColumn="0" w:noHBand="0" w:noVBand="1"/>
            </w:tblPr>
            <w:tblGrid>
              <w:gridCol w:w="3700"/>
              <w:gridCol w:w="585"/>
              <w:gridCol w:w="992"/>
              <w:gridCol w:w="1200"/>
              <w:gridCol w:w="1300"/>
              <w:gridCol w:w="1200"/>
            </w:tblGrid>
            <w:tr w:rsidR="00E70CD3" w:rsidRPr="00DA5F44" w14:paraId="34571421" w14:textId="77777777" w:rsidTr="006647C2">
              <w:trPr>
                <w:trHeight w:val="255"/>
              </w:trPr>
              <w:tc>
                <w:tcPr>
                  <w:tcW w:w="3700" w:type="dxa"/>
                  <w:tcBorders>
                    <w:top w:val="nil"/>
                    <w:left w:val="nil"/>
                    <w:bottom w:val="single" w:sz="4" w:space="0" w:color="auto"/>
                    <w:right w:val="nil"/>
                  </w:tcBorders>
                  <w:shd w:val="clear" w:color="auto" w:fill="auto"/>
                  <w:noWrap/>
                  <w:vAlign w:val="center"/>
                  <w:hideMark/>
                </w:tcPr>
                <w:p w14:paraId="3D0F8089" w14:textId="77777777" w:rsidR="00E70CD3" w:rsidRPr="00DA5F44" w:rsidRDefault="00E70CD3" w:rsidP="007729E5">
                  <w:pPr>
                    <w:spacing w:after="0" w:line="240" w:lineRule="auto"/>
                    <w:rPr>
                      <w:rFonts w:ascii="Arial" w:eastAsia="Times New Roman" w:hAnsi="Arial" w:cs="Arial"/>
                      <w:sz w:val="20"/>
                      <w:szCs w:val="20"/>
                      <w:lang w:eastAsia="en-GB"/>
                    </w:rPr>
                  </w:pPr>
                  <w:r w:rsidRPr="00DA5F44">
                    <w:rPr>
                      <w:rFonts w:ascii="Arial" w:eastAsia="Times New Roman" w:hAnsi="Arial" w:cs="Arial"/>
                      <w:sz w:val="20"/>
                      <w:szCs w:val="20"/>
                      <w:lang w:eastAsia="en-GB"/>
                    </w:rPr>
                    <w:t> </w:t>
                  </w:r>
                </w:p>
              </w:tc>
              <w:tc>
                <w:tcPr>
                  <w:tcW w:w="585" w:type="dxa"/>
                  <w:tcBorders>
                    <w:top w:val="nil"/>
                    <w:left w:val="nil"/>
                    <w:bottom w:val="single" w:sz="4" w:space="0" w:color="auto"/>
                    <w:right w:val="nil"/>
                  </w:tcBorders>
                  <w:shd w:val="clear" w:color="auto" w:fill="auto"/>
                  <w:noWrap/>
                  <w:vAlign w:val="bottom"/>
                  <w:hideMark/>
                </w:tcPr>
                <w:p w14:paraId="16C2DAA5" w14:textId="77777777" w:rsidR="00E70CD3" w:rsidRPr="00DA5F44" w:rsidRDefault="00E70CD3" w:rsidP="007729E5">
                  <w:pPr>
                    <w:spacing w:after="0" w:line="240" w:lineRule="auto"/>
                    <w:rPr>
                      <w:rFonts w:ascii="Arial" w:eastAsia="Times New Roman" w:hAnsi="Arial" w:cs="Arial"/>
                      <w:sz w:val="20"/>
                      <w:szCs w:val="20"/>
                      <w:lang w:eastAsia="en-GB"/>
                    </w:rPr>
                  </w:pPr>
                  <w:r w:rsidRPr="00DA5F44">
                    <w:rPr>
                      <w:rFonts w:ascii="Arial" w:eastAsia="Times New Roman" w:hAnsi="Arial" w:cs="Arial"/>
                      <w:sz w:val="20"/>
                      <w:szCs w:val="20"/>
                      <w:lang w:eastAsia="en-GB"/>
                    </w:rPr>
                    <w:t> </w:t>
                  </w:r>
                </w:p>
              </w:tc>
              <w:tc>
                <w:tcPr>
                  <w:tcW w:w="992" w:type="dxa"/>
                  <w:tcBorders>
                    <w:top w:val="nil"/>
                    <w:left w:val="nil"/>
                    <w:bottom w:val="single" w:sz="4" w:space="0" w:color="auto"/>
                    <w:right w:val="nil"/>
                  </w:tcBorders>
                  <w:shd w:val="clear" w:color="auto" w:fill="auto"/>
                  <w:noWrap/>
                  <w:vAlign w:val="bottom"/>
                  <w:hideMark/>
                </w:tcPr>
                <w:p w14:paraId="4C4A9B5F" w14:textId="77777777" w:rsidR="00E70CD3" w:rsidRPr="00DA5F44" w:rsidRDefault="00E70CD3" w:rsidP="007729E5">
                  <w:pPr>
                    <w:spacing w:after="0" w:line="240" w:lineRule="auto"/>
                    <w:rPr>
                      <w:rFonts w:ascii="Arial" w:eastAsia="Times New Roman" w:hAnsi="Arial" w:cs="Arial"/>
                      <w:sz w:val="20"/>
                      <w:szCs w:val="20"/>
                      <w:lang w:eastAsia="en-GB"/>
                    </w:rPr>
                  </w:pPr>
                  <w:r w:rsidRPr="00DA5F44">
                    <w:rPr>
                      <w:rFonts w:ascii="Arial" w:eastAsia="Times New Roman" w:hAnsi="Arial" w:cs="Arial"/>
                      <w:sz w:val="20"/>
                      <w:szCs w:val="20"/>
                      <w:lang w:eastAsia="en-GB"/>
                    </w:rPr>
                    <w:t> </w:t>
                  </w:r>
                </w:p>
              </w:tc>
              <w:tc>
                <w:tcPr>
                  <w:tcW w:w="1200" w:type="dxa"/>
                  <w:tcBorders>
                    <w:top w:val="nil"/>
                    <w:left w:val="nil"/>
                    <w:bottom w:val="single" w:sz="4" w:space="0" w:color="auto"/>
                    <w:right w:val="nil"/>
                  </w:tcBorders>
                  <w:shd w:val="clear" w:color="auto" w:fill="auto"/>
                  <w:noWrap/>
                  <w:vAlign w:val="bottom"/>
                  <w:hideMark/>
                </w:tcPr>
                <w:p w14:paraId="65376486" w14:textId="77777777" w:rsidR="00E70CD3" w:rsidRPr="00DA5F44" w:rsidRDefault="00E70CD3" w:rsidP="007729E5">
                  <w:pPr>
                    <w:spacing w:after="0" w:line="240" w:lineRule="auto"/>
                    <w:rPr>
                      <w:rFonts w:ascii="Arial" w:eastAsia="Times New Roman" w:hAnsi="Arial" w:cs="Arial"/>
                      <w:sz w:val="20"/>
                      <w:szCs w:val="20"/>
                      <w:lang w:eastAsia="en-GB"/>
                    </w:rPr>
                  </w:pPr>
                  <w:r w:rsidRPr="00DA5F44">
                    <w:rPr>
                      <w:rFonts w:ascii="Arial" w:eastAsia="Times New Roman" w:hAnsi="Arial" w:cs="Arial"/>
                      <w:sz w:val="20"/>
                      <w:szCs w:val="20"/>
                      <w:lang w:eastAsia="en-GB"/>
                    </w:rPr>
                    <w:t> </w:t>
                  </w:r>
                </w:p>
              </w:tc>
              <w:tc>
                <w:tcPr>
                  <w:tcW w:w="1300" w:type="dxa"/>
                  <w:tcBorders>
                    <w:top w:val="nil"/>
                    <w:left w:val="nil"/>
                    <w:bottom w:val="single" w:sz="4" w:space="0" w:color="auto"/>
                    <w:right w:val="nil"/>
                  </w:tcBorders>
                  <w:shd w:val="clear" w:color="auto" w:fill="auto"/>
                  <w:noWrap/>
                  <w:vAlign w:val="center"/>
                  <w:hideMark/>
                </w:tcPr>
                <w:p w14:paraId="191860CB" w14:textId="77777777" w:rsidR="00E70CD3" w:rsidRPr="00DA5F44" w:rsidRDefault="0037645F" w:rsidP="005229F1">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2020</w:t>
                  </w:r>
                </w:p>
              </w:tc>
              <w:tc>
                <w:tcPr>
                  <w:tcW w:w="1200" w:type="dxa"/>
                  <w:tcBorders>
                    <w:top w:val="nil"/>
                    <w:left w:val="nil"/>
                    <w:bottom w:val="single" w:sz="4" w:space="0" w:color="auto"/>
                    <w:right w:val="nil"/>
                  </w:tcBorders>
                  <w:shd w:val="clear" w:color="auto" w:fill="auto"/>
                  <w:vAlign w:val="bottom"/>
                  <w:hideMark/>
                </w:tcPr>
                <w:p w14:paraId="574605BD" w14:textId="77777777" w:rsidR="00E70CD3" w:rsidRPr="00DA5F44" w:rsidRDefault="0037645F" w:rsidP="005229F1">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2019</w:t>
                  </w:r>
                </w:p>
              </w:tc>
            </w:tr>
            <w:tr w:rsidR="00416FDD" w:rsidRPr="00DA5F44" w14:paraId="49CB77AF" w14:textId="77777777" w:rsidTr="006647C2">
              <w:trPr>
                <w:trHeight w:val="255"/>
              </w:trPr>
              <w:tc>
                <w:tcPr>
                  <w:tcW w:w="3700" w:type="dxa"/>
                  <w:tcBorders>
                    <w:top w:val="nil"/>
                    <w:left w:val="nil"/>
                    <w:bottom w:val="nil"/>
                    <w:right w:val="nil"/>
                  </w:tcBorders>
                  <w:shd w:val="clear" w:color="auto" w:fill="auto"/>
                  <w:noWrap/>
                  <w:vAlign w:val="center"/>
                  <w:hideMark/>
                </w:tcPr>
                <w:p w14:paraId="0BAC021E" w14:textId="77777777" w:rsidR="00416FDD" w:rsidRPr="00DA5F44" w:rsidRDefault="00416FDD" w:rsidP="00416FDD">
                  <w:pPr>
                    <w:spacing w:after="0" w:line="240" w:lineRule="auto"/>
                    <w:rPr>
                      <w:rFonts w:ascii="Arial" w:eastAsia="Times New Roman" w:hAnsi="Arial" w:cs="Arial"/>
                      <w:sz w:val="20"/>
                      <w:szCs w:val="20"/>
                      <w:lang w:eastAsia="en-GB"/>
                    </w:rPr>
                  </w:pPr>
                  <w:r w:rsidRPr="00DA5F44">
                    <w:rPr>
                      <w:rFonts w:ascii="Arial" w:eastAsia="Times New Roman" w:hAnsi="Arial" w:cs="Arial"/>
                      <w:sz w:val="20"/>
                      <w:szCs w:val="20"/>
                      <w:lang w:eastAsia="en-GB"/>
                    </w:rPr>
                    <w:t>Expected rate of salary increases</w:t>
                  </w:r>
                </w:p>
              </w:tc>
              <w:tc>
                <w:tcPr>
                  <w:tcW w:w="585" w:type="dxa"/>
                  <w:tcBorders>
                    <w:top w:val="nil"/>
                    <w:left w:val="nil"/>
                    <w:bottom w:val="nil"/>
                    <w:right w:val="nil"/>
                  </w:tcBorders>
                  <w:shd w:val="clear" w:color="auto" w:fill="auto"/>
                  <w:noWrap/>
                  <w:vAlign w:val="bottom"/>
                  <w:hideMark/>
                </w:tcPr>
                <w:p w14:paraId="60DA015A" w14:textId="77777777" w:rsidR="00416FDD" w:rsidRPr="00DA5F44" w:rsidRDefault="00416FDD" w:rsidP="00416FDD">
                  <w:pPr>
                    <w:spacing w:after="0" w:line="240" w:lineRule="auto"/>
                    <w:rPr>
                      <w:rFonts w:ascii="Arial" w:eastAsia="Times New Roman" w:hAnsi="Arial" w:cs="Arial"/>
                      <w:sz w:val="20"/>
                      <w:szCs w:val="20"/>
                      <w:lang w:eastAsia="en-GB"/>
                    </w:rPr>
                  </w:pPr>
                </w:p>
              </w:tc>
              <w:tc>
                <w:tcPr>
                  <w:tcW w:w="992" w:type="dxa"/>
                  <w:tcBorders>
                    <w:top w:val="nil"/>
                    <w:left w:val="nil"/>
                    <w:bottom w:val="nil"/>
                    <w:right w:val="nil"/>
                  </w:tcBorders>
                  <w:shd w:val="clear" w:color="auto" w:fill="auto"/>
                  <w:noWrap/>
                  <w:vAlign w:val="bottom"/>
                  <w:hideMark/>
                </w:tcPr>
                <w:p w14:paraId="2672CC56" w14:textId="77777777" w:rsidR="00416FDD" w:rsidRPr="00DA5F44" w:rsidRDefault="00416FDD" w:rsidP="00416FDD">
                  <w:pPr>
                    <w:spacing w:after="0" w:line="240" w:lineRule="auto"/>
                    <w:rPr>
                      <w:rFonts w:ascii="Times New Roman" w:eastAsia="Times New Roman" w:hAnsi="Times New Roman" w:cs="Times New Roman"/>
                      <w:sz w:val="20"/>
                      <w:szCs w:val="20"/>
                      <w:lang w:eastAsia="en-GB"/>
                    </w:rPr>
                  </w:pPr>
                </w:p>
              </w:tc>
              <w:tc>
                <w:tcPr>
                  <w:tcW w:w="1200" w:type="dxa"/>
                  <w:tcBorders>
                    <w:top w:val="nil"/>
                    <w:left w:val="nil"/>
                    <w:bottom w:val="nil"/>
                    <w:right w:val="nil"/>
                  </w:tcBorders>
                  <w:shd w:val="clear" w:color="auto" w:fill="auto"/>
                  <w:noWrap/>
                  <w:vAlign w:val="bottom"/>
                  <w:hideMark/>
                </w:tcPr>
                <w:p w14:paraId="1D15D5A3" w14:textId="77777777" w:rsidR="00416FDD" w:rsidRPr="00DA5F44" w:rsidRDefault="00416FDD" w:rsidP="00416FDD">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69B1923F" w14:textId="77777777" w:rsidR="00416FDD" w:rsidRPr="00DA5F44" w:rsidRDefault="00416FDD" w:rsidP="00416FDD">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3.</w:t>
                  </w:r>
                  <w:r w:rsidR="00FF0663">
                    <w:rPr>
                      <w:rFonts w:ascii="Arial" w:eastAsia="Times New Roman" w:hAnsi="Arial" w:cs="Arial"/>
                      <w:b/>
                      <w:bCs/>
                      <w:sz w:val="20"/>
                      <w:szCs w:val="20"/>
                      <w:lang w:eastAsia="en-GB"/>
                    </w:rPr>
                    <w:t>3</w:t>
                  </w:r>
                  <w:r w:rsidRPr="00DA5F44">
                    <w:rPr>
                      <w:rFonts w:ascii="Arial" w:eastAsia="Times New Roman" w:hAnsi="Arial" w:cs="Arial"/>
                      <w:b/>
                      <w:bCs/>
                      <w:sz w:val="20"/>
                      <w:szCs w:val="20"/>
                      <w:lang w:eastAsia="en-GB"/>
                    </w:rPr>
                    <w:t>%</w:t>
                  </w:r>
                </w:p>
              </w:tc>
              <w:tc>
                <w:tcPr>
                  <w:tcW w:w="1200" w:type="dxa"/>
                  <w:tcBorders>
                    <w:top w:val="nil"/>
                    <w:left w:val="nil"/>
                    <w:bottom w:val="nil"/>
                    <w:right w:val="nil"/>
                  </w:tcBorders>
                  <w:shd w:val="clear" w:color="auto" w:fill="auto"/>
                  <w:noWrap/>
                  <w:vAlign w:val="center"/>
                  <w:hideMark/>
                </w:tcPr>
                <w:p w14:paraId="5C447864" w14:textId="77777777" w:rsidR="00416FDD" w:rsidRPr="00416FDD" w:rsidRDefault="00416FDD" w:rsidP="00416FDD">
                  <w:pPr>
                    <w:spacing w:after="0" w:line="240" w:lineRule="auto"/>
                    <w:jc w:val="right"/>
                    <w:rPr>
                      <w:rFonts w:ascii="Arial" w:eastAsia="Times New Roman" w:hAnsi="Arial" w:cs="Arial"/>
                      <w:sz w:val="20"/>
                      <w:szCs w:val="20"/>
                      <w:lang w:eastAsia="en-GB"/>
                    </w:rPr>
                  </w:pPr>
                  <w:r w:rsidRPr="00416FDD">
                    <w:rPr>
                      <w:rFonts w:ascii="Arial" w:eastAsia="Times New Roman" w:hAnsi="Arial" w:cs="Arial"/>
                      <w:bCs/>
                      <w:sz w:val="20"/>
                      <w:szCs w:val="20"/>
                      <w:lang w:eastAsia="en-GB"/>
                    </w:rPr>
                    <w:t>3.7%</w:t>
                  </w:r>
                </w:p>
              </w:tc>
            </w:tr>
            <w:tr w:rsidR="00416FDD" w:rsidRPr="00DA5F44" w14:paraId="4A8DB7EE" w14:textId="77777777" w:rsidTr="006647C2">
              <w:trPr>
                <w:trHeight w:val="255"/>
              </w:trPr>
              <w:tc>
                <w:tcPr>
                  <w:tcW w:w="5277" w:type="dxa"/>
                  <w:gridSpan w:val="3"/>
                  <w:tcBorders>
                    <w:top w:val="nil"/>
                    <w:left w:val="nil"/>
                    <w:bottom w:val="nil"/>
                    <w:right w:val="nil"/>
                  </w:tcBorders>
                  <w:shd w:val="clear" w:color="auto" w:fill="auto"/>
                  <w:noWrap/>
                  <w:vAlign w:val="center"/>
                  <w:hideMark/>
                </w:tcPr>
                <w:p w14:paraId="1DBB48DF" w14:textId="77777777" w:rsidR="00416FDD" w:rsidRPr="00DA5F44" w:rsidRDefault="00416FDD" w:rsidP="00416FDD">
                  <w:pPr>
                    <w:spacing w:after="0" w:line="240" w:lineRule="auto"/>
                    <w:rPr>
                      <w:rFonts w:ascii="Arial" w:eastAsia="Times New Roman" w:hAnsi="Arial" w:cs="Arial"/>
                      <w:sz w:val="20"/>
                      <w:szCs w:val="20"/>
                      <w:lang w:eastAsia="en-GB"/>
                    </w:rPr>
                  </w:pPr>
                  <w:r w:rsidRPr="00DA5F44">
                    <w:rPr>
                      <w:rFonts w:ascii="Arial" w:eastAsia="Times New Roman" w:hAnsi="Arial" w:cs="Arial"/>
                      <w:sz w:val="20"/>
                      <w:szCs w:val="20"/>
                      <w:lang w:eastAsia="en-GB"/>
                    </w:rPr>
                    <w:t>Expected rate of increase of pensions in payments</w:t>
                  </w:r>
                </w:p>
              </w:tc>
              <w:tc>
                <w:tcPr>
                  <w:tcW w:w="1200" w:type="dxa"/>
                  <w:tcBorders>
                    <w:top w:val="nil"/>
                    <w:left w:val="nil"/>
                    <w:bottom w:val="nil"/>
                    <w:right w:val="nil"/>
                  </w:tcBorders>
                  <w:shd w:val="clear" w:color="auto" w:fill="auto"/>
                  <w:noWrap/>
                  <w:vAlign w:val="bottom"/>
                  <w:hideMark/>
                </w:tcPr>
                <w:p w14:paraId="34E753C0" w14:textId="77777777" w:rsidR="00416FDD" w:rsidRPr="00DA5F44" w:rsidRDefault="00416FDD" w:rsidP="00416FDD">
                  <w:pPr>
                    <w:spacing w:after="0" w:line="240" w:lineRule="auto"/>
                    <w:rPr>
                      <w:rFonts w:ascii="Arial" w:eastAsia="Times New Roman" w:hAnsi="Arial" w:cs="Arial"/>
                      <w:sz w:val="20"/>
                      <w:szCs w:val="20"/>
                      <w:lang w:eastAsia="en-GB"/>
                    </w:rPr>
                  </w:pPr>
                </w:p>
              </w:tc>
              <w:tc>
                <w:tcPr>
                  <w:tcW w:w="1300" w:type="dxa"/>
                  <w:tcBorders>
                    <w:top w:val="nil"/>
                    <w:left w:val="nil"/>
                    <w:bottom w:val="nil"/>
                    <w:right w:val="nil"/>
                  </w:tcBorders>
                  <w:shd w:val="clear" w:color="auto" w:fill="auto"/>
                  <w:noWrap/>
                  <w:vAlign w:val="center"/>
                  <w:hideMark/>
                </w:tcPr>
                <w:p w14:paraId="2984C431" w14:textId="77777777" w:rsidR="00416FDD" w:rsidRPr="00DA5F44" w:rsidRDefault="00416FDD" w:rsidP="00416FDD">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2.</w:t>
                  </w:r>
                  <w:r w:rsidR="00FF0663">
                    <w:rPr>
                      <w:rFonts w:ascii="Arial" w:eastAsia="Times New Roman" w:hAnsi="Arial" w:cs="Arial"/>
                      <w:b/>
                      <w:bCs/>
                      <w:sz w:val="20"/>
                      <w:szCs w:val="20"/>
                      <w:lang w:eastAsia="en-GB"/>
                    </w:rPr>
                    <w:t>3</w:t>
                  </w:r>
                  <w:r w:rsidRPr="00DA5F44">
                    <w:rPr>
                      <w:rFonts w:ascii="Arial" w:eastAsia="Times New Roman" w:hAnsi="Arial" w:cs="Arial"/>
                      <w:b/>
                      <w:bCs/>
                      <w:sz w:val="20"/>
                      <w:szCs w:val="20"/>
                      <w:lang w:eastAsia="en-GB"/>
                    </w:rPr>
                    <w:t>%</w:t>
                  </w:r>
                </w:p>
              </w:tc>
              <w:tc>
                <w:tcPr>
                  <w:tcW w:w="1200" w:type="dxa"/>
                  <w:tcBorders>
                    <w:top w:val="nil"/>
                    <w:left w:val="nil"/>
                    <w:bottom w:val="nil"/>
                    <w:right w:val="nil"/>
                  </w:tcBorders>
                  <w:shd w:val="clear" w:color="auto" w:fill="auto"/>
                  <w:noWrap/>
                  <w:vAlign w:val="center"/>
                  <w:hideMark/>
                </w:tcPr>
                <w:p w14:paraId="656764AA" w14:textId="77777777" w:rsidR="00416FDD" w:rsidRPr="00416FDD" w:rsidRDefault="00FF0663" w:rsidP="00416FDD">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2.7</w:t>
                  </w:r>
                  <w:r w:rsidR="00416FDD" w:rsidRPr="00416FDD">
                    <w:rPr>
                      <w:rFonts w:ascii="Arial" w:eastAsia="Times New Roman" w:hAnsi="Arial" w:cs="Arial"/>
                      <w:sz w:val="20"/>
                      <w:szCs w:val="20"/>
                      <w:lang w:eastAsia="en-GB"/>
                    </w:rPr>
                    <w:t>%</w:t>
                  </w:r>
                </w:p>
              </w:tc>
            </w:tr>
            <w:tr w:rsidR="00416FDD" w:rsidRPr="00DA5F44" w14:paraId="67206531" w14:textId="77777777" w:rsidTr="006647C2">
              <w:trPr>
                <w:trHeight w:val="255"/>
              </w:trPr>
              <w:tc>
                <w:tcPr>
                  <w:tcW w:w="3700" w:type="dxa"/>
                  <w:tcBorders>
                    <w:top w:val="nil"/>
                    <w:left w:val="nil"/>
                    <w:bottom w:val="nil"/>
                    <w:right w:val="nil"/>
                  </w:tcBorders>
                  <w:shd w:val="clear" w:color="auto" w:fill="auto"/>
                  <w:noWrap/>
                  <w:vAlign w:val="center"/>
                  <w:hideMark/>
                </w:tcPr>
                <w:p w14:paraId="39D60E10" w14:textId="77777777" w:rsidR="00416FDD" w:rsidRPr="00DA5F44" w:rsidRDefault="00416FDD" w:rsidP="00416FDD">
                  <w:pPr>
                    <w:spacing w:after="0" w:line="240" w:lineRule="auto"/>
                    <w:rPr>
                      <w:rFonts w:ascii="Arial" w:eastAsia="Times New Roman" w:hAnsi="Arial" w:cs="Arial"/>
                      <w:sz w:val="20"/>
                      <w:szCs w:val="20"/>
                      <w:lang w:eastAsia="en-GB"/>
                    </w:rPr>
                  </w:pPr>
                  <w:r w:rsidRPr="00DA5F44">
                    <w:rPr>
                      <w:rFonts w:ascii="Arial" w:eastAsia="Times New Roman" w:hAnsi="Arial" w:cs="Arial"/>
                      <w:sz w:val="20"/>
                      <w:szCs w:val="20"/>
                      <w:lang w:eastAsia="en-GB"/>
                    </w:rPr>
                    <w:t>Rate of inflation</w:t>
                  </w:r>
                </w:p>
              </w:tc>
              <w:tc>
                <w:tcPr>
                  <w:tcW w:w="585" w:type="dxa"/>
                  <w:tcBorders>
                    <w:top w:val="nil"/>
                    <w:left w:val="nil"/>
                    <w:bottom w:val="nil"/>
                    <w:right w:val="nil"/>
                  </w:tcBorders>
                  <w:shd w:val="clear" w:color="auto" w:fill="auto"/>
                  <w:noWrap/>
                  <w:vAlign w:val="bottom"/>
                  <w:hideMark/>
                </w:tcPr>
                <w:p w14:paraId="63E6452A" w14:textId="77777777" w:rsidR="00416FDD" w:rsidRPr="00DA5F44" w:rsidRDefault="00416FDD" w:rsidP="00416FDD">
                  <w:pPr>
                    <w:spacing w:after="0" w:line="240" w:lineRule="auto"/>
                    <w:rPr>
                      <w:rFonts w:ascii="Arial" w:eastAsia="Times New Roman" w:hAnsi="Arial" w:cs="Arial"/>
                      <w:sz w:val="20"/>
                      <w:szCs w:val="20"/>
                      <w:lang w:eastAsia="en-GB"/>
                    </w:rPr>
                  </w:pPr>
                </w:p>
              </w:tc>
              <w:tc>
                <w:tcPr>
                  <w:tcW w:w="992" w:type="dxa"/>
                  <w:tcBorders>
                    <w:top w:val="nil"/>
                    <w:left w:val="nil"/>
                    <w:bottom w:val="nil"/>
                    <w:right w:val="nil"/>
                  </w:tcBorders>
                  <w:shd w:val="clear" w:color="auto" w:fill="auto"/>
                  <w:noWrap/>
                  <w:vAlign w:val="bottom"/>
                  <w:hideMark/>
                </w:tcPr>
                <w:p w14:paraId="13F855CB" w14:textId="77777777" w:rsidR="00416FDD" w:rsidRPr="00DA5F44" w:rsidRDefault="00416FDD" w:rsidP="00416FDD">
                  <w:pPr>
                    <w:spacing w:after="0" w:line="240" w:lineRule="auto"/>
                    <w:rPr>
                      <w:rFonts w:ascii="Times New Roman" w:eastAsia="Times New Roman" w:hAnsi="Times New Roman" w:cs="Times New Roman"/>
                      <w:sz w:val="20"/>
                      <w:szCs w:val="20"/>
                      <w:lang w:eastAsia="en-GB"/>
                    </w:rPr>
                  </w:pPr>
                </w:p>
              </w:tc>
              <w:tc>
                <w:tcPr>
                  <w:tcW w:w="1200" w:type="dxa"/>
                  <w:tcBorders>
                    <w:top w:val="nil"/>
                    <w:left w:val="nil"/>
                    <w:bottom w:val="nil"/>
                    <w:right w:val="nil"/>
                  </w:tcBorders>
                  <w:shd w:val="clear" w:color="auto" w:fill="auto"/>
                  <w:noWrap/>
                  <w:vAlign w:val="bottom"/>
                  <w:hideMark/>
                </w:tcPr>
                <w:p w14:paraId="3900180D" w14:textId="77777777" w:rsidR="00416FDD" w:rsidRPr="00DA5F44" w:rsidRDefault="00416FDD" w:rsidP="00416FDD">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53A77341" w14:textId="77777777" w:rsidR="00416FDD" w:rsidRPr="00DA5F44" w:rsidRDefault="00416FDD" w:rsidP="00416FDD">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2.</w:t>
                  </w:r>
                  <w:r w:rsidR="00FF0663">
                    <w:rPr>
                      <w:rFonts w:ascii="Arial" w:eastAsia="Times New Roman" w:hAnsi="Arial" w:cs="Arial"/>
                      <w:b/>
                      <w:bCs/>
                      <w:sz w:val="20"/>
                      <w:szCs w:val="20"/>
                      <w:lang w:eastAsia="en-GB"/>
                    </w:rPr>
                    <w:t>3</w:t>
                  </w:r>
                  <w:r w:rsidRPr="00DA5F44">
                    <w:rPr>
                      <w:rFonts w:ascii="Arial" w:eastAsia="Times New Roman" w:hAnsi="Arial" w:cs="Arial"/>
                      <w:b/>
                      <w:bCs/>
                      <w:sz w:val="20"/>
                      <w:szCs w:val="20"/>
                      <w:lang w:eastAsia="en-GB"/>
                    </w:rPr>
                    <w:t>%</w:t>
                  </w:r>
                </w:p>
              </w:tc>
              <w:tc>
                <w:tcPr>
                  <w:tcW w:w="1200" w:type="dxa"/>
                  <w:tcBorders>
                    <w:top w:val="nil"/>
                    <w:left w:val="nil"/>
                    <w:bottom w:val="nil"/>
                    <w:right w:val="nil"/>
                  </w:tcBorders>
                  <w:shd w:val="clear" w:color="auto" w:fill="auto"/>
                  <w:noWrap/>
                  <w:vAlign w:val="center"/>
                  <w:hideMark/>
                </w:tcPr>
                <w:p w14:paraId="59FD57DB" w14:textId="77777777" w:rsidR="00416FDD" w:rsidRPr="00416FDD" w:rsidRDefault="00416FDD" w:rsidP="00416FDD">
                  <w:pPr>
                    <w:spacing w:after="0" w:line="240" w:lineRule="auto"/>
                    <w:jc w:val="right"/>
                    <w:rPr>
                      <w:rFonts w:ascii="Arial" w:eastAsia="Times New Roman" w:hAnsi="Arial" w:cs="Arial"/>
                      <w:sz w:val="20"/>
                      <w:szCs w:val="20"/>
                      <w:lang w:eastAsia="en-GB"/>
                    </w:rPr>
                  </w:pPr>
                  <w:r w:rsidRPr="00416FDD">
                    <w:rPr>
                      <w:rFonts w:ascii="Arial" w:eastAsia="Times New Roman" w:hAnsi="Arial" w:cs="Arial"/>
                      <w:bCs/>
                      <w:sz w:val="20"/>
                      <w:szCs w:val="20"/>
                      <w:lang w:eastAsia="en-GB"/>
                    </w:rPr>
                    <w:t>2.2%</w:t>
                  </w:r>
                </w:p>
              </w:tc>
            </w:tr>
            <w:tr w:rsidR="00416FDD" w:rsidRPr="00DA5F44" w14:paraId="507A2429" w14:textId="77777777" w:rsidTr="006647C2">
              <w:trPr>
                <w:trHeight w:val="255"/>
              </w:trPr>
              <w:tc>
                <w:tcPr>
                  <w:tcW w:w="3700" w:type="dxa"/>
                  <w:tcBorders>
                    <w:top w:val="nil"/>
                    <w:left w:val="nil"/>
                    <w:bottom w:val="nil"/>
                    <w:right w:val="nil"/>
                  </w:tcBorders>
                  <w:shd w:val="clear" w:color="auto" w:fill="auto"/>
                  <w:noWrap/>
                  <w:vAlign w:val="center"/>
                  <w:hideMark/>
                </w:tcPr>
                <w:p w14:paraId="60D6F392" w14:textId="77777777" w:rsidR="00416FDD" w:rsidRPr="00DA5F44" w:rsidRDefault="00416FDD" w:rsidP="00416FDD">
                  <w:pPr>
                    <w:spacing w:after="0" w:line="240" w:lineRule="auto"/>
                    <w:rPr>
                      <w:rFonts w:ascii="Arial" w:eastAsia="Times New Roman" w:hAnsi="Arial" w:cs="Arial"/>
                      <w:sz w:val="20"/>
                      <w:szCs w:val="20"/>
                      <w:lang w:eastAsia="en-GB"/>
                    </w:rPr>
                  </w:pPr>
                  <w:r w:rsidRPr="00DA5F44">
                    <w:rPr>
                      <w:rFonts w:ascii="Arial" w:eastAsia="Times New Roman" w:hAnsi="Arial" w:cs="Arial"/>
                      <w:sz w:val="20"/>
                      <w:szCs w:val="20"/>
                      <w:lang w:eastAsia="en-GB"/>
                    </w:rPr>
                    <w:t>Discount rate</w:t>
                  </w:r>
                </w:p>
              </w:tc>
              <w:tc>
                <w:tcPr>
                  <w:tcW w:w="585" w:type="dxa"/>
                  <w:tcBorders>
                    <w:top w:val="nil"/>
                    <w:left w:val="nil"/>
                    <w:bottom w:val="nil"/>
                    <w:right w:val="nil"/>
                  </w:tcBorders>
                  <w:shd w:val="clear" w:color="auto" w:fill="auto"/>
                  <w:noWrap/>
                  <w:vAlign w:val="bottom"/>
                  <w:hideMark/>
                </w:tcPr>
                <w:p w14:paraId="314B2206" w14:textId="77777777" w:rsidR="00416FDD" w:rsidRPr="00DA5F44" w:rsidRDefault="00416FDD" w:rsidP="00416FDD">
                  <w:pPr>
                    <w:spacing w:after="0" w:line="240" w:lineRule="auto"/>
                    <w:rPr>
                      <w:rFonts w:ascii="Arial" w:eastAsia="Times New Roman" w:hAnsi="Arial" w:cs="Arial"/>
                      <w:sz w:val="20"/>
                      <w:szCs w:val="20"/>
                      <w:lang w:eastAsia="en-GB"/>
                    </w:rPr>
                  </w:pPr>
                </w:p>
              </w:tc>
              <w:tc>
                <w:tcPr>
                  <w:tcW w:w="992" w:type="dxa"/>
                  <w:tcBorders>
                    <w:top w:val="nil"/>
                    <w:left w:val="nil"/>
                    <w:bottom w:val="nil"/>
                    <w:right w:val="nil"/>
                  </w:tcBorders>
                  <w:shd w:val="clear" w:color="auto" w:fill="auto"/>
                  <w:noWrap/>
                  <w:vAlign w:val="bottom"/>
                  <w:hideMark/>
                </w:tcPr>
                <w:p w14:paraId="2A650EEE" w14:textId="77777777" w:rsidR="00416FDD" w:rsidRPr="00DA5F44" w:rsidRDefault="00416FDD" w:rsidP="00416FDD">
                  <w:pPr>
                    <w:spacing w:after="0" w:line="240" w:lineRule="auto"/>
                    <w:rPr>
                      <w:rFonts w:ascii="Times New Roman" w:eastAsia="Times New Roman" w:hAnsi="Times New Roman" w:cs="Times New Roman"/>
                      <w:sz w:val="20"/>
                      <w:szCs w:val="20"/>
                      <w:lang w:eastAsia="en-GB"/>
                    </w:rPr>
                  </w:pPr>
                </w:p>
              </w:tc>
              <w:tc>
                <w:tcPr>
                  <w:tcW w:w="1200" w:type="dxa"/>
                  <w:tcBorders>
                    <w:top w:val="nil"/>
                    <w:left w:val="nil"/>
                    <w:bottom w:val="nil"/>
                    <w:right w:val="nil"/>
                  </w:tcBorders>
                  <w:shd w:val="clear" w:color="auto" w:fill="auto"/>
                  <w:noWrap/>
                  <w:vAlign w:val="bottom"/>
                  <w:hideMark/>
                </w:tcPr>
                <w:p w14:paraId="01FA96A2" w14:textId="77777777" w:rsidR="00416FDD" w:rsidRPr="00DA5F44" w:rsidRDefault="00416FDD" w:rsidP="00416FDD">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057173FC" w14:textId="77777777" w:rsidR="00416FDD" w:rsidRPr="00DA5F44" w:rsidRDefault="00416FDD" w:rsidP="00416FDD">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1.</w:t>
                  </w:r>
                  <w:r w:rsidR="00FF0663">
                    <w:rPr>
                      <w:rFonts w:ascii="Arial" w:eastAsia="Times New Roman" w:hAnsi="Arial" w:cs="Arial"/>
                      <w:b/>
                      <w:bCs/>
                      <w:sz w:val="20"/>
                      <w:szCs w:val="20"/>
                      <w:lang w:eastAsia="en-GB"/>
                    </w:rPr>
                    <w:t>6</w:t>
                  </w:r>
                  <w:r w:rsidRPr="00DA5F44">
                    <w:rPr>
                      <w:rFonts w:ascii="Arial" w:eastAsia="Times New Roman" w:hAnsi="Arial" w:cs="Arial"/>
                      <w:b/>
                      <w:bCs/>
                      <w:sz w:val="20"/>
                      <w:szCs w:val="20"/>
                      <w:lang w:eastAsia="en-GB"/>
                    </w:rPr>
                    <w:t>%</w:t>
                  </w:r>
                </w:p>
              </w:tc>
              <w:tc>
                <w:tcPr>
                  <w:tcW w:w="1200" w:type="dxa"/>
                  <w:tcBorders>
                    <w:top w:val="nil"/>
                    <w:left w:val="nil"/>
                    <w:bottom w:val="nil"/>
                    <w:right w:val="nil"/>
                  </w:tcBorders>
                  <w:shd w:val="clear" w:color="auto" w:fill="auto"/>
                  <w:noWrap/>
                  <w:vAlign w:val="center"/>
                  <w:hideMark/>
                </w:tcPr>
                <w:p w14:paraId="6C7B47B0" w14:textId="77777777" w:rsidR="00416FDD" w:rsidRPr="00416FDD" w:rsidRDefault="00416FDD" w:rsidP="00416FDD">
                  <w:pPr>
                    <w:spacing w:after="0" w:line="240" w:lineRule="auto"/>
                    <w:jc w:val="right"/>
                    <w:rPr>
                      <w:rFonts w:ascii="Arial" w:eastAsia="Times New Roman" w:hAnsi="Arial" w:cs="Arial"/>
                      <w:sz w:val="20"/>
                      <w:szCs w:val="20"/>
                      <w:lang w:eastAsia="en-GB"/>
                    </w:rPr>
                  </w:pPr>
                  <w:r w:rsidRPr="00416FDD">
                    <w:rPr>
                      <w:rFonts w:ascii="Arial" w:eastAsia="Times New Roman" w:hAnsi="Arial" w:cs="Arial"/>
                      <w:bCs/>
                      <w:sz w:val="20"/>
                      <w:szCs w:val="20"/>
                      <w:lang w:eastAsia="en-GB"/>
                    </w:rPr>
                    <w:t>1.9%</w:t>
                  </w:r>
                </w:p>
              </w:tc>
            </w:tr>
            <w:tr w:rsidR="00416FDD" w:rsidRPr="00DA5F44" w14:paraId="57C1C316" w14:textId="77777777" w:rsidTr="006647C2">
              <w:trPr>
                <w:trHeight w:val="255"/>
              </w:trPr>
              <w:tc>
                <w:tcPr>
                  <w:tcW w:w="3700" w:type="dxa"/>
                  <w:tcBorders>
                    <w:top w:val="nil"/>
                    <w:left w:val="nil"/>
                    <w:bottom w:val="nil"/>
                    <w:right w:val="nil"/>
                  </w:tcBorders>
                  <w:shd w:val="clear" w:color="auto" w:fill="auto"/>
                  <w:noWrap/>
                  <w:vAlign w:val="center"/>
                  <w:hideMark/>
                </w:tcPr>
                <w:p w14:paraId="78CA25E9" w14:textId="77777777" w:rsidR="00416FDD" w:rsidRPr="00DA5F44" w:rsidRDefault="00416FDD" w:rsidP="00416FDD">
                  <w:pPr>
                    <w:spacing w:after="0" w:line="240" w:lineRule="auto"/>
                    <w:rPr>
                      <w:rFonts w:ascii="Arial" w:eastAsia="Times New Roman" w:hAnsi="Arial" w:cs="Arial"/>
                      <w:sz w:val="20"/>
                      <w:szCs w:val="20"/>
                      <w:lang w:eastAsia="en-GB"/>
                    </w:rPr>
                  </w:pPr>
                </w:p>
              </w:tc>
              <w:tc>
                <w:tcPr>
                  <w:tcW w:w="585" w:type="dxa"/>
                  <w:tcBorders>
                    <w:top w:val="nil"/>
                    <w:left w:val="nil"/>
                    <w:bottom w:val="nil"/>
                    <w:right w:val="nil"/>
                  </w:tcBorders>
                  <w:shd w:val="clear" w:color="auto" w:fill="auto"/>
                  <w:noWrap/>
                  <w:vAlign w:val="bottom"/>
                  <w:hideMark/>
                </w:tcPr>
                <w:p w14:paraId="7E1D66DC" w14:textId="77777777" w:rsidR="00416FDD" w:rsidRPr="00DA5F44" w:rsidRDefault="00416FDD" w:rsidP="00416FDD">
                  <w:pPr>
                    <w:spacing w:after="0" w:line="240" w:lineRule="auto"/>
                    <w:rPr>
                      <w:rFonts w:ascii="Times New Roman" w:eastAsia="Times New Roman" w:hAnsi="Times New Roman" w:cs="Times New Roman"/>
                      <w:sz w:val="20"/>
                      <w:szCs w:val="20"/>
                      <w:lang w:eastAsia="en-GB"/>
                    </w:rPr>
                  </w:pPr>
                </w:p>
              </w:tc>
              <w:tc>
                <w:tcPr>
                  <w:tcW w:w="992" w:type="dxa"/>
                  <w:tcBorders>
                    <w:top w:val="nil"/>
                    <w:left w:val="nil"/>
                    <w:bottom w:val="nil"/>
                    <w:right w:val="nil"/>
                  </w:tcBorders>
                  <w:shd w:val="clear" w:color="auto" w:fill="auto"/>
                  <w:noWrap/>
                  <w:vAlign w:val="bottom"/>
                  <w:hideMark/>
                </w:tcPr>
                <w:p w14:paraId="48FFF2A5" w14:textId="77777777" w:rsidR="00416FDD" w:rsidRPr="00DA5F44" w:rsidRDefault="00416FDD" w:rsidP="00416FDD">
                  <w:pPr>
                    <w:spacing w:after="0" w:line="240" w:lineRule="auto"/>
                    <w:rPr>
                      <w:rFonts w:ascii="Times New Roman" w:eastAsia="Times New Roman" w:hAnsi="Times New Roman" w:cs="Times New Roman"/>
                      <w:sz w:val="20"/>
                      <w:szCs w:val="20"/>
                      <w:lang w:eastAsia="en-GB"/>
                    </w:rPr>
                  </w:pPr>
                </w:p>
              </w:tc>
              <w:tc>
                <w:tcPr>
                  <w:tcW w:w="1200" w:type="dxa"/>
                  <w:tcBorders>
                    <w:top w:val="nil"/>
                    <w:left w:val="nil"/>
                    <w:bottom w:val="nil"/>
                    <w:right w:val="nil"/>
                  </w:tcBorders>
                  <w:shd w:val="clear" w:color="auto" w:fill="auto"/>
                  <w:noWrap/>
                  <w:vAlign w:val="bottom"/>
                  <w:hideMark/>
                </w:tcPr>
                <w:p w14:paraId="1E0C6D00" w14:textId="77777777" w:rsidR="00416FDD" w:rsidRPr="00DA5F44" w:rsidRDefault="00416FDD" w:rsidP="00416FDD">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5DBE504C" w14:textId="77777777" w:rsidR="00416FDD" w:rsidRPr="00DA5F44" w:rsidRDefault="00416FDD" w:rsidP="00416FDD">
                  <w:pPr>
                    <w:spacing w:after="0" w:line="240" w:lineRule="auto"/>
                    <w:jc w:val="right"/>
                    <w:rPr>
                      <w:rFonts w:ascii="Times New Roman" w:eastAsia="Times New Roman" w:hAnsi="Times New Roman" w:cs="Times New Roman"/>
                      <w:sz w:val="20"/>
                      <w:szCs w:val="20"/>
                      <w:lang w:eastAsia="en-GB"/>
                    </w:rPr>
                  </w:pPr>
                </w:p>
              </w:tc>
              <w:tc>
                <w:tcPr>
                  <w:tcW w:w="1200" w:type="dxa"/>
                  <w:tcBorders>
                    <w:top w:val="nil"/>
                    <w:left w:val="nil"/>
                    <w:bottom w:val="nil"/>
                    <w:right w:val="nil"/>
                  </w:tcBorders>
                  <w:shd w:val="clear" w:color="auto" w:fill="auto"/>
                  <w:noWrap/>
                  <w:vAlign w:val="center"/>
                  <w:hideMark/>
                </w:tcPr>
                <w:p w14:paraId="691B4F65" w14:textId="77777777" w:rsidR="00416FDD" w:rsidRPr="00416FDD" w:rsidRDefault="00416FDD" w:rsidP="00416FDD">
                  <w:pPr>
                    <w:spacing w:after="0" w:line="240" w:lineRule="auto"/>
                    <w:jc w:val="right"/>
                    <w:rPr>
                      <w:rFonts w:ascii="Times New Roman" w:eastAsia="Times New Roman" w:hAnsi="Times New Roman" w:cs="Times New Roman"/>
                      <w:sz w:val="20"/>
                      <w:szCs w:val="20"/>
                      <w:lang w:eastAsia="en-GB"/>
                    </w:rPr>
                  </w:pPr>
                </w:p>
              </w:tc>
            </w:tr>
            <w:tr w:rsidR="00416FDD" w:rsidRPr="00DA5F44" w14:paraId="7F458C7D" w14:textId="77777777" w:rsidTr="006647C2">
              <w:trPr>
                <w:trHeight w:val="255"/>
              </w:trPr>
              <w:tc>
                <w:tcPr>
                  <w:tcW w:w="5277" w:type="dxa"/>
                  <w:gridSpan w:val="3"/>
                  <w:tcBorders>
                    <w:top w:val="nil"/>
                    <w:left w:val="nil"/>
                    <w:bottom w:val="nil"/>
                    <w:right w:val="nil"/>
                  </w:tcBorders>
                  <w:shd w:val="clear" w:color="auto" w:fill="auto"/>
                  <w:noWrap/>
                  <w:vAlign w:val="center"/>
                  <w:hideMark/>
                </w:tcPr>
                <w:p w14:paraId="3F660453" w14:textId="77777777" w:rsidR="00416FDD" w:rsidRPr="00DA5F44" w:rsidRDefault="00416FDD" w:rsidP="00416FDD">
                  <w:pPr>
                    <w:spacing w:after="0" w:line="240" w:lineRule="auto"/>
                    <w:rPr>
                      <w:rFonts w:ascii="Arial" w:eastAsia="Times New Roman" w:hAnsi="Arial" w:cs="Arial"/>
                      <w:sz w:val="20"/>
                      <w:szCs w:val="20"/>
                      <w:lang w:eastAsia="en-GB"/>
                    </w:rPr>
                  </w:pPr>
                  <w:r w:rsidRPr="00DA5F44">
                    <w:rPr>
                      <w:rFonts w:ascii="Arial" w:eastAsia="Times New Roman" w:hAnsi="Arial" w:cs="Arial"/>
                      <w:sz w:val="20"/>
                      <w:szCs w:val="20"/>
                      <w:lang w:eastAsia="en-GB"/>
                    </w:rPr>
                    <w:t>The mortality assumptions used were as follows:</w:t>
                  </w:r>
                </w:p>
              </w:tc>
              <w:tc>
                <w:tcPr>
                  <w:tcW w:w="1200" w:type="dxa"/>
                  <w:tcBorders>
                    <w:top w:val="nil"/>
                    <w:left w:val="nil"/>
                    <w:bottom w:val="nil"/>
                    <w:right w:val="nil"/>
                  </w:tcBorders>
                  <w:shd w:val="clear" w:color="auto" w:fill="auto"/>
                  <w:noWrap/>
                  <w:vAlign w:val="bottom"/>
                  <w:hideMark/>
                </w:tcPr>
                <w:p w14:paraId="47C0BC1E" w14:textId="77777777" w:rsidR="00416FDD" w:rsidRPr="00DA5F44" w:rsidRDefault="00416FDD" w:rsidP="00416FDD">
                  <w:pPr>
                    <w:spacing w:after="0" w:line="240" w:lineRule="auto"/>
                    <w:rPr>
                      <w:rFonts w:ascii="Arial" w:eastAsia="Times New Roman" w:hAnsi="Arial" w:cs="Arial"/>
                      <w:sz w:val="20"/>
                      <w:szCs w:val="20"/>
                      <w:lang w:eastAsia="en-GB"/>
                    </w:rPr>
                  </w:pPr>
                </w:p>
              </w:tc>
              <w:tc>
                <w:tcPr>
                  <w:tcW w:w="1300" w:type="dxa"/>
                  <w:tcBorders>
                    <w:top w:val="nil"/>
                    <w:left w:val="nil"/>
                    <w:bottom w:val="nil"/>
                    <w:right w:val="nil"/>
                  </w:tcBorders>
                  <w:shd w:val="clear" w:color="auto" w:fill="auto"/>
                  <w:noWrap/>
                  <w:vAlign w:val="center"/>
                  <w:hideMark/>
                </w:tcPr>
                <w:p w14:paraId="47FDAE2E" w14:textId="77777777" w:rsidR="00416FDD" w:rsidRPr="00DA5F44" w:rsidRDefault="00416FDD" w:rsidP="00416FDD">
                  <w:pPr>
                    <w:spacing w:after="0" w:line="240" w:lineRule="auto"/>
                    <w:jc w:val="right"/>
                    <w:rPr>
                      <w:rFonts w:ascii="Times New Roman" w:eastAsia="Times New Roman" w:hAnsi="Times New Roman" w:cs="Times New Roman"/>
                      <w:sz w:val="20"/>
                      <w:szCs w:val="20"/>
                      <w:lang w:eastAsia="en-GB"/>
                    </w:rPr>
                  </w:pPr>
                </w:p>
              </w:tc>
              <w:tc>
                <w:tcPr>
                  <w:tcW w:w="1200" w:type="dxa"/>
                  <w:tcBorders>
                    <w:top w:val="nil"/>
                    <w:left w:val="nil"/>
                    <w:bottom w:val="nil"/>
                    <w:right w:val="nil"/>
                  </w:tcBorders>
                  <w:shd w:val="clear" w:color="auto" w:fill="auto"/>
                  <w:noWrap/>
                  <w:vAlign w:val="center"/>
                  <w:hideMark/>
                </w:tcPr>
                <w:p w14:paraId="6A0FE809" w14:textId="77777777" w:rsidR="00416FDD" w:rsidRPr="00416FDD" w:rsidRDefault="00416FDD" w:rsidP="00416FDD">
                  <w:pPr>
                    <w:spacing w:after="0" w:line="240" w:lineRule="auto"/>
                    <w:jc w:val="right"/>
                    <w:rPr>
                      <w:rFonts w:ascii="Times New Roman" w:eastAsia="Times New Roman" w:hAnsi="Times New Roman" w:cs="Times New Roman"/>
                      <w:sz w:val="20"/>
                      <w:szCs w:val="20"/>
                      <w:lang w:eastAsia="en-GB"/>
                    </w:rPr>
                  </w:pPr>
                </w:p>
              </w:tc>
            </w:tr>
            <w:tr w:rsidR="00416FDD" w:rsidRPr="00DA5F44" w14:paraId="5CA226AD" w14:textId="77777777" w:rsidTr="006647C2">
              <w:trPr>
                <w:trHeight w:val="255"/>
              </w:trPr>
              <w:tc>
                <w:tcPr>
                  <w:tcW w:w="3700" w:type="dxa"/>
                  <w:tcBorders>
                    <w:top w:val="nil"/>
                    <w:left w:val="nil"/>
                    <w:bottom w:val="nil"/>
                    <w:right w:val="nil"/>
                  </w:tcBorders>
                  <w:shd w:val="clear" w:color="auto" w:fill="auto"/>
                  <w:noWrap/>
                  <w:vAlign w:val="center"/>
                  <w:hideMark/>
                </w:tcPr>
                <w:p w14:paraId="2A2B94D7" w14:textId="77777777" w:rsidR="00416FDD" w:rsidRPr="00DA5F44" w:rsidRDefault="00416FDD" w:rsidP="00416FDD">
                  <w:pPr>
                    <w:spacing w:after="0" w:line="240" w:lineRule="auto"/>
                    <w:rPr>
                      <w:rFonts w:ascii="Times New Roman" w:eastAsia="Times New Roman" w:hAnsi="Times New Roman" w:cs="Times New Roman"/>
                      <w:sz w:val="20"/>
                      <w:szCs w:val="20"/>
                      <w:lang w:eastAsia="en-GB"/>
                    </w:rPr>
                  </w:pPr>
                </w:p>
              </w:tc>
              <w:tc>
                <w:tcPr>
                  <w:tcW w:w="585" w:type="dxa"/>
                  <w:tcBorders>
                    <w:top w:val="nil"/>
                    <w:left w:val="nil"/>
                    <w:bottom w:val="nil"/>
                    <w:right w:val="nil"/>
                  </w:tcBorders>
                  <w:shd w:val="clear" w:color="auto" w:fill="auto"/>
                  <w:noWrap/>
                  <w:vAlign w:val="bottom"/>
                  <w:hideMark/>
                </w:tcPr>
                <w:p w14:paraId="64F9D8A4" w14:textId="77777777" w:rsidR="00416FDD" w:rsidRPr="00DA5F44" w:rsidRDefault="00416FDD" w:rsidP="00416FDD">
                  <w:pPr>
                    <w:spacing w:after="0" w:line="240" w:lineRule="auto"/>
                    <w:rPr>
                      <w:rFonts w:ascii="Times New Roman" w:eastAsia="Times New Roman" w:hAnsi="Times New Roman" w:cs="Times New Roman"/>
                      <w:sz w:val="20"/>
                      <w:szCs w:val="20"/>
                      <w:lang w:eastAsia="en-GB"/>
                    </w:rPr>
                  </w:pPr>
                </w:p>
              </w:tc>
              <w:tc>
                <w:tcPr>
                  <w:tcW w:w="992" w:type="dxa"/>
                  <w:tcBorders>
                    <w:top w:val="nil"/>
                    <w:left w:val="nil"/>
                    <w:bottom w:val="nil"/>
                    <w:right w:val="nil"/>
                  </w:tcBorders>
                  <w:shd w:val="clear" w:color="auto" w:fill="auto"/>
                  <w:noWrap/>
                  <w:vAlign w:val="bottom"/>
                  <w:hideMark/>
                </w:tcPr>
                <w:p w14:paraId="5FF8F1EE" w14:textId="77777777" w:rsidR="00416FDD" w:rsidRPr="00DA5F44" w:rsidRDefault="00416FDD" w:rsidP="00416FDD">
                  <w:pPr>
                    <w:spacing w:after="0" w:line="240" w:lineRule="auto"/>
                    <w:rPr>
                      <w:rFonts w:ascii="Times New Roman" w:eastAsia="Times New Roman" w:hAnsi="Times New Roman" w:cs="Times New Roman"/>
                      <w:sz w:val="20"/>
                      <w:szCs w:val="20"/>
                      <w:lang w:eastAsia="en-GB"/>
                    </w:rPr>
                  </w:pPr>
                </w:p>
              </w:tc>
              <w:tc>
                <w:tcPr>
                  <w:tcW w:w="1200" w:type="dxa"/>
                  <w:tcBorders>
                    <w:top w:val="nil"/>
                    <w:left w:val="nil"/>
                    <w:bottom w:val="nil"/>
                    <w:right w:val="nil"/>
                  </w:tcBorders>
                  <w:shd w:val="clear" w:color="auto" w:fill="auto"/>
                  <w:noWrap/>
                  <w:vAlign w:val="bottom"/>
                  <w:hideMark/>
                </w:tcPr>
                <w:p w14:paraId="6C6615F1" w14:textId="77777777" w:rsidR="00416FDD" w:rsidRPr="00DA5F44" w:rsidRDefault="00416FDD" w:rsidP="00416FDD">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2364C0A1" w14:textId="77777777" w:rsidR="00416FDD" w:rsidRPr="00DA5F44" w:rsidRDefault="00416FDD" w:rsidP="00416FDD">
                  <w:pPr>
                    <w:spacing w:after="0" w:line="240" w:lineRule="auto"/>
                    <w:jc w:val="right"/>
                    <w:rPr>
                      <w:rFonts w:ascii="Times New Roman" w:eastAsia="Times New Roman" w:hAnsi="Times New Roman" w:cs="Times New Roman"/>
                      <w:sz w:val="20"/>
                      <w:szCs w:val="20"/>
                      <w:lang w:eastAsia="en-GB"/>
                    </w:rPr>
                  </w:pPr>
                </w:p>
              </w:tc>
              <w:tc>
                <w:tcPr>
                  <w:tcW w:w="1200" w:type="dxa"/>
                  <w:tcBorders>
                    <w:top w:val="nil"/>
                    <w:left w:val="nil"/>
                    <w:bottom w:val="nil"/>
                    <w:right w:val="nil"/>
                  </w:tcBorders>
                  <w:shd w:val="clear" w:color="auto" w:fill="auto"/>
                  <w:noWrap/>
                  <w:vAlign w:val="center"/>
                  <w:hideMark/>
                </w:tcPr>
                <w:p w14:paraId="6B3EA08D" w14:textId="77777777" w:rsidR="00416FDD" w:rsidRPr="00416FDD" w:rsidRDefault="00416FDD" w:rsidP="00416FDD">
                  <w:pPr>
                    <w:spacing w:after="0" w:line="240" w:lineRule="auto"/>
                    <w:jc w:val="right"/>
                    <w:rPr>
                      <w:rFonts w:ascii="Times New Roman" w:eastAsia="Times New Roman" w:hAnsi="Times New Roman" w:cs="Times New Roman"/>
                      <w:sz w:val="20"/>
                      <w:szCs w:val="20"/>
                      <w:lang w:eastAsia="en-GB"/>
                    </w:rPr>
                  </w:pPr>
                </w:p>
              </w:tc>
            </w:tr>
            <w:tr w:rsidR="00416FDD" w:rsidRPr="00DA5F44" w14:paraId="7A4068FA" w14:textId="77777777" w:rsidTr="006647C2">
              <w:trPr>
                <w:trHeight w:val="255"/>
              </w:trPr>
              <w:tc>
                <w:tcPr>
                  <w:tcW w:w="3700" w:type="dxa"/>
                  <w:tcBorders>
                    <w:top w:val="nil"/>
                    <w:left w:val="nil"/>
                    <w:bottom w:val="nil"/>
                    <w:right w:val="nil"/>
                  </w:tcBorders>
                  <w:shd w:val="clear" w:color="auto" w:fill="auto"/>
                  <w:noWrap/>
                  <w:vAlign w:val="center"/>
                  <w:hideMark/>
                </w:tcPr>
                <w:p w14:paraId="53B29296" w14:textId="77777777" w:rsidR="00416FDD" w:rsidRPr="00DA5F44" w:rsidRDefault="00416FDD" w:rsidP="00416FDD">
                  <w:pPr>
                    <w:spacing w:after="0" w:line="240" w:lineRule="auto"/>
                    <w:rPr>
                      <w:rFonts w:ascii="Arial" w:eastAsia="Times New Roman" w:hAnsi="Arial" w:cs="Arial"/>
                      <w:sz w:val="20"/>
                      <w:szCs w:val="20"/>
                      <w:lang w:eastAsia="en-GB"/>
                    </w:rPr>
                  </w:pPr>
                  <w:r w:rsidRPr="00DA5F44">
                    <w:rPr>
                      <w:rFonts w:ascii="Arial" w:eastAsia="Times New Roman" w:hAnsi="Arial" w:cs="Arial"/>
                      <w:sz w:val="20"/>
                      <w:szCs w:val="20"/>
                      <w:lang w:eastAsia="en-GB"/>
                    </w:rPr>
                    <w:t>Longevity at age 65 for current pen</w:t>
                  </w:r>
                  <w:r>
                    <w:rPr>
                      <w:rFonts w:ascii="Arial" w:eastAsia="Times New Roman" w:hAnsi="Arial" w:cs="Arial"/>
                      <w:sz w:val="20"/>
                      <w:szCs w:val="20"/>
                      <w:lang w:eastAsia="en-GB"/>
                    </w:rPr>
                    <w:t>s</w:t>
                  </w:r>
                  <w:r w:rsidRPr="00DA5F44">
                    <w:rPr>
                      <w:rFonts w:ascii="Arial" w:eastAsia="Times New Roman" w:hAnsi="Arial" w:cs="Arial"/>
                      <w:sz w:val="20"/>
                      <w:szCs w:val="20"/>
                      <w:lang w:eastAsia="en-GB"/>
                    </w:rPr>
                    <w:t>ioners</w:t>
                  </w:r>
                </w:p>
              </w:tc>
              <w:tc>
                <w:tcPr>
                  <w:tcW w:w="585" w:type="dxa"/>
                  <w:tcBorders>
                    <w:top w:val="nil"/>
                    <w:left w:val="nil"/>
                    <w:bottom w:val="nil"/>
                    <w:right w:val="nil"/>
                  </w:tcBorders>
                  <w:shd w:val="clear" w:color="auto" w:fill="auto"/>
                  <w:noWrap/>
                  <w:vAlign w:val="bottom"/>
                  <w:hideMark/>
                </w:tcPr>
                <w:p w14:paraId="04AE793C" w14:textId="77777777" w:rsidR="00416FDD" w:rsidRPr="00DA5F44" w:rsidRDefault="00416FDD" w:rsidP="00416FDD">
                  <w:pPr>
                    <w:spacing w:after="0" w:line="240" w:lineRule="auto"/>
                    <w:rPr>
                      <w:rFonts w:ascii="Arial" w:eastAsia="Times New Roman" w:hAnsi="Arial" w:cs="Arial"/>
                      <w:sz w:val="20"/>
                      <w:szCs w:val="20"/>
                      <w:lang w:eastAsia="en-GB"/>
                    </w:rPr>
                  </w:pPr>
                </w:p>
              </w:tc>
              <w:tc>
                <w:tcPr>
                  <w:tcW w:w="992" w:type="dxa"/>
                  <w:tcBorders>
                    <w:top w:val="nil"/>
                    <w:left w:val="nil"/>
                    <w:bottom w:val="nil"/>
                    <w:right w:val="nil"/>
                  </w:tcBorders>
                  <w:shd w:val="clear" w:color="auto" w:fill="auto"/>
                  <w:noWrap/>
                  <w:vAlign w:val="bottom"/>
                  <w:hideMark/>
                </w:tcPr>
                <w:p w14:paraId="346DA620" w14:textId="77777777" w:rsidR="00416FDD" w:rsidRPr="00DA5F44" w:rsidRDefault="00416FDD" w:rsidP="00416FDD">
                  <w:pPr>
                    <w:spacing w:after="0" w:line="240" w:lineRule="auto"/>
                    <w:rPr>
                      <w:rFonts w:ascii="Times New Roman" w:eastAsia="Times New Roman" w:hAnsi="Times New Roman" w:cs="Times New Roman"/>
                      <w:sz w:val="20"/>
                      <w:szCs w:val="20"/>
                      <w:lang w:eastAsia="en-GB"/>
                    </w:rPr>
                  </w:pPr>
                </w:p>
              </w:tc>
              <w:tc>
                <w:tcPr>
                  <w:tcW w:w="1200" w:type="dxa"/>
                  <w:tcBorders>
                    <w:top w:val="nil"/>
                    <w:left w:val="nil"/>
                    <w:bottom w:val="nil"/>
                    <w:right w:val="nil"/>
                  </w:tcBorders>
                  <w:shd w:val="clear" w:color="auto" w:fill="auto"/>
                  <w:noWrap/>
                  <w:vAlign w:val="bottom"/>
                  <w:hideMark/>
                </w:tcPr>
                <w:p w14:paraId="6D8ADD5C" w14:textId="77777777" w:rsidR="00416FDD" w:rsidRPr="00DA5F44" w:rsidRDefault="00416FDD" w:rsidP="00416FDD">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035AF40F" w14:textId="77777777" w:rsidR="00416FDD" w:rsidRPr="00DA5F44" w:rsidRDefault="00416FDD" w:rsidP="00416FDD">
                  <w:pPr>
                    <w:spacing w:after="0" w:line="240" w:lineRule="auto"/>
                    <w:jc w:val="right"/>
                    <w:rPr>
                      <w:rFonts w:ascii="Times New Roman" w:eastAsia="Times New Roman" w:hAnsi="Times New Roman" w:cs="Times New Roman"/>
                      <w:sz w:val="20"/>
                      <w:szCs w:val="20"/>
                      <w:lang w:eastAsia="en-GB"/>
                    </w:rPr>
                  </w:pPr>
                </w:p>
              </w:tc>
              <w:tc>
                <w:tcPr>
                  <w:tcW w:w="1200" w:type="dxa"/>
                  <w:tcBorders>
                    <w:top w:val="nil"/>
                    <w:left w:val="nil"/>
                    <w:bottom w:val="nil"/>
                    <w:right w:val="nil"/>
                  </w:tcBorders>
                  <w:shd w:val="clear" w:color="auto" w:fill="auto"/>
                  <w:noWrap/>
                  <w:vAlign w:val="center"/>
                  <w:hideMark/>
                </w:tcPr>
                <w:p w14:paraId="53518AA3" w14:textId="77777777" w:rsidR="00416FDD" w:rsidRPr="00416FDD" w:rsidRDefault="00416FDD" w:rsidP="00416FDD">
                  <w:pPr>
                    <w:spacing w:after="0" w:line="240" w:lineRule="auto"/>
                    <w:jc w:val="right"/>
                    <w:rPr>
                      <w:rFonts w:ascii="Times New Roman" w:eastAsia="Times New Roman" w:hAnsi="Times New Roman" w:cs="Times New Roman"/>
                      <w:sz w:val="20"/>
                      <w:szCs w:val="20"/>
                      <w:lang w:eastAsia="en-GB"/>
                    </w:rPr>
                  </w:pPr>
                </w:p>
              </w:tc>
            </w:tr>
            <w:tr w:rsidR="00416FDD" w:rsidRPr="00DA5F44" w14:paraId="03FAB38B" w14:textId="77777777" w:rsidTr="006647C2">
              <w:trPr>
                <w:trHeight w:val="255"/>
              </w:trPr>
              <w:tc>
                <w:tcPr>
                  <w:tcW w:w="3700" w:type="dxa"/>
                  <w:tcBorders>
                    <w:top w:val="nil"/>
                    <w:left w:val="nil"/>
                    <w:bottom w:val="nil"/>
                    <w:right w:val="nil"/>
                  </w:tcBorders>
                  <w:shd w:val="clear" w:color="auto" w:fill="auto"/>
                  <w:noWrap/>
                  <w:vAlign w:val="center"/>
                  <w:hideMark/>
                </w:tcPr>
                <w:p w14:paraId="14082FE4" w14:textId="77777777" w:rsidR="00416FDD" w:rsidRPr="00DA5F44" w:rsidRDefault="00416FDD" w:rsidP="00416FDD">
                  <w:pPr>
                    <w:spacing w:after="0" w:line="240" w:lineRule="auto"/>
                    <w:rPr>
                      <w:rFonts w:ascii="Arial" w:eastAsia="Times New Roman" w:hAnsi="Arial" w:cs="Arial"/>
                      <w:sz w:val="20"/>
                      <w:szCs w:val="20"/>
                      <w:lang w:eastAsia="en-GB"/>
                    </w:rPr>
                  </w:pPr>
                  <w:r w:rsidRPr="00DA5F44">
                    <w:rPr>
                      <w:rFonts w:ascii="Arial" w:eastAsia="Times New Roman" w:hAnsi="Arial" w:cs="Arial"/>
                      <w:sz w:val="20"/>
                      <w:szCs w:val="20"/>
                      <w:lang w:eastAsia="en-GB"/>
                    </w:rPr>
                    <w:t>- Men</w:t>
                  </w:r>
                </w:p>
              </w:tc>
              <w:tc>
                <w:tcPr>
                  <w:tcW w:w="585" w:type="dxa"/>
                  <w:tcBorders>
                    <w:top w:val="nil"/>
                    <w:left w:val="nil"/>
                    <w:bottom w:val="nil"/>
                    <w:right w:val="nil"/>
                  </w:tcBorders>
                  <w:shd w:val="clear" w:color="auto" w:fill="auto"/>
                  <w:noWrap/>
                  <w:vAlign w:val="bottom"/>
                  <w:hideMark/>
                </w:tcPr>
                <w:p w14:paraId="1921F50E" w14:textId="77777777" w:rsidR="00416FDD" w:rsidRPr="00DA5F44" w:rsidRDefault="00416FDD" w:rsidP="00416FDD">
                  <w:pPr>
                    <w:spacing w:after="0" w:line="240" w:lineRule="auto"/>
                    <w:rPr>
                      <w:rFonts w:ascii="Arial" w:eastAsia="Times New Roman" w:hAnsi="Arial" w:cs="Arial"/>
                      <w:sz w:val="20"/>
                      <w:szCs w:val="20"/>
                      <w:lang w:eastAsia="en-GB"/>
                    </w:rPr>
                  </w:pPr>
                </w:p>
              </w:tc>
              <w:tc>
                <w:tcPr>
                  <w:tcW w:w="992" w:type="dxa"/>
                  <w:tcBorders>
                    <w:top w:val="nil"/>
                    <w:left w:val="nil"/>
                    <w:bottom w:val="nil"/>
                    <w:right w:val="nil"/>
                  </w:tcBorders>
                  <w:shd w:val="clear" w:color="auto" w:fill="auto"/>
                  <w:noWrap/>
                  <w:vAlign w:val="bottom"/>
                  <w:hideMark/>
                </w:tcPr>
                <w:p w14:paraId="46C2C88B" w14:textId="77777777" w:rsidR="00416FDD" w:rsidRPr="00DA5F44" w:rsidRDefault="00416FDD" w:rsidP="00416FDD">
                  <w:pPr>
                    <w:spacing w:after="0" w:line="240" w:lineRule="auto"/>
                    <w:rPr>
                      <w:rFonts w:ascii="Times New Roman" w:eastAsia="Times New Roman" w:hAnsi="Times New Roman" w:cs="Times New Roman"/>
                      <w:sz w:val="20"/>
                      <w:szCs w:val="20"/>
                      <w:lang w:eastAsia="en-GB"/>
                    </w:rPr>
                  </w:pPr>
                </w:p>
              </w:tc>
              <w:tc>
                <w:tcPr>
                  <w:tcW w:w="1200" w:type="dxa"/>
                  <w:tcBorders>
                    <w:top w:val="nil"/>
                    <w:left w:val="nil"/>
                    <w:bottom w:val="nil"/>
                    <w:right w:val="nil"/>
                  </w:tcBorders>
                  <w:shd w:val="clear" w:color="auto" w:fill="auto"/>
                  <w:noWrap/>
                  <w:vAlign w:val="bottom"/>
                  <w:hideMark/>
                </w:tcPr>
                <w:p w14:paraId="399447A6" w14:textId="77777777" w:rsidR="00416FDD" w:rsidRPr="00DA5F44" w:rsidRDefault="00416FDD" w:rsidP="00416FDD">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088D8C44" w14:textId="77777777" w:rsidR="00416FDD" w:rsidRPr="00DA5F44" w:rsidRDefault="00416FDD" w:rsidP="00416FDD">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8</w:t>
                  </w:r>
                  <w:r w:rsidR="00FF0663">
                    <w:rPr>
                      <w:rFonts w:ascii="Arial" w:eastAsia="Times New Roman" w:hAnsi="Arial" w:cs="Arial"/>
                      <w:b/>
                      <w:bCs/>
                      <w:sz w:val="20"/>
                      <w:szCs w:val="20"/>
                      <w:lang w:eastAsia="en-GB"/>
                    </w:rPr>
                    <w:t>6</w:t>
                  </w:r>
                  <w:r w:rsidRPr="00DA5F44">
                    <w:rPr>
                      <w:rFonts w:ascii="Arial" w:eastAsia="Times New Roman" w:hAnsi="Arial" w:cs="Arial"/>
                      <w:b/>
                      <w:bCs/>
                      <w:sz w:val="20"/>
                      <w:szCs w:val="20"/>
                      <w:lang w:eastAsia="en-GB"/>
                    </w:rPr>
                    <w:t>.9</w:t>
                  </w:r>
                </w:p>
              </w:tc>
              <w:tc>
                <w:tcPr>
                  <w:tcW w:w="1200" w:type="dxa"/>
                  <w:tcBorders>
                    <w:top w:val="nil"/>
                    <w:left w:val="nil"/>
                    <w:bottom w:val="nil"/>
                    <w:right w:val="nil"/>
                  </w:tcBorders>
                  <w:shd w:val="clear" w:color="auto" w:fill="auto"/>
                  <w:noWrap/>
                  <w:vAlign w:val="center"/>
                  <w:hideMark/>
                </w:tcPr>
                <w:p w14:paraId="394AC1D4" w14:textId="77777777" w:rsidR="00416FDD" w:rsidRPr="00416FDD" w:rsidRDefault="00416FDD" w:rsidP="00416FDD">
                  <w:pPr>
                    <w:spacing w:after="0" w:line="240" w:lineRule="auto"/>
                    <w:jc w:val="right"/>
                    <w:rPr>
                      <w:rFonts w:ascii="Arial" w:eastAsia="Times New Roman" w:hAnsi="Arial" w:cs="Arial"/>
                      <w:sz w:val="20"/>
                      <w:szCs w:val="20"/>
                      <w:lang w:eastAsia="en-GB"/>
                    </w:rPr>
                  </w:pPr>
                  <w:r w:rsidRPr="00416FDD">
                    <w:rPr>
                      <w:rFonts w:ascii="Arial" w:eastAsia="Times New Roman" w:hAnsi="Arial" w:cs="Arial"/>
                      <w:bCs/>
                      <w:sz w:val="20"/>
                      <w:szCs w:val="20"/>
                      <w:lang w:eastAsia="en-GB"/>
                    </w:rPr>
                    <w:t>85.9</w:t>
                  </w:r>
                </w:p>
              </w:tc>
            </w:tr>
            <w:tr w:rsidR="00416FDD" w:rsidRPr="00DA5F44" w14:paraId="022E30E9" w14:textId="77777777" w:rsidTr="006647C2">
              <w:trPr>
                <w:trHeight w:val="255"/>
              </w:trPr>
              <w:tc>
                <w:tcPr>
                  <w:tcW w:w="3700" w:type="dxa"/>
                  <w:tcBorders>
                    <w:top w:val="nil"/>
                    <w:left w:val="nil"/>
                    <w:bottom w:val="nil"/>
                    <w:right w:val="nil"/>
                  </w:tcBorders>
                  <w:shd w:val="clear" w:color="auto" w:fill="auto"/>
                  <w:noWrap/>
                  <w:vAlign w:val="center"/>
                  <w:hideMark/>
                </w:tcPr>
                <w:p w14:paraId="43C68096" w14:textId="77777777" w:rsidR="00416FDD" w:rsidRPr="00DA5F44" w:rsidRDefault="00416FDD" w:rsidP="00416FDD">
                  <w:pPr>
                    <w:spacing w:after="0" w:line="240" w:lineRule="auto"/>
                    <w:rPr>
                      <w:rFonts w:ascii="Arial" w:eastAsia="Times New Roman" w:hAnsi="Arial" w:cs="Arial"/>
                      <w:sz w:val="20"/>
                      <w:szCs w:val="20"/>
                      <w:lang w:eastAsia="en-GB"/>
                    </w:rPr>
                  </w:pPr>
                  <w:r w:rsidRPr="00DA5F44">
                    <w:rPr>
                      <w:rFonts w:ascii="Arial" w:eastAsia="Times New Roman" w:hAnsi="Arial" w:cs="Arial"/>
                      <w:sz w:val="20"/>
                      <w:szCs w:val="20"/>
                      <w:lang w:eastAsia="en-GB"/>
                    </w:rPr>
                    <w:t>- Women</w:t>
                  </w:r>
                </w:p>
              </w:tc>
              <w:tc>
                <w:tcPr>
                  <w:tcW w:w="585" w:type="dxa"/>
                  <w:tcBorders>
                    <w:top w:val="nil"/>
                    <w:left w:val="nil"/>
                    <w:bottom w:val="nil"/>
                    <w:right w:val="nil"/>
                  </w:tcBorders>
                  <w:shd w:val="clear" w:color="auto" w:fill="auto"/>
                  <w:noWrap/>
                  <w:vAlign w:val="bottom"/>
                  <w:hideMark/>
                </w:tcPr>
                <w:p w14:paraId="313FD0F6" w14:textId="77777777" w:rsidR="00416FDD" w:rsidRPr="00DA5F44" w:rsidRDefault="00416FDD" w:rsidP="00416FDD">
                  <w:pPr>
                    <w:spacing w:after="0" w:line="240" w:lineRule="auto"/>
                    <w:rPr>
                      <w:rFonts w:ascii="Arial" w:eastAsia="Times New Roman" w:hAnsi="Arial" w:cs="Arial"/>
                      <w:sz w:val="20"/>
                      <w:szCs w:val="20"/>
                      <w:lang w:eastAsia="en-GB"/>
                    </w:rPr>
                  </w:pPr>
                </w:p>
              </w:tc>
              <w:tc>
                <w:tcPr>
                  <w:tcW w:w="992" w:type="dxa"/>
                  <w:tcBorders>
                    <w:top w:val="nil"/>
                    <w:left w:val="nil"/>
                    <w:bottom w:val="nil"/>
                    <w:right w:val="nil"/>
                  </w:tcBorders>
                  <w:shd w:val="clear" w:color="auto" w:fill="auto"/>
                  <w:noWrap/>
                  <w:vAlign w:val="bottom"/>
                  <w:hideMark/>
                </w:tcPr>
                <w:p w14:paraId="7840385E" w14:textId="77777777" w:rsidR="00416FDD" w:rsidRPr="00DA5F44" w:rsidRDefault="00416FDD" w:rsidP="00416FDD">
                  <w:pPr>
                    <w:spacing w:after="0" w:line="240" w:lineRule="auto"/>
                    <w:rPr>
                      <w:rFonts w:ascii="Times New Roman" w:eastAsia="Times New Roman" w:hAnsi="Times New Roman" w:cs="Times New Roman"/>
                      <w:sz w:val="20"/>
                      <w:szCs w:val="20"/>
                      <w:lang w:eastAsia="en-GB"/>
                    </w:rPr>
                  </w:pPr>
                </w:p>
              </w:tc>
              <w:tc>
                <w:tcPr>
                  <w:tcW w:w="1200" w:type="dxa"/>
                  <w:tcBorders>
                    <w:top w:val="nil"/>
                    <w:left w:val="nil"/>
                    <w:bottom w:val="nil"/>
                    <w:right w:val="nil"/>
                  </w:tcBorders>
                  <w:shd w:val="clear" w:color="auto" w:fill="auto"/>
                  <w:noWrap/>
                  <w:vAlign w:val="bottom"/>
                  <w:hideMark/>
                </w:tcPr>
                <w:p w14:paraId="52BF6788" w14:textId="77777777" w:rsidR="00416FDD" w:rsidRPr="00DA5F44" w:rsidRDefault="00416FDD" w:rsidP="00416FDD">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13F3B024" w14:textId="77777777" w:rsidR="00416FDD" w:rsidRPr="00DA5F44" w:rsidRDefault="00416FDD" w:rsidP="00416FDD">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8</w:t>
                  </w:r>
                  <w:r w:rsidR="00FF0663">
                    <w:rPr>
                      <w:rFonts w:ascii="Arial" w:eastAsia="Times New Roman" w:hAnsi="Arial" w:cs="Arial"/>
                      <w:b/>
                      <w:bCs/>
                      <w:sz w:val="20"/>
                      <w:szCs w:val="20"/>
                      <w:lang w:eastAsia="en-GB"/>
                    </w:rPr>
                    <w:t>9</w:t>
                  </w:r>
                  <w:r>
                    <w:rPr>
                      <w:rFonts w:ascii="Arial" w:eastAsia="Times New Roman" w:hAnsi="Arial" w:cs="Arial"/>
                      <w:b/>
                      <w:bCs/>
                      <w:sz w:val="20"/>
                      <w:szCs w:val="20"/>
                      <w:lang w:eastAsia="en-GB"/>
                    </w:rPr>
                    <w:t>.</w:t>
                  </w:r>
                  <w:r w:rsidR="00FF0663">
                    <w:rPr>
                      <w:rFonts w:ascii="Arial" w:eastAsia="Times New Roman" w:hAnsi="Arial" w:cs="Arial"/>
                      <w:b/>
                      <w:bCs/>
                      <w:sz w:val="20"/>
                      <w:szCs w:val="20"/>
                      <w:lang w:eastAsia="en-GB"/>
                    </w:rPr>
                    <w:t>1</w:t>
                  </w:r>
                </w:p>
              </w:tc>
              <w:tc>
                <w:tcPr>
                  <w:tcW w:w="1200" w:type="dxa"/>
                  <w:tcBorders>
                    <w:top w:val="nil"/>
                    <w:left w:val="nil"/>
                    <w:bottom w:val="nil"/>
                    <w:right w:val="nil"/>
                  </w:tcBorders>
                  <w:shd w:val="clear" w:color="auto" w:fill="auto"/>
                  <w:noWrap/>
                  <w:vAlign w:val="center"/>
                  <w:hideMark/>
                </w:tcPr>
                <w:p w14:paraId="06B8FF7E" w14:textId="77777777" w:rsidR="00416FDD" w:rsidRPr="00416FDD" w:rsidRDefault="00416FDD" w:rsidP="00416FDD">
                  <w:pPr>
                    <w:spacing w:after="0" w:line="240" w:lineRule="auto"/>
                    <w:jc w:val="right"/>
                    <w:rPr>
                      <w:rFonts w:ascii="Arial" w:eastAsia="Times New Roman" w:hAnsi="Arial" w:cs="Arial"/>
                      <w:sz w:val="20"/>
                      <w:szCs w:val="20"/>
                      <w:lang w:eastAsia="en-GB"/>
                    </w:rPr>
                  </w:pPr>
                  <w:r w:rsidRPr="00416FDD">
                    <w:rPr>
                      <w:rFonts w:ascii="Arial" w:eastAsia="Times New Roman" w:hAnsi="Arial" w:cs="Arial"/>
                      <w:bCs/>
                      <w:sz w:val="20"/>
                      <w:szCs w:val="20"/>
                      <w:lang w:eastAsia="en-GB"/>
                    </w:rPr>
                    <w:t>88.2</w:t>
                  </w:r>
                </w:p>
              </w:tc>
            </w:tr>
            <w:tr w:rsidR="00416FDD" w:rsidRPr="00DA5F44" w14:paraId="61F89E79" w14:textId="77777777" w:rsidTr="006647C2">
              <w:trPr>
                <w:trHeight w:val="255"/>
              </w:trPr>
              <w:tc>
                <w:tcPr>
                  <w:tcW w:w="3700" w:type="dxa"/>
                  <w:tcBorders>
                    <w:top w:val="nil"/>
                    <w:left w:val="nil"/>
                    <w:bottom w:val="nil"/>
                    <w:right w:val="nil"/>
                  </w:tcBorders>
                  <w:shd w:val="clear" w:color="auto" w:fill="auto"/>
                  <w:noWrap/>
                  <w:vAlign w:val="center"/>
                  <w:hideMark/>
                </w:tcPr>
                <w:p w14:paraId="41170D99" w14:textId="77777777" w:rsidR="00416FDD" w:rsidRPr="00DA5F44" w:rsidRDefault="00416FDD" w:rsidP="00416FDD">
                  <w:pPr>
                    <w:spacing w:after="0" w:line="240" w:lineRule="auto"/>
                    <w:rPr>
                      <w:rFonts w:ascii="Arial" w:eastAsia="Times New Roman" w:hAnsi="Arial" w:cs="Arial"/>
                      <w:sz w:val="20"/>
                      <w:szCs w:val="20"/>
                      <w:lang w:eastAsia="en-GB"/>
                    </w:rPr>
                  </w:pPr>
                  <w:r w:rsidRPr="00DA5F44">
                    <w:rPr>
                      <w:rFonts w:ascii="Arial" w:eastAsia="Times New Roman" w:hAnsi="Arial" w:cs="Arial"/>
                      <w:sz w:val="20"/>
                      <w:szCs w:val="20"/>
                      <w:lang w:eastAsia="en-GB"/>
                    </w:rPr>
                    <w:t>Longevity at 65 for future pensioners:</w:t>
                  </w:r>
                </w:p>
              </w:tc>
              <w:tc>
                <w:tcPr>
                  <w:tcW w:w="585" w:type="dxa"/>
                  <w:tcBorders>
                    <w:top w:val="nil"/>
                    <w:left w:val="nil"/>
                    <w:bottom w:val="nil"/>
                    <w:right w:val="nil"/>
                  </w:tcBorders>
                  <w:shd w:val="clear" w:color="auto" w:fill="auto"/>
                  <w:noWrap/>
                  <w:vAlign w:val="bottom"/>
                  <w:hideMark/>
                </w:tcPr>
                <w:p w14:paraId="2C716DD8" w14:textId="77777777" w:rsidR="00416FDD" w:rsidRPr="00DA5F44" w:rsidRDefault="00416FDD" w:rsidP="00416FDD">
                  <w:pPr>
                    <w:spacing w:after="0" w:line="240" w:lineRule="auto"/>
                    <w:rPr>
                      <w:rFonts w:ascii="Arial" w:eastAsia="Times New Roman" w:hAnsi="Arial" w:cs="Arial"/>
                      <w:sz w:val="20"/>
                      <w:szCs w:val="20"/>
                      <w:lang w:eastAsia="en-GB"/>
                    </w:rPr>
                  </w:pPr>
                </w:p>
              </w:tc>
              <w:tc>
                <w:tcPr>
                  <w:tcW w:w="992" w:type="dxa"/>
                  <w:tcBorders>
                    <w:top w:val="nil"/>
                    <w:left w:val="nil"/>
                    <w:bottom w:val="nil"/>
                    <w:right w:val="nil"/>
                  </w:tcBorders>
                  <w:shd w:val="clear" w:color="auto" w:fill="auto"/>
                  <w:noWrap/>
                  <w:vAlign w:val="bottom"/>
                  <w:hideMark/>
                </w:tcPr>
                <w:p w14:paraId="168FB7FC" w14:textId="77777777" w:rsidR="00416FDD" w:rsidRPr="00DA5F44" w:rsidRDefault="00416FDD" w:rsidP="00416FDD">
                  <w:pPr>
                    <w:spacing w:after="0" w:line="240" w:lineRule="auto"/>
                    <w:rPr>
                      <w:rFonts w:ascii="Times New Roman" w:eastAsia="Times New Roman" w:hAnsi="Times New Roman" w:cs="Times New Roman"/>
                      <w:sz w:val="20"/>
                      <w:szCs w:val="20"/>
                      <w:lang w:eastAsia="en-GB"/>
                    </w:rPr>
                  </w:pPr>
                </w:p>
              </w:tc>
              <w:tc>
                <w:tcPr>
                  <w:tcW w:w="1200" w:type="dxa"/>
                  <w:tcBorders>
                    <w:top w:val="nil"/>
                    <w:left w:val="nil"/>
                    <w:bottom w:val="nil"/>
                    <w:right w:val="nil"/>
                  </w:tcBorders>
                  <w:shd w:val="clear" w:color="auto" w:fill="auto"/>
                  <w:noWrap/>
                  <w:vAlign w:val="bottom"/>
                  <w:hideMark/>
                </w:tcPr>
                <w:p w14:paraId="22920116" w14:textId="77777777" w:rsidR="00416FDD" w:rsidRPr="00DA5F44" w:rsidRDefault="00416FDD" w:rsidP="00416FDD">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564067DB" w14:textId="77777777" w:rsidR="00416FDD" w:rsidRPr="00DA5F44" w:rsidRDefault="00416FDD" w:rsidP="00416FDD">
                  <w:pPr>
                    <w:spacing w:after="0" w:line="240" w:lineRule="auto"/>
                    <w:jc w:val="right"/>
                    <w:rPr>
                      <w:rFonts w:ascii="Times New Roman" w:eastAsia="Times New Roman" w:hAnsi="Times New Roman" w:cs="Times New Roman"/>
                      <w:sz w:val="20"/>
                      <w:szCs w:val="20"/>
                      <w:lang w:eastAsia="en-GB"/>
                    </w:rPr>
                  </w:pPr>
                </w:p>
              </w:tc>
              <w:tc>
                <w:tcPr>
                  <w:tcW w:w="1200" w:type="dxa"/>
                  <w:tcBorders>
                    <w:top w:val="nil"/>
                    <w:left w:val="nil"/>
                    <w:bottom w:val="nil"/>
                    <w:right w:val="nil"/>
                  </w:tcBorders>
                  <w:shd w:val="clear" w:color="auto" w:fill="auto"/>
                  <w:noWrap/>
                  <w:vAlign w:val="center"/>
                  <w:hideMark/>
                </w:tcPr>
                <w:p w14:paraId="7FDD259B" w14:textId="77777777" w:rsidR="00416FDD" w:rsidRPr="00416FDD" w:rsidRDefault="00416FDD" w:rsidP="00416FDD">
                  <w:pPr>
                    <w:spacing w:after="0" w:line="240" w:lineRule="auto"/>
                    <w:jc w:val="right"/>
                    <w:rPr>
                      <w:rFonts w:ascii="Times New Roman" w:eastAsia="Times New Roman" w:hAnsi="Times New Roman" w:cs="Times New Roman"/>
                      <w:sz w:val="20"/>
                      <w:szCs w:val="20"/>
                      <w:lang w:eastAsia="en-GB"/>
                    </w:rPr>
                  </w:pPr>
                </w:p>
              </w:tc>
            </w:tr>
            <w:tr w:rsidR="00416FDD" w:rsidRPr="00DA5F44" w14:paraId="5330E3B0" w14:textId="77777777" w:rsidTr="006647C2">
              <w:trPr>
                <w:trHeight w:val="255"/>
              </w:trPr>
              <w:tc>
                <w:tcPr>
                  <w:tcW w:w="3700" w:type="dxa"/>
                  <w:tcBorders>
                    <w:top w:val="nil"/>
                    <w:left w:val="nil"/>
                    <w:bottom w:val="nil"/>
                    <w:right w:val="nil"/>
                  </w:tcBorders>
                  <w:shd w:val="clear" w:color="auto" w:fill="auto"/>
                  <w:noWrap/>
                  <w:vAlign w:val="center"/>
                  <w:hideMark/>
                </w:tcPr>
                <w:p w14:paraId="19E468D8" w14:textId="77777777" w:rsidR="00416FDD" w:rsidRPr="00DA5F44" w:rsidRDefault="00416FDD" w:rsidP="00416FDD">
                  <w:pPr>
                    <w:spacing w:after="0" w:line="240" w:lineRule="auto"/>
                    <w:rPr>
                      <w:rFonts w:ascii="Arial" w:eastAsia="Times New Roman" w:hAnsi="Arial" w:cs="Arial"/>
                      <w:sz w:val="20"/>
                      <w:szCs w:val="20"/>
                      <w:lang w:eastAsia="en-GB"/>
                    </w:rPr>
                  </w:pPr>
                  <w:r w:rsidRPr="00DA5F44">
                    <w:rPr>
                      <w:rFonts w:ascii="Arial" w:eastAsia="Times New Roman" w:hAnsi="Arial" w:cs="Arial"/>
                      <w:sz w:val="20"/>
                      <w:szCs w:val="20"/>
                      <w:lang w:eastAsia="en-GB"/>
                    </w:rPr>
                    <w:t>- Men</w:t>
                  </w:r>
                </w:p>
              </w:tc>
              <w:tc>
                <w:tcPr>
                  <w:tcW w:w="585" w:type="dxa"/>
                  <w:tcBorders>
                    <w:top w:val="nil"/>
                    <w:left w:val="nil"/>
                    <w:bottom w:val="nil"/>
                    <w:right w:val="nil"/>
                  </w:tcBorders>
                  <w:shd w:val="clear" w:color="auto" w:fill="auto"/>
                  <w:noWrap/>
                  <w:vAlign w:val="bottom"/>
                  <w:hideMark/>
                </w:tcPr>
                <w:p w14:paraId="6A96D49F" w14:textId="77777777" w:rsidR="00416FDD" w:rsidRPr="00DA5F44" w:rsidRDefault="00416FDD" w:rsidP="00416FDD">
                  <w:pPr>
                    <w:spacing w:after="0" w:line="240" w:lineRule="auto"/>
                    <w:rPr>
                      <w:rFonts w:ascii="Arial" w:eastAsia="Times New Roman" w:hAnsi="Arial" w:cs="Arial"/>
                      <w:sz w:val="20"/>
                      <w:szCs w:val="20"/>
                      <w:lang w:eastAsia="en-GB"/>
                    </w:rPr>
                  </w:pPr>
                </w:p>
              </w:tc>
              <w:tc>
                <w:tcPr>
                  <w:tcW w:w="992" w:type="dxa"/>
                  <w:tcBorders>
                    <w:top w:val="nil"/>
                    <w:left w:val="nil"/>
                    <w:bottom w:val="nil"/>
                    <w:right w:val="nil"/>
                  </w:tcBorders>
                  <w:shd w:val="clear" w:color="auto" w:fill="auto"/>
                  <w:noWrap/>
                  <w:vAlign w:val="bottom"/>
                  <w:hideMark/>
                </w:tcPr>
                <w:p w14:paraId="3767D3C5" w14:textId="77777777" w:rsidR="00416FDD" w:rsidRPr="00DA5F44" w:rsidRDefault="00416FDD" w:rsidP="00416FDD">
                  <w:pPr>
                    <w:spacing w:after="0" w:line="240" w:lineRule="auto"/>
                    <w:rPr>
                      <w:rFonts w:ascii="Times New Roman" w:eastAsia="Times New Roman" w:hAnsi="Times New Roman" w:cs="Times New Roman"/>
                      <w:sz w:val="20"/>
                      <w:szCs w:val="20"/>
                      <w:lang w:eastAsia="en-GB"/>
                    </w:rPr>
                  </w:pPr>
                </w:p>
              </w:tc>
              <w:tc>
                <w:tcPr>
                  <w:tcW w:w="1200" w:type="dxa"/>
                  <w:tcBorders>
                    <w:top w:val="nil"/>
                    <w:left w:val="nil"/>
                    <w:bottom w:val="nil"/>
                    <w:right w:val="nil"/>
                  </w:tcBorders>
                  <w:shd w:val="clear" w:color="auto" w:fill="auto"/>
                  <w:noWrap/>
                  <w:vAlign w:val="bottom"/>
                  <w:hideMark/>
                </w:tcPr>
                <w:p w14:paraId="2533F7A6" w14:textId="77777777" w:rsidR="00416FDD" w:rsidRPr="00DA5F44" w:rsidRDefault="00416FDD" w:rsidP="00416FDD">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55B04EEE" w14:textId="77777777" w:rsidR="00416FDD" w:rsidRPr="00DA5F44" w:rsidRDefault="00416FDD" w:rsidP="00416FDD">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8</w:t>
                  </w:r>
                  <w:r w:rsidR="00FF0663">
                    <w:rPr>
                      <w:rFonts w:ascii="Arial" w:eastAsia="Times New Roman" w:hAnsi="Arial" w:cs="Arial"/>
                      <w:b/>
                      <w:bCs/>
                      <w:sz w:val="20"/>
                      <w:szCs w:val="20"/>
                      <w:lang w:eastAsia="en-GB"/>
                    </w:rPr>
                    <w:t>8.8</w:t>
                  </w:r>
                </w:p>
              </w:tc>
              <w:tc>
                <w:tcPr>
                  <w:tcW w:w="1200" w:type="dxa"/>
                  <w:tcBorders>
                    <w:top w:val="nil"/>
                    <w:left w:val="nil"/>
                    <w:bottom w:val="nil"/>
                    <w:right w:val="nil"/>
                  </w:tcBorders>
                  <w:shd w:val="clear" w:color="auto" w:fill="auto"/>
                  <w:noWrap/>
                  <w:vAlign w:val="center"/>
                  <w:hideMark/>
                </w:tcPr>
                <w:p w14:paraId="67D0E011" w14:textId="77777777" w:rsidR="00416FDD" w:rsidRPr="00416FDD" w:rsidRDefault="00416FDD" w:rsidP="00416FDD">
                  <w:pPr>
                    <w:spacing w:after="0" w:line="240" w:lineRule="auto"/>
                    <w:jc w:val="right"/>
                    <w:rPr>
                      <w:rFonts w:ascii="Arial" w:eastAsia="Times New Roman" w:hAnsi="Arial" w:cs="Arial"/>
                      <w:sz w:val="20"/>
                      <w:szCs w:val="20"/>
                      <w:lang w:eastAsia="en-GB"/>
                    </w:rPr>
                  </w:pPr>
                  <w:r w:rsidRPr="00416FDD">
                    <w:rPr>
                      <w:rFonts w:ascii="Arial" w:eastAsia="Times New Roman" w:hAnsi="Arial" w:cs="Arial"/>
                      <w:bCs/>
                      <w:sz w:val="20"/>
                      <w:szCs w:val="20"/>
                      <w:lang w:eastAsia="en-GB"/>
                    </w:rPr>
                    <w:t>87.6</w:t>
                  </w:r>
                </w:p>
              </w:tc>
            </w:tr>
            <w:tr w:rsidR="00416FDD" w:rsidRPr="00DA5F44" w14:paraId="7C4B2548" w14:textId="77777777" w:rsidTr="006647C2">
              <w:trPr>
                <w:trHeight w:val="255"/>
              </w:trPr>
              <w:tc>
                <w:tcPr>
                  <w:tcW w:w="3700" w:type="dxa"/>
                  <w:tcBorders>
                    <w:top w:val="nil"/>
                    <w:left w:val="nil"/>
                    <w:bottom w:val="single" w:sz="4" w:space="0" w:color="auto"/>
                    <w:right w:val="nil"/>
                  </w:tcBorders>
                  <w:shd w:val="clear" w:color="auto" w:fill="auto"/>
                  <w:noWrap/>
                  <w:vAlign w:val="center"/>
                  <w:hideMark/>
                </w:tcPr>
                <w:p w14:paraId="159BA5EA" w14:textId="77777777" w:rsidR="00416FDD" w:rsidRPr="00DA5F44" w:rsidRDefault="00416FDD" w:rsidP="00416FDD">
                  <w:pPr>
                    <w:spacing w:after="0" w:line="240" w:lineRule="auto"/>
                    <w:rPr>
                      <w:rFonts w:ascii="Arial" w:eastAsia="Times New Roman" w:hAnsi="Arial" w:cs="Arial"/>
                      <w:sz w:val="20"/>
                      <w:szCs w:val="20"/>
                      <w:lang w:eastAsia="en-GB"/>
                    </w:rPr>
                  </w:pPr>
                  <w:r w:rsidRPr="00DA5F44">
                    <w:rPr>
                      <w:rFonts w:ascii="Arial" w:eastAsia="Times New Roman" w:hAnsi="Arial" w:cs="Arial"/>
                      <w:sz w:val="20"/>
                      <w:szCs w:val="20"/>
                      <w:lang w:eastAsia="en-GB"/>
                    </w:rPr>
                    <w:t>- Women</w:t>
                  </w:r>
                </w:p>
              </w:tc>
              <w:tc>
                <w:tcPr>
                  <w:tcW w:w="585" w:type="dxa"/>
                  <w:tcBorders>
                    <w:top w:val="nil"/>
                    <w:left w:val="nil"/>
                    <w:bottom w:val="single" w:sz="4" w:space="0" w:color="auto"/>
                    <w:right w:val="nil"/>
                  </w:tcBorders>
                  <w:shd w:val="clear" w:color="auto" w:fill="auto"/>
                  <w:noWrap/>
                  <w:vAlign w:val="bottom"/>
                  <w:hideMark/>
                </w:tcPr>
                <w:p w14:paraId="0F38C6B8" w14:textId="77777777" w:rsidR="00416FDD" w:rsidRPr="00DA5F44" w:rsidRDefault="00416FDD" w:rsidP="00416FDD">
                  <w:pPr>
                    <w:spacing w:after="0" w:line="240" w:lineRule="auto"/>
                    <w:rPr>
                      <w:rFonts w:ascii="Arial" w:eastAsia="Times New Roman" w:hAnsi="Arial" w:cs="Arial"/>
                      <w:sz w:val="20"/>
                      <w:szCs w:val="20"/>
                      <w:lang w:eastAsia="en-GB"/>
                    </w:rPr>
                  </w:pPr>
                  <w:r w:rsidRPr="00DA5F44">
                    <w:rPr>
                      <w:rFonts w:ascii="Arial" w:eastAsia="Times New Roman" w:hAnsi="Arial" w:cs="Arial"/>
                      <w:sz w:val="20"/>
                      <w:szCs w:val="20"/>
                      <w:lang w:eastAsia="en-GB"/>
                    </w:rPr>
                    <w:t> </w:t>
                  </w:r>
                </w:p>
              </w:tc>
              <w:tc>
                <w:tcPr>
                  <w:tcW w:w="992" w:type="dxa"/>
                  <w:tcBorders>
                    <w:top w:val="nil"/>
                    <w:left w:val="nil"/>
                    <w:bottom w:val="single" w:sz="4" w:space="0" w:color="auto"/>
                    <w:right w:val="nil"/>
                  </w:tcBorders>
                  <w:shd w:val="clear" w:color="auto" w:fill="auto"/>
                  <w:noWrap/>
                  <w:vAlign w:val="bottom"/>
                  <w:hideMark/>
                </w:tcPr>
                <w:p w14:paraId="102C49FA" w14:textId="77777777" w:rsidR="00416FDD" w:rsidRPr="00DA5F44" w:rsidRDefault="00416FDD" w:rsidP="00416FDD">
                  <w:pPr>
                    <w:spacing w:after="0" w:line="240" w:lineRule="auto"/>
                    <w:rPr>
                      <w:rFonts w:ascii="Arial" w:eastAsia="Times New Roman" w:hAnsi="Arial" w:cs="Arial"/>
                      <w:sz w:val="20"/>
                      <w:szCs w:val="20"/>
                      <w:lang w:eastAsia="en-GB"/>
                    </w:rPr>
                  </w:pPr>
                  <w:r w:rsidRPr="00DA5F44">
                    <w:rPr>
                      <w:rFonts w:ascii="Arial" w:eastAsia="Times New Roman" w:hAnsi="Arial" w:cs="Arial"/>
                      <w:sz w:val="20"/>
                      <w:szCs w:val="20"/>
                      <w:lang w:eastAsia="en-GB"/>
                    </w:rPr>
                    <w:t> </w:t>
                  </w:r>
                </w:p>
              </w:tc>
              <w:tc>
                <w:tcPr>
                  <w:tcW w:w="1200" w:type="dxa"/>
                  <w:tcBorders>
                    <w:top w:val="nil"/>
                    <w:left w:val="nil"/>
                    <w:bottom w:val="single" w:sz="4" w:space="0" w:color="auto"/>
                    <w:right w:val="nil"/>
                  </w:tcBorders>
                  <w:shd w:val="clear" w:color="auto" w:fill="auto"/>
                  <w:noWrap/>
                  <w:vAlign w:val="bottom"/>
                  <w:hideMark/>
                </w:tcPr>
                <w:p w14:paraId="0E1EBA17" w14:textId="77777777" w:rsidR="00416FDD" w:rsidRPr="00DA5F44" w:rsidRDefault="00416FDD" w:rsidP="00416FDD">
                  <w:pPr>
                    <w:spacing w:after="0" w:line="240" w:lineRule="auto"/>
                    <w:rPr>
                      <w:rFonts w:ascii="Arial" w:eastAsia="Times New Roman" w:hAnsi="Arial" w:cs="Arial"/>
                      <w:sz w:val="20"/>
                      <w:szCs w:val="20"/>
                      <w:lang w:eastAsia="en-GB"/>
                    </w:rPr>
                  </w:pPr>
                  <w:r w:rsidRPr="00DA5F44">
                    <w:rPr>
                      <w:rFonts w:ascii="Arial" w:eastAsia="Times New Roman" w:hAnsi="Arial" w:cs="Arial"/>
                      <w:sz w:val="20"/>
                      <w:szCs w:val="20"/>
                      <w:lang w:eastAsia="en-GB"/>
                    </w:rPr>
                    <w:t> </w:t>
                  </w:r>
                </w:p>
              </w:tc>
              <w:tc>
                <w:tcPr>
                  <w:tcW w:w="1300" w:type="dxa"/>
                  <w:tcBorders>
                    <w:top w:val="nil"/>
                    <w:left w:val="nil"/>
                    <w:bottom w:val="single" w:sz="4" w:space="0" w:color="auto"/>
                    <w:right w:val="nil"/>
                  </w:tcBorders>
                  <w:shd w:val="clear" w:color="auto" w:fill="auto"/>
                  <w:noWrap/>
                  <w:vAlign w:val="center"/>
                  <w:hideMark/>
                </w:tcPr>
                <w:p w14:paraId="4BD5B5A8" w14:textId="77777777" w:rsidR="00416FDD" w:rsidRPr="00DA5F44" w:rsidRDefault="00FF0663" w:rsidP="00416FDD">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90.1</w:t>
                  </w:r>
                </w:p>
              </w:tc>
              <w:tc>
                <w:tcPr>
                  <w:tcW w:w="1200" w:type="dxa"/>
                  <w:tcBorders>
                    <w:top w:val="nil"/>
                    <w:left w:val="nil"/>
                    <w:bottom w:val="single" w:sz="4" w:space="0" w:color="auto"/>
                    <w:right w:val="nil"/>
                  </w:tcBorders>
                  <w:shd w:val="clear" w:color="auto" w:fill="auto"/>
                  <w:noWrap/>
                  <w:vAlign w:val="center"/>
                  <w:hideMark/>
                </w:tcPr>
                <w:p w14:paraId="60A6DBCD" w14:textId="77777777" w:rsidR="00416FDD" w:rsidRPr="00416FDD" w:rsidRDefault="00416FDD" w:rsidP="00416FDD">
                  <w:pPr>
                    <w:spacing w:after="0" w:line="240" w:lineRule="auto"/>
                    <w:jc w:val="right"/>
                    <w:rPr>
                      <w:rFonts w:ascii="Arial" w:eastAsia="Times New Roman" w:hAnsi="Arial" w:cs="Arial"/>
                      <w:sz w:val="20"/>
                      <w:szCs w:val="20"/>
                      <w:lang w:eastAsia="en-GB"/>
                    </w:rPr>
                  </w:pPr>
                  <w:r w:rsidRPr="00416FDD">
                    <w:rPr>
                      <w:rFonts w:ascii="Arial" w:eastAsia="Times New Roman" w:hAnsi="Arial" w:cs="Arial"/>
                      <w:bCs/>
                      <w:sz w:val="20"/>
                      <w:szCs w:val="20"/>
                      <w:lang w:eastAsia="en-GB"/>
                    </w:rPr>
                    <w:t>89.1</w:t>
                  </w:r>
                </w:p>
              </w:tc>
            </w:tr>
          </w:tbl>
          <w:p w14:paraId="69E224E1" w14:textId="77777777" w:rsidR="00E70CD3" w:rsidRDefault="00E70CD3" w:rsidP="007729E5">
            <w:pPr>
              <w:spacing w:after="0" w:line="240" w:lineRule="auto"/>
              <w:rPr>
                <w:rFonts w:ascii="Arial" w:eastAsia="Times New Roman" w:hAnsi="Arial" w:cs="Arial"/>
                <w:sz w:val="20"/>
                <w:szCs w:val="20"/>
                <w:lang w:eastAsia="en-GB"/>
              </w:rPr>
            </w:pPr>
          </w:p>
          <w:p w14:paraId="23ADB0F8" w14:textId="77777777" w:rsidR="00E70CD3" w:rsidRDefault="00E70CD3" w:rsidP="007729E5">
            <w:pPr>
              <w:spacing w:after="0" w:line="240" w:lineRule="auto"/>
              <w:rPr>
                <w:rFonts w:ascii="Arial" w:eastAsia="Times New Roman" w:hAnsi="Arial" w:cs="Arial"/>
                <w:sz w:val="20"/>
                <w:szCs w:val="20"/>
                <w:lang w:eastAsia="en-GB"/>
              </w:rPr>
            </w:pPr>
          </w:p>
          <w:p w14:paraId="596ADCC7" w14:textId="77777777" w:rsidR="006C07DD" w:rsidRPr="00DA5F44" w:rsidRDefault="006C07DD" w:rsidP="007729E5">
            <w:pPr>
              <w:spacing w:after="0" w:line="240" w:lineRule="auto"/>
              <w:rPr>
                <w:rFonts w:ascii="Arial" w:eastAsia="Times New Roman" w:hAnsi="Arial" w:cs="Arial"/>
                <w:sz w:val="20"/>
                <w:szCs w:val="20"/>
                <w:lang w:eastAsia="en-GB"/>
              </w:rPr>
            </w:pPr>
          </w:p>
        </w:tc>
      </w:tr>
      <w:tr w:rsidR="00E70CD3" w:rsidRPr="00DA5F44" w14:paraId="6ED5CB0F" w14:textId="77777777" w:rsidTr="007729E5">
        <w:trPr>
          <w:gridAfter w:val="1"/>
          <w:wAfter w:w="462" w:type="dxa"/>
          <w:trHeight w:val="315"/>
        </w:trPr>
        <w:tc>
          <w:tcPr>
            <w:tcW w:w="9620" w:type="dxa"/>
            <w:gridSpan w:val="4"/>
            <w:tcBorders>
              <w:top w:val="nil"/>
              <w:left w:val="nil"/>
              <w:bottom w:val="nil"/>
              <w:right w:val="nil"/>
            </w:tcBorders>
            <w:shd w:val="clear" w:color="auto" w:fill="auto"/>
            <w:noWrap/>
            <w:vAlign w:val="center"/>
            <w:hideMark/>
          </w:tcPr>
          <w:p w14:paraId="1038B651" w14:textId="377918CB" w:rsidR="006E7C43" w:rsidRDefault="006E7C43" w:rsidP="007729E5">
            <w:pPr>
              <w:spacing w:after="0" w:line="240" w:lineRule="auto"/>
              <w:rPr>
                <w:rFonts w:ascii="Arial" w:eastAsia="Times New Roman" w:hAnsi="Arial" w:cs="Arial"/>
                <w:b/>
                <w:bCs/>
                <w:sz w:val="24"/>
                <w:szCs w:val="24"/>
                <w:lang w:eastAsia="en-GB"/>
              </w:rPr>
            </w:pPr>
          </w:p>
          <w:p w14:paraId="3BB8F951" w14:textId="77777777" w:rsidR="00F14892" w:rsidRDefault="00F14892" w:rsidP="007729E5">
            <w:pPr>
              <w:spacing w:after="0" w:line="240" w:lineRule="auto"/>
              <w:rPr>
                <w:rFonts w:ascii="Arial" w:eastAsia="Times New Roman" w:hAnsi="Arial" w:cs="Arial"/>
                <w:b/>
                <w:bCs/>
                <w:sz w:val="24"/>
                <w:szCs w:val="24"/>
                <w:lang w:eastAsia="en-GB"/>
              </w:rPr>
            </w:pPr>
          </w:p>
          <w:p w14:paraId="6AB6E89C" w14:textId="77777777" w:rsidR="006C07DD" w:rsidRDefault="006C07DD" w:rsidP="006C07DD">
            <w:pPr>
              <w:spacing w:after="0" w:line="240" w:lineRule="auto"/>
              <w:rPr>
                <w:rFonts w:ascii="Arial" w:hAnsi="Arial" w:cs="Arial"/>
                <w:b/>
                <w:i/>
                <w:sz w:val="24"/>
                <w:szCs w:val="24"/>
              </w:rPr>
            </w:pPr>
            <w:r w:rsidRPr="0088736E">
              <w:rPr>
                <w:rFonts w:ascii="Arial" w:hAnsi="Arial" w:cs="Arial"/>
                <w:b/>
                <w:i/>
                <w:sz w:val="24"/>
                <w:szCs w:val="24"/>
              </w:rPr>
              <w:t xml:space="preserve">Notes to the financial </w:t>
            </w:r>
            <w:r>
              <w:rPr>
                <w:rFonts w:ascii="Arial" w:hAnsi="Arial" w:cs="Arial"/>
                <w:b/>
                <w:i/>
                <w:sz w:val="24"/>
                <w:szCs w:val="24"/>
              </w:rPr>
              <w:t>statements</w:t>
            </w:r>
            <w:r w:rsidRPr="0088736E">
              <w:rPr>
                <w:rFonts w:ascii="Arial" w:hAnsi="Arial" w:cs="Arial"/>
                <w:b/>
                <w:i/>
                <w:sz w:val="24"/>
                <w:szCs w:val="24"/>
              </w:rPr>
              <w:t xml:space="preserve"> (continued)</w:t>
            </w:r>
          </w:p>
          <w:p w14:paraId="0606A8CE" w14:textId="77777777" w:rsidR="00613BAD" w:rsidRDefault="00613BAD" w:rsidP="006E7C43">
            <w:pPr>
              <w:autoSpaceDE w:val="0"/>
              <w:autoSpaceDN w:val="0"/>
              <w:adjustRightInd w:val="0"/>
              <w:spacing w:after="0" w:line="240" w:lineRule="auto"/>
              <w:rPr>
                <w:rFonts w:ascii="Arial" w:hAnsi="Arial" w:cs="Arial"/>
                <w:b/>
                <w:sz w:val="24"/>
                <w:szCs w:val="24"/>
              </w:rPr>
            </w:pPr>
          </w:p>
          <w:p w14:paraId="48868B2D" w14:textId="77777777" w:rsidR="006E7C43" w:rsidRDefault="006E7C43" w:rsidP="006E7C43">
            <w:pPr>
              <w:autoSpaceDE w:val="0"/>
              <w:autoSpaceDN w:val="0"/>
              <w:adjustRightInd w:val="0"/>
              <w:spacing w:after="0" w:line="240" w:lineRule="auto"/>
              <w:rPr>
                <w:rFonts w:ascii="Arial" w:hAnsi="Arial" w:cs="Arial"/>
                <w:b/>
                <w:sz w:val="24"/>
                <w:szCs w:val="24"/>
              </w:rPr>
            </w:pPr>
            <w:r w:rsidRPr="005076F2">
              <w:rPr>
                <w:rFonts w:ascii="Arial" w:hAnsi="Arial" w:cs="Arial"/>
                <w:b/>
                <w:sz w:val="24"/>
                <w:szCs w:val="24"/>
              </w:rPr>
              <w:t>24. Pension commitments (continued)</w:t>
            </w:r>
          </w:p>
          <w:p w14:paraId="6C961ADB" w14:textId="77777777" w:rsidR="006E7C43" w:rsidRDefault="006E7C43" w:rsidP="007729E5">
            <w:pPr>
              <w:spacing w:after="0" w:line="240" w:lineRule="auto"/>
              <w:rPr>
                <w:rFonts w:ascii="Arial" w:eastAsia="Times New Roman" w:hAnsi="Arial" w:cs="Arial"/>
                <w:b/>
                <w:bCs/>
                <w:sz w:val="24"/>
                <w:szCs w:val="24"/>
                <w:lang w:eastAsia="en-GB"/>
              </w:rPr>
            </w:pPr>
          </w:p>
          <w:p w14:paraId="559137C5" w14:textId="77777777" w:rsidR="00E70CD3" w:rsidRPr="00DA5F44" w:rsidRDefault="00E70CD3" w:rsidP="007729E5">
            <w:pPr>
              <w:spacing w:after="0" w:line="240" w:lineRule="auto"/>
              <w:rPr>
                <w:rFonts w:ascii="Arial" w:eastAsia="Times New Roman" w:hAnsi="Arial" w:cs="Arial"/>
                <w:b/>
                <w:bCs/>
                <w:sz w:val="24"/>
                <w:szCs w:val="24"/>
                <w:lang w:eastAsia="en-GB"/>
              </w:rPr>
            </w:pPr>
            <w:r w:rsidRPr="00DA5F44">
              <w:rPr>
                <w:rFonts w:ascii="Arial" w:eastAsia="Times New Roman" w:hAnsi="Arial" w:cs="Arial"/>
                <w:b/>
                <w:bCs/>
                <w:sz w:val="24"/>
                <w:szCs w:val="24"/>
                <w:lang w:eastAsia="en-GB"/>
              </w:rPr>
              <w:t>Great</w:t>
            </w:r>
            <w:r>
              <w:rPr>
                <w:rFonts w:ascii="Arial" w:eastAsia="Times New Roman" w:hAnsi="Arial" w:cs="Arial"/>
                <w:b/>
                <w:bCs/>
                <w:sz w:val="24"/>
                <w:szCs w:val="24"/>
                <w:lang w:eastAsia="en-GB"/>
              </w:rPr>
              <w:t>er</w:t>
            </w:r>
            <w:r w:rsidRPr="00DA5F44">
              <w:rPr>
                <w:rFonts w:ascii="Arial" w:eastAsia="Times New Roman" w:hAnsi="Arial" w:cs="Arial"/>
                <w:b/>
                <w:bCs/>
                <w:sz w:val="24"/>
                <w:szCs w:val="24"/>
                <w:lang w:eastAsia="en-GB"/>
              </w:rPr>
              <w:t xml:space="preserve"> Manchester Pension Fund</w:t>
            </w:r>
          </w:p>
        </w:tc>
        <w:tc>
          <w:tcPr>
            <w:tcW w:w="1200" w:type="dxa"/>
            <w:gridSpan w:val="2"/>
            <w:tcBorders>
              <w:top w:val="nil"/>
              <w:left w:val="nil"/>
              <w:bottom w:val="nil"/>
              <w:right w:val="nil"/>
            </w:tcBorders>
            <w:shd w:val="clear" w:color="auto" w:fill="auto"/>
            <w:noWrap/>
            <w:vAlign w:val="center"/>
            <w:hideMark/>
          </w:tcPr>
          <w:p w14:paraId="3F157647" w14:textId="77777777" w:rsidR="00E70CD3" w:rsidRPr="00DA5F44" w:rsidRDefault="00E70CD3" w:rsidP="007729E5">
            <w:pPr>
              <w:spacing w:after="0" w:line="240" w:lineRule="auto"/>
              <w:rPr>
                <w:rFonts w:ascii="Arial" w:eastAsia="Times New Roman" w:hAnsi="Arial" w:cs="Arial"/>
                <w:b/>
                <w:bCs/>
                <w:sz w:val="24"/>
                <w:szCs w:val="24"/>
                <w:lang w:eastAsia="en-GB"/>
              </w:rPr>
            </w:pPr>
          </w:p>
        </w:tc>
        <w:tc>
          <w:tcPr>
            <w:tcW w:w="1300" w:type="dxa"/>
            <w:gridSpan w:val="2"/>
            <w:tcBorders>
              <w:top w:val="nil"/>
              <w:left w:val="nil"/>
              <w:bottom w:val="nil"/>
              <w:right w:val="nil"/>
            </w:tcBorders>
            <w:shd w:val="clear" w:color="auto" w:fill="auto"/>
            <w:noWrap/>
            <w:vAlign w:val="center"/>
            <w:hideMark/>
          </w:tcPr>
          <w:p w14:paraId="35676958" w14:textId="77777777" w:rsidR="00E70CD3" w:rsidRPr="00DA5F44" w:rsidRDefault="00E70CD3" w:rsidP="007729E5">
            <w:pPr>
              <w:spacing w:after="0" w:line="240" w:lineRule="auto"/>
              <w:rPr>
                <w:rFonts w:ascii="Times New Roman" w:eastAsia="Times New Roman" w:hAnsi="Times New Roman" w:cs="Times New Roman"/>
                <w:sz w:val="20"/>
                <w:szCs w:val="20"/>
                <w:lang w:eastAsia="en-GB"/>
              </w:rPr>
            </w:pPr>
          </w:p>
        </w:tc>
        <w:tc>
          <w:tcPr>
            <w:tcW w:w="1200" w:type="dxa"/>
            <w:gridSpan w:val="2"/>
            <w:tcBorders>
              <w:top w:val="nil"/>
              <w:left w:val="nil"/>
              <w:bottom w:val="nil"/>
              <w:right w:val="nil"/>
            </w:tcBorders>
            <w:shd w:val="clear" w:color="auto" w:fill="auto"/>
            <w:noWrap/>
            <w:vAlign w:val="bottom"/>
            <w:hideMark/>
          </w:tcPr>
          <w:p w14:paraId="5B412FDB" w14:textId="77777777" w:rsidR="00E70CD3" w:rsidRPr="00DA5F44" w:rsidRDefault="00E70CD3" w:rsidP="007729E5">
            <w:pPr>
              <w:spacing w:after="0" w:line="240" w:lineRule="auto"/>
              <w:rPr>
                <w:rFonts w:ascii="Times New Roman" w:eastAsia="Times New Roman" w:hAnsi="Times New Roman" w:cs="Times New Roman"/>
                <w:sz w:val="20"/>
                <w:szCs w:val="20"/>
                <w:lang w:eastAsia="en-GB"/>
              </w:rPr>
            </w:pPr>
          </w:p>
        </w:tc>
      </w:tr>
      <w:tr w:rsidR="00E70CD3" w:rsidRPr="00DA5F44" w14:paraId="046D8CFE" w14:textId="77777777" w:rsidTr="007729E5">
        <w:trPr>
          <w:gridAfter w:val="1"/>
          <w:wAfter w:w="462" w:type="dxa"/>
          <w:trHeight w:val="255"/>
        </w:trPr>
        <w:tc>
          <w:tcPr>
            <w:tcW w:w="8660" w:type="dxa"/>
            <w:tcBorders>
              <w:top w:val="nil"/>
              <w:left w:val="nil"/>
              <w:bottom w:val="nil"/>
              <w:right w:val="nil"/>
            </w:tcBorders>
            <w:shd w:val="clear" w:color="auto" w:fill="auto"/>
            <w:noWrap/>
            <w:vAlign w:val="center"/>
            <w:hideMark/>
          </w:tcPr>
          <w:p w14:paraId="1ADBEAE0" w14:textId="77777777" w:rsidR="00E70CD3" w:rsidRPr="00DA5F44" w:rsidRDefault="00E70CD3" w:rsidP="007729E5">
            <w:pPr>
              <w:spacing w:after="0" w:line="240" w:lineRule="auto"/>
              <w:rPr>
                <w:rFonts w:ascii="Times New Roman" w:eastAsia="Times New Roman" w:hAnsi="Times New Roman" w:cs="Times New Roman"/>
                <w:sz w:val="20"/>
                <w:szCs w:val="20"/>
                <w:lang w:eastAsia="en-GB"/>
              </w:rPr>
            </w:pPr>
          </w:p>
        </w:tc>
        <w:tc>
          <w:tcPr>
            <w:tcW w:w="480" w:type="dxa"/>
            <w:gridSpan w:val="2"/>
            <w:tcBorders>
              <w:top w:val="nil"/>
              <w:left w:val="nil"/>
              <w:bottom w:val="nil"/>
              <w:right w:val="nil"/>
            </w:tcBorders>
            <w:shd w:val="clear" w:color="auto" w:fill="auto"/>
            <w:noWrap/>
            <w:vAlign w:val="center"/>
            <w:hideMark/>
          </w:tcPr>
          <w:p w14:paraId="01CE4090" w14:textId="77777777" w:rsidR="00E70CD3" w:rsidRPr="00DA5F44" w:rsidRDefault="00E70CD3" w:rsidP="007729E5">
            <w:pPr>
              <w:spacing w:after="0" w:line="240" w:lineRule="auto"/>
              <w:rPr>
                <w:rFonts w:ascii="Times New Roman" w:eastAsia="Times New Roman" w:hAnsi="Times New Roman" w:cs="Times New Roman"/>
                <w:sz w:val="20"/>
                <w:szCs w:val="20"/>
                <w:lang w:eastAsia="en-GB"/>
              </w:rPr>
            </w:pPr>
          </w:p>
        </w:tc>
        <w:tc>
          <w:tcPr>
            <w:tcW w:w="480" w:type="dxa"/>
            <w:tcBorders>
              <w:top w:val="nil"/>
              <w:left w:val="nil"/>
              <w:bottom w:val="nil"/>
              <w:right w:val="nil"/>
            </w:tcBorders>
            <w:shd w:val="clear" w:color="auto" w:fill="auto"/>
            <w:noWrap/>
            <w:vAlign w:val="center"/>
            <w:hideMark/>
          </w:tcPr>
          <w:p w14:paraId="608F75BB" w14:textId="77777777" w:rsidR="00E70CD3" w:rsidRPr="00DA5F44" w:rsidRDefault="00E70CD3" w:rsidP="007729E5">
            <w:pPr>
              <w:spacing w:after="0" w:line="240" w:lineRule="auto"/>
              <w:rPr>
                <w:rFonts w:ascii="Times New Roman" w:eastAsia="Times New Roman" w:hAnsi="Times New Roman" w:cs="Times New Roman"/>
                <w:sz w:val="20"/>
                <w:szCs w:val="20"/>
                <w:lang w:eastAsia="en-GB"/>
              </w:rPr>
            </w:pPr>
          </w:p>
        </w:tc>
        <w:tc>
          <w:tcPr>
            <w:tcW w:w="1200" w:type="dxa"/>
            <w:gridSpan w:val="2"/>
            <w:tcBorders>
              <w:top w:val="nil"/>
              <w:left w:val="nil"/>
              <w:bottom w:val="nil"/>
              <w:right w:val="nil"/>
            </w:tcBorders>
            <w:shd w:val="clear" w:color="auto" w:fill="auto"/>
            <w:noWrap/>
            <w:vAlign w:val="center"/>
            <w:hideMark/>
          </w:tcPr>
          <w:p w14:paraId="7AA46139" w14:textId="77777777" w:rsidR="00E70CD3" w:rsidRPr="00DA5F44" w:rsidRDefault="00E70CD3" w:rsidP="007729E5">
            <w:pPr>
              <w:spacing w:after="0" w:line="240" w:lineRule="auto"/>
              <w:rPr>
                <w:rFonts w:ascii="Times New Roman" w:eastAsia="Times New Roman" w:hAnsi="Times New Roman" w:cs="Times New Roman"/>
                <w:sz w:val="20"/>
                <w:szCs w:val="20"/>
                <w:lang w:eastAsia="en-GB"/>
              </w:rPr>
            </w:pPr>
          </w:p>
        </w:tc>
        <w:tc>
          <w:tcPr>
            <w:tcW w:w="1300" w:type="dxa"/>
            <w:gridSpan w:val="2"/>
            <w:tcBorders>
              <w:top w:val="nil"/>
              <w:left w:val="nil"/>
              <w:bottom w:val="nil"/>
              <w:right w:val="nil"/>
            </w:tcBorders>
            <w:shd w:val="clear" w:color="auto" w:fill="auto"/>
            <w:noWrap/>
            <w:vAlign w:val="center"/>
            <w:hideMark/>
          </w:tcPr>
          <w:p w14:paraId="0F32B3D5" w14:textId="77777777" w:rsidR="00E70CD3" w:rsidRPr="00DA5F44" w:rsidRDefault="00E70CD3" w:rsidP="007729E5">
            <w:pPr>
              <w:spacing w:after="0" w:line="240" w:lineRule="auto"/>
              <w:rPr>
                <w:rFonts w:ascii="Times New Roman" w:eastAsia="Times New Roman" w:hAnsi="Times New Roman" w:cs="Times New Roman"/>
                <w:sz w:val="20"/>
                <w:szCs w:val="20"/>
                <w:lang w:eastAsia="en-GB"/>
              </w:rPr>
            </w:pPr>
          </w:p>
        </w:tc>
        <w:tc>
          <w:tcPr>
            <w:tcW w:w="1200" w:type="dxa"/>
            <w:gridSpan w:val="2"/>
            <w:tcBorders>
              <w:top w:val="nil"/>
              <w:left w:val="nil"/>
              <w:bottom w:val="nil"/>
              <w:right w:val="nil"/>
            </w:tcBorders>
            <w:shd w:val="clear" w:color="auto" w:fill="auto"/>
            <w:noWrap/>
            <w:vAlign w:val="bottom"/>
            <w:hideMark/>
          </w:tcPr>
          <w:p w14:paraId="2729AA0D" w14:textId="77777777" w:rsidR="00E70CD3" w:rsidRPr="00DA5F44" w:rsidRDefault="00E70CD3" w:rsidP="007729E5">
            <w:pPr>
              <w:spacing w:after="0" w:line="240" w:lineRule="auto"/>
              <w:rPr>
                <w:rFonts w:ascii="Times New Roman" w:eastAsia="Times New Roman" w:hAnsi="Times New Roman" w:cs="Times New Roman"/>
                <w:sz w:val="20"/>
                <w:szCs w:val="20"/>
                <w:lang w:eastAsia="en-GB"/>
              </w:rPr>
            </w:pPr>
          </w:p>
        </w:tc>
      </w:tr>
      <w:tr w:rsidR="00E70CD3" w:rsidRPr="00DA5F44" w14:paraId="627FC7E7" w14:textId="77777777" w:rsidTr="007729E5">
        <w:trPr>
          <w:gridAfter w:val="1"/>
          <w:wAfter w:w="462" w:type="dxa"/>
          <w:trHeight w:val="255"/>
        </w:trPr>
        <w:tc>
          <w:tcPr>
            <w:tcW w:w="13320" w:type="dxa"/>
            <w:gridSpan w:val="10"/>
            <w:tcBorders>
              <w:top w:val="nil"/>
              <w:left w:val="nil"/>
              <w:bottom w:val="nil"/>
              <w:right w:val="nil"/>
            </w:tcBorders>
            <w:shd w:val="clear" w:color="auto" w:fill="auto"/>
            <w:hideMark/>
          </w:tcPr>
          <w:p w14:paraId="79C69EB2" w14:textId="77777777" w:rsidR="00E70CD3" w:rsidRDefault="00E70CD3" w:rsidP="007729E5">
            <w:pPr>
              <w:spacing w:after="0" w:line="240" w:lineRule="auto"/>
              <w:rPr>
                <w:rFonts w:ascii="Arial" w:eastAsia="Times New Roman" w:hAnsi="Arial" w:cs="Arial"/>
                <w:sz w:val="20"/>
                <w:szCs w:val="20"/>
                <w:lang w:eastAsia="en-GB"/>
              </w:rPr>
            </w:pPr>
            <w:r w:rsidRPr="00DA5F44">
              <w:rPr>
                <w:rFonts w:ascii="Arial" w:eastAsia="Times New Roman" w:hAnsi="Arial" w:cs="Arial"/>
                <w:sz w:val="20"/>
                <w:szCs w:val="20"/>
                <w:lang w:eastAsia="en-GB"/>
              </w:rPr>
              <w:t>Principal actuarial assumptions:</w:t>
            </w:r>
          </w:p>
          <w:p w14:paraId="53C31C3B" w14:textId="77777777" w:rsidR="00E70CD3" w:rsidRDefault="00E70CD3" w:rsidP="007729E5">
            <w:pPr>
              <w:spacing w:after="0" w:line="240" w:lineRule="auto"/>
              <w:rPr>
                <w:rFonts w:ascii="Arial" w:eastAsia="Times New Roman" w:hAnsi="Arial" w:cs="Arial"/>
                <w:sz w:val="20"/>
                <w:szCs w:val="20"/>
                <w:lang w:eastAsia="en-GB"/>
              </w:rPr>
            </w:pPr>
          </w:p>
          <w:tbl>
            <w:tblPr>
              <w:tblW w:w="8977" w:type="dxa"/>
              <w:tblLook w:val="04A0" w:firstRow="1" w:lastRow="0" w:firstColumn="1" w:lastColumn="0" w:noHBand="0" w:noVBand="1"/>
            </w:tblPr>
            <w:tblGrid>
              <w:gridCol w:w="3700"/>
              <w:gridCol w:w="272"/>
              <w:gridCol w:w="1305"/>
              <w:gridCol w:w="1200"/>
              <w:gridCol w:w="1300"/>
              <w:gridCol w:w="1200"/>
            </w:tblGrid>
            <w:tr w:rsidR="00E70CD3" w:rsidRPr="00DA5F44" w14:paraId="79392D85" w14:textId="77777777" w:rsidTr="006647C2">
              <w:trPr>
                <w:trHeight w:val="255"/>
              </w:trPr>
              <w:tc>
                <w:tcPr>
                  <w:tcW w:w="3700" w:type="dxa"/>
                  <w:tcBorders>
                    <w:top w:val="nil"/>
                    <w:left w:val="nil"/>
                    <w:bottom w:val="single" w:sz="4" w:space="0" w:color="auto"/>
                    <w:right w:val="nil"/>
                  </w:tcBorders>
                  <w:shd w:val="clear" w:color="auto" w:fill="auto"/>
                  <w:noWrap/>
                  <w:vAlign w:val="center"/>
                  <w:hideMark/>
                </w:tcPr>
                <w:p w14:paraId="7F1EF027" w14:textId="77777777" w:rsidR="00E70CD3" w:rsidRPr="00DA5F44" w:rsidRDefault="00E70CD3" w:rsidP="007729E5">
                  <w:pPr>
                    <w:spacing w:after="0" w:line="240" w:lineRule="auto"/>
                    <w:rPr>
                      <w:rFonts w:ascii="Arial" w:eastAsia="Times New Roman" w:hAnsi="Arial" w:cs="Arial"/>
                      <w:sz w:val="20"/>
                      <w:szCs w:val="20"/>
                      <w:lang w:eastAsia="en-GB"/>
                    </w:rPr>
                  </w:pPr>
                  <w:r w:rsidRPr="00DA5F44">
                    <w:rPr>
                      <w:rFonts w:ascii="Arial" w:eastAsia="Times New Roman" w:hAnsi="Arial" w:cs="Arial"/>
                      <w:sz w:val="20"/>
                      <w:szCs w:val="20"/>
                      <w:lang w:eastAsia="en-GB"/>
                    </w:rPr>
                    <w:t> </w:t>
                  </w:r>
                </w:p>
              </w:tc>
              <w:tc>
                <w:tcPr>
                  <w:tcW w:w="272" w:type="dxa"/>
                  <w:tcBorders>
                    <w:top w:val="nil"/>
                    <w:left w:val="nil"/>
                    <w:bottom w:val="single" w:sz="4" w:space="0" w:color="auto"/>
                    <w:right w:val="nil"/>
                  </w:tcBorders>
                  <w:shd w:val="clear" w:color="auto" w:fill="auto"/>
                  <w:noWrap/>
                  <w:vAlign w:val="bottom"/>
                  <w:hideMark/>
                </w:tcPr>
                <w:p w14:paraId="60EFF782" w14:textId="77777777" w:rsidR="00E70CD3" w:rsidRPr="00DA5F44" w:rsidRDefault="00E70CD3" w:rsidP="007729E5">
                  <w:pPr>
                    <w:spacing w:after="0" w:line="240" w:lineRule="auto"/>
                    <w:rPr>
                      <w:rFonts w:ascii="Arial" w:eastAsia="Times New Roman" w:hAnsi="Arial" w:cs="Arial"/>
                      <w:sz w:val="20"/>
                      <w:szCs w:val="20"/>
                      <w:lang w:eastAsia="en-GB"/>
                    </w:rPr>
                  </w:pPr>
                  <w:r w:rsidRPr="00DA5F44">
                    <w:rPr>
                      <w:rFonts w:ascii="Arial" w:eastAsia="Times New Roman" w:hAnsi="Arial" w:cs="Arial"/>
                      <w:sz w:val="20"/>
                      <w:szCs w:val="20"/>
                      <w:lang w:eastAsia="en-GB"/>
                    </w:rPr>
                    <w:t> </w:t>
                  </w:r>
                </w:p>
              </w:tc>
              <w:tc>
                <w:tcPr>
                  <w:tcW w:w="1305" w:type="dxa"/>
                  <w:tcBorders>
                    <w:top w:val="nil"/>
                    <w:left w:val="nil"/>
                    <w:bottom w:val="single" w:sz="4" w:space="0" w:color="auto"/>
                    <w:right w:val="nil"/>
                  </w:tcBorders>
                  <w:shd w:val="clear" w:color="auto" w:fill="auto"/>
                  <w:noWrap/>
                  <w:vAlign w:val="bottom"/>
                  <w:hideMark/>
                </w:tcPr>
                <w:p w14:paraId="70F7336E" w14:textId="77777777" w:rsidR="00E70CD3" w:rsidRPr="00DA5F44" w:rsidRDefault="00E70CD3" w:rsidP="007729E5">
                  <w:pPr>
                    <w:spacing w:after="0" w:line="240" w:lineRule="auto"/>
                    <w:rPr>
                      <w:rFonts w:ascii="Arial" w:eastAsia="Times New Roman" w:hAnsi="Arial" w:cs="Arial"/>
                      <w:sz w:val="20"/>
                      <w:szCs w:val="20"/>
                      <w:lang w:eastAsia="en-GB"/>
                    </w:rPr>
                  </w:pPr>
                  <w:r w:rsidRPr="00DA5F44">
                    <w:rPr>
                      <w:rFonts w:ascii="Arial" w:eastAsia="Times New Roman" w:hAnsi="Arial" w:cs="Arial"/>
                      <w:sz w:val="20"/>
                      <w:szCs w:val="20"/>
                      <w:lang w:eastAsia="en-GB"/>
                    </w:rPr>
                    <w:t> </w:t>
                  </w:r>
                </w:p>
              </w:tc>
              <w:tc>
                <w:tcPr>
                  <w:tcW w:w="1200" w:type="dxa"/>
                  <w:tcBorders>
                    <w:top w:val="nil"/>
                    <w:left w:val="nil"/>
                    <w:bottom w:val="single" w:sz="4" w:space="0" w:color="auto"/>
                    <w:right w:val="nil"/>
                  </w:tcBorders>
                  <w:shd w:val="clear" w:color="auto" w:fill="auto"/>
                  <w:noWrap/>
                  <w:vAlign w:val="bottom"/>
                  <w:hideMark/>
                </w:tcPr>
                <w:p w14:paraId="567CF0CE" w14:textId="77777777" w:rsidR="00E70CD3" w:rsidRPr="00DA5F44" w:rsidRDefault="00E70CD3" w:rsidP="007729E5">
                  <w:pPr>
                    <w:spacing w:after="0" w:line="240" w:lineRule="auto"/>
                    <w:rPr>
                      <w:rFonts w:ascii="Arial" w:eastAsia="Times New Roman" w:hAnsi="Arial" w:cs="Arial"/>
                      <w:sz w:val="20"/>
                      <w:szCs w:val="20"/>
                      <w:lang w:eastAsia="en-GB"/>
                    </w:rPr>
                  </w:pPr>
                  <w:r w:rsidRPr="00DA5F44">
                    <w:rPr>
                      <w:rFonts w:ascii="Arial" w:eastAsia="Times New Roman" w:hAnsi="Arial" w:cs="Arial"/>
                      <w:sz w:val="20"/>
                      <w:szCs w:val="20"/>
                      <w:lang w:eastAsia="en-GB"/>
                    </w:rPr>
                    <w:t> </w:t>
                  </w:r>
                </w:p>
              </w:tc>
              <w:tc>
                <w:tcPr>
                  <w:tcW w:w="1300" w:type="dxa"/>
                  <w:tcBorders>
                    <w:top w:val="nil"/>
                    <w:left w:val="nil"/>
                    <w:bottom w:val="nil"/>
                    <w:right w:val="nil"/>
                  </w:tcBorders>
                  <w:shd w:val="clear" w:color="auto" w:fill="auto"/>
                  <w:noWrap/>
                  <w:vAlign w:val="center"/>
                  <w:hideMark/>
                </w:tcPr>
                <w:p w14:paraId="122EF3C4" w14:textId="77777777" w:rsidR="00E70CD3" w:rsidRPr="00DA5F44" w:rsidRDefault="0037645F" w:rsidP="005229F1">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2020</w:t>
                  </w:r>
                </w:p>
              </w:tc>
              <w:tc>
                <w:tcPr>
                  <w:tcW w:w="1200" w:type="dxa"/>
                  <w:tcBorders>
                    <w:top w:val="nil"/>
                    <w:left w:val="nil"/>
                    <w:bottom w:val="nil"/>
                    <w:right w:val="nil"/>
                  </w:tcBorders>
                  <w:shd w:val="clear" w:color="auto" w:fill="auto"/>
                  <w:noWrap/>
                  <w:vAlign w:val="center"/>
                  <w:hideMark/>
                </w:tcPr>
                <w:p w14:paraId="2E4A7361" w14:textId="77777777" w:rsidR="00E70CD3" w:rsidRPr="00DA5F44" w:rsidRDefault="0037645F" w:rsidP="005229F1">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2019</w:t>
                  </w:r>
                </w:p>
              </w:tc>
            </w:tr>
            <w:tr w:rsidR="00416FDD" w:rsidRPr="00DA5F44" w14:paraId="2A6DDF83" w14:textId="77777777" w:rsidTr="006647C2">
              <w:trPr>
                <w:trHeight w:val="255"/>
              </w:trPr>
              <w:tc>
                <w:tcPr>
                  <w:tcW w:w="3700" w:type="dxa"/>
                  <w:tcBorders>
                    <w:top w:val="nil"/>
                    <w:left w:val="nil"/>
                    <w:bottom w:val="nil"/>
                    <w:right w:val="nil"/>
                  </w:tcBorders>
                  <w:shd w:val="clear" w:color="auto" w:fill="auto"/>
                  <w:noWrap/>
                  <w:vAlign w:val="center"/>
                  <w:hideMark/>
                </w:tcPr>
                <w:p w14:paraId="21944CFE" w14:textId="77777777" w:rsidR="00416FDD" w:rsidRPr="00DA5F44" w:rsidRDefault="00416FDD" w:rsidP="00416FDD">
                  <w:pPr>
                    <w:spacing w:after="0" w:line="240" w:lineRule="auto"/>
                    <w:rPr>
                      <w:rFonts w:ascii="Arial" w:eastAsia="Times New Roman" w:hAnsi="Arial" w:cs="Arial"/>
                      <w:sz w:val="20"/>
                      <w:szCs w:val="20"/>
                      <w:lang w:eastAsia="en-GB"/>
                    </w:rPr>
                  </w:pPr>
                  <w:r w:rsidRPr="00DA5F44">
                    <w:rPr>
                      <w:rFonts w:ascii="Arial" w:eastAsia="Times New Roman" w:hAnsi="Arial" w:cs="Arial"/>
                      <w:sz w:val="20"/>
                      <w:szCs w:val="20"/>
                      <w:lang w:eastAsia="en-GB"/>
                    </w:rPr>
                    <w:t>Expected rate of salary increases</w:t>
                  </w:r>
                </w:p>
              </w:tc>
              <w:tc>
                <w:tcPr>
                  <w:tcW w:w="272" w:type="dxa"/>
                  <w:tcBorders>
                    <w:top w:val="nil"/>
                    <w:left w:val="nil"/>
                    <w:bottom w:val="nil"/>
                    <w:right w:val="nil"/>
                  </w:tcBorders>
                  <w:shd w:val="clear" w:color="auto" w:fill="auto"/>
                  <w:noWrap/>
                  <w:vAlign w:val="bottom"/>
                  <w:hideMark/>
                </w:tcPr>
                <w:p w14:paraId="515A618C" w14:textId="77777777" w:rsidR="00416FDD" w:rsidRPr="00DA5F44" w:rsidRDefault="00416FDD" w:rsidP="00416FDD">
                  <w:pPr>
                    <w:spacing w:after="0" w:line="240" w:lineRule="auto"/>
                    <w:rPr>
                      <w:rFonts w:ascii="Arial" w:eastAsia="Times New Roman" w:hAnsi="Arial" w:cs="Arial"/>
                      <w:sz w:val="20"/>
                      <w:szCs w:val="20"/>
                      <w:lang w:eastAsia="en-GB"/>
                    </w:rPr>
                  </w:pPr>
                </w:p>
              </w:tc>
              <w:tc>
                <w:tcPr>
                  <w:tcW w:w="1305" w:type="dxa"/>
                  <w:tcBorders>
                    <w:top w:val="nil"/>
                    <w:left w:val="nil"/>
                    <w:bottom w:val="nil"/>
                    <w:right w:val="nil"/>
                  </w:tcBorders>
                  <w:shd w:val="clear" w:color="auto" w:fill="auto"/>
                  <w:noWrap/>
                  <w:vAlign w:val="bottom"/>
                  <w:hideMark/>
                </w:tcPr>
                <w:p w14:paraId="135D1752" w14:textId="77777777" w:rsidR="00416FDD" w:rsidRPr="00DA5F44" w:rsidRDefault="00416FDD" w:rsidP="00416FDD">
                  <w:pPr>
                    <w:spacing w:after="0" w:line="240" w:lineRule="auto"/>
                    <w:rPr>
                      <w:rFonts w:ascii="Times New Roman" w:eastAsia="Times New Roman" w:hAnsi="Times New Roman" w:cs="Times New Roman"/>
                      <w:sz w:val="20"/>
                      <w:szCs w:val="20"/>
                      <w:lang w:eastAsia="en-GB"/>
                    </w:rPr>
                  </w:pPr>
                </w:p>
              </w:tc>
              <w:tc>
                <w:tcPr>
                  <w:tcW w:w="1200" w:type="dxa"/>
                  <w:tcBorders>
                    <w:top w:val="nil"/>
                    <w:left w:val="nil"/>
                    <w:bottom w:val="nil"/>
                    <w:right w:val="nil"/>
                  </w:tcBorders>
                  <w:shd w:val="clear" w:color="auto" w:fill="auto"/>
                  <w:noWrap/>
                  <w:vAlign w:val="bottom"/>
                  <w:hideMark/>
                </w:tcPr>
                <w:p w14:paraId="755467FF" w14:textId="77777777" w:rsidR="00416FDD" w:rsidRPr="00DA5F44" w:rsidRDefault="00416FDD" w:rsidP="00416FDD">
                  <w:pPr>
                    <w:spacing w:after="0" w:line="240" w:lineRule="auto"/>
                    <w:rPr>
                      <w:rFonts w:ascii="Times New Roman" w:eastAsia="Times New Roman" w:hAnsi="Times New Roman" w:cs="Times New Roman"/>
                      <w:sz w:val="20"/>
                      <w:szCs w:val="20"/>
                      <w:lang w:eastAsia="en-GB"/>
                    </w:rPr>
                  </w:pPr>
                </w:p>
              </w:tc>
              <w:tc>
                <w:tcPr>
                  <w:tcW w:w="1300" w:type="dxa"/>
                  <w:tcBorders>
                    <w:top w:val="single" w:sz="4" w:space="0" w:color="auto"/>
                    <w:left w:val="nil"/>
                    <w:bottom w:val="nil"/>
                    <w:right w:val="nil"/>
                  </w:tcBorders>
                  <w:shd w:val="clear" w:color="auto" w:fill="auto"/>
                  <w:noWrap/>
                  <w:vAlign w:val="center"/>
                  <w:hideMark/>
                </w:tcPr>
                <w:p w14:paraId="42269F37" w14:textId="77777777" w:rsidR="00416FDD" w:rsidRPr="00DA5F44" w:rsidRDefault="00FF0663" w:rsidP="00416FDD">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3.0</w:t>
                  </w:r>
                  <w:r w:rsidR="00416FDD" w:rsidRPr="00DA5F44">
                    <w:rPr>
                      <w:rFonts w:ascii="Arial" w:eastAsia="Times New Roman" w:hAnsi="Arial" w:cs="Arial"/>
                      <w:b/>
                      <w:bCs/>
                      <w:sz w:val="20"/>
                      <w:szCs w:val="20"/>
                      <w:lang w:eastAsia="en-GB"/>
                    </w:rPr>
                    <w:t>%</w:t>
                  </w:r>
                </w:p>
              </w:tc>
              <w:tc>
                <w:tcPr>
                  <w:tcW w:w="1200" w:type="dxa"/>
                  <w:tcBorders>
                    <w:top w:val="single" w:sz="4" w:space="0" w:color="auto"/>
                    <w:left w:val="nil"/>
                    <w:bottom w:val="nil"/>
                    <w:right w:val="nil"/>
                  </w:tcBorders>
                  <w:shd w:val="clear" w:color="auto" w:fill="auto"/>
                  <w:noWrap/>
                  <w:vAlign w:val="center"/>
                  <w:hideMark/>
                </w:tcPr>
                <w:p w14:paraId="5EB6EB4D" w14:textId="77777777" w:rsidR="00416FDD" w:rsidRPr="00416FDD" w:rsidRDefault="00416FDD" w:rsidP="00416FDD">
                  <w:pPr>
                    <w:spacing w:after="0" w:line="240" w:lineRule="auto"/>
                    <w:jc w:val="right"/>
                    <w:rPr>
                      <w:rFonts w:ascii="Arial" w:eastAsia="Times New Roman" w:hAnsi="Arial" w:cs="Arial"/>
                      <w:sz w:val="20"/>
                      <w:szCs w:val="20"/>
                      <w:lang w:eastAsia="en-GB"/>
                    </w:rPr>
                  </w:pPr>
                  <w:r w:rsidRPr="00416FDD">
                    <w:rPr>
                      <w:rFonts w:ascii="Arial" w:eastAsia="Times New Roman" w:hAnsi="Arial" w:cs="Arial"/>
                      <w:bCs/>
                      <w:sz w:val="20"/>
                      <w:szCs w:val="20"/>
                      <w:lang w:eastAsia="en-GB"/>
                    </w:rPr>
                    <w:t>2.7%</w:t>
                  </w:r>
                </w:p>
              </w:tc>
            </w:tr>
            <w:tr w:rsidR="00416FDD" w:rsidRPr="00DA5F44" w14:paraId="4A6828BC" w14:textId="77777777" w:rsidTr="006647C2">
              <w:trPr>
                <w:trHeight w:val="255"/>
              </w:trPr>
              <w:tc>
                <w:tcPr>
                  <w:tcW w:w="5277" w:type="dxa"/>
                  <w:gridSpan w:val="3"/>
                  <w:tcBorders>
                    <w:top w:val="nil"/>
                    <w:left w:val="nil"/>
                    <w:bottom w:val="nil"/>
                    <w:right w:val="nil"/>
                  </w:tcBorders>
                  <w:shd w:val="clear" w:color="auto" w:fill="auto"/>
                  <w:noWrap/>
                  <w:vAlign w:val="center"/>
                  <w:hideMark/>
                </w:tcPr>
                <w:p w14:paraId="542465B4" w14:textId="77777777" w:rsidR="00416FDD" w:rsidRPr="00DA5F44" w:rsidRDefault="00416FDD" w:rsidP="00416FDD">
                  <w:pPr>
                    <w:spacing w:after="0" w:line="240" w:lineRule="auto"/>
                    <w:rPr>
                      <w:rFonts w:ascii="Arial" w:eastAsia="Times New Roman" w:hAnsi="Arial" w:cs="Arial"/>
                      <w:sz w:val="20"/>
                      <w:szCs w:val="20"/>
                      <w:lang w:eastAsia="en-GB"/>
                    </w:rPr>
                  </w:pPr>
                  <w:r w:rsidRPr="00DA5F44">
                    <w:rPr>
                      <w:rFonts w:ascii="Arial" w:eastAsia="Times New Roman" w:hAnsi="Arial" w:cs="Arial"/>
                      <w:sz w:val="20"/>
                      <w:szCs w:val="20"/>
                      <w:lang w:eastAsia="en-GB"/>
                    </w:rPr>
                    <w:t>Expected rate of increase of pensions in payments</w:t>
                  </w:r>
                </w:p>
              </w:tc>
              <w:tc>
                <w:tcPr>
                  <w:tcW w:w="1200" w:type="dxa"/>
                  <w:tcBorders>
                    <w:top w:val="nil"/>
                    <w:left w:val="nil"/>
                    <w:bottom w:val="nil"/>
                    <w:right w:val="nil"/>
                  </w:tcBorders>
                  <w:shd w:val="clear" w:color="auto" w:fill="auto"/>
                  <w:noWrap/>
                  <w:vAlign w:val="bottom"/>
                  <w:hideMark/>
                </w:tcPr>
                <w:p w14:paraId="135E7E50" w14:textId="77777777" w:rsidR="00416FDD" w:rsidRPr="00DA5F44" w:rsidRDefault="00416FDD" w:rsidP="00416FDD">
                  <w:pPr>
                    <w:spacing w:after="0" w:line="240" w:lineRule="auto"/>
                    <w:rPr>
                      <w:rFonts w:ascii="Arial" w:eastAsia="Times New Roman" w:hAnsi="Arial" w:cs="Arial"/>
                      <w:sz w:val="20"/>
                      <w:szCs w:val="20"/>
                      <w:lang w:eastAsia="en-GB"/>
                    </w:rPr>
                  </w:pPr>
                </w:p>
              </w:tc>
              <w:tc>
                <w:tcPr>
                  <w:tcW w:w="1300" w:type="dxa"/>
                  <w:tcBorders>
                    <w:top w:val="nil"/>
                    <w:left w:val="nil"/>
                    <w:bottom w:val="nil"/>
                    <w:right w:val="nil"/>
                  </w:tcBorders>
                  <w:shd w:val="clear" w:color="auto" w:fill="auto"/>
                  <w:noWrap/>
                  <w:vAlign w:val="center"/>
                  <w:hideMark/>
                </w:tcPr>
                <w:p w14:paraId="2B208753" w14:textId="77777777" w:rsidR="00416FDD" w:rsidRPr="00DA5F44" w:rsidRDefault="00416FDD" w:rsidP="00416FDD">
                  <w:pPr>
                    <w:spacing w:after="0" w:line="240" w:lineRule="auto"/>
                    <w:jc w:val="right"/>
                    <w:rPr>
                      <w:rFonts w:ascii="Arial" w:eastAsia="Times New Roman" w:hAnsi="Arial" w:cs="Arial"/>
                      <w:b/>
                      <w:bCs/>
                      <w:sz w:val="20"/>
                      <w:szCs w:val="20"/>
                      <w:lang w:eastAsia="en-GB"/>
                    </w:rPr>
                  </w:pPr>
                  <w:r w:rsidRPr="00DA5F44">
                    <w:rPr>
                      <w:rFonts w:ascii="Arial" w:eastAsia="Times New Roman" w:hAnsi="Arial" w:cs="Arial"/>
                      <w:b/>
                      <w:bCs/>
                      <w:sz w:val="20"/>
                      <w:szCs w:val="20"/>
                      <w:lang w:eastAsia="en-GB"/>
                    </w:rPr>
                    <w:t>2.</w:t>
                  </w:r>
                  <w:r w:rsidR="00FF0663">
                    <w:rPr>
                      <w:rFonts w:ascii="Arial" w:eastAsia="Times New Roman" w:hAnsi="Arial" w:cs="Arial"/>
                      <w:b/>
                      <w:bCs/>
                      <w:sz w:val="20"/>
                      <w:szCs w:val="20"/>
                      <w:lang w:eastAsia="en-GB"/>
                    </w:rPr>
                    <w:t>1</w:t>
                  </w:r>
                  <w:r w:rsidRPr="00DA5F44">
                    <w:rPr>
                      <w:rFonts w:ascii="Arial" w:eastAsia="Times New Roman" w:hAnsi="Arial" w:cs="Arial"/>
                      <w:b/>
                      <w:bCs/>
                      <w:sz w:val="20"/>
                      <w:szCs w:val="20"/>
                      <w:lang w:eastAsia="en-GB"/>
                    </w:rPr>
                    <w:t>%</w:t>
                  </w:r>
                </w:p>
              </w:tc>
              <w:tc>
                <w:tcPr>
                  <w:tcW w:w="1200" w:type="dxa"/>
                  <w:tcBorders>
                    <w:top w:val="nil"/>
                    <w:left w:val="nil"/>
                    <w:bottom w:val="nil"/>
                    <w:right w:val="nil"/>
                  </w:tcBorders>
                  <w:shd w:val="clear" w:color="auto" w:fill="auto"/>
                  <w:noWrap/>
                  <w:vAlign w:val="center"/>
                  <w:hideMark/>
                </w:tcPr>
                <w:p w14:paraId="19F440D7" w14:textId="77777777" w:rsidR="00416FDD" w:rsidRPr="00416FDD" w:rsidRDefault="00416FDD" w:rsidP="00416FDD">
                  <w:pPr>
                    <w:spacing w:after="0" w:line="240" w:lineRule="auto"/>
                    <w:jc w:val="right"/>
                    <w:rPr>
                      <w:rFonts w:ascii="Arial" w:eastAsia="Times New Roman" w:hAnsi="Arial" w:cs="Arial"/>
                      <w:sz w:val="20"/>
                      <w:szCs w:val="20"/>
                      <w:lang w:eastAsia="en-GB"/>
                    </w:rPr>
                  </w:pPr>
                  <w:r w:rsidRPr="00416FDD">
                    <w:rPr>
                      <w:rFonts w:ascii="Arial" w:eastAsia="Times New Roman" w:hAnsi="Arial" w:cs="Arial"/>
                      <w:sz w:val="20"/>
                      <w:szCs w:val="20"/>
                      <w:lang w:eastAsia="en-GB"/>
                    </w:rPr>
                    <w:t>2.3%</w:t>
                  </w:r>
                </w:p>
              </w:tc>
            </w:tr>
            <w:tr w:rsidR="00416FDD" w:rsidRPr="00DA5F44" w14:paraId="1D1B278E" w14:textId="77777777" w:rsidTr="006647C2">
              <w:trPr>
                <w:trHeight w:val="255"/>
              </w:trPr>
              <w:tc>
                <w:tcPr>
                  <w:tcW w:w="3700" w:type="dxa"/>
                  <w:tcBorders>
                    <w:top w:val="nil"/>
                    <w:left w:val="nil"/>
                    <w:bottom w:val="nil"/>
                    <w:right w:val="nil"/>
                  </w:tcBorders>
                  <w:shd w:val="clear" w:color="auto" w:fill="auto"/>
                  <w:noWrap/>
                  <w:vAlign w:val="center"/>
                  <w:hideMark/>
                </w:tcPr>
                <w:p w14:paraId="18EF89B8" w14:textId="77777777" w:rsidR="00416FDD" w:rsidRPr="00DA5F44" w:rsidRDefault="00416FDD" w:rsidP="00416FDD">
                  <w:pPr>
                    <w:spacing w:after="0" w:line="240" w:lineRule="auto"/>
                    <w:rPr>
                      <w:rFonts w:ascii="Arial" w:eastAsia="Times New Roman" w:hAnsi="Arial" w:cs="Arial"/>
                      <w:sz w:val="20"/>
                      <w:szCs w:val="20"/>
                      <w:lang w:eastAsia="en-GB"/>
                    </w:rPr>
                  </w:pPr>
                  <w:r w:rsidRPr="00DA5F44">
                    <w:rPr>
                      <w:rFonts w:ascii="Arial" w:eastAsia="Times New Roman" w:hAnsi="Arial" w:cs="Arial"/>
                      <w:sz w:val="20"/>
                      <w:szCs w:val="20"/>
                      <w:lang w:eastAsia="en-GB"/>
                    </w:rPr>
                    <w:t>Rate of inflation</w:t>
                  </w:r>
                </w:p>
              </w:tc>
              <w:tc>
                <w:tcPr>
                  <w:tcW w:w="272" w:type="dxa"/>
                  <w:tcBorders>
                    <w:top w:val="nil"/>
                    <w:left w:val="nil"/>
                    <w:bottom w:val="nil"/>
                    <w:right w:val="nil"/>
                  </w:tcBorders>
                  <w:shd w:val="clear" w:color="auto" w:fill="auto"/>
                  <w:noWrap/>
                  <w:vAlign w:val="bottom"/>
                  <w:hideMark/>
                </w:tcPr>
                <w:p w14:paraId="38830E05" w14:textId="77777777" w:rsidR="00416FDD" w:rsidRPr="00DA5F44" w:rsidRDefault="00416FDD" w:rsidP="00416FDD">
                  <w:pPr>
                    <w:spacing w:after="0" w:line="240" w:lineRule="auto"/>
                    <w:rPr>
                      <w:rFonts w:ascii="Arial" w:eastAsia="Times New Roman" w:hAnsi="Arial" w:cs="Arial"/>
                      <w:sz w:val="20"/>
                      <w:szCs w:val="20"/>
                      <w:lang w:eastAsia="en-GB"/>
                    </w:rPr>
                  </w:pPr>
                </w:p>
              </w:tc>
              <w:tc>
                <w:tcPr>
                  <w:tcW w:w="1305" w:type="dxa"/>
                  <w:tcBorders>
                    <w:top w:val="nil"/>
                    <w:left w:val="nil"/>
                    <w:bottom w:val="nil"/>
                    <w:right w:val="nil"/>
                  </w:tcBorders>
                  <w:shd w:val="clear" w:color="auto" w:fill="auto"/>
                  <w:noWrap/>
                  <w:vAlign w:val="bottom"/>
                  <w:hideMark/>
                </w:tcPr>
                <w:p w14:paraId="16BD95CF" w14:textId="77777777" w:rsidR="00416FDD" w:rsidRPr="00DA5F44" w:rsidRDefault="00416FDD" w:rsidP="00416FDD">
                  <w:pPr>
                    <w:spacing w:after="0" w:line="240" w:lineRule="auto"/>
                    <w:rPr>
                      <w:rFonts w:ascii="Times New Roman" w:eastAsia="Times New Roman" w:hAnsi="Times New Roman" w:cs="Times New Roman"/>
                      <w:sz w:val="20"/>
                      <w:szCs w:val="20"/>
                      <w:lang w:eastAsia="en-GB"/>
                    </w:rPr>
                  </w:pPr>
                </w:p>
              </w:tc>
              <w:tc>
                <w:tcPr>
                  <w:tcW w:w="1200" w:type="dxa"/>
                  <w:tcBorders>
                    <w:top w:val="nil"/>
                    <w:left w:val="nil"/>
                    <w:bottom w:val="nil"/>
                    <w:right w:val="nil"/>
                  </w:tcBorders>
                  <w:shd w:val="clear" w:color="auto" w:fill="auto"/>
                  <w:noWrap/>
                  <w:vAlign w:val="bottom"/>
                  <w:hideMark/>
                </w:tcPr>
                <w:p w14:paraId="0228DE53" w14:textId="77777777" w:rsidR="00416FDD" w:rsidRPr="00DA5F44" w:rsidRDefault="00416FDD" w:rsidP="00416FDD">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74E5CB80" w14:textId="77777777" w:rsidR="00416FDD" w:rsidRPr="00DA5F44" w:rsidRDefault="00416FDD" w:rsidP="00416FDD">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2.</w:t>
                  </w:r>
                  <w:r w:rsidR="00FF0663">
                    <w:rPr>
                      <w:rFonts w:ascii="Arial" w:eastAsia="Times New Roman" w:hAnsi="Arial" w:cs="Arial"/>
                      <w:b/>
                      <w:bCs/>
                      <w:sz w:val="20"/>
                      <w:szCs w:val="20"/>
                      <w:lang w:eastAsia="en-GB"/>
                    </w:rPr>
                    <w:t>2</w:t>
                  </w:r>
                  <w:r w:rsidRPr="00DA5F44">
                    <w:rPr>
                      <w:rFonts w:ascii="Arial" w:eastAsia="Times New Roman" w:hAnsi="Arial" w:cs="Arial"/>
                      <w:b/>
                      <w:bCs/>
                      <w:sz w:val="20"/>
                      <w:szCs w:val="20"/>
                      <w:lang w:eastAsia="en-GB"/>
                    </w:rPr>
                    <w:t>%</w:t>
                  </w:r>
                </w:p>
              </w:tc>
              <w:tc>
                <w:tcPr>
                  <w:tcW w:w="1200" w:type="dxa"/>
                  <w:tcBorders>
                    <w:top w:val="nil"/>
                    <w:left w:val="nil"/>
                    <w:bottom w:val="nil"/>
                    <w:right w:val="nil"/>
                  </w:tcBorders>
                  <w:shd w:val="clear" w:color="auto" w:fill="auto"/>
                  <w:noWrap/>
                  <w:vAlign w:val="center"/>
                  <w:hideMark/>
                </w:tcPr>
                <w:p w14:paraId="2EBCD3EE" w14:textId="77777777" w:rsidR="00416FDD" w:rsidRPr="00416FDD" w:rsidRDefault="00416FDD" w:rsidP="00416FDD">
                  <w:pPr>
                    <w:spacing w:after="0" w:line="240" w:lineRule="auto"/>
                    <w:jc w:val="right"/>
                    <w:rPr>
                      <w:rFonts w:ascii="Arial" w:eastAsia="Times New Roman" w:hAnsi="Arial" w:cs="Arial"/>
                      <w:sz w:val="20"/>
                      <w:szCs w:val="20"/>
                      <w:lang w:eastAsia="en-GB"/>
                    </w:rPr>
                  </w:pPr>
                  <w:r w:rsidRPr="00416FDD">
                    <w:rPr>
                      <w:rFonts w:ascii="Arial" w:eastAsia="Times New Roman" w:hAnsi="Arial" w:cs="Arial"/>
                      <w:bCs/>
                      <w:sz w:val="20"/>
                      <w:szCs w:val="20"/>
                      <w:lang w:eastAsia="en-GB"/>
                    </w:rPr>
                    <w:t>2.3%</w:t>
                  </w:r>
                </w:p>
              </w:tc>
            </w:tr>
            <w:tr w:rsidR="00416FDD" w:rsidRPr="00DA5F44" w14:paraId="71F7B790" w14:textId="77777777" w:rsidTr="006647C2">
              <w:trPr>
                <w:trHeight w:val="255"/>
              </w:trPr>
              <w:tc>
                <w:tcPr>
                  <w:tcW w:w="3700" w:type="dxa"/>
                  <w:tcBorders>
                    <w:top w:val="nil"/>
                    <w:left w:val="nil"/>
                    <w:bottom w:val="nil"/>
                    <w:right w:val="nil"/>
                  </w:tcBorders>
                  <w:shd w:val="clear" w:color="auto" w:fill="auto"/>
                  <w:noWrap/>
                  <w:vAlign w:val="center"/>
                  <w:hideMark/>
                </w:tcPr>
                <w:p w14:paraId="35C9411D" w14:textId="77777777" w:rsidR="00416FDD" w:rsidRPr="00DA5F44" w:rsidRDefault="00416FDD" w:rsidP="00416FDD">
                  <w:pPr>
                    <w:spacing w:after="0" w:line="240" w:lineRule="auto"/>
                    <w:rPr>
                      <w:rFonts w:ascii="Arial" w:eastAsia="Times New Roman" w:hAnsi="Arial" w:cs="Arial"/>
                      <w:sz w:val="20"/>
                      <w:szCs w:val="20"/>
                      <w:lang w:eastAsia="en-GB"/>
                    </w:rPr>
                  </w:pPr>
                  <w:r w:rsidRPr="00DA5F44">
                    <w:rPr>
                      <w:rFonts w:ascii="Arial" w:eastAsia="Times New Roman" w:hAnsi="Arial" w:cs="Arial"/>
                      <w:sz w:val="20"/>
                      <w:szCs w:val="20"/>
                      <w:lang w:eastAsia="en-GB"/>
                    </w:rPr>
                    <w:t>Discount rate</w:t>
                  </w:r>
                </w:p>
              </w:tc>
              <w:tc>
                <w:tcPr>
                  <w:tcW w:w="272" w:type="dxa"/>
                  <w:tcBorders>
                    <w:top w:val="nil"/>
                    <w:left w:val="nil"/>
                    <w:bottom w:val="nil"/>
                    <w:right w:val="nil"/>
                  </w:tcBorders>
                  <w:shd w:val="clear" w:color="auto" w:fill="auto"/>
                  <w:noWrap/>
                  <w:vAlign w:val="bottom"/>
                  <w:hideMark/>
                </w:tcPr>
                <w:p w14:paraId="04D3B6CD" w14:textId="77777777" w:rsidR="00416FDD" w:rsidRPr="00DA5F44" w:rsidRDefault="00416FDD" w:rsidP="00416FDD">
                  <w:pPr>
                    <w:spacing w:after="0" w:line="240" w:lineRule="auto"/>
                    <w:rPr>
                      <w:rFonts w:ascii="Arial" w:eastAsia="Times New Roman" w:hAnsi="Arial" w:cs="Arial"/>
                      <w:sz w:val="20"/>
                      <w:szCs w:val="20"/>
                      <w:lang w:eastAsia="en-GB"/>
                    </w:rPr>
                  </w:pPr>
                </w:p>
              </w:tc>
              <w:tc>
                <w:tcPr>
                  <w:tcW w:w="1305" w:type="dxa"/>
                  <w:tcBorders>
                    <w:top w:val="nil"/>
                    <w:left w:val="nil"/>
                    <w:bottom w:val="nil"/>
                    <w:right w:val="nil"/>
                  </w:tcBorders>
                  <w:shd w:val="clear" w:color="auto" w:fill="auto"/>
                  <w:noWrap/>
                  <w:vAlign w:val="bottom"/>
                  <w:hideMark/>
                </w:tcPr>
                <w:p w14:paraId="491891F7" w14:textId="77777777" w:rsidR="00416FDD" w:rsidRPr="00DA5F44" w:rsidRDefault="00416FDD" w:rsidP="00416FDD">
                  <w:pPr>
                    <w:spacing w:after="0" w:line="240" w:lineRule="auto"/>
                    <w:rPr>
                      <w:rFonts w:ascii="Times New Roman" w:eastAsia="Times New Roman" w:hAnsi="Times New Roman" w:cs="Times New Roman"/>
                      <w:sz w:val="20"/>
                      <w:szCs w:val="20"/>
                      <w:lang w:eastAsia="en-GB"/>
                    </w:rPr>
                  </w:pPr>
                </w:p>
              </w:tc>
              <w:tc>
                <w:tcPr>
                  <w:tcW w:w="1200" w:type="dxa"/>
                  <w:tcBorders>
                    <w:top w:val="nil"/>
                    <w:left w:val="nil"/>
                    <w:bottom w:val="nil"/>
                    <w:right w:val="nil"/>
                  </w:tcBorders>
                  <w:shd w:val="clear" w:color="auto" w:fill="auto"/>
                  <w:noWrap/>
                  <w:vAlign w:val="bottom"/>
                  <w:hideMark/>
                </w:tcPr>
                <w:p w14:paraId="4EA4931C" w14:textId="77777777" w:rsidR="00416FDD" w:rsidRPr="00DA5F44" w:rsidRDefault="00416FDD" w:rsidP="00416FDD">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1AAC85F8" w14:textId="77777777" w:rsidR="00416FDD" w:rsidRPr="00DA5F44" w:rsidRDefault="00416FDD" w:rsidP="00416FDD">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1.</w:t>
                  </w:r>
                  <w:r w:rsidR="00FF0663">
                    <w:rPr>
                      <w:rFonts w:ascii="Arial" w:eastAsia="Times New Roman" w:hAnsi="Arial" w:cs="Arial"/>
                      <w:b/>
                      <w:bCs/>
                      <w:sz w:val="20"/>
                      <w:szCs w:val="20"/>
                      <w:lang w:eastAsia="en-GB"/>
                    </w:rPr>
                    <w:t>0</w:t>
                  </w:r>
                  <w:r w:rsidRPr="00DA5F44">
                    <w:rPr>
                      <w:rFonts w:ascii="Arial" w:eastAsia="Times New Roman" w:hAnsi="Arial" w:cs="Arial"/>
                      <w:b/>
                      <w:bCs/>
                      <w:sz w:val="20"/>
                      <w:szCs w:val="20"/>
                      <w:lang w:eastAsia="en-GB"/>
                    </w:rPr>
                    <w:t>%</w:t>
                  </w:r>
                </w:p>
              </w:tc>
              <w:tc>
                <w:tcPr>
                  <w:tcW w:w="1200" w:type="dxa"/>
                  <w:tcBorders>
                    <w:top w:val="nil"/>
                    <w:left w:val="nil"/>
                    <w:bottom w:val="nil"/>
                    <w:right w:val="nil"/>
                  </w:tcBorders>
                  <w:shd w:val="clear" w:color="auto" w:fill="auto"/>
                  <w:noWrap/>
                  <w:vAlign w:val="center"/>
                  <w:hideMark/>
                </w:tcPr>
                <w:p w14:paraId="679C4B0A" w14:textId="77777777" w:rsidR="00416FDD" w:rsidRPr="00416FDD" w:rsidRDefault="00416FDD" w:rsidP="00416FDD">
                  <w:pPr>
                    <w:spacing w:after="0" w:line="240" w:lineRule="auto"/>
                    <w:jc w:val="right"/>
                    <w:rPr>
                      <w:rFonts w:ascii="Arial" w:eastAsia="Times New Roman" w:hAnsi="Arial" w:cs="Arial"/>
                      <w:sz w:val="20"/>
                      <w:szCs w:val="20"/>
                      <w:lang w:eastAsia="en-GB"/>
                    </w:rPr>
                  </w:pPr>
                  <w:r w:rsidRPr="00416FDD">
                    <w:rPr>
                      <w:rFonts w:ascii="Arial" w:eastAsia="Times New Roman" w:hAnsi="Arial" w:cs="Arial"/>
                      <w:bCs/>
                      <w:sz w:val="20"/>
                      <w:szCs w:val="20"/>
                      <w:lang w:eastAsia="en-GB"/>
                    </w:rPr>
                    <w:t>1.9%</w:t>
                  </w:r>
                </w:p>
              </w:tc>
            </w:tr>
            <w:tr w:rsidR="00416FDD" w:rsidRPr="00DA5F44" w14:paraId="646C0768" w14:textId="77777777" w:rsidTr="006647C2">
              <w:trPr>
                <w:trHeight w:val="255"/>
              </w:trPr>
              <w:tc>
                <w:tcPr>
                  <w:tcW w:w="3700" w:type="dxa"/>
                  <w:tcBorders>
                    <w:top w:val="nil"/>
                    <w:left w:val="nil"/>
                    <w:bottom w:val="nil"/>
                    <w:right w:val="nil"/>
                  </w:tcBorders>
                  <w:shd w:val="clear" w:color="auto" w:fill="auto"/>
                  <w:noWrap/>
                  <w:vAlign w:val="center"/>
                  <w:hideMark/>
                </w:tcPr>
                <w:p w14:paraId="474A15F5" w14:textId="77777777" w:rsidR="00416FDD" w:rsidRPr="00DA5F44" w:rsidRDefault="00416FDD" w:rsidP="00416FDD">
                  <w:pPr>
                    <w:spacing w:after="0" w:line="240" w:lineRule="auto"/>
                    <w:rPr>
                      <w:rFonts w:ascii="Arial" w:eastAsia="Times New Roman" w:hAnsi="Arial" w:cs="Arial"/>
                      <w:sz w:val="20"/>
                      <w:szCs w:val="20"/>
                      <w:lang w:eastAsia="en-GB"/>
                    </w:rPr>
                  </w:pPr>
                </w:p>
              </w:tc>
              <w:tc>
                <w:tcPr>
                  <w:tcW w:w="272" w:type="dxa"/>
                  <w:tcBorders>
                    <w:top w:val="nil"/>
                    <w:left w:val="nil"/>
                    <w:bottom w:val="nil"/>
                    <w:right w:val="nil"/>
                  </w:tcBorders>
                  <w:shd w:val="clear" w:color="auto" w:fill="auto"/>
                  <w:noWrap/>
                  <w:vAlign w:val="bottom"/>
                  <w:hideMark/>
                </w:tcPr>
                <w:p w14:paraId="00394195" w14:textId="77777777" w:rsidR="00416FDD" w:rsidRPr="00DA5F44" w:rsidRDefault="00416FDD" w:rsidP="00416FDD">
                  <w:pPr>
                    <w:spacing w:after="0" w:line="240" w:lineRule="auto"/>
                    <w:rPr>
                      <w:rFonts w:ascii="Times New Roman" w:eastAsia="Times New Roman" w:hAnsi="Times New Roman" w:cs="Times New Roman"/>
                      <w:sz w:val="20"/>
                      <w:szCs w:val="20"/>
                      <w:lang w:eastAsia="en-GB"/>
                    </w:rPr>
                  </w:pPr>
                </w:p>
              </w:tc>
              <w:tc>
                <w:tcPr>
                  <w:tcW w:w="1305" w:type="dxa"/>
                  <w:tcBorders>
                    <w:top w:val="nil"/>
                    <w:left w:val="nil"/>
                    <w:bottom w:val="nil"/>
                    <w:right w:val="nil"/>
                  </w:tcBorders>
                  <w:shd w:val="clear" w:color="auto" w:fill="auto"/>
                  <w:noWrap/>
                  <w:vAlign w:val="bottom"/>
                  <w:hideMark/>
                </w:tcPr>
                <w:p w14:paraId="2F95A1FC" w14:textId="77777777" w:rsidR="00416FDD" w:rsidRPr="00DA5F44" w:rsidRDefault="00416FDD" w:rsidP="00416FDD">
                  <w:pPr>
                    <w:spacing w:after="0" w:line="240" w:lineRule="auto"/>
                    <w:rPr>
                      <w:rFonts w:ascii="Times New Roman" w:eastAsia="Times New Roman" w:hAnsi="Times New Roman" w:cs="Times New Roman"/>
                      <w:sz w:val="20"/>
                      <w:szCs w:val="20"/>
                      <w:lang w:eastAsia="en-GB"/>
                    </w:rPr>
                  </w:pPr>
                </w:p>
              </w:tc>
              <w:tc>
                <w:tcPr>
                  <w:tcW w:w="1200" w:type="dxa"/>
                  <w:tcBorders>
                    <w:top w:val="nil"/>
                    <w:left w:val="nil"/>
                    <w:bottom w:val="nil"/>
                    <w:right w:val="nil"/>
                  </w:tcBorders>
                  <w:shd w:val="clear" w:color="auto" w:fill="auto"/>
                  <w:noWrap/>
                  <w:vAlign w:val="bottom"/>
                  <w:hideMark/>
                </w:tcPr>
                <w:p w14:paraId="1A740483" w14:textId="77777777" w:rsidR="00416FDD" w:rsidRPr="00DA5F44" w:rsidRDefault="00416FDD" w:rsidP="00416FDD">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6FDDCDC9" w14:textId="77777777" w:rsidR="00416FDD" w:rsidRPr="00DA5F44" w:rsidRDefault="00416FDD" w:rsidP="00416FDD">
                  <w:pPr>
                    <w:spacing w:after="0" w:line="240" w:lineRule="auto"/>
                    <w:jc w:val="right"/>
                    <w:rPr>
                      <w:rFonts w:ascii="Times New Roman" w:eastAsia="Times New Roman" w:hAnsi="Times New Roman" w:cs="Times New Roman"/>
                      <w:sz w:val="20"/>
                      <w:szCs w:val="20"/>
                      <w:lang w:eastAsia="en-GB"/>
                    </w:rPr>
                  </w:pPr>
                </w:p>
              </w:tc>
              <w:tc>
                <w:tcPr>
                  <w:tcW w:w="1200" w:type="dxa"/>
                  <w:tcBorders>
                    <w:top w:val="nil"/>
                    <w:left w:val="nil"/>
                    <w:bottom w:val="nil"/>
                    <w:right w:val="nil"/>
                  </w:tcBorders>
                  <w:shd w:val="clear" w:color="auto" w:fill="auto"/>
                  <w:noWrap/>
                  <w:vAlign w:val="center"/>
                  <w:hideMark/>
                </w:tcPr>
                <w:p w14:paraId="2B2C7AB4" w14:textId="77777777" w:rsidR="00416FDD" w:rsidRPr="00416FDD" w:rsidRDefault="00416FDD" w:rsidP="00416FDD">
                  <w:pPr>
                    <w:spacing w:after="0" w:line="240" w:lineRule="auto"/>
                    <w:jc w:val="right"/>
                    <w:rPr>
                      <w:rFonts w:ascii="Times New Roman" w:eastAsia="Times New Roman" w:hAnsi="Times New Roman" w:cs="Times New Roman"/>
                      <w:sz w:val="20"/>
                      <w:szCs w:val="20"/>
                      <w:lang w:eastAsia="en-GB"/>
                    </w:rPr>
                  </w:pPr>
                </w:p>
              </w:tc>
            </w:tr>
            <w:tr w:rsidR="00416FDD" w:rsidRPr="00DA5F44" w14:paraId="7AEFD2DD" w14:textId="77777777" w:rsidTr="006647C2">
              <w:trPr>
                <w:trHeight w:val="255"/>
              </w:trPr>
              <w:tc>
                <w:tcPr>
                  <w:tcW w:w="5277" w:type="dxa"/>
                  <w:gridSpan w:val="3"/>
                  <w:tcBorders>
                    <w:top w:val="nil"/>
                    <w:left w:val="nil"/>
                    <w:bottom w:val="nil"/>
                    <w:right w:val="nil"/>
                  </w:tcBorders>
                  <w:shd w:val="clear" w:color="auto" w:fill="auto"/>
                  <w:noWrap/>
                  <w:vAlign w:val="center"/>
                  <w:hideMark/>
                </w:tcPr>
                <w:p w14:paraId="1F650D94" w14:textId="77777777" w:rsidR="00416FDD" w:rsidRPr="00DA5F44" w:rsidRDefault="00416FDD" w:rsidP="00416FDD">
                  <w:pPr>
                    <w:spacing w:after="0" w:line="240" w:lineRule="auto"/>
                    <w:rPr>
                      <w:rFonts w:ascii="Arial" w:eastAsia="Times New Roman" w:hAnsi="Arial" w:cs="Arial"/>
                      <w:sz w:val="20"/>
                      <w:szCs w:val="20"/>
                      <w:lang w:eastAsia="en-GB"/>
                    </w:rPr>
                  </w:pPr>
                  <w:r w:rsidRPr="00DA5F44">
                    <w:rPr>
                      <w:rFonts w:ascii="Arial" w:eastAsia="Times New Roman" w:hAnsi="Arial" w:cs="Arial"/>
                      <w:sz w:val="20"/>
                      <w:szCs w:val="20"/>
                      <w:lang w:eastAsia="en-GB"/>
                    </w:rPr>
                    <w:t>The mortality assumptions used were as follows:</w:t>
                  </w:r>
                </w:p>
              </w:tc>
              <w:tc>
                <w:tcPr>
                  <w:tcW w:w="1200" w:type="dxa"/>
                  <w:tcBorders>
                    <w:top w:val="nil"/>
                    <w:left w:val="nil"/>
                    <w:bottom w:val="nil"/>
                    <w:right w:val="nil"/>
                  </w:tcBorders>
                  <w:shd w:val="clear" w:color="auto" w:fill="auto"/>
                  <w:noWrap/>
                  <w:vAlign w:val="bottom"/>
                  <w:hideMark/>
                </w:tcPr>
                <w:p w14:paraId="02C6B6B8" w14:textId="77777777" w:rsidR="00416FDD" w:rsidRPr="00DA5F44" w:rsidRDefault="00416FDD" w:rsidP="00416FDD">
                  <w:pPr>
                    <w:spacing w:after="0" w:line="240" w:lineRule="auto"/>
                    <w:rPr>
                      <w:rFonts w:ascii="Arial" w:eastAsia="Times New Roman" w:hAnsi="Arial" w:cs="Arial"/>
                      <w:sz w:val="20"/>
                      <w:szCs w:val="20"/>
                      <w:lang w:eastAsia="en-GB"/>
                    </w:rPr>
                  </w:pPr>
                </w:p>
              </w:tc>
              <w:tc>
                <w:tcPr>
                  <w:tcW w:w="1300" w:type="dxa"/>
                  <w:tcBorders>
                    <w:top w:val="nil"/>
                    <w:left w:val="nil"/>
                    <w:bottom w:val="nil"/>
                    <w:right w:val="nil"/>
                  </w:tcBorders>
                  <w:shd w:val="clear" w:color="auto" w:fill="auto"/>
                  <w:noWrap/>
                  <w:vAlign w:val="center"/>
                  <w:hideMark/>
                </w:tcPr>
                <w:p w14:paraId="1C5C5D0E" w14:textId="77777777" w:rsidR="00416FDD" w:rsidRPr="00DA5F44" w:rsidRDefault="00416FDD" w:rsidP="00416FDD">
                  <w:pPr>
                    <w:spacing w:after="0" w:line="240" w:lineRule="auto"/>
                    <w:jc w:val="right"/>
                    <w:rPr>
                      <w:rFonts w:ascii="Times New Roman" w:eastAsia="Times New Roman" w:hAnsi="Times New Roman" w:cs="Times New Roman"/>
                      <w:sz w:val="20"/>
                      <w:szCs w:val="20"/>
                      <w:lang w:eastAsia="en-GB"/>
                    </w:rPr>
                  </w:pPr>
                </w:p>
              </w:tc>
              <w:tc>
                <w:tcPr>
                  <w:tcW w:w="1200" w:type="dxa"/>
                  <w:tcBorders>
                    <w:top w:val="nil"/>
                    <w:left w:val="nil"/>
                    <w:bottom w:val="nil"/>
                    <w:right w:val="nil"/>
                  </w:tcBorders>
                  <w:shd w:val="clear" w:color="auto" w:fill="auto"/>
                  <w:noWrap/>
                  <w:vAlign w:val="center"/>
                  <w:hideMark/>
                </w:tcPr>
                <w:p w14:paraId="1E6A9C03" w14:textId="77777777" w:rsidR="00416FDD" w:rsidRPr="00416FDD" w:rsidRDefault="00416FDD" w:rsidP="00416FDD">
                  <w:pPr>
                    <w:spacing w:after="0" w:line="240" w:lineRule="auto"/>
                    <w:jc w:val="right"/>
                    <w:rPr>
                      <w:rFonts w:ascii="Times New Roman" w:eastAsia="Times New Roman" w:hAnsi="Times New Roman" w:cs="Times New Roman"/>
                      <w:sz w:val="20"/>
                      <w:szCs w:val="20"/>
                      <w:lang w:eastAsia="en-GB"/>
                    </w:rPr>
                  </w:pPr>
                </w:p>
              </w:tc>
            </w:tr>
            <w:tr w:rsidR="00416FDD" w:rsidRPr="00DA5F44" w14:paraId="322D9445" w14:textId="77777777" w:rsidTr="006647C2">
              <w:trPr>
                <w:trHeight w:val="255"/>
              </w:trPr>
              <w:tc>
                <w:tcPr>
                  <w:tcW w:w="3700" w:type="dxa"/>
                  <w:tcBorders>
                    <w:top w:val="nil"/>
                    <w:left w:val="nil"/>
                    <w:bottom w:val="nil"/>
                    <w:right w:val="nil"/>
                  </w:tcBorders>
                  <w:shd w:val="clear" w:color="auto" w:fill="auto"/>
                  <w:noWrap/>
                  <w:vAlign w:val="center"/>
                  <w:hideMark/>
                </w:tcPr>
                <w:p w14:paraId="5D7955D4" w14:textId="77777777" w:rsidR="00416FDD" w:rsidRPr="00DA5F44" w:rsidRDefault="00416FDD" w:rsidP="00416FDD">
                  <w:pPr>
                    <w:spacing w:after="0" w:line="240" w:lineRule="auto"/>
                    <w:rPr>
                      <w:rFonts w:ascii="Times New Roman" w:eastAsia="Times New Roman" w:hAnsi="Times New Roman" w:cs="Times New Roman"/>
                      <w:sz w:val="20"/>
                      <w:szCs w:val="20"/>
                      <w:lang w:eastAsia="en-GB"/>
                    </w:rPr>
                  </w:pPr>
                </w:p>
              </w:tc>
              <w:tc>
                <w:tcPr>
                  <w:tcW w:w="272" w:type="dxa"/>
                  <w:tcBorders>
                    <w:top w:val="nil"/>
                    <w:left w:val="nil"/>
                    <w:bottom w:val="nil"/>
                    <w:right w:val="nil"/>
                  </w:tcBorders>
                  <w:shd w:val="clear" w:color="auto" w:fill="auto"/>
                  <w:noWrap/>
                  <w:vAlign w:val="bottom"/>
                  <w:hideMark/>
                </w:tcPr>
                <w:p w14:paraId="12DE9570" w14:textId="77777777" w:rsidR="00416FDD" w:rsidRPr="00DA5F44" w:rsidRDefault="00416FDD" w:rsidP="00416FDD">
                  <w:pPr>
                    <w:spacing w:after="0" w:line="240" w:lineRule="auto"/>
                    <w:rPr>
                      <w:rFonts w:ascii="Times New Roman" w:eastAsia="Times New Roman" w:hAnsi="Times New Roman" w:cs="Times New Roman"/>
                      <w:sz w:val="20"/>
                      <w:szCs w:val="20"/>
                      <w:lang w:eastAsia="en-GB"/>
                    </w:rPr>
                  </w:pPr>
                </w:p>
              </w:tc>
              <w:tc>
                <w:tcPr>
                  <w:tcW w:w="1305" w:type="dxa"/>
                  <w:tcBorders>
                    <w:top w:val="nil"/>
                    <w:left w:val="nil"/>
                    <w:bottom w:val="nil"/>
                    <w:right w:val="nil"/>
                  </w:tcBorders>
                  <w:shd w:val="clear" w:color="auto" w:fill="auto"/>
                  <w:noWrap/>
                  <w:vAlign w:val="bottom"/>
                  <w:hideMark/>
                </w:tcPr>
                <w:p w14:paraId="0017A0FD" w14:textId="77777777" w:rsidR="00416FDD" w:rsidRPr="00DA5F44" w:rsidRDefault="00416FDD" w:rsidP="00416FDD">
                  <w:pPr>
                    <w:spacing w:after="0" w:line="240" w:lineRule="auto"/>
                    <w:rPr>
                      <w:rFonts w:ascii="Times New Roman" w:eastAsia="Times New Roman" w:hAnsi="Times New Roman" w:cs="Times New Roman"/>
                      <w:sz w:val="20"/>
                      <w:szCs w:val="20"/>
                      <w:lang w:eastAsia="en-GB"/>
                    </w:rPr>
                  </w:pPr>
                </w:p>
              </w:tc>
              <w:tc>
                <w:tcPr>
                  <w:tcW w:w="1200" w:type="dxa"/>
                  <w:tcBorders>
                    <w:top w:val="nil"/>
                    <w:left w:val="nil"/>
                    <w:bottom w:val="nil"/>
                    <w:right w:val="nil"/>
                  </w:tcBorders>
                  <w:shd w:val="clear" w:color="auto" w:fill="auto"/>
                  <w:noWrap/>
                  <w:vAlign w:val="bottom"/>
                  <w:hideMark/>
                </w:tcPr>
                <w:p w14:paraId="2587BF56" w14:textId="77777777" w:rsidR="00416FDD" w:rsidRPr="00DA5F44" w:rsidRDefault="00416FDD" w:rsidP="00416FDD">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63C40D46" w14:textId="77777777" w:rsidR="00416FDD" w:rsidRPr="00DA5F44" w:rsidRDefault="00416FDD" w:rsidP="00416FDD">
                  <w:pPr>
                    <w:spacing w:after="0" w:line="240" w:lineRule="auto"/>
                    <w:jc w:val="right"/>
                    <w:rPr>
                      <w:rFonts w:ascii="Times New Roman" w:eastAsia="Times New Roman" w:hAnsi="Times New Roman" w:cs="Times New Roman"/>
                      <w:sz w:val="20"/>
                      <w:szCs w:val="20"/>
                      <w:lang w:eastAsia="en-GB"/>
                    </w:rPr>
                  </w:pPr>
                </w:p>
              </w:tc>
              <w:tc>
                <w:tcPr>
                  <w:tcW w:w="1200" w:type="dxa"/>
                  <w:tcBorders>
                    <w:top w:val="nil"/>
                    <w:left w:val="nil"/>
                    <w:bottom w:val="nil"/>
                    <w:right w:val="nil"/>
                  </w:tcBorders>
                  <w:shd w:val="clear" w:color="auto" w:fill="auto"/>
                  <w:noWrap/>
                  <w:vAlign w:val="center"/>
                  <w:hideMark/>
                </w:tcPr>
                <w:p w14:paraId="733E2565" w14:textId="77777777" w:rsidR="00416FDD" w:rsidRPr="00416FDD" w:rsidRDefault="00416FDD" w:rsidP="00416FDD">
                  <w:pPr>
                    <w:spacing w:after="0" w:line="240" w:lineRule="auto"/>
                    <w:jc w:val="right"/>
                    <w:rPr>
                      <w:rFonts w:ascii="Times New Roman" w:eastAsia="Times New Roman" w:hAnsi="Times New Roman" w:cs="Times New Roman"/>
                      <w:sz w:val="20"/>
                      <w:szCs w:val="20"/>
                      <w:lang w:eastAsia="en-GB"/>
                    </w:rPr>
                  </w:pPr>
                </w:p>
              </w:tc>
            </w:tr>
            <w:tr w:rsidR="00416FDD" w:rsidRPr="00DA5F44" w14:paraId="1F223AAE" w14:textId="77777777" w:rsidTr="006647C2">
              <w:trPr>
                <w:trHeight w:val="255"/>
              </w:trPr>
              <w:tc>
                <w:tcPr>
                  <w:tcW w:w="3700" w:type="dxa"/>
                  <w:tcBorders>
                    <w:top w:val="nil"/>
                    <w:left w:val="nil"/>
                    <w:bottom w:val="nil"/>
                    <w:right w:val="nil"/>
                  </w:tcBorders>
                  <w:shd w:val="clear" w:color="auto" w:fill="auto"/>
                  <w:noWrap/>
                  <w:vAlign w:val="center"/>
                  <w:hideMark/>
                </w:tcPr>
                <w:p w14:paraId="199DE938" w14:textId="77777777" w:rsidR="00416FDD" w:rsidRPr="00DA5F44" w:rsidRDefault="00416FDD" w:rsidP="00416FDD">
                  <w:pPr>
                    <w:spacing w:after="0" w:line="240" w:lineRule="auto"/>
                    <w:rPr>
                      <w:rFonts w:ascii="Arial" w:eastAsia="Times New Roman" w:hAnsi="Arial" w:cs="Arial"/>
                      <w:sz w:val="20"/>
                      <w:szCs w:val="20"/>
                      <w:lang w:eastAsia="en-GB"/>
                    </w:rPr>
                  </w:pPr>
                  <w:r w:rsidRPr="00DA5F44">
                    <w:rPr>
                      <w:rFonts w:ascii="Arial" w:eastAsia="Times New Roman" w:hAnsi="Arial" w:cs="Arial"/>
                      <w:sz w:val="20"/>
                      <w:szCs w:val="20"/>
                      <w:lang w:eastAsia="en-GB"/>
                    </w:rPr>
                    <w:t>Longevity at age 65 for current pen</w:t>
                  </w:r>
                  <w:r>
                    <w:rPr>
                      <w:rFonts w:ascii="Arial" w:eastAsia="Times New Roman" w:hAnsi="Arial" w:cs="Arial"/>
                      <w:sz w:val="20"/>
                      <w:szCs w:val="20"/>
                      <w:lang w:eastAsia="en-GB"/>
                    </w:rPr>
                    <w:t>s</w:t>
                  </w:r>
                  <w:r w:rsidRPr="00DA5F44">
                    <w:rPr>
                      <w:rFonts w:ascii="Arial" w:eastAsia="Times New Roman" w:hAnsi="Arial" w:cs="Arial"/>
                      <w:sz w:val="20"/>
                      <w:szCs w:val="20"/>
                      <w:lang w:eastAsia="en-GB"/>
                    </w:rPr>
                    <w:t>ioners</w:t>
                  </w:r>
                </w:p>
              </w:tc>
              <w:tc>
                <w:tcPr>
                  <w:tcW w:w="272" w:type="dxa"/>
                  <w:tcBorders>
                    <w:top w:val="nil"/>
                    <w:left w:val="nil"/>
                    <w:bottom w:val="nil"/>
                    <w:right w:val="nil"/>
                  </w:tcBorders>
                  <w:shd w:val="clear" w:color="auto" w:fill="auto"/>
                  <w:noWrap/>
                  <w:vAlign w:val="bottom"/>
                  <w:hideMark/>
                </w:tcPr>
                <w:p w14:paraId="5A08CE20" w14:textId="77777777" w:rsidR="00416FDD" w:rsidRPr="00DA5F44" w:rsidRDefault="00416FDD" w:rsidP="00416FDD">
                  <w:pPr>
                    <w:spacing w:after="0" w:line="240" w:lineRule="auto"/>
                    <w:rPr>
                      <w:rFonts w:ascii="Arial" w:eastAsia="Times New Roman" w:hAnsi="Arial" w:cs="Arial"/>
                      <w:sz w:val="20"/>
                      <w:szCs w:val="20"/>
                      <w:lang w:eastAsia="en-GB"/>
                    </w:rPr>
                  </w:pPr>
                </w:p>
              </w:tc>
              <w:tc>
                <w:tcPr>
                  <w:tcW w:w="1305" w:type="dxa"/>
                  <w:tcBorders>
                    <w:top w:val="nil"/>
                    <w:left w:val="nil"/>
                    <w:bottom w:val="nil"/>
                    <w:right w:val="nil"/>
                  </w:tcBorders>
                  <w:shd w:val="clear" w:color="auto" w:fill="auto"/>
                  <w:noWrap/>
                  <w:vAlign w:val="bottom"/>
                  <w:hideMark/>
                </w:tcPr>
                <w:p w14:paraId="1ED89817" w14:textId="77777777" w:rsidR="00416FDD" w:rsidRPr="00DA5F44" w:rsidRDefault="00416FDD" w:rsidP="00416FDD">
                  <w:pPr>
                    <w:spacing w:after="0" w:line="240" w:lineRule="auto"/>
                    <w:rPr>
                      <w:rFonts w:ascii="Times New Roman" w:eastAsia="Times New Roman" w:hAnsi="Times New Roman" w:cs="Times New Roman"/>
                      <w:sz w:val="20"/>
                      <w:szCs w:val="20"/>
                      <w:lang w:eastAsia="en-GB"/>
                    </w:rPr>
                  </w:pPr>
                </w:p>
              </w:tc>
              <w:tc>
                <w:tcPr>
                  <w:tcW w:w="1200" w:type="dxa"/>
                  <w:tcBorders>
                    <w:top w:val="nil"/>
                    <w:left w:val="nil"/>
                    <w:bottom w:val="nil"/>
                    <w:right w:val="nil"/>
                  </w:tcBorders>
                  <w:shd w:val="clear" w:color="auto" w:fill="auto"/>
                  <w:noWrap/>
                  <w:vAlign w:val="bottom"/>
                  <w:hideMark/>
                </w:tcPr>
                <w:p w14:paraId="764F647F" w14:textId="77777777" w:rsidR="00416FDD" w:rsidRPr="00DA5F44" w:rsidRDefault="00416FDD" w:rsidP="00416FDD">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5ECF5A8A" w14:textId="77777777" w:rsidR="00416FDD" w:rsidRPr="00DA5F44" w:rsidRDefault="00416FDD" w:rsidP="00416FDD">
                  <w:pPr>
                    <w:spacing w:after="0" w:line="240" w:lineRule="auto"/>
                    <w:jc w:val="right"/>
                    <w:rPr>
                      <w:rFonts w:ascii="Times New Roman" w:eastAsia="Times New Roman" w:hAnsi="Times New Roman" w:cs="Times New Roman"/>
                      <w:sz w:val="20"/>
                      <w:szCs w:val="20"/>
                      <w:lang w:eastAsia="en-GB"/>
                    </w:rPr>
                  </w:pPr>
                </w:p>
              </w:tc>
              <w:tc>
                <w:tcPr>
                  <w:tcW w:w="1200" w:type="dxa"/>
                  <w:tcBorders>
                    <w:top w:val="nil"/>
                    <w:left w:val="nil"/>
                    <w:bottom w:val="nil"/>
                    <w:right w:val="nil"/>
                  </w:tcBorders>
                  <w:shd w:val="clear" w:color="auto" w:fill="auto"/>
                  <w:noWrap/>
                  <w:vAlign w:val="center"/>
                  <w:hideMark/>
                </w:tcPr>
                <w:p w14:paraId="53D14A75" w14:textId="77777777" w:rsidR="00416FDD" w:rsidRPr="00416FDD" w:rsidRDefault="00416FDD" w:rsidP="00416FDD">
                  <w:pPr>
                    <w:spacing w:after="0" w:line="240" w:lineRule="auto"/>
                    <w:jc w:val="right"/>
                    <w:rPr>
                      <w:rFonts w:ascii="Times New Roman" w:eastAsia="Times New Roman" w:hAnsi="Times New Roman" w:cs="Times New Roman"/>
                      <w:sz w:val="20"/>
                      <w:szCs w:val="20"/>
                      <w:lang w:eastAsia="en-GB"/>
                    </w:rPr>
                  </w:pPr>
                </w:p>
              </w:tc>
            </w:tr>
            <w:tr w:rsidR="00416FDD" w:rsidRPr="00DA5F44" w14:paraId="6F6345D7" w14:textId="77777777" w:rsidTr="006647C2">
              <w:trPr>
                <w:trHeight w:val="255"/>
              </w:trPr>
              <w:tc>
                <w:tcPr>
                  <w:tcW w:w="3700" w:type="dxa"/>
                  <w:tcBorders>
                    <w:top w:val="nil"/>
                    <w:left w:val="nil"/>
                    <w:bottom w:val="nil"/>
                    <w:right w:val="nil"/>
                  </w:tcBorders>
                  <w:shd w:val="clear" w:color="auto" w:fill="auto"/>
                  <w:noWrap/>
                  <w:vAlign w:val="center"/>
                  <w:hideMark/>
                </w:tcPr>
                <w:p w14:paraId="7F31E652" w14:textId="77777777" w:rsidR="00416FDD" w:rsidRPr="00DA5F44" w:rsidRDefault="00416FDD" w:rsidP="00416FDD">
                  <w:pPr>
                    <w:spacing w:after="0" w:line="240" w:lineRule="auto"/>
                    <w:rPr>
                      <w:rFonts w:ascii="Arial" w:eastAsia="Times New Roman" w:hAnsi="Arial" w:cs="Arial"/>
                      <w:sz w:val="20"/>
                      <w:szCs w:val="20"/>
                      <w:lang w:eastAsia="en-GB"/>
                    </w:rPr>
                  </w:pPr>
                  <w:r w:rsidRPr="00DA5F44">
                    <w:rPr>
                      <w:rFonts w:ascii="Arial" w:eastAsia="Times New Roman" w:hAnsi="Arial" w:cs="Arial"/>
                      <w:sz w:val="20"/>
                      <w:szCs w:val="20"/>
                      <w:lang w:eastAsia="en-GB"/>
                    </w:rPr>
                    <w:t>- Men</w:t>
                  </w:r>
                </w:p>
              </w:tc>
              <w:tc>
                <w:tcPr>
                  <w:tcW w:w="272" w:type="dxa"/>
                  <w:tcBorders>
                    <w:top w:val="nil"/>
                    <w:left w:val="nil"/>
                    <w:bottom w:val="nil"/>
                    <w:right w:val="nil"/>
                  </w:tcBorders>
                  <w:shd w:val="clear" w:color="auto" w:fill="auto"/>
                  <w:noWrap/>
                  <w:vAlign w:val="bottom"/>
                  <w:hideMark/>
                </w:tcPr>
                <w:p w14:paraId="385DD213" w14:textId="77777777" w:rsidR="00416FDD" w:rsidRPr="00DA5F44" w:rsidRDefault="00416FDD" w:rsidP="00416FDD">
                  <w:pPr>
                    <w:spacing w:after="0" w:line="240" w:lineRule="auto"/>
                    <w:rPr>
                      <w:rFonts w:ascii="Arial" w:eastAsia="Times New Roman" w:hAnsi="Arial" w:cs="Arial"/>
                      <w:sz w:val="20"/>
                      <w:szCs w:val="20"/>
                      <w:lang w:eastAsia="en-GB"/>
                    </w:rPr>
                  </w:pPr>
                </w:p>
              </w:tc>
              <w:tc>
                <w:tcPr>
                  <w:tcW w:w="1305" w:type="dxa"/>
                  <w:tcBorders>
                    <w:top w:val="nil"/>
                    <w:left w:val="nil"/>
                    <w:bottom w:val="nil"/>
                    <w:right w:val="nil"/>
                  </w:tcBorders>
                  <w:shd w:val="clear" w:color="auto" w:fill="auto"/>
                  <w:noWrap/>
                  <w:vAlign w:val="bottom"/>
                  <w:hideMark/>
                </w:tcPr>
                <w:p w14:paraId="0250E72B" w14:textId="77777777" w:rsidR="00416FDD" w:rsidRPr="00DA5F44" w:rsidRDefault="00416FDD" w:rsidP="00416FDD">
                  <w:pPr>
                    <w:spacing w:after="0" w:line="240" w:lineRule="auto"/>
                    <w:rPr>
                      <w:rFonts w:ascii="Times New Roman" w:eastAsia="Times New Roman" w:hAnsi="Times New Roman" w:cs="Times New Roman"/>
                      <w:sz w:val="20"/>
                      <w:szCs w:val="20"/>
                      <w:lang w:eastAsia="en-GB"/>
                    </w:rPr>
                  </w:pPr>
                </w:p>
              </w:tc>
              <w:tc>
                <w:tcPr>
                  <w:tcW w:w="1200" w:type="dxa"/>
                  <w:tcBorders>
                    <w:top w:val="nil"/>
                    <w:left w:val="nil"/>
                    <w:bottom w:val="nil"/>
                    <w:right w:val="nil"/>
                  </w:tcBorders>
                  <w:shd w:val="clear" w:color="auto" w:fill="auto"/>
                  <w:noWrap/>
                  <w:vAlign w:val="bottom"/>
                  <w:hideMark/>
                </w:tcPr>
                <w:p w14:paraId="74C0FBF0" w14:textId="77777777" w:rsidR="00416FDD" w:rsidRPr="00DA5F44" w:rsidRDefault="00416FDD" w:rsidP="00416FDD">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2A8E238C" w14:textId="77777777" w:rsidR="00416FDD" w:rsidRPr="00DA5F44" w:rsidRDefault="00416FDD" w:rsidP="00416FDD">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85</w:t>
                  </w:r>
                  <w:r w:rsidRPr="00DA5F44">
                    <w:rPr>
                      <w:rFonts w:ascii="Arial" w:eastAsia="Times New Roman" w:hAnsi="Arial" w:cs="Arial"/>
                      <w:b/>
                      <w:bCs/>
                      <w:sz w:val="20"/>
                      <w:szCs w:val="20"/>
                      <w:lang w:eastAsia="en-GB"/>
                    </w:rPr>
                    <w:t>.</w:t>
                  </w:r>
                  <w:r w:rsidR="00FF0663">
                    <w:rPr>
                      <w:rFonts w:ascii="Arial" w:eastAsia="Times New Roman" w:hAnsi="Arial" w:cs="Arial"/>
                      <w:b/>
                      <w:bCs/>
                      <w:sz w:val="20"/>
                      <w:szCs w:val="20"/>
                      <w:lang w:eastAsia="en-GB"/>
                    </w:rPr>
                    <w:t>5</w:t>
                  </w:r>
                </w:p>
              </w:tc>
              <w:tc>
                <w:tcPr>
                  <w:tcW w:w="1200" w:type="dxa"/>
                  <w:tcBorders>
                    <w:top w:val="nil"/>
                    <w:left w:val="nil"/>
                    <w:bottom w:val="nil"/>
                    <w:right w:val="nil"/>
                  </w:tcBorders>
                  <w:shd w:val="clear" w:color="auto" w:fill="auto"/>
                  <w:noWrap/>
                  <w:vAlign w:val="center"/>
                  <w:hideMark/>
                </w:tcPr>
                <w:p w14:paraId="29F677EB" w14:textId="77777777" w:rsidR="00416FDD" w:rsidRPr="00416FDD" w:rsidRDefault="00416FDD" w:rsidP="00416FDD">
                  <w:pPr>
                    <w:spacing w:after="0" w:line="240" w:lineRule="auto"/>
                    <w:jc w:val="right"/>
                    <w:rPr>
                      <w:rFonts w:ascii="Arial" w:eastAsia="Times New Roman" w:hAnsi="Arial" w:cs="Arial"/>
                      <w:bCs/>
                      <w:sz w:val="20"/>
                      <w:szCs w:val="20"/>
                      <w:lang w:eastAsia="en-GB"/>
                    </w:rPr>
                  </w:pPr>
                  <w:r w:rsidRPr="00416FDD">
                    <w:rPr>
                      <w:rFonts w:ascii="Arial" w:eastAsia="Times New Roman" w:hAnsi="Arial" w:cs="Arial"/>
                      <w:bCs/>
                      <w:sz w:val="20"/>
                      <w:szCs w:val="20"/>
                      <w:lang w:eastAsia="en-GB"/>
                    </w:rPr>
                    <w:t>85.6</w:t>
                  </w:r>
                </w:p>
              </w:tc>
            </w:tr>
            <w:tr w:rsidR="00416FDD" w:rsidRPr="00DA5F44" w14:paraId="3ED1B005" w14:textId="77777777" w:rsidTr="006647C2">
              <w:trPr>
                <w:trHeight w:val="255"/>
              </w:trPr>
              <w:tc>
                <w:tcPr>
                  <w:tcW w:w="3700" w:type="dxa"/>
                  <w:tcBorders>
                    <w:top w:val="nil"/>
                    <w:left w:val="nil"/>
                    <w:bottom w:val="nil"/>
                    <w:right w:val="nil"/>
                  </w:tcBorders>
                  <w:shd w:val="clear" w:color="auto" w:fill="auto"/>
                  <w:noWrap/>
                  <w:vAlign w:val="center"/>
                  <w:hideMark/>
                </w:tcPr>
                <w:p w14:paraId="4E7B3048" w14:textId="77777777" w:rsidR="00416FDD" w:rsidRPr="00DA5F44" w:rsidRDefault="00416FDD" w:rsidP="00416FDD">
                  <w:pPr>
                    <w:spacing w:after="0" w:line="240" w:lineRule="auto"/>
                    <w:rPr>
                      <w:rFonts w:ascii="Arial" w:eastAsia="Times New Roman" w:hAnsi="Arial" w:cs="Arial"/>
                      <w:sz w:val="20"/>
                      <w:szCs w:val="20"/>
                      <w:lang w:eastAsia="en-GB"/>
                    </w:rPr>
                  </w:pPr>
                  <w:r w:rsidRPr="00DA5F44">
                    <w:rPr>
                      <w:rFonts w:ascii="Arial" w:eastAsia="Times New Roman" w:hAnsi="Arial" w:cs="Arial"/>
                      <w:sz w:val="20"/>
                      <w:szCs w:val="20"/>
                      <w:lang w:eastAsia="en-GB"/>
                    </w:rPr>
                    <w:t>- Women</w:t>
                  </w:r>
                </w:p>
              </w:tc>
              <w:tc>
                <w:tcPr>
                  <w:tcW w:w="272" w:type="dxa"/>
                  <w:tcBorders>
                    <w:top w:val="nil"/>
                    <w:left w:val="nil"/>
                    <w:bottom w:val="nil"/>
                    <w:right w:val="nil"/>
                  </w:tcBorders>
                  <w:shd w:val="clear" w:color="auto" w:fill="auto"/>
                  <w:noWrap/>
                  <w:vAlign w:val="bottom"/>
                  <w:hideMark/>
                </w:tcPr>
                <w:p w14:paraId="66F818A4" w14:textId="77777777" w:rsidR="00416FDD" w:rsidRPr="00DA5F44" w:rsidRDefault="00416FDD" w:rsidP="00416FDD">
                  <w:pPr>
                    <w:spacing w:after="0" w:line="240" w:lineRule="auto"/>
                    <w:rPr>
                      <w:rFonts w:ascii="Arial" w:eastAsia="Times New Roman" w:hAnsi="Arial" w:cs="Arial"/>
                      <w:sz w:val="20"/>
                      <w:szCs w:val="20"/>
                      <w:lang w:eastAsia="en-GB"/>
                    </w:rPr>
                  </w:pPr>
                </w:p>
              </w:tc>
              <w:tc>
                <w:tcPr>
                  <w:tcW w:w="1305" w:type="dxa"/>
                  <w:tcBorders>
                    <w:top w:val="nil"/>
                    <w:left w:val="nil"/>
                    <w:bottom w:val="nil"/>
                    <w:right w:val="nil"/>
                  </w:tcBorders>
                  <w:shd w:val="clear" w:color="auto" w:fill="auto"/>
                  <w:noWrap/>
                  <w:vAlign w:val="bottom"/>
                  <w:hideMark/>
                </w:tcPr>
                <w:p w14:paraId="56D6274A" w14:textId="77777777" w:rsidR="00416FDD" w:rsidRPr="00DA5F44" w:rsidRDefault="00416FDD" w:rsidP="00416FDD">
                  <w:pPr>
                    <w:spacing w:after="0" w:line="240" w:lineRule="auto"/>
                    <w:rPr>
                      <w:rFonts w:ascii="Times New Roman" w:eastAsia="Times New Roman" w:hAnsi="Times New Roman" w:cs="Times New Roman"/>
                      <w:sz w:val="20"/>
                      <w:szCs w:val="20"/>
                      <w:lang w:eastAsia="en-GB"/>
                    </w:rPr>
                  </w:pPr>
                </w:p>
              </w:tc>
              <w:tc>
                <w:tcPr>
                  <w:tcW w:w="1200" w:type="dxa"/>
                  <w:tcBorders>
                    <w:top w:val="nil"/>
                    <w:left w:val="nil"/>
                    <w:bottom w:val="nil"/>
                    <w:right w:val="nil"/>
                  </w:tcBorders>
                  <w:shd w:val="clear" w:color="auto" w:fill="auto"/>
                  <w:noWrap/>
                  <w:vAlign w:val="bottom"/>
                  <w:hideMark/>
                </w:tcPr>
                <w:p w14:paraId="70AE284F" w14:textId="77777777" w:rsidR="00416FDD" w:rsidRPr="00DA5F44" w:rsidRDefault="00416FDD" w:rsidP="00416FDD">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644D4426" w14:textId="77777777" w:rsidR="00416FDD" w:rsidRPr="00DA5F44" w:rsidRDefault="00416FDD" w:rsidP="00416FDD">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88.1</w:t>
                  </w:r>
                </w:p>
              </w:tc>
              <w:tc>
                <w:tcPr>
                  <w:tcW w:w="1200" w:type="dxa"/>
                  <w:tcBorders>
                    <w:top w:val="nil"/>
                    <w:left w:val="nil"/>
                    <w:bottom w:val="nil"/>
                    <w:right w:val="nil"/>
                  </w:tcBorders>
                  <w:shd w:val="clear" w:color="auto" w:fill="auto"/>
                  <w:noWrap/>
                  <w:vAlign w:val="center"/>
                  <w:hideMark/>
                </w:tcPr>
                <w:p w14:paraId="033C63EA" w14:textId="77777777" w:rsidR="00416FDD" w:rsidRPr="00416FDD" w:rsidRDefault="00416FDD" w:rsidP="00416FDD">
                  <w:pPr>
                    <w:spacing w:after="0" w:line="240" w:lineRule="auto"/>
                    <w:jc w:val="right"/>
                    <w:rPr>
                      <w:rFonts w:ascii="Arial" w:eastAsia="Times New Roman" w:hAnsi="Arial" w:cs="Arial"/>
                      <w:bCs/>
                      <w:sz w:val="20"/>
                      <w:szCs w:val="20"/>
                      <w:lang w:eastAsia="en-GB"/>
                    </w:rPr>
                  </w:pPr>
                  <w:r w:rsidRPr="00416FDD">
                    <w:rPr>
                      <w:rFonts w:ascii="Arial" w:eastAsia="Times New Roman" w:hAnsi="Arial" w:cs="Arial"/>
                      <w:bCs/>
                      <w:sz w:val="20"/>
                      <w:szCs w:val="20"/>
                      <w:lang w:eastAsia="en-GB"/>
                    </w:rPr>
                    <w:t>88.1</w:t>
                  </w:r>
                </w:p>
              </w:tc>
            </w:tr>
            <w:tr w:rsidR="00416FDD" w:rsidRPr="00DA5F44" w14:paraId="4A43B59F" w14:textId="77777777" w:rsidTr="006647C2">
              <w:trPr>
                <w:trHeight w:val="255"/>
              </w:trPr>
              <w:tc>
                <w:tcPr>
                  <w:tcW w:w="3700" w:type="dxa"/>
                  <w:tcBorders>
                    <w:top w:val="nil"/>
                    <w:left w:val="nil"/>
                    <w:bottom w:val="nil"/>
                    <w:right w:val="nil"/>
                  </w:tcBorders>
                  <w:shd w:val="clear" w:color="auto" w:fill="auto"/>
                  <w:noWrap/>
                  <w:vAlign w:val="center"/>
                  <w:hideMark/>
                </w:tcPr>
                <w:p w14:paraId="0D5A8983" w14:textId="77777777" w:rsidR="00416FDD" w:rsidRPr="00DA5F44" w:rsidRDefault="00416FDD" w:rsidP="00416FDD">
                  <w:pPr>
                    <w:spacing w:after="0" w:line="240" w:lineRule="auto"/>
                    <w:rPr>
                      <w:rFonts w:ascii="Arial" w:eastAsia="Times New Roman" w:hAnsi="Arial" w:cs="Arial"/>
                      <w:sz w:val="20"/>
                      <w:szCs w:val="20"/>
                      <w:lang w:eastAsia="en-GB"/>
                    </w:rPr>
                  </w:pPr>
                  <w:r w:rsidRPr="00DA5F44">
                    <w:rPr>
                      <w:rFonts w:ascii="Arial" w:eastAsia="Times New Roman" w:hAnsi="Arial" w:cs="Arial"/>
                      <w:sz w:val="20"/>
                      <w:szCs w:val="20"/>
                      <w:lang w:eastAsia="en-GB"/>
                    </w:rPr>
                    <w:t>Longevity at 65 for future pensioners:</w:t>
                  </w:r>
                </w:p>
              </w:tc>
              <w:tc>
                <w:tcPr>
                  <w:tcW w:w="272" w:type="dxa"/>
                  <w:tcBorders>
                    <w:top w:val="nil"/>
                    <w:left w:val="nil"/>
                    <w:bottom w:val="nil"/>
                    <w:right w:val="nil"/>
                  </w:tcBorders>
                  <w:shd w:val="clear" w:color="auto" w:fill="auto"/>
                  <w:noWrap/>
                  <w:vAlign w:val="bottom"/>
                  <w:hideMark/>
                </w:tcPr>
                <w:p w14:paraId="655A1AF6" w14:textId="77777777" w:rsidR="00416FDD" w:rsidRPr="00DA5F44" w:rsidRDefault="00416FDD" w:rsidP="00416FDD">
                  <w:pPr>
                    <w:spacing w:after="0" w:line="240" w:lineRule="auto"/>
                    <w:rPr>
                      <w:rFonts w:ascii="Arial" w:eastAsia="Times New Roman" w:hAnsi="Arial" w:cs="Arial"/>
                      <w:sz w:val="20"/>
                      <w:szCs w:val="20"/>
                      <w:lang w:eastAsia="en-GB"/>
                    </w:rPr>
                  </w:pPr>
                </w:p>
              </w:tc>
              <w:tc>
                <w:tcPr>
                  <w:tcW w:w="1305" w:type="dxa"/>
                  <w:tcBorders>
                    <w:top w:val="nil"/>
                    <w:left w:val="nil"/>
                    <w:bottom w:val="nil"/>
                    <w:right w:val="nil"/>
                  </w:tcBorders>
                  <w:shd w:val="clear" w:color="auto" w:fill="auto"/>
                  <w:noWrap/>
                  <w:vAlign w:val="bottom"/>
                  <w:hideMark/>
                </w:tcPr>
                <w:p w14:paraId="4CC94E4C" w14:textId="77777777" w:rsidR="00416FDD" w:rsidRPr="00DA5F44" w:rsidRDefault="00416FDD" w:rsidP="00416FDD">
                  <w:pPr>
                    <w:spacing w:after="0" w:line="240" w:lineRule="auto"/>
                    <w:rPr>
                      <w:rFonts w:ascii="Times New Roman" w:eastAsia="Times New Roman" w:hAnsi="Times New Roman" w:cs="Times New Roman"/>
                      <w:sz w:val="20"/>
                      <w:szCs w:val="20"/>
                      <w:lang w:eastAsia="en-GB"/>
                    </w:rPr>
                  </w:pPr>
                </w:p>
              </w:tc>
              <w:tc>
                <w:tcPr>
                  <w:tcW w:w="1200" w:type="dxa"/>
                  <w:tcBorders>
                    <w:top w:val="nil"/>
                    <w:left w:val="nil"/>
                    <w:bottom w:val="nil"/>
                    <w:right w:val="nil"/>
                  </w:tcBorders>
                  <w:shd w:val="clear" w:color="auto" w:fill="auto"/>
                  <w:noWrap/>
                  <w:vAlign w:val="bottom"/>
                  <w:hideMark/>
                </w:tcPr>
                <w:p w14:paraId="61CD87E8" w14:textId="77777777" w:rsidR="00416FDD" w:rsidRPr="00DA5F44" w:rsidRDefault="00416FDD" w:rsidP="00416FDD">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24E3C85E" w14:textId="77777777" w:rsidR="00416FDD" w:rsidRPr="00DA5F44" w:rsidRDefault="00416FDD" w:rsidP="00416FDD">
                  <w:pPr>
                    <w:spacing w:after="0" w:line="240" w:lineRule="auto"/>
                    <w:jc w:val="right"/>
                    <w:rPr>
                      <w:rFonts w:ascii="Times New Roman" w:eastAsia="Times New Roman" w:hAnsi="Times New Roman" w:cs="Times New Roman"/>
                      <w:sz w:val="20"/>
                      <w:szCs w:val="20"/>
                      <w:lang w:eastAsia="en-GB"/>
                    </w:rPr>
                  </w:pPr>
                </w:p>
              </w:tc>
              <w:tc>
                <w:tcPr>
                  <w:tcW w:w="1200" w:type="dxa"/>
                  <w:tcBorders>
                    <w:top w:val="nil"/>
                    <w:left w:val="nil"/>
                    <w:bottom w:val="nil"/>
                    <w:right w:val="nil"/>
                  </w:tcBorders>
                  <w:shd w:val="clear" w:color="auto" w:fill="auto"/>
                  <w:noWrap/>
                  <w:vAlign w:val="center"/>
                  <w:hideMark/>
                </w:tcPr>
                <w:p w14:paraId="518A8601" w14:textId="77777777" w:rsidR="00416FDD" w:rsidRPr="00416FDD" w:rsidRDefault="00416FDD" w:rsidP="00416FDD">
                  <w:pPr>
                    <w:spacing w:after="0" w:line="240" w:lineRule="auto"/>
                    <w:jc w:val="right"/>
                    <w:rPr>
                      <w:rFonts w:ascii="Times New Roman" w:eastAsia="Times New Roman" w:hAnsi="Times New Roman" w:cs="Times New Roman"/>
                      <w:sz w:val="20"/>
                      <w:szCs w:val="20"/>
                      <w:lang w:eastAsia="en-GB"/>
                    </w:rPr>
                  </w:pPr>
                </w:p>
              </w:tc>
            </w:tr>
            <w:tr w:rsidR="00416FDD" w:rsidRPr="00DA5F44" w14:paraId="25DC36FE" w14:textId="77777777" w:rsidTr="006647C2">
              <w:trPr>
                <w:trHeight w:val="255"/>
              </w:trPr>
              <w:tc>
                <w:tcPr>
                  <w:tcW w:w="3700" w:type="dxa"/>
                  <w:tcBorders>
                    <w:top w:val="nil"/>
                    <w:left w:val="nil"/>
                    <w:bottom w:val="nil"/>
                    <w:right w:val="nil"/>
                  </w:tcBorders>
                  <w:shd w:val="clear" w:color="auto" w:fill="auto"/>
                  <w:noWrap/>
                  <w:vAlign w:val="center"/>
                  <w:hideMark/>
                </w:tcPr>
                <w:p w14:paraId="229B65C3" w14:textId="77777777" w:rsidR="00416FDD" w:rsidRPr="00DA5F44" w:rsidRDefault="00416FDD" w:rsidP="00416FDD">
                  <w:pPr>
                    <w:spacing w:after="0" w:line="240" w:lineRule="auto"/>
                    <w:rPr>
                      <w:rFonts w:ascii="Arial" w:eastAsia="Times New Roman" w:hAnsi="Arial" w:cs="Arial"/>
                      <w:sz w:val="20"/>
                      <w:szCs w:val="20"/>
                      <w:lang w:eastAsia="en-GB"/>
                    </w:rPr>
                  </w:pPr>
                  <w:r w:rsidRPr="00DA5F44">
                    <w:rPr>
                      <w:rFonts w:ascii="Arial" w:eastAsia="Times New Roman" w:hAnsi="Arial" w:cs="Arial"/>
                      <w:sz w:val="20"/>
                      <w:szCs w:val="20"/>
                      <w:lang w:eastAsia="en-GB"/>
                    </w:rPr>
                    <w:t>- Men</w:t>
                  </w:r>
                </w:p>
              </w:tc>
              <w:tc>
                <w:tcPr>
                  <w:tcW w:w="272" w:type="dxa"/>
                  <w:tcBorders>
                    <w:top w:val="nil"/>
                    <w:left w:val="nil"/>
                    <w:bottom w:val="nil"/>
                    <w:right w:val="nil"/>
                  </w:tcBorders>
                  <w:shd w:val="clear" w:color="auto" w:fill="auto"/>
                  <w:noWrap/>
                  <w:vAlign w:val="bottom"/>
                  <w:hideMark/>
                </w:tcPr>
                <w:p w14:paraId="3E9BAAE1" w14:textId="77777777" w:rsidR="00416FDD" w:rsidRPr="00DA5F44" w:rsidRDefault="00416FDD" w:rsidP="00416FDD">
                  <w:pPr>
                    <w:spacing w:after="0" w:line="240" w:lineRule="auto"/>
                    <w:rPr>
                      <w:rFonts w:ascii="Arial" w:eastAsia="Times New Roman" w:hAnsi="Arial" w:cs="Arial"/>
                      <w:sz w:val="20"/>
                      <w:szCs w:val="20"/>
                      <w:lang w:eastAsia="en-GB"/>
                    </w:rPr>
                  </w:pPr>
                </w:p>
              </w:tc>
              <w:tc>
                <w:tcPr>
                  <w:tcW w:w="1305" w:type="dxa"/>
                  <w:tcBorders>
                    <w:top w:val="nil"/>
                    <w:left w:val="nil"/>
                    <w:bottom w:val="nil"/>
                    <w:right w:val="nil"/>
                  </w:tcBorders>
                  <w:shd w:val="clear" w:color="auto" w:fill="auto"/>
                  <w:noWrap/>
                  <w:vAlign w:val="bottom"/>
                  <w:hideMark/>
                </w:tcPr>
                <w:p w14:paraId="74F746B0" w14:textId="77777777" w:rsidR="00416FDD" w:rsidRPr="00DA5F44" w:rsidRDefault="00416FDD" w:rsidP="00416FDD">
                  <w:pPr>
                    <w:spacing w:after="0" w:line="240" w:lineRule="auto"/>
                    <w:rPr>
                      <w:rFonts w:ascii="Times New Roman" w:eastAsia="Times New Roman" w:hAnsi="Times New Roman" w:cs="Times New Roman"/>
                      <w:sz w:val="20"/>
                      <w:szCs w:val="20"/>
                      <w:lang w:eastAsia="en-GB"/>
                    </w:rPr>
                  </w:pPr>
                </w:p>
              </w:tc>
              <w:tc>
                <w:tcPr>
                  <w:tcW w:w="1200" w:type="dxa"/>
                  <w:tcBorders>
                    <w:top w:val="nil"/>
                    <w:left w:val="nil"/>
                    <w:bottom w:val="nil"/>
                    <w:right w:val="nil"/>
                  </w:tcBorders>
                  <w:shd w:val="clear" w:color="auto" w:fill="auto"/>
                  <w:noWrap/>
                  <w:vAlign w:val="bottom"/>
                  <w:hideMark/>
                </w:tcPr>
                <w:p w14:paraId="4D5FBCAE" w14:textId="77777777" w:rsidR="00416FDD" w:rsidRPr="00DA5F44" w:rsidRDefault="00416FDD" w:rsidP="00416FDD">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6CD64B08" w14:textId="77777777" w:rsidR="00416FDD" w:rsidRPr="00DA5F44" w:rsidRDefault="00416FDD" w:rsidP="00416FDD">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87.0</w:t>
                  </w:r>
                </w:p>
              </w:tc>
              <w:tc>
                <w:tcPr>
                  <w:tcW w:w="1200" w:type="dxa"/>
                  <w:tcBorders>
                    <w:top w:val="nil"/>
                    <w:left w:val="nil"/>
                    <w:bottom w:val="nil"/>
                    <w:right w:val="nil"/>
                  </w:tcBorders>
                  <w:shd w:val="clear" w:color="auto" w:fill="auto"/>
                  <w:noWrap/>
                  <w:vAlign w:val="center"/>
                  <w:hideMark/>
                </w:tcPr>
                <w:p w14:paraId="74095A5A" w14:textId="77777777" w:rsidR="00416FDD" w:rsidRPr="00416FDD" w:rsidRDefault="00416FDD" w:rsidP="00416FDD">
                  <w:pPr>
                    <w:spacing w:after="0" w:line="240" w:lineRule="auto"/>
                    <w:jc w:val="right"/>
                    <w:rPr>
                      <w:rFonts w:ascii="Arial" w:eastAsia="Times New Roman" w:hAnsi="Arial" w:cs="Arial"/>
                      <w:bCs/>
                      <w:sz w:val="20"/>
                      <w:szCs w:val="20"/>
                      <w:lang w:eastAsia="en-GB"/>
                    </w:rPr>
                  </w:pPr>
                  <w:r w:rsidRPr="00416FDD">
                    <w:rPr>
                      <w:rFonts w:ascii="Arial" w:eastAsia="Times New Roman" w:hAnsi="Arial" w:cs="Arial"/>
                      <w:bCs/>
                      <w:sz w:val="20"/>
                      <w:szCs w:val="20"/>
                      <w:lang w:eastAsia="en-GB"/>
                    </w:rPr>
                    <w:t>87.0</w:t>
                  </w:r>
                </w:p>
              </w:tc>
            </w:tr>
            <w:tr w:rsidR="00416FDD" w:rsidRPr="00DA5F44" w14:paraId="562AB445" w14:textId="77777777" w:rsidTr="006647C2">
              <w:trPr>
                <w:trHeight w:val="60"/>
              </w:trPr>
              <w:tc>
                <w:tcPr>
                  <w:tcW w:w="3700" w:type="dxa"/>
                  <w:tcBorders>
                    <w:top w:val="nil"/>
                    <w:left w:val="nil"/>
                    <w:bottom w:val="single" w:sz="4" w:space="0" w:color="auto"/>
                    <w:right w:val="nil"/>
                  </w:tcBorders>
                  <w:shd w:val="clear" w:color="auto" w:fill="auto"/>
                  <w:noWrap/>
                  <w:vAlign w:val="center"/>
                  <w:hideMark/>
                </w:tcPr>
                <w:p w14:paraId="0C367156" w14:textId="77777777" w:rsidR="00416FDD" w:rsidRPr="00DA5F44" w:rsidRDefault="00416FDD" w:rsidP="00416FDD">
                  <w:pPr>
                    <w:spacing w:after="0" w:line="240" w:lineRule="auto"/>
                    <w:rPr>
                      <w:rFonts w:ascii="Arial" w:eastAsia="Times New Roman" w:hAnsi="Arial" w:cs="Arial"/>
                      <w:sz w:val="20"/>
                      <w:szCs w:val="20"/>
                      <w:lang w:eastAsia="en-GB"/>
                    </w:rPr>
                  </w:pPr>
                  <w:r w:rsidRPr="00DA5F44">
                    <w:rPr>
                      <w:rFonts w:ascii="Arial" w:eastAsia="Times New Roman" w:hAnsi="Arial" w:cs="Arial"/>
                      <w:sz w:val="20"/>
                      <w:szCs w:val="20"/>
                      <w:lang w:eastAsia="en-GB"/>
                    </w:rPr>
                    <w:t>- Women</w:t>
                  </w:r>
                </w:p>
              </w:tc>
              <w:tc>
                <w:tcPr>
                  <w:tcW w:w="272" w:type="dxa"/>
                  <w:tcBorders>
                    <w:top w:val="nil"/>
                    <w:left w:val="nil"/>
                    <w:bottom w:val="single" w:sz="4" w:space="0" w:color="auto"/>
                    <w:right w:val="nil"/>
                  </w:tcBorders>
                  <w:shd w:val="clear" w:color="auto" w:fill="auto"/>
                  <w:noWrap/>
                  <w:vAlign w:val="bottom"/>
                  <w:hideMark/>
                </w:tcPr>
                <w:p w14:paraId="1FA6B986" w14:textId="77777777" w:rsidR="00416FDD" w:rsidRPr="00DA5F44" w:rsidRDefault="00416FDD" w:rsidP="00416FDD">
                  <w:pPr>
                    <w:spacing w:after="0" w:line="240" w:lineRule="auto"/>
                    <w:rPr>
                      <w:rFonts w:ascii="Arial" w:eastAsia="Times New Roman" w:hAnsi="Arial" w:cs="Arial"/>
                      <w:sz w:val="20"/>
                      <w:szCs w:val="20"/>
                      <w:lang w:eastAsia="en-GB"/>
                    </w:rPr>
                  </w:pPr>
                  <w:r w:rsidRPr="00DA5F44">
                    <w:rPr>
                      <w:rFonts w:ascii="Arial" w:eastAsia="Times New Roman" w:hAnsi="Arial" w:cs="Arial"/>
                      <w:sz w:val="20"/>
                      <w:szCs w:val="20"/>
                      <w:lang w:eastAsia="en-GB"/>
                    </w:rPr>
                    <w:t> </w:t>
                  </w:r>
                </w:p>
              </w:tc>
              <w:tc>
                <w:tcPr>
                  <w:tcW w:w="1305" w:type="dxa"/>
                  <w:tcBorders>
                    <w:top w:val="nil"/>
                    <w:left w:val="nil"/>
                    <w:bottom w:val="single" w:sz="4" w:space="0" w:color="auto"/>
                    <w:right w:val="nil"/>
                  </w:tcBorders>
                  <w:shd w:val="clear" w:color="auto" w:fill="auto"/>
                  <w:noWrap/>
                  <w:vAlign w:val="bottom"/>
                  <w:hideMark/>
                </w:tcPr>
                <w:p w14:paraId="5A2815E1" w14:textId="77777777" w:rsidR="00416FDD" w:rsidRPr="00DA5F44" w:rsidRDefault="00416FDD" w:rsidP="00416FDD">
                  <w:pPr>
                    <w:spacing w:after="0" w:line="240" w:lineRule="auto"/>
                    <w:rPr>
                      <w:rFonts w:ascii="Arial" w:eastAsia="Times New Roman" w:hAnsi="Arial" w:cs="Arial"/>
                      <w:sz w:val="20"/>
                      <w:szCs w:val="20"/>
                      <w:lang w:eastAsia="en-GB"/>
                    </w:rPr>
                  </w:pPr>
                  <w:r w:rsidRPr="00DA5F44">
                    <w:rPr>
                      <w:rFonts w:ascii="Arial" w:eastAsia="Times New Roman" w:hAnsi="Arial" w:cs="Arial"/>
                      <w:sz w:val="20"/>
                      <w:szCs w:val="20"/>
                      <w:lang w:eastAsia="en-GB"/>
                    </w:rPr>
                    <w:t> </w:t>
                  </w:r>
                </w:p>
              </w:tc>
              <w:tc>
                <w:tcPr>
                  <w:tcW w:w="1200" w:type="dxa"/>
                  <w:tcBorders>
                    <w:top w:val="nil"/>
                    <w:left w:val="nil"/>
                    <w:bottom w:val="single" w:sz="4" w:space="0" w:color="auto"/>
                    <w:right w:val="nil"/>
                  </w:tcBorders>
                  <w:shd w:val="clear" w:color="auto" w:fill="auto"/>
                  <w:noWrap/>
                  <w:vAlign w:val="bottom"/>
                  <w:hideMark/>
                </w:tcPr>
                <w:p w14:paraId="4EDC4E86" w14:textId="77777777" w:rsidR="00416FDD" w:rsidRPr="00DA5F44" w:rsidRDefault="00416FDD" w:rsidP="00416FDD">
                  <w:pPr>
                    <w:spacing w:after="0" w:line="240" w:lineRule="auto"/>
                    <w:rPr>
                      <w:rFonts w:ascii="Arial" w:eastAsia="Times New Roman" w:hAnsi="Arial" w:cs="Arial"/>
                      <w:sz w:val="20"/>
                      <w:szCs w:val="20"/>
                      <w:lang w:eastAsia="en-GB"/>
                    </w:rPr>
                  </w:pPr>
                  <w:r w:rsidRPr="00DA5F44">
                    <w:rPr>
                      <w:rFonts w:ascii="Arial" w:eastAsia="Times New Roman" w:hAnsi="Arial" w:cs="Arial"/>
                      <w:sz w:val="20"/>
                      <w:szCs w:val="20"/>
                      <w:lang w:eastAsia="en-GB"/>
                    </w:rPr>
                    <w:t> </w:t>
                  </w:r>
                </w:p>
              </w:tc>
              <w:tc>
                <w:tcPr>
                  <w:tcW w:w="1300" w:type="dxa"/>
                  <w:tcBorders>
                    <w:top w:val="nil"/>
                    <w:left w:val="nil"/>
                    <w:bottom w:val="single" w:sz="4" w:space="0" w:color="auto"/>
                    <w:right w:val="nil"/>
                  </w:tcBorders>
                  <w:shd w:val="clear" w:color="auto" w:fill="auto"/>
                  <w:noWrap/>
                  <w:vAlign w:val="center"/>
                  <w:hideMark/>
                </w:tcPr>
                <w:p w14:paraId="74BD5932" w14:textId="77777777" w:rsidR="00416FDD" w:rsidRPr="00DA5F44" w:rsidRDefault="00FF0663" w:rsidP="00416FDD">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90.0</w:t>
                  </w:r>
                </w:p>
              </w:tc>
              <w:tc>
                <w:tcPr>
                  <w:tcW w:w="1200" w:type="dxa"/>
                  <w:tcBorders>
                    <w:top w:val="nil"/>
                    <w:left w:val="nil"/>
                    <w:bottom w:val="single" w:sz="4" w:space="0" w:color="auto"/>
                    <w:right w:val="nil"/>
                  </w:tcBorders>
                  <w:shd w:val="clear" w:color="auto" w:fill="auto"/>
                  <w:noWrap/>
                  <w:vAlign w:val="center"/>
                  <w:hideMark/>
                </w:tcPr>
                <w:p w14:paraId="1F13D04C" w14:textId="77777777" w:rsidR="00416FDD" w:rsidRPr="00416FDD" w:rsidRDefault="00416FDD" w:rsidP="00416FDD">
                  <w:pPr>
                    <w:spacing w:after="0" w:line="240" w:lineRule="auto"/>
                    <w:jc w:val="right"/>
                    <w:rPr>
                      <w:rFonts w:ascii="Arial" w:eastAsia="Times New Roman" w:hAnsi="Arial" w:cs="Arial"/>
                      <w:bCs/>
                      <w:sz w:val="20"/>
                      <w:szCs w:val="20"/>
                      <w:lang w:eastAsia="en-GB"/>
                    </w:rPr>
                  </w:pPr>
                  <w:r w:rsidRPr="00416FDD">
                    <w:rPr>
                      <w:rFonts w:ascii="Arial" w:eastAsia="Times New Roman" w:hAnsi="Arial" w:cs="Arial"/>
                      <w:bCs/>
                      <w:sz w:val="20"/>
                      <w:szCs w:val="20"/>
                      <w:lang w:eastAsia="en-GB"/>
                    </w:rPr>
                    <w:t>89.8</w:t>
                  </w:r>
                </w:p>
              </w:tc>
            </w:tr>
          </w:tbl>
          <w:p w14:paraId="3F52B1E7" w14:textId="77777777" w:rsidR="00E70CD3" w:rsidRPr="00DA5F44" w:rsidRDefault="00E70CD3" w:rsidP="007729E5">
            <w:pPr>
              <w:spacing w:after="0" w:line="240" w:lineRule="auto"/>
              <w:rPr>
                <w:rFonts w:ascii="Arial" w:eastAsia="Times New Roman" w:hAnsi="Arial" w:cs="Arial"/>
                <w:sz w:val="20"/>
                <w:szCs w:val="20"/>
                <w:lang w:eastAsia="en-GB"/>
              </w:rPr>
            </w:pPr>
          </w:p>
        </w:tc>
      </w:tr>
    </w:tbl>
    <w:p w14:paraId="5B24D2B7" w14:textId="77777777" w:rsidR="00E70CD3" w:rsidRDefault="00E70CD3" w:rsidP="00E70CD3">
      <w:pPr>
        <w:autoSpaceDE w:val="0"/>
        <w:autoSpaceDN w:val="0"/>
        <w:adjustRightInd w:val="0"/>
        <w:spacing w:after="0" w:line="240" w:lineRule="auto"/>
        <w:rPr>
          <w:rFonts w:ascii="Arial" w:hAnsi="Arial" w:cs="Arial"/>
          <w:sz w:val="20"/>
          <w:szCs w:val="20"/>
        </w:rPr>
      </w:pPr>
    </w:p>
    <w:p w14:paraId="2EB4A29A" w14:textId="77777777" w:rsidR="00A54371" w:rsidRDefault="00A54371" w:rsidP="00E70CD3">
      <w:pPr>
        <w:autoSpaceDE w:val="0"/>
        <w:autoSpaceDN w:val="0"/>
        <w:adjustRightInd w:val="0"/>
        <w:spacing w:after="0" w:line="240" w:lineRule="auto"/>
        <w:rPr>
          <w:rFonts w:ascii="Arial" w:hAnsi="Arial" w:cs="Arial"/>
          <w:sz w:val="20"/>
          <w:szCs w:val="20"/>
        </w:rPr>
      </w:pPr>
    </w:p>
    <w:p w14:paraId="62CECBE7" w14:textId="77777777" w:rsidR="00A54371" w:rsidRDefault="00A54371" w:rsidP="00E70CD3">
      <w:pPr>
        <w:autoSpaceDE w:val="0"/>
        <w:autoSpaceDN w:val="0"/>
        <w:adjustRightInd w:val="0"/>
        <w:spacing w:after="0" w:line="240" w:lineRule="auto"/>
        <w:rPr>
          <w:rFonts w:ascii="Arial" w:hAnsi="Arial" w:cs="Arial"/>
          <w:sz w:val="20"/>
          <w:szCs w:val="20"/>
        </w:rPr>
      </w:pPr>
    </w:p>
    <w:tbl>
      <w:tblPr>
        <w:tblW w:w="13782" w:type="dxa"/>
        <w:tblLook w:val="04A0" w:firstRow="1" w:lastRow="0" w:firstColumn="1" w:lastColumn="0" w:noHBand="0" w:noVBand="1"/>
      </w:tblPr>
      <w:tblGrid>
        <w:gridCol w:w="8959"/>
        <w:gridCol w:w="497"/>
        <w:gridCol w:w="497"/>
        <w:gridCol w:w="1242"/>
        <w:gridCol w:w="1345"/>
        <w:gridCol w:w="1242"/>
      </w:tblGrid>
      <w:tr w:rsidR="00AE2740" w:rsidRPr="009435C8" w14:paraId="1318E5F2" w14:textId="77777777" w:rsidTr="002B7836">
        <w:trPr>
          <w:trHeight w:val="315"/>
        </w:trPr>
        <w:tc>
          <w:tcPr>
            <w:tcW w:w="9953" w:type="dxa"/>
            <w:gridSpan w:val="3"/>
            <w:tcBorders>
              <w:top w:val="nil"/>
              <w:left w:val="nil"/>
              <w:bottom w:val="nil"/>
              <w:right w:val="nil"/>
            </w:tcBorders>
            <w:shd w:val="clear" w:color="auto" w:fill="auto"/>
            <w:noWrap/>
            <w:vAlign w:val="center"/>
            <w:hideMark/>
          </w:tcPr>
          <w:p w14:paraId="32715494" w14:textId="77777777" w:rsidR="00AE2740" w:rsidRPr="009435C8" w:rsidRDefault="00AE2740" w:rsidP="002B7836">
            <w:pPr>
              <w:spacing w:after="0" w:line="240" w:lineRule="auto"/>
              <w:rPr>
                <w:rFonts w:ascii="Arial" w:eastAsia="Times New Roman" w:hAnsi="Arial" w:cs="Arial"/>
                <w:b/>
                <w:bCs/>
                <w:sz w:val="24"/>
                <w:szCs w:val="24"/>
                <w:lang w:eastAsia="en-GB"/>
              </w:rPr>
            </w:pPr>
            <w:r w:rsidRPr="009435C8">
              <w:rPr>
                <w:rFonts w:ascii="Arial" w:eastAsia="Times New Roman" w:hAnsi="Arial" w:cs="Arial"/>
                <w:b/>
                <w:bCs/>
                <w:sz w:val="24"/>
                <w:szCs w:val="24"/>
                <w:lang w:eastAsia="en-GB"/>
              </w:rPr>
              <w:t>Cheshire Pension Fund</w:t>
            </w:r>
          </w:p>
        </w:tc>
        <w:tc>
          <w:tcPr>
            <w:tcW w:w="1242" w:type="dxa"/>
            <w:tcBorders>
              <w:top w:val="nil"/>
              <w:left w:val="nil"/>
              <w:bottom w:val="nil"/>
              <w:right w:val="nil"/>
            </w:tcBorders>
            <w:shd w:val="clear" w:color="auto" w:fill="auto"/>
            <w:noWrap/>
            <w:vAlign w:val="center"/>
            <w:hideMark/>
          </w:tcPr>
          <w:p w14:paraId="40C68EAD" w14:textId="77777777" w:rsidR="00AE2740" w:rsidRPr="009435C8" w:rsidRDefault="00AE2740" w:rsidP="002B7836">
            <w:pPr>
              <w:spacing w:after="0" w:line="240" w:lineRule="auto"/>
              <w:rPr>
                <w:rFonts w:ascii="Arial" w:eastAsia="Times New Roman" w:hAnsi="Arial" w:cs="Arial"/>
                <w:b/>
                <w:bCs/>
                <w:sz w:val="24"/>
                <w:szCs w:val="24"/>
                <w:lang w:eastAsia="en-GB"/>
              </w:rPr>
            </w:pPr>
          </w:p>
        </w:tc>
        <w:tc>
          <w:tcPr>
            <w:tcW w:w="1345" w:type="dxa"/>
            <w:tcBorders>
              <w:top w:val="nil"/>
              <w:left w:val="nil"/>
              <w:bottom w:val="nil"/>
              <w:right w:val="nil"/>
            </w:tcBorders>
            <w:shd w:val="clear" w:color="auto" w:fill="auto"/>
            <w:noWrap/>
            <w:vAlign w:val="center"/>
            <w:hideMark/>
          </w:tcPr>
          <w:p w14:paraId="1C5C65AE" w14:textId="77777777" w:rsidR="00AE2740" w:rsidRPr="009435C8" w:rsidRDefault="00AE2740" w:rsidP="002B7836">
            <w:pPr>
              <w:spacing w:after="0" w:line="240" w:lineRule="auto"/>
              <w:rPr>
                <w:rFonts w:ascii="Times New Roman" w:eastAsia="Times New Roman" w:hAnsi="Times New Roman" w:cs="Times New Roman"/>
                <w:sz w:val="20"/>
                <w:szCs w:val="20"/>
                <w:lang w:eastAsia="en-GB"/>
              </w:rPr>
            </w:pPr>
          </w:p>
        </w:tc>
        <w:tc>
          <w:tcPr>
            <w:tcW w:w="1242" w:type="dxa"/>
            <w:tcBorders>
              <w:top w:val="nil"/>
              <w:left w:val="nil"/>
              <w:bottom w:val="nil"/>
              <w:right w:val="nil"/>
            </w:tcBorders>
            <w:shd w:val="clear" w:color="auto" w:fill="auto"/>
            <w:noWrap/>
            <w:vAlign w:val="bottom"/>
            <w:hideMark/>
          </w:tcPr>
          <w:p w14:paraId="1FB58E18" w14:textId="77777777" w:rsidR="00AE2740" w:rsidRPr="009435C8" w:rsidRDefault="00AE2740" w:rsidP="002B7836">
            <w:pPr>
              <w:spacing w:after="0" w:line="240" w:lineRule="auto"/>
              <w:rPr>
                <w:rFonts w:ascii="Times New Roman" w:eastAsia="Times New Roman" w:hAnsi="Times New Roman" w:cs="Times New Roman"/>
                <w:sz w:val="20"/>
                <w:szCs w:val="20"/>
                <w:lang w:eastAsia="en-GB"/>
              </w:rPr>
            </w:pPr>
          </w:p>
        </w:tc>
      </w:tr>
      <w:tr w:rsidR="00AE2740" w:rsidRPr="009435C8" w14:paraId="63709011" w14:textId="77777777" w:rsidTr="002B7836">
        <w:trPr>
          <w:trHeight w:val="255"/>
        </w:trPr>
        <w:tc>
          <w:tcPr>
            <w:tcW w:w="8959" w:type="dxa"/>
            <w:tcBorders>
              <w:top w:val="nil"/>
              <w:left w:val="nil"/>
              <w:bottom w:val="nil"/>
              <w:right w:val="nil"/>
            </w:tcBorders>
            <w:shd w:val="clear" w:color="auto" w:fill="auto"/>
            <w:noWrap/>
            <w:vAlign w:val="center"/>
            <w:hideMark/>
          </w:tcPr>
          <w:p w14:paraId="3D3A235F" w14:textId="77777777" w:rsidR="00AE2740" w:rsidRPr="009435C8" w:rsidRDefault="00AE2740" w:rsidP="002B7836">
            <w:pPr>
              <w:spacing w:after="0" w:line="240" w:lineRule="auto"/>
              <w:rPr>
                <w:rFonts w:ascii="Times New Roman" w:eastAsia="Times New Roman" w:hAnsi="Times New Roman" w:cs="Times New Roman"/>
                <w:sz w:val="20"/>
                <w:szCs w:val="20"/>
                <w:lang w:eastAsia="en-GB"/>
              </w:rPr>
            </w:pPr>
          </w:p>
        </w:tc>
        <w:tc>
          <w:tcPr>
            <w:tcW w:w="497" w:type="dxa"/>
            <w:tcBorders>
              <w:top w:val="nil"/>
              <w:left w:val="nil"/>
              <w:bottom w:val="nil"/>
              <w:right w:val="nil"/>
            </w:tcBorders>
            <w:shd w:val="clear" w:color="auto" w:fill="auto"/>
            <w:noWrap/>
            <w:vAlign w:val="center"/>
            <w:hideMark/>
          </w:tcPr>
          <w:p w14:paraId="7A6BBEA9" w14:textId="77777777" w:rsidR="00AE2740" w:rsidRPr="009435C8" w:rsidRDefault="00AE2740" w:rsidP="002B7836">
            <w:pPr>
              <w:spacing w:after="0" w:line="240" w:lineRule="auto"/>
              <w:rPr>
                <w:rFonts w:ascii="Times New Roman" w:eastAsia="Times New Roman" w:hAnsi="Times New Roman" w:cs="Times New Roman"/>
                <w:sz w:val="20"/>
                <w:szCs w:val="20"/>
                <w:lang w:eastAsia="en-GB"/>
              </w:rPr>
            </w:pPr>
          </w:p>
        </w:tc>
        <w:tc>
          <w:tcPr>
            <w:tcW w:w="497" w:type="dxa"/>
            <w:tcBorders>
              <w:top w:val="nil"/>
              <w:left w:val="nil"/>
              <w:bottom w:val="nil"/>
              <w:right w:val="nil"/>
            </w:tcBorders>
            <w:shd w:val="clear" w:color="auto" w:fill="auto"/>
            <w:noWrap/>
            <w:vAlign w:val="center"/>
            <w:hideMark/>
          </w:tcPr>
          <w:p w14:paraId="127E60B8" w14:textId="77777777" w:rsidR="00AE2740" w:rsidRPr="009435C8" w:rsidRDefault="00AE2740" w:rsidP="002B7836">
            <w:pPr>
              <w:spacing w:after="0" w:line="240" w:lineRule="auto"/>
              <w:rPr>
                <w:rFonts w:ascii="Times New Roman" w:eastAsia="Times New Roman" w:hAnsi="Times New Roman" w:cs="Times New Roman"/>
                <w:sz w:val="20"/>
                <w:szCs w:val="20"/>
                <w:lang w:eastAsia="en-GB"/>
              </w:rPr>
            </w:pPr>
          </w:p>
        </w:tc>
        <w:tc>
          <w:tcPr>
            <w:tcW w:w="1242" w:type="dxa"/>
            <w:tcBorders>
              <w:top w:val="nil"/>
              <w:left w:val="nil"/>
              <w:bottom w:val="nil"/>
              <w:right w:val="nil"/>
            </w:tcBorders>
            <w:shd w:val="clear" w:color="auto" w:fill="auto"/>
            <w:noWrap/>
            <w:vAlign w:val="center"/>
            <w:hideMark/>
          </w:tcPr>
          <w:p w14:paraId="1551281F" w14:textId="77777777" w:rsidR="00AE2740" w:rsidRPr="009435C8" w:rsidRDefault="00AE2740" w:rsidP="002B7836">
            <w:pPr>
              <w:spacing w:after="0" w:line="240" w:lineRule="auto"/>
              <w:rPr>
                <w:rFonts w:ascii="Times New Roman" w:eastAsia="Times New Roman" w:hAnsi="Times New Roman" w:cs="Times New Roman"/>
                <w:sz w:val="20"/>
                <w:szCs w:val="20"/>
                <w:lang w:eastAsia="en-GB"/>
              </w:rPr>
            </w:pPr>
          </w:p>
        </w:tc>
        <w:tc>
          <w:tcPr>
            <w:tcW w:w="1345" w:type="dxa"/>
            <w:tcBorders>
              <w:top w:val="nil"/>
              <w:left w:val="nil"/>
              <w:bottom w:val="nil"/>
              <w:right w:val="nil"/>
            </w:tcBorders>
            <w:shd w:val="clear" w:color="auto" w:fill="auto"/>
            <w:noWrap/>
            <w:vAlign w:val="center"/>
            <w:hideMark/>
          </w:tcPr>
          <w:p w14:paraId="657CE65B" w14:textId="77777777" w:rsidR="00AE2740" w:rsidRPr="009435C8" w:rsidRDefault="00AE2740" w:rsidP="002B7836">
            <w:pPr>
              <w:spacing w:after="0" w:line="240" w:lineRule="auto"/>
              <w:rPr>
                <w:rFonts w:ascii="Times New Roman" w:eastAsia="Times New Roman" w:hAnsi="Times New Roman" w:cs="Times New Roman"/>
                <w:sz w:val="20"/>
                <w:szCs w:val="20"/>
                <w:lang w:eastAsia="en-GB"/>
              </w:rPr>
            </w:pPr>
          </w:p>
        </w:tc>
        <w:tc>
          <w:tcPr>
            <w:tcW w:w="1242" w:type="dxa"/>
            <w:tcBorders>
              <w:top w:val="nil"/>
              <w:left w:val="nil"/>
              <w:bottom w:val="nil"/>
              <w:right w:val="nil"/>
            </w:tcBorders>
            <w:shd w:val="clear" w:color="auto" w:fill="auto"/>
            <w:noWrap/>
            <w:vAlign w:val="bottom"/>
            <w:hideMark/>
          </w:tcPr>
          <w:p w14:paraId="039E1AA3" w14:textId="77777777" w:rsidR="00AE2740" w:rsidRPr="009435C8" w:rsidRDefault="00AE2740" w:rsidP="002B7836">
            <w:pPr>
              <w:spacing w:after="0" w:line="240" w:lineRule="auto"/>
              <w:rPr>
                <w:rFonts w:ascii="Times New Roman" w:eastAsia="Times New Roman" w:hAnsi="Times New Roman" w:cs="Times New Roman"/>
                <w:sz w:val="20"/>
                <w:szCs w:val="20"/>
                <w:lang w:eastAsia="en-GB"/>
              </w:rPr>
            </w:pPr>
          </w:p>
        </w:tc>
      </w:tr>
      <w:tr w:rsidR="00AE2740" w:rsidRPr="009435C8" w14:paraId="42B9D63E" w14:textId="77777777" w:rsidTr="002B7836">
        <w:trPr>
          <w:trHeight w:val="255"/>
        </w:trPr>
        <w:tc>
          <w:tcPr>
            <w:tcW w:w="13782" w:type="dxa"/>
            <w:gridSpan w:val="6"/>
            <w:tcBorders>
              <w:top w:val="nil"/>
              <w:left w:val="nil"/>
              <w:bottom w:val="nil"/>
              <w:right w:val="nil"/>
            </w:tcBorders>
            <w:shd w:val="clear" w:color="auto" w:fill="auto"/>
            <w:hideMark/>
          </w:tcPr>
          <w:p w14:paraId="7053C67F" w14:textId="77777777" w:rsidR="00AE2740" w:rsidRPr="009435C8" w:rsidRDefault="00AE2740" w:rsidP="002B7836">
            <w:pPr>
              <w:spacing w:after="0" w:line="240" w:lineRule="auto"/>
              <w:rPr>
                <w:rFonts w:ascii="Arial" w:eastAsia="Times New Roman" w:hAnsi="Arial" w:cs="Arial"/>
                <w:sz w:val="20"/>
                <w:szCs w:val="20"/>
                <w:lang w:eastAsia="en-GB"/>
              </w:rPr>
            </w:pPr>
            <w:r w:rsidRPr="009435C8">
              <w:rPr>
                <w:rFonts w:ascii="Arial" w:eastAsia="Times New Roman" w:hAnsi="Arial" w:cs="Arial"/>
                <w:sz w:val="20"/>
                <w:szCs w:val="20"/>
                <w:lang w:eastAsia="en-GB"/>
              </w:rPr>
              <w:t>Principal actuarial assumptions:</w:t>
            </w:r>
          </w:p>
          <w:p w14:paraId="58F2ECAC" w14:textId="77777777" w:rsidR="00AE2740" w:rsidRPr="009435C8" w:rsidRDefault="00AE2740" w:rsidP="002B7836">
            <w:pPr>
              <w:spacing w:after="0" w:line="240" w:lineRule="auto"/>
              <w:rPr>
                <w:rFonts w:ascii="Arial" w:eastAsia="Times New Roman" w:hAnsi="Arial" w:cs="Arial"/>
                <w:sz w:val="20"/>
                <w:szCs w:val="20"/>
                <w:lang w:eastAsia="en-GB"/>
              </w:rPr>
            </w:pPr>
          </w:p>
          <w:tbl>
            <w:tblPr>
              <w:tblW w:w="9029" w:type="dxa"/>
              <w:tblLook w:val="04A0" w:firstRow="1" w:lastRow="0" w:firstColumn="1" w:lastColumn="0" w:noHBand="0" w:noVBand="1"/>
            </w:tblPr>
            <w:tblGrid>
              <w:gridCol w:w="3868"/>
              <w:gridCol w:w="284"/>
              <w:gridCol w:w="1255"/>
              <w:gridCol w:w="1009"/>
              <w:gridCol w:w="1359"/>
              <w:gridCol w:w="1254"/>
            </w:tblGrid>
            <w:tr w:rsidR="00AE2740" w:rsidRPr="009435C8" w14:paraId="6E3497B6" w14:textId="77777777" w:rsidTr="00454D0E">
              <w:trPr>
                <w:trHeight w:val="263"/>
              </w:trPr>
              <w:tc>
                <w:tcPr>
                  <w:tcW w:w="3868" w:type="dxa"/>
                  <w:tcBorders>
                    <w:top w:val="nil"/>
                    <w:left w:val="nil"/>
                    <w:bottom w:val="single" w:sz="4" w:space="0" w:color="auto"/>
                    <w:right w:val="nil"/>
                  </w:tcBorders>
                  <w:shd w:val="clear" w:color="auto" w:fill="auto"/>
                  <w:noWrap/>
                  <w:vAlign w:val="center"/>
                  <w:hideMark/>
                </w:tcPr>
                <w:p w14:paraId="7A6E6A1B" w14:textId="77777777" w:rsidR="00AE2740" w:rsidRPr="009435C8" w:rsidRDefault="00AE2740" w:rsidP="002B7836">
                  <w:pPr>
                    <w:spacing w:after="0" w:line="240" w:lineRule="auto"/>
                    <w:rPr>
                      <w:rFonts w:ascii="Arial" w:eastAsia="Times New Roman" w:hAnsi="Arial" w:cs="Arial"/>
                      <w:sz w:val="20"/>
                      <w:szCs w:val="20"/>
                      <w:lang w:eastAsia="en-GB"/>
                    </w:rPr>
                  </w:pPr>
                  <w:r w:rsidRPr="009435C8">
                    <w:rPr>
                      <w:rFonts w:ascii="Arial" w:eastAsia="Times New Roman" w:hAnsi="Arial" w:cs="Arial"/>
                      <w:sz w:val="20"/>
                      <w:szCs w:val="20"/>
                      <w:lang w:eastAsia="en-GB"/>
                    </w:rPr>
                    <w:t> </w:t>
                  </w:r>
                </w:p>
              </w:tc>
              <w:tc>
                <w:tcPr>
                  <w:tcW w:w="284" w:type="dxa"/>
                  <w:tcBorders>
                    <w:top w:val="nil"/>
                    <w:left w:val="nil"/>
                    <w:bottom w:val="single" w:sz="4" w:space="0" w:color="auto"/>
                    <w:right w:val="nil"/>
                  </w:tcBorders>
                  <w:shd w:val="clear" w:color="auto" w:fill="auto"/>
                  <w:noWrap/>
                  <w:vAlign w:val="bottom"/>
                  <w:hideMark/>
                </w:tcPr>
                <w:p w14:paraId="78E99606" w14:textId="77777777" w:rsidR="00AE2740" w:rsidRPr="009435C8" w:rsidRDefault="00AE2740" w:rsidP="002B7836">
                  <w:pPr>
                    <w:spacing w:after="0" w:line="240" w:lineRule="auto"/>
                    <w:rPr>
                      <w:rFonts w:ascii="Arial" w:eastAsia="Times New Roman" w:hAnsi="Arial" w:cs="Arial"/>
                      <w:sz w:val="20"/>
                      <w:szCs w:val="20"/>
                      <w:lang w:eastAsia="en-GB"/>
                    </w:rPr>
                  </w:pPr>
                  <w:r w:rsidRPr="009435C8">
                    <w:rPr>
                      <w:rFonts w:ascii="Arial" w:eastAsia="Times New Roman" w:hAnsi="Arial" w:cs="Arial"/>
                      <w:sz w:val="20"/>
                      <w:szCs w:val="20"/>
                      <w:lang w:eastAsia="en-GB"/>
                    </w:rPr>
                    <w:t> </w:t>
                  </w:r>
                </w:p>
              </w:tc>
              <w:tc>
                <w:tcPr>
                  <w:tcW w:w="1255" w:type="dxa"/>
                  <w:tcBorders>
                    <w:top w:val="nil"/>
                    <w:left w:val="nil"/>
                    <w:bottom w:val="single" w:sz="4" w:space="0" w:color="auto"/>
                    <w:right w:val="nil"/>
                  </w:tcBorders>
                  <w:shd w:val="clear" w:color="auto" w:fill="auto"/>
                  <w:noWrap/>
                  <w:vAlign w:val="bottom"/>
                  <w:hideMark/>
                </w:tcPr>
                <w:p w14:paraId="342D6D13" w14:textId="77777777" w:rsidR="00AE2740" w:rsidRPr="009435C8" w:rsidRDefault="00AE2740" w:rsidP="002B7836">
                  <w:pPr>
                    <w:spacing w:after="0" w:line="240" w:lineRule="auto"/>
                    <w:rPr>
                      <w:rFonts w:ascii="Arial" w:eastAsia="Times New Roman" w:hAnsi="Arial" w:cs="Arial"/>
                      <w:sz w:val="20"/>
                      <w:szCs w:val="20"/>
                      <w:lang w:eastAsia="en-GB"/>
                    </w:rPr>
                  </w:pPr>
                  <w:r w:rsidRPr="009435C8">
                    <w:rPr>
                      <w:rFonts w:ascii="Arial" w:eastAsia="Times New Roman" w:hAnsi="Arial" w:cs="Arial"/>
                      <w:sz w:val="20"/>
                      <w:szCs w:val="20"/>
                      <w:lang w:eastAsia="en-GB"/>
                    </w:rPr>
                    <w:t> </w:t>
                  </w:r>
                </w:p>
              </w:tc>
              <w:tc>
                <w:tcPr>
                  <w:tcW w:w="1009" w:type="dxa"/>
                  <w:tcBorders>
                    <w:top w:val="nil"/>
                    <w:left w:val="nil"/>
                    <w:bottom w:val="single" w:sz="4" w:space="0" w:color="auto"/>
                    <w:right w:val="nil"/>
                  </w:tcBorders>
                  <w:shd w:val="clear" w:color="auto" w:fill="auto"/>
                  <w:noWrap/>
                  <w:vAlign w:val="bottom"/>
                  <w:hideMark/>
                </w:tcPr>
                <w:p w14:paraId="4DBE4659" w14:textId="77777777" w:rsidR="00AE2740" w:rsidRPr="009435C8" w:rsidRDefault="00AE2740" w:rsidP="002B7836">
                  <w:pPr>
                    <w:spacing w:after="0" w:line="240" w:lineRule="auto"/>
                    <w:rPr>
                      <w:rFonts w:ascii="Arial" w:eastAsia="Times New Roman" w:hAnsi="Arial" w:cs="Arial"/>
                      <w:sz w:val="20"/>
                      <w:szCs w:val="20"/>
                      <w:lang w:eastAsia="en-GB"/>
                    </w:rPr>
                  </w:pPr>
                  <w:r w:rsidRPr="009435C8">
                    <w:rPr>
                      <w:rFonts w:ascii="Arial" w:eastAsia="Times New Roman" w:hAnsi="Arial" w:cs="Arial"/>
                      <w:sz w:val="20"/>
                      <w:szCs w:val="20"/>
                      <w:lang w:eastAsia="en-GB"/>
                    </w:rPr>
                    <w:t> </w:t>
                  </w:r>
                </w:p>
              </w:tc>
              <w:tc>
                <w:tcPr>
                  <w:tcW w:w="1359" w:type="dxa"/>
                  <w:tcBorders>
                    <w:top w:val="nil"/>
                    <w:left w:val="nil"/>
                    <w:bottom w:val="nil"/>
                    <w:right w:val="nil"/>
                  </w:tcBorders>
                  <w:shd w:val="clear" w:color="auto" w:fill="auto"/>
                  <w:noWrap/>
                  <w:vAlign w:val="center"/>
                  <w:hideMark/>
                </w:tcPr>
                <w:p w14:paraId="179D9302" w14:textId="77777777" w:rsidR="00AE2740" w:rsidRPr="009435C8" w:rsidRDefault="00AE2740" w:rsidP="002B7836">
                  <w:pPr>
                    <w:spacing w:after="0" w:line="240" w:lineRule="auto"/>
                    <w:jc w:val="right"/>
                    <w:rPr>
                      <w:rFonts w:ascii="Arial" w:eastAsia="Times New Roman" w:hAnsi="Arial" w:cs="Arial"/>
                      <w:b/>
                      <w:bCs/>
                      <w:sz w:val="20"/>
                      <w:szCs w:val="20"/>
                      <w:lang w:eastAsia="en-GB"/>
                    </w:rPr>
                  </w:pPr>
                  <w:r w:rsidRPr="009435C8">
                    <w:rPr>
                      <w:rFonts w:ascii="Arial" w:eastAsia="Times New Roman" w:hAnsi="Arial" w:cs="Arial"/>
                      <w:b/>
                      <w:bCs/>
                      <w:sz w:val="20"/>
                      <w:szCs w:val="20"/>
                      <w:lang w:eastAsia="en-GB"/>
                    </w:rPr>
                    <w:t>2020</w:t>
                  </w:r>
                </w:p>
              </w:tc>
              <w:tc>
                <w:tcPr>
                  <w:tcW w:w="1254" w:type="dxa"/>
                  <w:tcBorders>
                    <w:top w:val="nil"/>
                    <w:left w:val="nil"/>
                    <w:bottom w:val="nil"/>
                    <w:right w:val="nil"/>
                  </w:tcBorders>
                  <w:shd w:val="clear" w:color="auto" w:fill="auto"/>
                  <w:noWrap/>
                  <w:vAlign w:val="center"/>
                  <w:hideMark/>
                </w:tcPr>
                <w:p w14:paraId="131D82EE" w14:textId="77777777" w:rsidR="00AE2740" w:rsidRPr="009435C8" w:rsidRDefault="00AE2740" w:rsidP="002B7836">
                  <w:pPr>
                    <w:spacing w:after="0" w:line="240" w:lineRule="auto"/>
                    <w:jc w:val="right"/>
                    <w:rPr>
                      <w:rFonts w:ascii="Arial" w:eastAsia="Times New Roman" w:hAnsi="Arial" w:cs="Arial"/>
                      <w:sz w:val="20"/>
                      <w:szCs w:val="20"/>
                      <w:lang w:eastAsia="en-GB"/>
                    </w:rPr>
                  </w:pPr>
                  <w:r w:rsidRPr="009435C8">
                    <w:rPr>
                      <w:rFonts w:ascii="Arial" w:eastAsia="Times New Roman" w:hAnsi="Arial" w:cs="Arial"/>
                      <w:sz w:val="20"/>
                      <w:szCs w:val="20"/>
                      <w:lang w:eastAsia="en-GB"/>
                    </w:rPr>
                    <w:t>2019</w:t>
                  </w:r>
                </w:p>
              </w:tc>
            </w:tr>
            <w:tr w:rsidR="00AE2740" w:rsidRPr="009435C8" w14:paraId="784817CD" w14:textId="77777777" w:rsidTr="00454D0E">
              <w:trPr>
                <w:trHeight w:val="263"/>
              </w:trPr>
              <w:tc>
                <w:tcPr>
                  <w:tcW w:w="3868" w:type="dxa"/>
                  <w:tcBorders>
                    <w:top w:val="nil"/>
                    <w:left w:val="nil"/>
                    <w:bottom w:val="nil"/>
                    <w:right w:val="nil"/>
                  </w:tcBorders>
                  <w:shd w:val="clear" w:color="auto" w:fill="auto"/>
                  <w:noWrap/>
                  <w:vAlign w:val="center"/>
                  <w:hideMark/>
                </w:tcPr>
                <w:p w14:paraId="72AD043F" w14:textId="77777777" w:rsidR="00AE2740" w:rsidRPr="009435C8" w:rsidRDefault="00AE2740" w:rsidP="002B7836">
                  <w:pPr>
                    <w:spacing w:after="0" w:line="240" w:lineRule="auto"/>
                    <w:rPr>
                      <w:rFonts w:ascii="Arial" w:eastAsia="Times New Roman" w:hAnsi="Arial" w:cs="Arial"/>
                      <w:sz w:val="20"/>
                      <w:szCs w:val="20"/>
                      <w:lang w:eastAsia="en-GB"/>
                    </w:rPr>
                  </w:pPr>
                  <w:r w:rsidRPr="009435C8">
                    <w:rPr>
                      <w:rFonts w:ascii="Arial" w:eastAsia="Times New Roman" w:hAnsi="Arial" w:cs="Arial"/>
                      <w:sz w:val="20"/>
                      <w:szCs w:val="20"/>
                      <w:lang w:eastAsia="en-GB"/>
                    </w:rPr>
                    <w:t>Expected rate of salary increases</w:t>
                  </w:r>
                </w:p>
              </w:tc>
              <w:tc>
                <w:tcPr>
                  <w:tcW w:w="284" w:type="dxa"/>
                  <w:tcBorders>
                    <w:top w:val="nil"/>
                    <w:left w:val="nil"/>
                    <w:bottom w:val="nil"/>
                    <w:right w:val="nil"/>
                  </w:tcBorders>
                  <w:shd w:val="clear" w:color="auto" w:fill="auto"/>
                  <w:noWrap/>
                  <w:vAlign w:val="bottom"/>
                  <w:hideMark/>
                </w:tcPr>
                <w:p w14:paraId="7288CAB6" w14:textId="77777777" w:rsidR="00AE2740" w:rsidRPr="009435C8" w:rsidRDefault="00AE2740" w:rsidP="002B7836">
                  <w:pPr>
                    <w:spacing w:after="0" w:line="240" w:lineRule="auto"/>
                    <w:rPr>
                      <w:rFonts w:ascii="Arial" w:eastAsia="Times New Roman" w:hAnsi="Arial" w:cs="Arial"/>
                      <w:sz w:val="20"/>
                      <w:szCs w:val="20"/>
                      <w:lang w:eastAsia="en-GB"/>
                    </w:rPr>
                  </w:pPr>
                </w:p>
              </w:tc>
              <w:tc>
                <w:tcPr>
                  <w:tcW w:w="1255" w:type="dxa"/>
                  <w:tcBorders>
                    <w:top w:val="nil"/>
                    <w:left w:val="nil"/>
                    <w:bottom w:val="nil"/>
                    <w:right w:val="nil"/>
                  </w:tcBorders>
                  <w:shd w:val="clear" w:color="auto" w:fill="auto"/>
                  <w:noWrap/>
                  <w:vAlign w:val="bottom"/>
                  <w:hideMark/>
                </w:tcPr>
                <w:p w14:paraId="04D5A2A1" w14:textId="77777777" w:rsidR="00AE2740" w:rsidRPr="009435C8" w:rsidRDefault="00AE2740" w:rsidP="002B7836">
                  <w:pPr>
                    <w:spacing w:after="0" w:line="240" w:lineRule="auto"/>
                    <w:rPr>
                      <w:rFonts w:ascii="Times New Roman" w:eastAsia="Times New Roman" w:hAnsi="Times New Roman" w:cs="Times New Roman"/>
                      <w:sz w:val="20"/>
                      <w:szCs w:val="20"/>
                      <w:lang w:eastAsia="en-GB"/>
                    </w:rPr>
                  </w:pPr>
                </w:p>
              </w:tc>
              <w:tc>
                <w:tcPr>
                  <w:tcW w:w="1009" w:type="dxa"/>
                  <w:tcBorders>
                    <w:top w:val="nil"/>
                    <w:left w:val="nil"/>
                    <w:bottom w:val="nil"/>
                    <w:right w:val="nil"/>
                  </w:tcBorders>
                  <w:shd w:val="clear" w:color="auto" w:fill="auto"/>
                  <w:noWrap/>
                  <w:vAlign w:val="bottom"/>
                  <w:hideMark/>
                </w:tcPr>
                <w:p w14:paraId="12CCAD5E" w14:textId="77777777" w:rsidR="00AE2740" w:rsidRPr="009435C8" w:rsidRDefault="00AE2740" w:rsidP="002B7836">
                  <w:pPr>
                    <w:spacing w:after="0" w:line="240" w:lineRule="auto"/>
                    <w:rPr>
                      <w:rFonts w:ascii="Times New Roman" w:eastAsia="Times New Roman" w:hAnsi="Times New Roman" w:cs="Times New Roman"/>
                      <w:sz w:val="20"/>
                      <w:szCs w:val="20"/>
                      <w:lang w:eastAsia="en-GB"/>
                    </w:rPr>
                  </w:pPr>
                </w:p>
              </w:tc>
              <w:tc>
                <w:tcPr>
                  <w:tcW w:w="1359" w:type="dxa"/>
                  <w:tcBorders>
                    <w:top w:val="single" w:sz="4" w:space="0" w:color="auto"/>
                    <w:left w:val="nil"/>
                    <w:bottom w:val="nil"/>
                    <w:right w:val="nil"/>
                  </w:tcBorders>
                  <w:shd w:val="clear" w:color="auto" w:fill="auto"/>
                  <w:noWrap/>
                  <w:vAlign w:val="center"/>
                  <w:hideMark/>
                </w:tcPr>
                <w:p w14:paraId="5123AF70" w14:textId="77777777" w:rsidR="00AE2740" w:rsidRPr="009435C8" w:rsidRDefault="00AE2740" w:rsidP="002B7836">
                  <w:pPr>
                    <w:spacing w:after="0" w:line="240" w:lineRule="auto"/>
                    <w:jc w:val="right"/>
                    <w:rPr>
                      <w:rFonts w:ascii="Arial" w:eastAsia="Times New Roman" w:hAnsi="Arial" w:cs="Arial"/>
                      <w:b/>
                      <w:bCs/>
                      <w:sz w:val="20"/>
                      <w:szCs w:val="20"/>
                      <w:lang w:eastAsia="en-GB"/>
                    </w:rPr>
                  </w:pPr>
                  <w:r w:rsidRPr="009435C8">
                    <w:rPr>
                      <w:rFonts w:ascii="Arial" w:eastAsia="Times New Roman" w:hAnsi="Arial" w:cs="Arial"/>
                      <w:b/>
                      <w:bCs/>
                      <w:sz w:val="20"/>
                      <w:szCs w:val="20"/>
                      <w:lang w:eastAsia="en-GB"/>
                    </w:rPr>
                    <w:t>2.9%</w:t>
                  </w:r>
                </w:p>
              </w:tc>
              <w:tc>
                <w:tcPr>
                  <w:tcW w:w="1254" w:type="dxa"/>
                  <w:tcBorders>
                    <w:top w:val="single" w:sz="4" w:space="0" w:color="auto"/>
                    <w:left w:val="nil"/>
                    <w:bottom w:val="nil"/>
                    <w:right w:val="nil"/>
                  </w:tcBorders>
                  <w:shd w:val="clear" w:color="auto" w:fill="auto"/>
                  <w:noWrap/>
                  <w:vAlign w:val="center"/>
                  <w:hideMark/>
                </w:tcPr>
                <w:p w14:paraId="610E2FAE" w14:textId="77777777" w:rsidR="00AE2740" w:rsidRPr="009435C8" w:rsidRDefault="00AE2740" w:rsidP="002B7836">
                  <w:pPr>
                    <w:spacing w:after="0" w:line="240" w:lineRule="auto"/>
                    <w:jc w:val="right"/>
                    <w:rPr>
                      <w:rFonts w:ascii="Arial" w:eastAsia="Times New Roman" w:hAnsi="Arial" w:cs="Arial"/>
                      <w:sz w:val="20"/>
                      <w:szCs w:val="20"/>
                      <w:lang w:eastAsia="en-GB"/>
                    </w:rPr>
                  </w:pPr>
                  <w:r w:rsidRPr="009435C8">
                    <w:rPr>
                      <w:rFonts w:ascii="Arial" w:eastAsia="Times New Roman" w:hAnsi="Arial" w:cs="Arial"/>
                      <w:bCs/>
                      <w:sz w:val="20"/>
                      <w:szCs w:val="20"/>
                      <w:lang w:eastAsia="en-GB"/>
                    </w:rPr>
                    <w:t>2.6%</w:t>
                  </w:r>
                </w:p>
              </w:tc>
            </w:tr>
            <w:tr w:rsidR="00AE2740" w:rsidRPr="009435C8" w14:paraId="198882CD" w14:textId="77777777" w:rsidTr="00454D0E">
              <w:trPr>
                <w:trHeight w:val="263"/>
              </w:trPr>
              <w:tc>
                <w:tcPr>
                  <w:tcW w:w="5407" w:type="dxa"/>
                  <w:gridSpan w:val="3"/>
                  <w:tcBorders>
                    <w:top w:val="nil"/>
                    <w:left w:val="nil"/>
                    <w:bottom w:val="nil"/>
                    <w:right w:val="nil"/>
                  </w:tcBorders>
                  <w:shd w:val="clear" w:color="auto" w:fill="auto"/>
                  <w:noWrap/>
                  <w:vAlign w:val="center"/>
                  <w:hideMark/>
                </w:tcPr>
                <w:p w14:paraId="00C5FB67" w14:textId="77777777" w:rsidR="00AE2740" w:rsidRPr="009435C8" w:rsidRDefault="00AE2740" w:rsidP="002B7836">
                  <w:pPr>
                    <w:spacing w:after="0" w:line="240" w:lineRule="auto"/>
                    <w:rPr>
                      <w:rFonts w:ascii="Arial" w:eastAsia="Times New Roman" w:hAnsi="Arial" w:cs="Arial"/>
                      <w:sz w:val="20"/>
                      <w:szCs w:val="20"/>
                      <w:lang w:eastAsia="en-GB"/>
                    </w:rPr>
                  </w:pPr>
                  <w:r w:rsidRPr="009435C8">
                    <w:rPr>
                      <w:rFonts w:ascii="Arial" w:eastAsia="Times New Roman" w:hAnsi="Arial" w:cs="Arial"/>
                      <w:sz w:val="20"/>
                      <w:szCs w:val="20"/>
                      <w:lang w:eastAsia="en-GB"/>
                    </w:rPr>
                    <w:t>Expected rate of increase of pensions in payments</w:t>
                  </w:r>
                </w:p>
              </w:tc>
              <w:tc>
                <w:tcPr>
                  <w:tcW w:w="1009" w:type="dxa"/>
                  <w:tcBorders>
                    <w:top w:val="nil"/>
                    <w:left w:val="nil"/>
                    <w:bottom w:val="nil"/>
                    <w:right w:val="nil"/>
                  </w:tcBorders>
                  <w:shd w:val="clear" w:color="auto" w:fill="auto"/>
                  <w:noWrap/>
                  <w:vAlign w:val="bottom"/>
                  <w:hideMark/>
                </w:tcPr>
                <w:p w14:paraId="464A4F7F" w14:textId="77777777" w:rsidR="00AE2740" w:rsidRPr="009435C8" w:rsidRDefault="00AE2740" w:rsidP="002B7836">
                  <w:pPr>
                    <w:spacing w:after="0" w:line="240" w:lineRule="auto"/>
                    <w:rPr>
                      <w:rFonts w:ascii="Arial" w:eastAsia="Times New Roman" w:hAnsi="Arial" w:cs="Arial"/>
                      <w:sz w:val="20"/>
                      <w:szCs w:val="20"/>
                      <w:lang w:eastAsia="en-GB"/>
                    </w:rPr>
                  </w:pPr>
                </w:p>
              </w:tc>
              <w:tc>
                <w:tcPr>
                  <w:tcW w:w="1359" w:type="dxa"/>
                  <w:tcBorders>
                    <w:top w:val="nil"/>
                    <w:left w:val="nil"/>
                    <w:bottom w:val="nil"/>
                    <w:right w:val="nil"/>
                  </w:tcBorders>
                  <w:shd w:val="clear" w:color="auto" w:fill="auto"/>
                  <w:noWrap/>
                  <w:vAlign w:val="center"/>
                  <w:hideMark/>
                </w:tcPr>
                <w:p w14:paraId="2BD89401" w14:textId="77777777" w:rsidR="00AE2740" w:rsidRPr="009435C8" w:rsidRDefault="00AE2740" w:rsidP="002B7836">
                  <w:pPr>
                    <w:spacing w:after="0" w:line="240" w:lineRule="auto"/>
                    <w:jc w:val="right"/>
                    <w:rPr>
                      <w:rFonts w:ascii="Arial" w:eastAsia="Times New Roman" w:hAnsi="Arial" w:cs="Arial"/>
                      <w:b/>
                      <w:bCs/>
                      <w:sz w:val="20"/>
                      <w:szCs w:val="20"/>
                      <w:lang w:eastAsia="en-GB"/>
                    </w:rPr>
                  </w:pPr>
                  <w:r w:rsidRPr="009435C8">
                    <w:rPr>
                      <w:rFonts w:ascii="Arial" w:eastAsia="Times New Roman" w:hAnsi="Arial" w:cs="Arial"/>
                      <w:b/>
                      <w:bCs/>
                      <w:sz w:val="20"/>
                      <w:szCs w:val="20"/>
                      <w:lang w:eastAsia="en-GB"/>
                    </w:rPr>
                    <w:t>2.2%</w:t>
                  </w:r>
                </w:p>
              </w:tc>
              <w:tc>
                <w:tcPr>
                  <w:tcW w:w="1254" w:type="dxa"/>
                  <w:tcBorders>
                    <w:top w:val="nil"/>
                    <w:left w:val="nil"/>
                    <w:bottom w:val="nil"/>
                    <w:right w:val="nil"/>
                  </w:tcBorders>
                  <w:shd w:val="clear" w:color="auto" w:fill="auto"/>
                  <w:noWrap/>
                  <w:vAlign w:val="center"/>
                  <w:hideMark/>
                </w:tcPr>
                <w:p w14:paraId="2EB2B9A4" w14:textId="77777777" w:rsidR="00AE2740" w:rsidRPr="009435C8" w:rsidRDefault="00AE2740" w:rsidP="002B7836">
                  <w:pPr>
                    <w:spacing w:after="0" w:line="240" w:lineRule="auto"/>
                    <w:jc w:val="right"/>
                    <w:rPr>
                      <w:rFonts w:ascii="Arial" w:eastAsia="Times New Roman" w:hAnsi="Arial" w:cs="Arial"/>
                      <w:sz w:val="20"/>
                      <w:szCs w:val="20"/>
                      <w:lang w:eastAsia="en-GB"/>
                    </w:rPr>
                  </w:pPr>
                  <w:r w:rsidRPr="009435C8">
                    <w:rPr>
                      <w:rFonts w:ascii="Arial" w:eastAsia="Times New Roman" w:hAnsi="Arial" w:cs="Arial"/>
                      <w:sz w:val="20"/>
                      <w:szCs w:val="20"/>
                      <w:lang w:eastAsia="en-GB"/>
                    </w:rPr>
                    <w:t>2.3%</w:t>
                  </w:r>
                </w:p>
              </w:tc>
            </w:tr>
            <w:tr w:rsidR="00AE2740" w:rsidRPr="009435C8" w14:paraId="38ED77A2" w14:textId="77777777" w:rsidTr="00454D0E">
              <w:trPr>
                <w:trHeight w:val="263"/>
              </w:trPr>
              <w:tc>
                <w:tcPr>
                  <w:tcW w:w="3868" w:type="dxa"/>
                  <w:tcBorders>
                    <w:top w:val="nil"/>
                    <w:left w:val="nil"/>
                    <w:bottom w:val="nil"/>
                    <w:right w:val="nil"/>
                  </w:tcBorders>
                  <w:shd w:val="clear" w:color="auto" w:fill="auto"/>
                  <w:noWrap/>
                  <w:vAlign w:val="center"/>
                  <w:hideMark/>
                </w:tcPr>
                <w:p w14:paraId="250EAB1F" w14:textId="77777777" w:rsidR="00AE2740" w:rsidRPr="009435C8" w:rsidRDefault="00AE2740" w:rsidP="002B7836">
                  <w:pPr>
                    <w:spacing w:after="0" w:line="240" w:lineRule="auto"/>
                    <w:rPr>
                      <w:rFonts w:ascii="Arial" w:eastAsia="Times New Roman" w:hAnsi="Arial" w:cs="Arial"/>
                      <w:sz w:val="20"/>
                      <w:szCs w:val="20"/>
                      <w:lang w:eastAsia="en-GB"/>
                    </w:rPr>
                  </w:pPr>
                  <w:r w:rsidRPr="009435C8">
                    <w:rPr>
                      <w:rFonts w:ascii="Arial" w:eastAsia="Times New Roman" w:hAnsi="Arial" w:cs="Arial"/>
                      <w:sz w:val="20"/>
                      <w:szCs w:val="20"/>
                      <w:lang w:eastAsia="en-GB"/>
                    </w:rPr>
                    <w:t>Rate of inflation</w:t>
                  </w:r>
                </w:p>
              </w:tc>
              <w:tc>
                <w:tcPr>
                  <w:tcW w:w="284" w:type="dxa"/>
                  <w:tcBorders>
                    <w:top w:val="nil"/>
                    <w:left w:val="nil"/>
                    <w:bottom w:val="nil"/>
                    <w:right w:val="nil"/>
                  </w:tcBorders>
                  <w:shd w:val="clear" w:color="auto" w:fill="auto"/>
                  <w:noWrap/>
                  <w:vAlign w:val="bottom"/>
                  <w:hideMark/>
                </w:tcPr>
                <w:p w14:paraId="3EC78407" w14:textId="77777777" w:rsidR="00AE2740" w:rsidRPr="009435C8" w:rsidRDefault="00AE2740" w:rsidP="002B7836">
                  <w:pPr>
                    <w:spacing w:after="0" w:line="240" w:lineRule="auto"/>
                    <w:rPr>
                      <w:rFonts w:ascii="Arial" w:eastAsia="Times New Roman" w:hAnsi="Arial" w:cs="Arial"/>
                      <w:sz w:val="20"/>
                      <w:szCs w:val="20"/>
                      <w:lang w:eastAsia="en-GB"/>
                    </w:rPr>
                  </w:pPr>
                </w:p>
              </w:tc>
              <w:tc>
                <w:tcPr>
                  <w:tcW w:w="1255" w:type="dxa"/>
                  <w:tcBorders>
                    <w:top w:val="nil"/>
                    <w:left w:val="nil"/>
                    <w:bottom w:val="nil"/>
                    <w:right w:val="nil"/>
                  </w:tcBorders>
                  <w:shd w:val="clear" w:color="auto" w:fill="auto"/>
                  <w:noWrap/>
                  <w:vAlign w:val="bottom"/>
                  <w:hideMark/>
                </w:tcPr>
                <w:p w14:paraId="0720CA20" w14:textId="77777777" w:rsidR="00AE2740" w:rsidRPr="009435C8" w:rsidRDefault="00AE2740" w:rsidP="002B7836">
                  <w:pPr>
                    <w:spacing w:after="0" w:line="240" w:lineRule="auto"/>
                    <w:rPr>
                      <w:rFonts w:ascii="Times New Roman" w:eastAsia="Times New Roman" w:hAnsi="Times New Roman" w:cs="Times New Roman"/>
                      <w:sz w:val="20"/>
                      <w:szCs w:val="20"/>
                      <w:lang w:eastAsia="en-GB"/>
                    </w:rPr>
                  </w:pPr>
                </w:p>
              </w:tc>
              <w:tc>
                <w:tcPr>
                  <w:tcW w:w="1009" w:type="dxa"/>
                  <w:tcBorders>
                    <w:top w:val="nil"/>
                    <w:left w:val="nil"/>
                    <w:bottom w:val="nil"/>
                    <w:right w:val="nil"/>
                  </w:tcBorders>
                  <w:shd w:val="clear" w:color="auto" w:fill="auto"/>
                  <w:noWrap/>
                  <w:vAlign w:val="bottom"/>
                  <w:hideMark/>
                </w:tcPr>
                <w:p w14:paraId="0FF6EF57" w14:textId="77777777" w:rsidR="00AE2740" w:rsidRPr="009435C8" w:rsidRDefault="00AE2740" w:rsidP="002B7836">
                  <w:pPr>
                    <w:spacing w:after="0" w:line="240" w:lineRule="auto"/>
                    <w:rPr>
                      <w:rFonts w:ascii="Times New Roman" w:eastAsia="Times New Roman" w:hAnsi="Times New Roman" w:cs="Times New Roman"/>
                      <w:sz w:val="20"/>
                      <w:szCs w:val="20"/>
                      <w:lang w:eastAsia="en-GB"/>
                    </w:rPr>
                  </w:pPr>
                </w:p>
              </w:tc>
              <w:tc>
                <w:tcPr>
                  <w:tcW w:w="1359" w:type="dxa"/>
                  <w:tcBorders>
                    <w:top w:val="nil"/>
                    <w:left w:val="nil"/>
                    <w:bottom w:val="nil"/>
                    <w:right w:val="nil"/>
                  </w:tcBorders>
                  <w:shd w:val="clear" w:color="auto" w:fill="auto"/>
                  <w:noWrap/>
                  <w:vAlign w:val="center"/>
                  <w:hideMark/>
                </w:tcPr>
                <w:p w14:paraId="0F489B8C" w14:textId="77777777" w:rsidR="00AE2740" w:rsidRPr="009435C8" w:rsidRDefault="00AE2740" w:rsidP="002B7836">
                  <w:pPr>
                    <w:spacing w:after="0" w:line="240" w:lineRule="auto"/>
                    <w:jc w:val="right"/>
                    <w:rPr>
                      <w:rFonts w:ascii="Arial" w:eastAsia="Times New Roman" w:hAnsi="Arial" w:cs="Arial"/>
                      <w:b/>
                      <w:bCs/>
                      <w:sz w:val="20"/>
                      <w:szCs w:val="20"/>
                      <w:lang w:eastAsia="en-GB"/>
                    </w:rPr>
                  </w:pPr>
                  <w:r w:rsidRPr="009435C8">
                    <w:rPr>
                      <w:rFonts w:ascii="Arial" w:eastAsia="Times New Roman" w:hAnsi="Arial" w:cs="Arial"/>
                      <w:b/>
                      <w:bCs/>
                      <w:sz w:val="20"/>
                      <w:szCs w:val="20"/>
                      <w:lang w:eastAsia="en-GB"/>
                    </w:rPr>
                    <w:t>2.2%</w:t>
                  </w:r>
                </w:p>
              </w:tc>
              <w:tc>
                <w:tcPr>
                  <w:tcW w:w="1254" w:type="dxa"/>
                  <w:tcBorders>
                    <w:top w:val="nil"/>
                    <w:left w:val="nil"/>
                    <w:bottom w:val="nil"/>
                    <w:right w:val="nil"/>
                  </w:tcBorders>
                  <w:shd w:val="clear" w:color="auto" w:fill="auto"/>
                  <w:noWrap/>
                  <w:vAlign w:val="center"/>
                  <w:hideMark/>
                </w:tcPr>
                <w:p w14:paraId="6F841383" w14:textId="77777777" w:rsidR="00AE2740" w:rsidRPr="009435C8" w:rsidRDefault="00AE2740" w:rsidP="002B7836">
                  <w:pPr>
                    <w:spacing w:after="0" w:line="240" w:lineRule="auto"/>
                    <w:jc w:val="right"/>
                    <w:rPr>
                      <w:rFonts w:ascii="Arial" w:eastAsia="Times New Roman" w:hAnsi="Arial" w:cs="Arial"/>
                      <w:sz w:val="20"/>
                      <w:szCs w:val="20"/>
                      <w:lang w:eastAsia="en-GB"/>
                    </w:rPr>
                  </w:pPr>
                  <w:r w:rsidRPr="009435C8">
                    <w:rPr>
                      <w:rFonts w:ascii="Arial" w:eastAsia="Times New Roman" w:hAnsi="Arial" w:cs="Arial"/>
                      <w:bCs/>
                      <w:sz w:val="20"/>
                      <w:szCs w:val="20"/>
                      <w:lang w:eastAsia="en-GB"/>
                    </w:rPr>
                    <w:t>2.3%</w:t>
                  </w:r>
                </w:p>
              </w:tc>
            </w:tr>
            <w:tr w:rsidR="00AE2740" w:rsidRPr="009435C8" w14:paraId="0C46DBFB" w14:textId="77777777" w:rsidTr="00454D0E">
              <w:trPr>
                <w:trHeight w:val="263"/>
              </w:trPr>
              <w:tc>
                <w:tcPr>
                  <w:tcW w:w="3868" w:type="dxa"/>
                  <w:tcBorders>
                    <w:top w:val="nil"/>
                    <w:left w:val="nil"/>
                    <w:bottom w:val="nil"/>
                    <w:right w:val="nil"/>
                  </w:tcBorders>
                  <w:shd w:val="clear" w:color="auto" w:fill="auto"/>
                  <w:noWrap/>
                  <w:vAlign w:val="center"/>
                  <w:hideMark/>
                </w:tcPr>
                <w:p w14:paraId="09136330" w14:textId="77777777" w:rsidR="00AE2740" w:rsidRPr="009435C8" w:rsidRDefault="00AE2740" w:rsidP="002B7836">
                  <w:pPr>
                    <w:spacing w:after="0" w:line="240" w:lineRule="auto"/>
                    <w:rPr>
                      <w:rFonts w:ascii="Arial" w:eastAsia="Times New Roman" w:hAnsi="Arial" w:cs="Arial"/>
                      <w:sz w:val="20"/>
                      <w:szCs w:val="20"/>
                      <w:lang w:eastAsia="en-GB"/>
                    </w:rPr>
                  </w:pPr>
                  <w:r w:rsidRPr="009435C8">
                    <w:rPr>
                      <w:rFonts w:ascii="Arial" w:eastAsia="Times New Roman" w:hAnsi="Arial" w:cs="Arial"/>
                      <w:sz w:val="20"/>
                      <w:szCs w:val="20"/>
                      <w:lang w:eastAsia="en-GB"/>
                    </w:rPr>
                    <w:t>Discount rate</w:t>
                  </w:r>
                </w:p>
              </w:tc>
              <w:tc>
                <w:tcPr>
                  <w:tcW w:w="284" w:type="dxa"/>
                  <w:tcBorders>
                    <w:top w:val="nil"/>
                    <w:left w:val="nil"/>
                    <w:bottom w:val="nil"/>
                    <w:right w:val="nil"/>
                  </w:tcBorders>
                  <w:shd w:val="clear" w:color="auto" w:fill="auto"/>
                  <w:noWrap/>
                  <w:vAlign w:val="bottom"/>
                  <w:hideMark/>
                </w:tcPr>
                <w:p w14:paraId="47D0DA0A" w14:textId="77777777" w:rsidR="00AE2740" w:rsidRPr="009435C8" w:rsidRDefault="00AE2740" w:rsidP="002B7836">
                  <w:pPr>
                    <w:spacing w:after="0" w:line="240" w:lineRule="auto"/>
                    <w:rPr>
                      <w:rFonts w:ascii="Arial" w:eastAsia="Times New Roman" w:hAnsi="Arial" w:cs="Arial"/>
                      <w:sz w:val="20"/>
                      <w:szCs w:val="20"/>
                      <w:lang w:eastAsia="en-GB"/>
                    </w:rPr>
                  </w:pPr>
                </w:p>
              </w:tc>
              <w:tc>
                <w:tcPr>
                  <w:tcW w:w="1255" w:type="dxa"/>
                  <w:tcBorders>
                    <w:top w:val="nil"/>
                    <w:left w:val="nil"/>
                    <w:bottom w:val="nil"/>
                    <w:right w:val="nil"/>
                  </w:tcBorders>
                  <w:shd w:val="clear" w:color="auto" w:fill="auto"/>
                  <w:noWrap/>
                  <w:vAlign w:val="bottom"/>
                  <w:hideMark/>
                </w:tcPr>
                <w:p w14:paraId="324994EA" w14:textId="77777777" w:rsidR="00AE2740" w:rsidRPr="009435C8" w:rsidRDefault="00AE2740" w:rsidP="002B7836">
                  <w:pPr>
                    <w:spacing w:after="0" w:line="240" w:lineRule="auto"/>
                    <w:rPr>
                      <w:rFonts w:ascii="Times New Roman" w:eastAsia="Times New Roman" w:hAnsi="Times New Roman" w:cs="Times New Roman"/>
                      <w:sz w:val="20"/>
                      <w:szCs w:val="20"/>
                      <w:lang w:eastAsia="en-GB"/>
                    </w:rPr>
                  </w:pPr>
                </w:p>
              </w:tc>
              <w:tc>
                <w:tcPr>
                  <w:tcW w:w="1009" w:type="dxa"/>
                  <w:tcBorders>
                    <w:top w:val="nil"/>
                    <w:left w:val="nil"/>
                    <w:bottom w:val="nil"/>
                    <w:right w:val="nil"/>
                  </w:tcBorders>
                  <w:shd w:val="clear" w:color="auto" w:fill="auto"/>
                  <w:noWrap/>
                  <w:vAlign w:val="bottom"/>
                  <w:hideMark/>
                </w:tcPr>
                <w:p w14:paraId="4BE2A255" w14:textId="77777777" w:rsidR="00AE2740" w:rsidRPr="009435C8" w:rsidRDefault="00AE2740" w:rsidP="002B7836">
                  <w:pPr>
                    <w:spacing w:after="0" w:line="240" w:lineRule="auto"/>
                    <w:rPr>
                      <w:rFonts w:ascii="Times New Roman" w:eastAsia="Times New Roman" w:hAnsi="Times New Roman" w:cs="Times New Roman"/>
                      <w:sz w:val="20"/>
                      <w:szCs w:val="20"/>
                      <w:lang w:eastAsia="en-GB"/>
                    </w:rPr>
                  </w:pPr>
                </w:p>
              </w:tc>
              <w:tc>
                <w:tcPr>
                  <w:tcW w:w="1359" w:type="dxa"/>
                  <w:tcBorders>
                    <w:top w:val="nil"/>
                    <w:left w:val="nil"/>
                    <w:bottom w:val="nil"/>
                    <w:right w:val="nil"/>
                  </w:tcBorders>
                  <w:shd w:val="clear" w:color="auto" w:fill="auto"/>
                  <w:noWrap/>
                  <w:vAlign w:val="center"/>
                  <w:hideMark/>
                </w:tcPr>
                <w:p w14:paraId="507A821A" w14:textId="77777777" w:rsidR="00AE2740" w:rsidRPr="009435C8" w:rsidRDefault="00AE2740" w:rsidP="002B7836">
                  <w:pPr>
                    <w:spacing w:after="0" w:line="240" w:lineRule="auto"/>
                    <w:jc w:val="right"/>
                    <w:rPr>
                      <w:rFonts w:ascii="Arial" w:eastAsia="Times New Roman" w:hAnsi="Arial" w:cs="Arial"/>
                      <w:b/>
                      <w:bCs/>
                      <w:sz w:val="20"/>
                      <w:szCs w:val="20"/>
                      <w:lang w:eastAsia="en-GB"/>
                    </w:rPr>
                  </w:pPr>
                  <w:r w:rsidRPr="009435C8">
                    <w:rPr>
                      <w:rFonts w:ascii="Arial" w:eastAsia="Times New Roman" w:hAnsi="Arial" w:cs="Arial"/>
                      <w:b/>
                      <w:bCs/>
                      <w:sz w:val="20"/>
                      <w:szCs w:val="20"/>
                      <w:lang w:eastAsia="en-GB"/>
                    </w:rPr>
                    <w:t>1.7%</w:t>
                  </w:r>
                </w:p>
              </w:tc>
              <w:tc>
                <w:tcPr>
                  <w:tcW w:w="1254" w:type="dxa"/>
                  <w:tcBorders>
                    <w:top w:val="nil"/>
                    <w:left w:val="nil"/>
                    <w:bottom w:val="nil"/>
                    <w:right w:val="nil"/>
                  </w:tcBorders>
                  <w:shd w:val="clear" w:color="auto" w:fill="auto"/>
                  <w:noWrap/>
                  <w:vAlign w:val="center"/>
                  <w:hideMark/>
                </w:tcPr>
                <w:p w14:paraId="06DDF684" w14:textId="77777777" w:rsidR="00AE2740" w:rsidRPr="009435C8" w:rsidRDefault="00AE2740" w:rsidP="002B7836">
                  <w:pPr>
                    <w:spacing w:after="0" w:line="240" w:lineRule="auto"/>
                    <w:jc w:val="right"/>
                    <w:rPr>
                      <w:rFonts w:ascii="Arial" w:eastAsia="Times New Roman" w:hAnsi="Arial" w:cs="Arial"/>
                      <w:sz w:val="20"/>
                      <w:szCs w:val="20"/>
                      <w:lang w:eastAsia="en-GB"/>
                    </w:rPr>
                  </w:pPr>
                  <w:r w:rsidRPr="009435C8">
                    <w:rPr>
                      <w:rFonts w:ascii="Arial" w:eastAsia="Times New Roman" w:hAnsi="Arial" w:cs="Arial"/>
                      <w:bCs/>
                      <w:sz w:val="20"/>
                      <w:szCs w:val="20"/>
                      <w:lang w:eastAsia="en-GB"/>
                    </w:rPr>
                    <w:t>1.9%</w:t>
                  </w:r>
                </w:p>
              </w:tc>
            </w:tr>
            <w:tr w:rsidR="00AE2740" w:rsidRPr="009435C8" w14:paraId="05EDECD2" w14:textId="77777777" w:rsidTr="00454D0E">
              <w:trPr>
                <w:trHeight w:val="263"/>
              </w:trPr>
              <w:tc>
                <w:tcPr>
                  <w:tcW w:w="3868" w:type="dxa"/>
                  <w:tcBorders>
                    <w:top w:val="nil"/>
                    <w:left w:val="nil"/>
                    <w:bottom w:val="nil"/>
                    <w:right w:val="nil"/>
                  </w:tcBorders>
                  <w:shd w:val="clear" w:color="auto" w:fill="auto"/>
                  <w:noWrap/>
                  <w:vAlign w:val="center"/>
                  <w:hideMark/>
                </w:tcPr>
                <w:p w14:paraId="1571DE3D" w14:textId="77777777" w:rsidR="00AE2740" w:rsidRPr="009435C8" w:rsidRDefault="00AE2740" w:rsidP="002B7836">
                  <w:pPr>
                    <w:spacing w:after="0" w:line="240" w:lineRule="auto"/>
                    <w:rPr>
                      <w:rFonts w:ascii="Arial" w:eastAsia="Times New Roman" w:hAnsi="Arial" w:cs="Arial"/>
                      <w:sz w:val="20"/>
                      <w:szCs w:val="20"/>
                      <w:lang w:eastAsia="en-GB"/>
                    </w:rPr>
                  </w:pPr>
                </w:p>
              </w:tc>
              <w:tc>
                <w:tcPr>
                  <w:tcW w:w="284" w:type="dxa"/>
                  <w:tcBorders>
                    <w:top w:val="nil"/>
                    <w:left w:val="nil"/>
                    <w:bottom w:val="nil"/>
                    <w:right w:val="nil"/>
                  </w:tcBorders>
                  <w:shd w:val="clear" w:color="auto" w:fill="auto"/>
                  <w:noWrap/>
                  <w:vAlign w:val="bottom"/>
                  <w:hideMark/>
                </w:tcPr>
                <w:p w14:paraId="4C678A86" w14:textId="77777777" w:rsidR="00AE2740" w:rsidRPr="009435C8" w:rsidRDefault="00AE2740" w:rsidP="002B7836">
                  <w:pPr>
                    <w:spacing w:after="0" w:line="240" w:lineRule="auto"/>
                    <w:rPr>
                      <w:rFonts w:ascii="Times New Roman" w:eastAsia="Times New Roman" w:hAnsi="Times New Roman" w:cs="Times New Roman"/>
                      <w:sz w:val="20"/>
                      <w:szCs w:val="20"/>
                      <w:lang w:eastAsia="en-GB"/>
                    </w:rPr>
                  </w:pPr>
                </w:p>
              </w:tc>
              <w:tc>
                <w:tcPr>
                  <w:tcW w:w="1255" w:type="dxa"/>
                  <w:tcBorders>
                    <w:top w:val="nil"/>
                    <w:left w:val="nil"/>
                    <w:bottom w:val="nil"/>
                    <w:right w:val="nil"/>
                  </w:tcBorders>
                  <w:shd w:val="clear" w:color="auto" w:fill="auto"/>
                  <w:noWrap/>
                  <w:vAlign w:val="bottom"/>
                  <w:hideMark/>
                </w:tcPr>
                <w:p w14:paraId="3B3A11A5" w14:textId="77777777" w:rsidR="00AE2740" w:rsidRPr="009435C8" w:rsidRDefault="00AE2740" w:rsidP="002B7836">
                  <w:pPr>
                    <w:spacing w:after="0" w:line="240" w:lineRule="auto"/>
                    <w:rPr>
                      <w:rFonts w:ascii="Times New Roman" w:eastAsia="Times New Roman" w:hAnsi="Times New Roman" w:cs="Times New Roman"/>
                      <w:sz w:val="20"/>
                      <w:szCs w:val="20"/>
                      <w:lang w:eastAsia="en-GB"/>
                    </w:rPr>
                  </w:pPr>
                </w:p>
              </w:tc>
              <w:tc>
                <w:tcPr>
                  <w:tcW w:w="1009" w:type="dxa"/>
                  <w:tcBorders>
                    <w:top w:val="nil"/>
                    <w:left w:val="nil"/>
                    <w:bottom w:val="nil"/>
                    <w:right w:val="nil"/>
                  </w:tcBorders>
                  <w:shd w:val="clear" w:color="auto" w:fill="auto"/>
                  <w:noWrap/>
                  <w:vAlign w:val="bottom"/>
                  <w:hideMark/>
                </w:tcPr>
                <w:p w14:paraId="3DC3AE0C" w14:textId="77777777" w:rsidR="00AE2740" w:rsidRPr="009435C8" w:rsidRDefault="00AE2740" w:rsidP="002B7836">
                  <w:pPr>
                    <w:spacing w:after="0" w:line="240" w:lineRule="auto"/>
                    <w:rPr>
                      <w:rFonts w:ascii="Times New Roman" w:eastAsia="Times New Roman" w:hAnsi="Times New Roman" w:cs="Times New Roman"/>
                      <w:sz w:val="20"/>
                      <w:szCs w:val="20"/>
                      <w:lang w:eastAsia="en-GB"/>
                    </w:rPr>
                  </w:pPr>
                </w:p>
              </w:tc>
              <w:tc>
                <w:tcPr>
                  <w:tcW w:w="1359" w:type="dxa"/>
                  <w:tcBorders>
                    <w:top w:val="nil"/>
                    <w:left w:val="nil"/>
                    <w:bottom w:val="nil"/>
                    <w:right w:val="nil"/>
                  </w:tcBorders>
                  <w:shd w:val="clear" w:color="auto" w:fill="auto"/>
                  <w:noWrap/>
                  <w:vAlign w:val="center"/>
                  <w:hideMark/>
                </w:tcPr>
                <w:p w14:paraId="16F8EAAA" w14:textId="77777777" w:rsidR="00AE2740" w:rsidRPr="009435C8" w:rsidRDefault="00AE2740" w:rsidP="002B7836">
                  <w:pPr>
                    <w:spacing w:after="0" w:line="240" w:lineRule="auto"/>
                    <w:jc w:val="right"/>
                    <w:rPr>
                      <w:rFonts w:ascii="Times New Roman" w:eastAsia="Times New Roman" w:hAnsi="Times New Roman" w:cs="Times New Roman"/>
                      <w:sz w:val="20"/>
                      <w:szCs w:val="20"/>
                      <w:lang w:eastAsia="en-GB"/>
                    </w:rPr>
                  </w:pPr>
                </w:p>
              </w:tc>
              <w:tc>
                <w:tcPr>
                  <w:tcW w:w="1254" w:type="dxa"/>
                  <w:tcBorders>
                    <w:top w:val="nil"/>
                    <w:left w:val="nil"/>
                    <w:bottom w:val="nil"/>
                    <w:right w:val="nil"/>
                  </w:tcBorders>
                  <w:shd w:val="clear" w:color="auto" w:fill="auto"/>
                  <w:noWrap/>
                  <w:vAlign w:val="center"/>
                  <w:hideMark/>
                </w:tcPr>
                <w:p w14:paraId="664F293D" w14:textId="77777777" w:rsidR="00AE2740" w:rsidRPr="009435C8" w:rsidRDefault="00AE2740" w:rsidP="002B7836">
                  <w:pPr>
                    <w:spacing w:after="0" w:line="240" w:lineRule="auto"/>
                    <w:jc w:val="right"/>
                    <w:rPr>
                      <w:rFonts w:ascii="Times New Roman" w:eastAsia="Times New Roman" w:hAnsi="Times New Roman" w:cs="Times New Roman"/>
                      <w:sz w:val="20"/>
                      <w:szCs w:val="20"/>
                      <w:lang w:eastAsia="en-GB"/>
                    </w:rPr>
                  </w:pPr>
                </w:p>
              </w:tc>
            </w:tr>
            <w:tr w:rsidR="00AE2740" w:rsidRPr="009435C8" w14:paraId="639F58BF" w14:textId="77777777" w:rsidTr="00454D0E">
              <w:trPr>
                <w:trHeight w:val="263"/>
              </w:trPr>
              <w:tc>
                <w:tcPr>
                  <w:tcW w:w="5407" w:type="dxa"/>
                  <w:gridSpan w:val="3"/>
                  <w:tcBorders>
                    <w:top w:val="nil"/>
                    <w:left w:val="nil"/>
                    <w:bottom w:val="nil"/>
                    <w:right w:val="nil"/>
                  </w:tcBorders>
                  <w:shd w:val="clear" w:color="auto" w:fill="auto"/>
                  <w:noWrap/>
                  <w:vAlign w:val="center"/>
                  <w:hideMark/>
                </w:tcPr>
                <w:p w14:paraId="13A2D7BC" w14:textId="77777777" w:rsidR="00AE2740" w:rsidRPr="009435C8" w:rsidRDefault="00AE2740" w:rsidP="002B7836">
                  <w:pPr>
                    <w:spacing w:after="0" w:line="240" w:lineRule="auto"/>
                    <w:rPr>
                      <w:rFonts w:ascii="Arial" w:eastAsia="Times New Roman" w:hAnsi="Arial" w:cs="Arial"/>
                      <w:sz w:val="20"/>
                      <w:szCs w:val="20"/>
                      <w:lang w:eastAsia="en-GB"/>
                    </w:rPr>
                  </w:pPr>
                  <w:r w:rsidRPr="009435C8">
                    <w:rPr>
                      <w:rFonts w:ascii="Arial" w:eastAsia="Times New Roman" w:hAnsi="Arial" w:cs="Arial"/>
                      <w:sz w:val="20"/>
                      <w:szCs w:val="20"/>
                      <w:lang w:eastAsia="en-GB"/>
                    </w:rPr>
                    <w:t>The mortality assumptions used were as follows:</w:t>
                  </w:r>
                </w:p>
              </w:tc>
              <w:tc>
                <w:tcPr>
                  <w:tcW w:w="1009" w:type="dxa"/>
                  <w:tcBorders>
                    <w:top w:val="nil"/>
                    <w:left w:val="nil"/>
                    <w:bottom w:val="nil"/>
                    <w:right w:val="nil"/>
                  </w:tcBorders>
                  <w:shd w:val="clear" w:color="auto" w:fill="auto"/>
                  <w:noWrap/>
                  <w:vAlign w:val="bottom"/>
                  <w:hideMark/>
                </w:tcPr>
                <w:p w14:paraId="693AF78C" w14:textId="77777777" w:rsidR="00AE2740" w:rsidRPr="009435C8" w:rsidRDefault="00AE2740" w:rsidP="002B7836">
                  <w:pPr>
                    <w:spacing w:after="0" w:line="240" w:lineRule="auto"/>
                    <w:rPr>
                      <w:rFonts w:ascii="Arial" w:eastAsia="Times New Roman" w:hAnsi="Arial" w:cs="Arial"/>
                      <w:sz w:val="20"/>
                      <w:szCs w:val="20"/>
                      <w:lang w:eastAsia="en-GB"/>
                    </w:rPr>
                  </w:pPr>
                </w:p>
              </w:tc>
              <w:tc>
                <w:tcPr>
                  <w:tcW w:w="1359" w:type="dxa"/>
                  <w:tcBorders>
                    <w:top w:val="nil"/>
                    <w:left w:val="nil"/>
                    <w:bottom w:val="nil"/>
                    <w:right w:val="nil"/>
                  </w:tcBorders>
                  <w:shd w:val="clear" w:color="auto" w:fill="auto"/>
                  <w:noWrap/>
                  <w:vAlign w:val="center"/>
                  <w:hideMark/>
                </w:tcPr>
                <w:p w14:paraId="1637B52A" w14:textId="77777777" w:rsidR="00AE2740" w:rsidRPr="009435C8" w:rsidRDefault="00AE2740" w:rsidP="002B7836">
                  <w:pPr>
                    <w:spacing w:after="0" w:line="240" w:lineRule="auto"/>
                    <w:jc w:val="right"/>
                    <w:rPr>
                      <w:rFonts w:ascii="Times New Roman" w:eastAsia="Times New Roman" w:hAnsi="Times New Roman" w:cs="Times New Roman"/>
                      <w:sz w:val="20"/>
                      <w:szCs w:val="20"/>
                      <w:lang w:eastAsia="en-GB"/>
                    </w:rPr>
                  </w:pPr>
                </w:p>
              </w:tc>
              <w:tc>
                <w:tcPr>
                  <w:tcW w:w="1254" w:type="dxa"/>
                  <w:tcBorders>
                    <w:top w:val="nil"/>
                    <w:left w:val="nil"/>
                    <w:bottom w:val="nil"/>
                    <w:right w:val="nil"/>
                  </w:tcBorders>
                  <w:shd w:val="clear" w:color="auto" w:fill="auto"/>
                  <w:noWrap/>
                  <w:vAlign w:val="center"/>
                  <w:hideMark/>
                </w:tcPr>
                <w:p w14:paraId="722DD709" w14:textId="77777777" w:rsidR="00AE2740" w:rsidRPr="009435C8" w:rsidRDefault="00AE2740" w:rsidP="002B7836">
                  <w:pPr>
                    <w:spacing w:after="0" w:line="240" w:lineRule="auto"/>
                    <w:jc w:val="right"/>
                    <w:rPr>
                      <w:rFonts w:ascii="Times New Roman" w:eastAsia="Times New Roman" w:hAnsi="Times New Roman" w:cs="Times New Roman"/>
                      <w:sz w:val="20"/>
                      <w:szCs w:val="20"/>
                      <w:lang w:eastAsia="en-GB"/>
                    </w:rPr>
                  </w:pPr>
                </w:p>
              </w:tc>
            </w:tr>
            <w:tr w:rsidR="00AE2740" w:rsidRPr="009435C8" w14:paraId="56E2E4F0" w14:textId="77777777" w:rsidTr="00454D0E">
              <w:trPr>
                <w:trHeight w:val="263"/>
              </w:trPr>
              <w:tc>
                <w:tcPr>
                  <w:tcW w:w="3868" w:type="dxa"/>
                  <w:tcBorders>
                    <w:top w:val="nil"/>
                    <w:left w:val="nil"/>
                    <w:bottom w:val="nil"/>
                    <w:right w:val="nil"/>
                  </w:tcBorders>
                  <w:shd w:val="clear" w:color="auto" w:fill="auto"/>
                  <w:noWrap/>
                  <w:vAlign w:val="center"/>
                  <w:hideMark/>
                </w:tcPr>
                <w:p w14:paraId="731C878D" w14:textId="77777777" w:rsidR="00AE2740" w:rsidRPr="009435C8" w:rsidRDefault="00AE2740" w:rsidP="002B7836">
                  <w:pPr>
                    <w:spacing w:after="0" w:line="240" w:lineRule="auto"/>
                    <w:rPr>
                      <w:rFonts w:ascii="Times New Roman" w:eastAsia="Times New Roman" w:hAnsi="Times New Roman" w:cs="Times New Roman"/>
                      <w:sz w:val="20"/>
                      <w:szCs w:val="20"/>
                      <w:lang w:eastAsia="en-GB"/>
                    </w:rPr>
                  </w:pPr>
                </w:p>
              </w:tc>
              <w:tc>
                <w:tcPr>
                  <w:tcW w:w="284" w:type="dxa"/>
                  <w:tcBorders>
                    <w:top w:val="nil"/>
                    <w:left w:val="nil"/>
                    <w:bottom w:val="nil"/>
                    <w:right w:val="nil"/>
                  </w:tcBorders>
                  <w:shd w:val="clear" w:color="auto" w:fill="auto"/>
                  <w:noWrap/>
                  <w:vAlign w:val="bottom"/>
                  <w:hideMark/>
                </w:tcPr>
                <w:p w14:paraId="28892934" w14:textId="77777777" w:rsidR="00AE2740" w:rsidRPr="009435C8" w:rsidRDefault="00AE2740" w:rsidP="002B7836">
                  <w:pPr>
                    <w:spacing w:after="0" w:line="240" w:lineRule="auto"/>
                    <w:rPr>
                      <w:rFonts w:ascii="Times New Roman" w:eastAsia="Times New Roman" w:hAnsi="Times New Roman" w:cs="Times New Roman"/>
                      <w:sz w:val="20"/>
                      <w:szCs w:val="20"/>
                      <w:lang w:eastAsia="en-GB"/>
                    </w:rPr>
                  </w:pPr>
                </w:p>
              </w:tc>
              <w:tc>
                <w:tcPr>
                  <w:tcW w:w="1255" w:type="dxa"/>
                  <w:tcBorders>
                    <w:top w:val="nil"/>
                    <w:left w:val="nil"/>
                    <w:bottom w:val="nil"/>
                    <w:right w:val="nil"/>
                  </w:tcBorders>
                  <w:shd w:val="clear" w:color="auto" w:fill="auto"/>
                  <w:noWrap/>
                  <w:vAlign w:val="bottom"/>
                  <w:hideMark/>
                </w:tcPr>
                <w:p w14:paraId="30FE88D5" w14:textId="77777777" w:rsidR="00AE2740" w:rsidRPr="009435C8" w:rsidRDefault="00AE2740" w:rsidP="002B7836">
                  <w:pPr>
                    <w:spacing w:after="0" w:line="240" w:lineRule="auto"/>
                    <w:rPr>
                      <w:rFonts w:ascii="Times New Roman" w:eastAsia="Times New Roman" w:hAnsi="Times New Roman" w:cs="Times New Roman"/>
                      <w:sz w:val="20"/>
                      <w:szCs w:val="20"/>
                      <w:lang w:eastAsia="en-GB"/>
                    </w:rPr>
                  </w:pPr>
                </w:p>
              </w:tc>
              <w:tc>
                <w:tcPr>
                  <w:tcW w:w="1009" w:type="dxa"/>
                  <w:tcBorders>
                    <w:top w:val="nil"/>
                    <w:left w:val="nil"/>
                    <w:bottom w:val="nil"/>
                    <w:right w:val="nil"/>
                  </w:tcBorders>
                  <w:shd w:val="clear" w:color="auto" w:fill="auto"/>
                  <w:noWrap/>
                  <w:vAlign w:val="bottom"/>
                  <w:hideMark/>
                </w:tcPr>
                <w:p w14:paraId="2FD41E29" w14:textId="77777777" w:rsidR="00AE2740" w:rsidRPr="009435C8" w:rsidRDefault="00AE2740" w:rsidP="002B7836">
                  <w:pPr>
                    <w:spacing w:after="0" w:line="240" w:lineRule="auto"/>
                    <w:rPr>
                      <w:rFonts w:ascii="Times New Roman" w:eastAsia="Times New Roman" w:hAnsi="Times New Roman" w:cs="Times New Roman"/>
                      <w:sz w:val="20"/>
                      <w:szCs w:val="20"/>
                      <w:lang w:eastAsia="en-GB"/>
                    </w:rPr>
                  </w:pPr>
                </w:p>
              </w:tc>
              <w:tc>
                <w:tcPr>
                  <w:tcW w:w="1359" w:type="dxa"/>
                  <w:tcBorders>
                    <w:top w:val="nil"/>
                    <w:left w:val="nil"/>
                    <w:bottom w:val="nil"/>
                    <w:right w:val="nil"/>
                  </w:tcBorders>
                  <w:shd w:val="clear" w:color="auto" w:fill="auto"/>
                  <w:noWrap/>
                  <w:vAlign w:val="center"/>
                  <w:hideMark/>
                </w:tcPr>
                <w:p w14:paraId="7795C902" w14:textId="77777777" w:rsidR="00AE2740" w:rsidRPr="009435C8" w:rsidRDefault="00AE2740" w:rsidP="002B7836">
                  <w:pPr>
                    <w:spacing w:after="0" w:line="240" w:lineRule="auto"/>
                    <w:jc w:val="right"/>
                    <w:rPr>
                      <w:rFonts w:ascii="Times New Roman" w:eastAsia="Times New Roman" w:hAnsi="Times New Roman" w:cs="Times New Roman"/>
                      <w:sz w:val="20"/>
                      <w:szCs w:val="20"/>
                      <w:lang w:eastAsia="en-GB"/>
                    </w:rPr>
                  </w:pPr>
                </w:p>
              </w:tc>
              <w:tc>
                <w:tcPr>
                  <w:tcW w:w="1254" w:type="dxa"/>
                  <w:tcBorders>
                    <w:top w:val="nil"/>
                    <w:left w:val="nil"/>
                    <w:bottom w:val="nil"/>
                    <w:right w:val="nil"/>
                  </w:tcBorders>
                  <w:shd w:val="clear" w:color="auto" w:fill="auto"/>
                  <w:noWrap/>
                  <w:vAlign w:val="center"/>
                  <w:hideMark/>
                </w:tcPr>
                <w:p w14:paraId="484D41D2" w14:textId="77777777" w:rsidR="00AE2740" w:rsidRPr="009435C8" w:rsidRDefault="00AE2740" w:rsidP="002B7836">
                  <w:pPr>
                    <w:spacing w:after="0" w:line="240" w:lineRule="auto"/>
                    <w:jc w:val="right"/>
                    <w:rPr>
                      <w:rFonts w:ascii="Times New Roman" w:eastAsia="Times New Roman" w:hAnsi="Times New Roman" w:cs="Times New Roman"/>
                      <w:sz w:val="20"/>
                      <w:szCs w:val="20"/>
                      <w:lang w:eastAsia="en-GB"/>
                    </w:rPr>
                  </w:pPr>
                </w:p>
              </w:tc>
            </w:tr>
            <w:tr w:rsidR="00AE2740" w:rsidRPr="009435C8" w14:paraId="7B851C91" w14:textId="77777777" w:rsidTr="00454D0E">
              <w:trPr>
                <w:trHeight w:val="263"/>
              </w:trPr>
              <w:tc>
                <w:tcPr>
                  <w:tcW w:w="3868" w:type="dxa"/>
                  <w:tcBorders>
                    <w:top w:val="nil"/>
                    <w:left w:val="nil"/>
                    <w:bottom w:val="nil"/>
                    <w:right w:val="nil"/>
                  </w:tcBorders>
                  <w:shd w:val="clear" w:color="auto" w:fill="auto"/>
                  <w:noWrap/>
                  <w:vAlign w:val="center"/>
                  <w:hideMark/>
                </w:tcPr>
                <w:p w14:paraId="5975A83F" w14:textId="77777777" w:rsidR="00AE2740" w:rsidRPr="009435C8" w:rsidRDefault="00AE2740" w:rsidP="002B7836">
                  <w:pPr>
                    <w:spacing w:after="0" w:line="240" w:lineRule="auto"/>
                    <w:rPr>
                      <w:rFonts w:ascii="Arial" w:eastAsia="Times New Roman" w:hAnsi="Arial" w:cs="Arial"/>
                      <w:sz w:val="20"/>
                      <w:szCs w:val="20"/>
                      <w:lang w:eastAsia="en-GB"/>
                    </w:rPr>
                  </w:pPr>
                  <w:r w:rsidRPr="009435C8">
                    <w:rPr>
                      <w:rFonts w:ascii="Arial" w:eastAsia="Times New Roman" w:hAnsi="Arial" w:cs="Arial"/>
                      <w:sz w:val="20"/>
                      <w:szCs w:val="20"/>
                      <w:lang w:eastAsia="en-GB"/>
                    </w:rPr>
                    <w:t>Longevity at age 65 for current pensioners</w:t>
                  </w:r>
                </w:p>
              </w:tc>
              <w:tc>
                <w:tcPr>
                  <w:tcW w:w="284" w:type="dxa"/>
                  <w:tcBorders>
                    <w:top w:val="nil"/>
                    <w:left w:val="nil"/>
                    <w:bottom w:val="nil"/>
                    <w:right w:val="nil"/>
                  </w:tcBorders>
                  <w:shd w:val="clear" w:color="auto" w:fill="auto"/>
                  <w:noWrap/>
                  <w:vAlign w:val="bottom"/>
                  <w:hideMark/>
                </w:tcPr>
                <w:p w14:paraId="11C469A8" w14:textId="77777777" w:rsidR="00AE2740" w:rsidRPr="009435C8" w:rsidRDefault="00AE2740" w:rsidP="002B7836">
                  <w:pPr>
                    <w:spacing w:after="0" w:line="240" w:lineRule="auto"/>
                    <w:rPr>
                      <w:rFonts w:ascii="Arial" w:eastAsia="Times New Roman" w:hAnsi="Arial" w:cs="Arial"/>
                      <w:sz w:val="20"/>
                      <w:szCs w:val="20"/>
                      <w:lang w:eastAsia="en-GB"/>
                    </w:rPr>
                  </w:pPr>
                </w:p>
              </w:tc>
              <w:tc>
                <w:tcPr>
                  <w:tcW w:w="1255" w:type="dxa"/>
                  <w:tcBorders>
                    <w:top w:val="nil"/>
                    <w:left w:val="nil"/>
                    <w:bottom w:val="nil"/>
                    <w:right w:val="nil"/>
                  </w:tcBorders>
                  <w:shd w:val="clear" w:color="auto" w:fill="auto"/>
                  <w:noWrap/>
                  <w:vAlign w:val="bottom"/>
                  <w:hideMark/>
                </w:tcPr>
                <w:p w14:paraId="371613AB" w14:textId="77777777" w:rsidR="00AE2740" w:rsidRPr="009435C8" w:rsidRDefault="00AE2740" w:rsidP="002B7836">
                  <w:pPr>
                    <w:spacing w:after="0" w:line="240" w:lineRule="auto"/>
                    <w:rPr>
                      <w:rFonts w:ascii="Times New Roman" w:eastAsia="Times New Roman" w:hAnsi="Times New Roman" w:cs="Times New Roman"/>
                      <w:sz w:val="20"/>
                      <w:szCs w:val="20"/>
                      <w:lang w:eastAsia="en-GB"/>
                    </w:rPr>
                  </w:pPr>
                </w:p>
              </w:tc>
              <w:tc>
                <w:tcPr>
                  <w:tcW w:w="1009" w:type="dxa"/>
                  <w:tcBorders>
                    <w:top w:val="nil"/>
                    <w:left w:val="nil"/>
                    <w:bottom w:val="nil"/>
                    <w:right w:val="nil"/>
                  </w:tcBorders>
                  <w:shd w:val="clear" w:color="auto" w:fill="auto"/>
                  <w:noWrap/>
                  <w:vAlign w:val="bottom"/>
                  <w:hideMark/>
                </w:tcPr>
                <w:p w14:paraId="64FD6574" w14:textId="77777777" w:rsidR="00AE2740" w:rsidRPr="009435C8" w:rsidRDefault="00AE2740" w:rsidP="002B7836">
                  <w:pPr>
                    <w:spacing w:after="0" w:line="240" w:lineRule="auto"/>
                    <w:rPr>
                      <w:rFonts w:ascii="Times New Roman" w:eastAsia="Times New Roman" w:hAnsi="Times New Roman" w:cs="Times New Roman"/>
                      <w:sz w:val="20"/>
                      <w:szCs w:val="20"/>
                      <w:lang w:eastAsia="en-GB"/>
                    </w:rPr>
                  </w:pPr>
                </w:p>
              </w:tc>
              <w:tc>
                <w:tcPr>
                  <w:tcW w:w="1359" w:type="dxa"/>
                  <w:tcBorders>
                    <w:top w:val="nil"/>
                    <w:left w:val="nil"/>
                    <w:bottom w:val="nil"/>
                    <w:right w:val="nil"/>
                  </w:tcBorders>
                  <w:shd w:val="clear" w:color="auto" w:fill="auto"/>
                  <w:noWrap/>
                  <w:vAlign w:val="center"/>
                  <w:hideMark/>
                </w:tcPr>
                <w:p w14:paraId="682A0747" w14:textId="77777777" w:rsidR="00AE2740" w:rsidRPr="009435C8" w:rsidRDefault="00AE2740" w:rsidP="002B7836">
                  <w:pPr>
                    <w:spacing w:after="0" w:line="240" w:lineRule="auto"/>
                    <w:jc w:val="right"/>
                    <w:rPr>
                      <w:rFonts w:ascii="Times New Roman" w:eastAsia="Times New Roman" w:hAnsi="Times New Roman" w:cs="Times New Roman"/>
                      <w:sz w:val="20"/>
                      <w:szCs w:val="20"/>
                      <w:lang w:eastAsia="en-GB"/>
                    </w:rPr>
                  </w:pPr>
                </w:p>
              </w:tc>
              <w:tc>
                <w:tcPr>
                  <w:tcW w:w="1254" w:type="dxa"/>
                  <w:tcBorders>
                    <w:top w:val="nil"/>
                    <w:left w:val="nil"/>
                    <w:bottom w:val="nil"/>
                    <w:right w:val="nil"/>
                  </w:tcBorders>
                  <w:shd w:val="clear" w:color="auto" w:fill="auto"/>
                  <w:noWrap/>
                  <w:vAlign w:val="center"/>
                  <w:hideMark/>
                </w:tcPr>
                <w:p w14:paraId="2F661D77" w14:textId="77777777" w:rsidR="00AE2740" w:rsidRPr="009435C8" w:rsidRDefault="00AE2740" w:rsidP="002B7836">
                  <w:pPr>
                    <w:spacing w:after="0" w:line="240" w:lineRule="auto"/>
                    <w:jc w:val="right"/>
                    <w:rPr>
                      <w:rFonts w:ascii="Times New Roman" w:eastAsia="Times New Roman" w:hAnsi="Times New Roman" w:cs="Times New Roman"/>
                      <w:sz w:val="20"/>
                      <w:szCs w:val="20"/>
                      <w:lang w:eastAsia="en-GB"/>
                    </w:rPr>
                  </w:pPr>
                </w:p>
              </w:tc>
            </w:tr>
            <w:tr w:rsidR="00AE2740" w:rsidRPr="009435C8" w14:paraId="3018B116" w14:textId="77777777" w:rsidTr="00454D0E">
              <w:trPr>
                <w:trHeight w:val="263"/>
              </w:trPr>
              <w:tc>
                <w:tcPr>
                  <w:tcW w:w="3868" w:type="dxa"/>
                  <w:tcBorders>
                    <w:top w:val="nil"/>
                    <w:left w:val="nil"/>
                    <w:bottom w:val="nil"/>
                    <w:right w:val="nil"/>
                  </w:tcBorders>
                  <w:shd w:val="clear" w:color="auto" w:fill="auto"/>
                  <w:noWrap/>
                  <w:vAlign w:val="center"/>
                  <w:hideMark/>
                </w:tcPr>
                <w:p w14:paraId="3CA5EBAD" w14:textId="77777777" w:rsidR="00AE2740" w:rsidRPr="009435C8" w:rsidRDefault="00AE2740" w:rsidP="002B7836">
                  <w:pPr>
                    <w:spacing w:after="0" w:line="240" w:lineRule="auto"/>
                    <w:rPr>
                      <w:rFonts w:ascii="Arial" w:eastAsia="Times New Roman" w:hAnsi="Arial" w:cs="Arial"/>
                      <w:sz w:val="20"/>
                      <w:szCs w:val="20"/>
                      <w:lang w:eastAsia="en-GB"/>
                    </w:rPr>
                  </w:pPr>
                  <w:r w:rsidRPr="009435C8">
                    <w:rPr>
                      <w:rFonts w:ascii="Arial" w:eastAsia="Times New Roman" w:hAnsi="Arial" w:cs="Arial"/>
                      <w:sz w:val="20"/>
                      <w:szCs w:val="20"/>
                      <w:lang w:eastAsia="en-GB"/>
                    </w:rPr>
                    <w:t>- Men</w:t>
                  </w:r>
                </w:p>
              </w:tc>
              <w:tc>
                <w:tcPr>
                  <w:tcW w:w="284" w:type="dxa"/>
                  <w:tcBorders>
                    <w:top w:val="nil"/>
                    <w:left w:val="nil"/>
                    <w:bottom w:val="nil"/>
                    <w:right w:val="nil"/>
                  </w:tcBorders>
                  <w:shd w:val="clear" w:color="auto" w:fill="auto"/>
                  <w:noWrap/>
                  <w:vAlign w:val="bottom"/>
                  <w:hideMark/>
                </w:tcPr>
                <w:p w14:paraId="444F0F35" w14:textId="77777777" w:rsidR="00AE2740" w:rsidRPr="009435C8" w:rsidRDefault="00AE2740" w:rsidP="002B7836">
                  <w:pPr>
                    <w:spacing w:after="0" w:line="240" w:lineRule="auto"/>
                    <w:rPr>
                      <w:rFonts w:ascii="Arial" w:eastAsia="Times New Roman" w:hAnsi="Arial" w:cs="Arial"/>
                      <w:sz w:val="20"/>
                      <w:szCs w:val="20"/>
                      <w:lang w:eastAsia="en-GB"/>
                    </w:rPr>
                  </w:pPr>
                </w:p>
              </w:tc>
              <w:tc>
                <w:tcPr>
                  <w:tcW w:w="1255" w:type="dxa"/>
                  <w:tcBorders>
                    <w:top w:val="nil"/>
                    <w:left w:val="nil"/>
                    <w:bottom w:val="nil"/>
                    <w:right w:val="nil"/>
                  </w:tcBorders>
                  <w:shd w:val="clear" w:color="auto" w:fill="auto"/>
                  <w:noWrap/>
                  <w:vAlign w:val="bottom"/>
                  <w:hideMark/>
                </w:tcPr>
                <w:p w14:paraId="28074969" w14:textId="77777777" w:rsidR="00AE2740" w:rsidRPr="009435C8" w:rsidRDefault="00AE2740" w:rsidP="002B7836">
                  <w:pPr>
                    <w:spacing w:after="0" w:line="240" w:lineRule="auto"/>
                    <w:rPr>
                      <w:rFonts w:ascii="Times New Roman" w:eastAsia="Times New Roman" w:hAnsi="Times New Roman" w:cs="Times New Roman"/>
                      <w:sz w:val="20"/>
                      <w:szCs w:val="20"/>
                      <w:lang w:eastAsia="en-GB"/>
                    </w:rPr>
                  </w:pPr>
                </w:p>
              </w:tc>
              <w:tc>
                <w:tcPr>
                  <w:tcW w:w="1009" w:type="dxa"/>
                  <w:tcBorders>
                    <w:top w:val="nil"/>
                    <w:left w:val="nil"/>
                    <w:bottom w:val="nil"/>
                    <w:right w:val="nil"/>
                  </w:tcBorders>
                  <w:shd w:val="clear" w:color="auto" w:fill="auto"/>
                  <w:noWrap/>
                  <w:vAlign w:val="bottom"/>
                  <w:hideMark/>
                </w:tcPr>
                <w:p w14:paraId="3A97FCDD" w14:textId="77777777" w:rsidR="00AE2740" w:rsidRPr="009435C8" w:rsidRDefault="00AE2740" w:rsidP="002B7836">
                  <w:pPr>
                    <w:spacing w:after="0" w:line="240" w:lineRule="auto"/>
                    <w:rPr>
                      <w:rFonts w:ascii="Times New Roman" w:eastAsia="Times New Roman" w:hAnsi="Times New Roman" w:cs="Times New Roman"/>
                      <w:sz w:val="20"/>
                      <w:szCs w:val="20"/>
                      <w:lang w:eastAsia="en-GB"/>
                    </w:rPr>
                  </w:pPr>
                </w:p>
              </w:tc>
              <w:tc>
                <w:tcPr>
                  <w:tcW w:w="1359" w:type="dxa"/>
                  <w:tcBorders>
                    <w:top w:val="nil"/>
                    <w:left w:val="nil"/>
                    <w:bottom w:val="nil"/>
                    <w:right w:val="nil"/>
                  </w:tcBorders>
                  <w:shd w:val="clear" w:color="auto" w:fill="auto"/>
                  <w:noWrap/>
                  <w:vAlign w:val="center"/>
                  <w:hideMark/>
                </w:tcPr>
                <w:p w14:paraId="73CC7B34" w14:textId="77777777" w:rsidR="00AE2740" w:rsidRPr="009435C8" w:rsidRDefault="00AE2740" w:rsidP="002B7836">
                  <w:pPr>
                    <w:spacing w:after="0" w:line="240" w:lineRule="auto"/>
                    <w:jc w:val="right"/>
                    <w:rPr>
                      <w:rFonts w:ascii="Arial" w:eastAsia="Times New Roman" w:hAnsi="Arial" w:cs="Arial"/>
                      <w:b/>
                      <w:bCs/>
                      <w:sz w:val="20"/>
                      <w:szCs w:val="20"/>
                      <w:lang w:eastAsia="en-GB"/>
                    </w:rPr>
                  </w:pPr>
                  <w:r w:rsidRPr="009435C8">
                    <w:rPr>
                      <w:rFonts w:ascii="Arial" w:eastAsia="Times New Roman" w:hAnsi="Arial" w:cs="Arial"/>
                      <w:b/>
                      <w:bCs/>
                      <w:sz w:val="20"/>
                      <w:szCs w:val="20"/>
                      <w:lang w:eastAsia="en-GB"/>
                    </w:rPr>
                    <w:t>86.2</w:t>
                  </w:r>
                </w:p>
              </w:tc>
              <w:tc>
                <w:tcPr>
                  <w:tcW w:w="1254" w:type="dxa"/>
                  <w:tcBorders>
                    <w:top w:val="nil"/>
                    <w:left w:val="nil"/>
                    <w:bottom w:val="nil"/>
                    <w:right w:val="nil"/>
                  </w:tcBorders>
                  <w:shd w:val="clear" w:color="auto" w:fill="auto"/>
                  <w:noWrap/>
                  <w:vAlign w:val="center"/>
                  <w:hideMark/>
                </w:tcPr>
                <w:p w14:paraId="069F80B1" w14:textId="77777777" w:rsidR="00AE2740" w:rsidRPr="009435C8" w:rsidRDefault="00AE2740" w:rsidP="002B7836">
                  <w:pPr>
                    <w:spacing w:after="0" w:line="240" w:lineRule="auto"/>
                    <w:jc w:val="right"/>
                    <w:rPr>
                      <w:rFonts w:ascii="Arial" w:eastAsia="Times New Roman" w:hAnsi="Arial" w:cs="Arial"/>
                      <w:bCs/>
                      <w:sz w:val="20"/>
                      <w:szCs w:val="20"/>
                      <w:lang w:eastAsia="en-GB"/>
                    </w:rPr>
                  </w:pPr>
                  <w:r w:rsidRPr="009435C8">
                    <w:rPr>
                      <w:rFonts w:ascii="Arial" w:eastAsia="Times New Roman" w:hAnsi="Arial" w:cs="Arial"/>
                      <w:bCs/>
                      <w:sz w:val="20"/>
                      <w:szCs w:val="20"/>
                      <w:lang w:eastAsia="en-GB"/>
                    </w:rPr>
                    <w:t>86.2</w:t>
                  </w:r>
                </w:p>
              </w:tc>
            </w:tr>
            <w:tr w:rsidR="00AE2740" w:rsidRPr="009435C8" w14:paraId="2CB178A7" w14:textId="77777777" w:rsidTr="00454D0E">
              <w:trPr>
                <w:trHeight w:val="263"/>
              </w:trPr>
              <w:tc>
                <w:tcPr>
                  <w:tcW w:w="3868" w:type="dxa"/>
                  <w:tcBorders>
                    <w:top w:val="nil"/>
                    <w:left w:val="nil"/>
                    <w:bottom w:val="nil"/>
                    <w:right w:val="nil"/>
                  </w:tcBorders>
                  <w:shd w:val="clear" w:color="auto" w:fill="auto"/>
                  <w:noWrap/>
                  <w:vAlign w:val="center"/>
                  <w:hideMark/>
                </w:tcPr>
                <w:p w14:paraId="3E4E67F8" w14:textId="77777777" w:rsidR="00AE2740" w:rsidRPr="009435C8" w:rsidRDefault="00AE2740" w:rsidP="002B7836">
                  <w:pPr>
                    <w:spacing w:after="0" w:line="240" w:lineRule="auto"/>
                    <w:rPr>
                      <w:rFonts w:ascii="Arial" w:eastAsia="Times New Roman" w:hAnsi="Arial" w:cs="Arial"/>
                      <w:sz w:val="20"/>
                      <w:szCs w:val="20"/>
                      <w:lang w:eastAsia="en-GB"/>
                    </w:rPr>
                  </w:pPr>
                  <w:r w:rsidRPr="009435C8">
                    <w:rPr>
                      <w:rFonts w:ascii="Arial" w:eastAsia="Times New Roman" w:hAnsi="Arial" w:cs="Arial"/>
                      <w:sz w:val="20"/>
                      <w:szCs w:val="20"/>
                      <w:lang w:eastAsia="en-GB"/>
                    </w:rPr>
                    <w:t>- Women</w:t>
                  </w:r>
                </w:p>
              </w:tc>
              <w:tc>
                <w:tcPr>
                  <w:tcW w:w="284" w:type="dxa"/>
                  <w:tcBorders>
                    <w:top w:val="nil"/>
                    <w:left w:val="nil"/>
                    <w:bottom w:val="nil"/>
                    <w:right w:val="nil"/>
                  </w:tcBorders>
                  <w:shd w:val="clear" w:color="auto" w:fill="auto"/>
                  <w:noWrap/>
                  <w:vAlign w:val="bottom"/>
                  <w:hideMark/>
                </w:tcPr>
                <w:p w14:paraId="60F759CD" w14:textId="77777777" w:rsidR="00AE2740" w:rsidRPr="009435C8" w:rsidRDefault="00AE2740" w:rsidP="002B7836">
                  <w:pPr>
                    <w:spacing w:after="0" w:line="240" w:lineRule="auto"/>
                    <w:rPr>
                      <w:rFonts w:ascii="Arial" w:eastAsia="Times New Roman" w:hAnsi="Arial" w:cs="Arial"/>
                      <w:sz w:val="20"/>
                      <w:szCs w:val="20"/>
                      <w:lang w:eastAsia="en-GB"/>
                    </w:rPr>
                  </w:pPr>
                </w:p>
              </w:tc>
              <w:tc>
                <w:tcPr>
                  <w:tcW w:w="1255" w:type="dxa"/>
                  <w:tcBorders>
                    <w:top w:val="nil"/>
                    <w:left w:val="nil"/>
                    <w:bottom w:val="nil"/>
                    <w:right w:val="nil"/>
                  </w:tcBorders>
                  <w:shd w:val="clear" w:color="auto" w:fill="auto"/>
                  <w:noWrap/>
                  <w:vAlign w:val="bottom"/>
                  <w:hideMark/>
                </w:tcPr>
                <w:p w14:paraId="0C3CFCF8" w14:textId="77777777" w:rsidR="00AE2740" w:rsidRPr="009435C8" w:rsidRDefault="00AE2740" w:rsidP="002B7836">
                  <w:pPr>
                    <w:spacing w:after="0" w:line="240" w:lineRule="auto"/>
                    <w:rPr>
                      <w:rFonts w:ascii="Times New Roman" w:eastAsia="Times New Roman" w:hAnsi="Times New Roman" w:cs="Times New Roman"/>
                      <w:sz w:val="20"/>
                      <w:szCs w:val="20"/>
                      <w:lang w:eastAsia="en-GB"/>
                    </w:rPr>
                  </w:pPr>
                </w:p>
              </w:tc>
              <w:tc>
                <w:tcPr>
                  <w:tcW w:w="1009" w:type="dxa"/>
                  <w:tcBorders>
                    <w:top w:val="nil"/>
                    <w:left w:val="nil"/>
                    <w:bottom w:val="nil"/>
                    <w:right w:val="nil"/>
                  </w:tcBorders>
                  <w:shd w:val="clear" w:color="auto" w:fill="auto"/>
                  <w:noWrap/>
                  <w:vAlign w:val="bottom"/>
                  <w:hideMark/>
                </w:tcPr>
                <w:p w14:paraId="1AC1745D" w14:textId="77777777" w:rsidR="00AE2740" w:rsidRPr="009435C8" w:rsidRDefault="00AE2740" w:rsidP="002B7836">
                  <w:pPr>
                    <w:spacing w:after="0" w:line="240" w:lineRule="auto"/>
                    <w:rPr>
                      <w:rFonts w:ascii="Times New Roman" w:eastAsia="Times New Roman" w:hAnsi="Times New Roman" w:cs="Times New Roman"/>
                      <w:sz w:val="20"/>
                      <w:szCs w:val="20"/>
                      <w:lang w:eastAsia="en-GB"/>
                    </w:rPr>
                  </w:pPr>
                </w:p>
              </w:tc>
              <w:tc>
                <w:tcPr>
                  <w:tcW w:w="1359" w:type="dxa"/>
                  <w:tcBorders>
                    <w:top w:val="nil"/>
                    <w:left w:val="nil"/>
                    <w:bottom w:val="nil"/>
                    <w:right w:val="nil"/>
                  </w:tcBorders>
                  <w:shd w:val="clear" w:color="auto" w:fill="auto"/>
                  <w:noWrap/>
                  <w:vAlign w:val="center"/>
                  <w:hideMark/>
                </w:tcPr>
                <w:p w14:paraId="0A99C517" w14:textId="77777777" w:rsidR="00AE2740" w:rsidRPr="009435C8" w:rsidRDefault="009435C8" w:rsidP="002B7836">
                  <w:pPr>
                    <w:spacing w:after="0" w:line="240" w:lineRule="auto"/>
                    <w:jc w:val="right"/>
                    <w:rPr>
                      <w:rFonts w:ascii="Arial" w:eastAsia="Times New Roman" w:hAnsi="Arial" w:cs="Arial"/>
                      <w:b/>
                      <w:bCs/>
                      <w:sz w:val="20"/>
                      <w:szCs w:val="20"/>
                      <w:lang w:eastAsia="en-GB"/>
                    </w:rPr>
                  </w:pPr>
                  <w:r w:rsidRPr="009435C8">
                    <w:rPr>
                      <w:rFonts w:ascii="Arial" w:eastAsia="Times New Roman" w:hAnsi="Arial" w:cs="Arial"/>
                      <w:b/>
                      <w:bCs/>
                      <w:sz w:val="20"/>
                      <w:szCs w:val="20"/>
                      <w:lang w:eastAsia="en-GB"/>
                    </w:rPr>
                    <w:t>88.6</w:t>
                  </w:r>
                </w:p>
              </w:tc>
              <w:tc>
                <w:tcPr>
                  <w:tcW w:w="1254" w:type="dxa"/>
                  <w:tcBorders>
                    <w:top w:val="nil"/>
                    <w:left w:val="nil"/>
                    <w:bottom w:val="nil"/>
                    <w:right w:val="nil"/>
                  </w:tcBorders>
                  <w:shd w:val="clear" w:color="auto" w:fill="auto"/>
                  <w:noWrap/>
                  <w:vAlign w:val="center"/>
                  <w:hideMark/>
                </w:tcPr>
                <w:p w14:paraId="482ACAC3" w14:textId="77777777" w:rsidR="00AE2740" w:rsidRPr="009435C8" w:rsidRDefault="00AE2740" w:rsidP="002B7836">
                  <w:pPr>
                    <w:spacing w:after="0" w:line="240" w:lineRule="auto"/>
                    <w:jc w:val="right"/>
                    <w:rPr>
                      <w:rFonts w:ascii="Arial" w:eastAsia="Times New Roman" w:hAnsi="Arial" w:cs="Arial"/>
                      <w:bCs/>
                      <w:sz w:val="20"/>
                      <w:szCs w:val="20"/>
                      <w:lang w:eastAsia="en-GB"/>
                    </w:rPr>
                  </w:pPr>
                  <w:r w:rsidRPr="009435C8">
                    <w:rPr>
                      <w:rFonts w:ascii="Arial" w:eastAsia="Times New Roman" w:hAnsi="Arial" w:cs="Arial"/>
                      <w:bCs/>
                      <w:sz w:val="20"/>
                      <w:szCs w:val="20"/>
                      <w:lang w:eastAsia="en-GB"/>
                    </w:rPr>
                    <w:t>88.5</w:t>
                  </w:r>
                </w:p>
              </w:tc>
            </w:tr>
            <w:tr w:rsidR="00AE2740" w:rsidRPr="009435C8" w14:paraId="06BF3E9C" w14:textId="77777777" w:rsidTr="00454D0E">
              <w:trPr>
                <w:trHeight w:val="263"/>
              </w:trPr>
              <w:tc>
                <w:tcPr>
                  <w:tcW w:w="3868" w:type="dxa"/>
                  <w:tcBorders>
                    <w:top w:val="nil"/>
                    <w:left w:val="nil"/>
                    <w:bottom w:val="nil"/>
                    <w:right w:val="nil"/>
                  </w:tcBorders>
                  <w:shd w:val="clear" w:color="auto" w:fill="auto"/>
                  <w:noWrap/>
                  <w:vAlign w:val="center"/>
                  <w:hideMark/>
                </w:tcPr>
                <w:p w14:paraId="2F6E6208" w14:textId="77777777" w:rsidR="00AE2740" w:rsidRPr="009435C8" w:rsidRDefault="00AE2740" w:rsidP="002B7836">
                  <w:pPr>
                    <w:spacing w:after="0" w:line="240" w:lineRule="auto"/>
                    <w:rPr>
                      <w:rFonts w:ascii="Arial" w:eastAsia="Times New Roman" w:hAnsi="Arial" w:cs="Arial"/>
                      <w:sz w:val="20"/>
                      <w:szCs w:val="20"/>
                      <w:lang w:eastAsia="en-GB"/>
                    </w:rPr>
                  </w:pPr>
                  <w:r w:rsidRPr="009435C8">
                    <w:rPr>
                      <w:rFonts w:ascii="Arial" w:eastAsia="Times New Roman" w:hAnsi="Arial" w:cs="Arial"/>
                      <w:sz w:val="20"/>
                      <w:szCs w:val="20"/>
                      <w:lang w:eastAsia="en-GB"/>
                    </w:rPr>
                    <w:t>Longevity at 65 for future pensioners:</w:t>
                  </w:r>
                </w:p>
              </w:tc>
              <w:tc>
                <w:tcPr>
                  <w:tcW w:w="284" w:type="dxa"/>
                  <w:tcBorders>
                    <w:top w:val="nil"/>
                    <w:left w:val="nil"/>
                    <w:bottom w:val="nil"/>
                    <w:right w:val="nil"/>
                  </w:tcBorders>
                  <w:shd w:val="clear" w:color="auto" w:fill="auto"/>
                  <w:noWrap/>
                  <w:vAlign w:val="bottom"/>
                  <w:hideMark/>
                </w:tcPr>
                <w:p w14:paraId="38B38BB2" w14:textId="77777777" w:rsidR="00AE2740" w:rsidRPr="009435C8" w:rsidRDefault="00AE2740" w:rsidP="002B7836">
                  <w:pPr>
                    <w:spacing w:after="0" w:line="240" w:lineRule="auto"/>
                    <w:rPr>
                      <w:rFonts w:ascii="Arial" w:eastAsia="Times New Roman" w:hAnsi="Arial" w:cs="Arial"/>
                      <w:sz w:val="20"/>
                      <w:szCs w:val="20"/>
                      <w:lang w:eastAsia="en-GB"/>
                    </w:rPr>
                  </w:pPr>
                </w:p>
              </w:tc>
              <w:tc>
                <w:tcPr>
                  <w:tcW w:w="1255" w:type="dxa"/>
                  <w:tcBorders>
                    <w:top w:val="nil"/>
                    <w:left w:val="nil"/>
                    <w:bottom w:val="nil"/>
                    <w:right w:val="nil"/>
                  </w:tcBorders>
                  <w:shd w:val="clear" w:color="auto" w:fill="auto"/>
                  <w:noWrap/>
                  <w:vAlign w:val="bottom"/>
                  <w:hideMark/>
                </w:tcPr>
                <w:p w14:paraId="5B030DBE" w14:textId="77777777" w:rsidR="00AE2740" w:rsidRPr="009435C8" w:rsidRDefault="00AE2740" w:rsidP="002B7836">
                  <w:pPr>
                    <w:spacing w:after="0" w:line="240" w:lineRule="auto"/>
                    <w:rPr>
                      <w:rFonts w:ascii="Times New Roman" w:eastAsia="Times New Roman" w:hAnsi="Times New Roman" w:cs="Times New Roman"/>
                      <w:sz w:val="20"/>
                      <w:szCs w:val="20"/>
                      <w:lang w:eastAsia="en-GB"/>
                    </w:rPr>
                  </w:pPr>
                </w:p>
              </w:tc>
              <w:tc>
                <w:tcPr>
                  <w:tcW w:w="1009" w:type="dxa"/>
                  <w:tcBorders>
                    <w:top w:val="nil"/>
                    <w:left w:val="nil"/>
                    <w:bottom w:val="nil"/>
                    <w:right w:val="nil"/>
                  </w:tcBorders>
                  <w:shd w:val="clear" w:color="auto" w:fill="auto"/>
                  <w:noWrap/>
                  <w:vAlign w:val="bottom"/>
                  <w:hideMark/>
                </w:tcPr>
                <w:p w14:paraId="1F332950" w14:textId="77777777" w:rsidR="00AE2740" w:rsidRPr="009435C8" w:rsidRDefault="00AE2740" w:rsidP="002B7836">
                  <w:pPr>
                    <w:spacing w:after="0" w:line="240" w:lineRule="auto"/>
                    <w:rPr>
                      <w:rFonts w:ascii="Times New Roman" w:eastAsia="Times New Roman" w:hAnsi="Times New Roman" w:cs="Times New Roman"/>
                      <w:sz w:val="20"/>
                      <w:szCs w:val="20"/>
                      <w:lang w:eastAsia="en-GB"/>
                    </w:rPr>
                  </w:pPr>
                </w:p>
              </w:tc>
              <w:tc>
                <w:tcPr>
                  <w:tcW w:w="1359" w:type="dxa"/>
                  <w:tcBorders>
                    <w:top w:val="nil"/>
                    <w:left w:val="nil"/>
                    <w:bottom w:val="nil"/>
                    <w:right w:val="nil"/>
                  </w:tcBorders>
                  <w:shd w:val="clear" w:color="auto" w:fill="auto"/>
                  <w:noWrap/>
                  <w:vAlign w:val="center"/>
                  <w:hideMark/>
                </w:tcPr>
                <w:p w14:paraId="08C49C23" w14:textId="77777777" w:rsidR="00AE2740" w:rsidRPr="009435C8" w:rsidRDefault="00AE2740" w:rsidP="002B7836">
                  <w:pPr>
                    <w:spacing w:after="0" w:line="240" w:lineRule="auto"/>
                    <w:jc w:val="right"/>
                    <w:rPr>
                      <w:rFonts w:ascii="Times New Roman" w:eastAsia="Times New Roman" w:hAnsi="Times New Roman" w:cs="Times New Roman"/>
                      <w:sz w:val="20"/>
                      <w:szCs w:val="20"/>
                      <w:lang w:eastAsia="en-GB"/>
                    </w:rPr>
                  </w:pPr>
                </w:p>
              </w:tc>
              <w:tc>
                <w:tcPr>
                  <w:tcW w:w="1254" w:type="dxa"/>
                  <w:tcBorders>
                    <w:top w:val="nil"/>
                    <w:left w:val="nil"/>
                    <w:bottom w:val="nil"/>
                    <w:right w:val="nil"/>
                  </w:tcBorders>
                  <w:shd w:val="clear" w:color="auto" w:fill="auto"/>
                  <w:noWrap/>
                  <w:vAlign w:val="center"/>
                  <w:hideMark/>
                </w:tcPr>
                <w:p w14:paraId="79A6956C" w14:textId="77777777" w:rsidR="00AE2740" w:rsidRPr="009435C8" w:rsidRDefault="00AE2740" w:rsidP="002B7836">
                  <w:pPr>
                    <w:spacing w:after="0" w:line="240" w:lineRule="auto"/>
                    <w:jc w:val="right"/>
                    <w:rPr>
                      <w:rFonts w:ascii="Times New Roman" w:eastAsia="Times New Roman" w:hAnsi="Times New Roman" w:cs="Times New Roman"/>
                      <w:sz w:val="20"/>
                      <w:szCs w:val="20"/>
                      <w:lang w:eastAsia="en-GB"/>
                    </w:rPr>
                  </w:pPr>
                </w:p>
              </w:tc>
            </w:tr>
            <w:tr w:rsidR="00AE2740" w:rsidRPr="009435C8" w14:paraId="4BF6530C" w14:textId="77777777" w:rsidTr="00454D0E">
              <w:trPr>
                <w:trHeight w:val="263"/>
              </w:trPr>
              <w:tc>
                <w:tcPr>
                  <w:tcW w:w="3868" w:type="dxa"/>
                  <w:tcBorders>
                    <w:top w:val="nil"/>
                    <w:left w:val="nil"/>
                    <w:bottom w:val="nil"/>
                    <w:right w:val="nil"/>
                  </w:tcBorders>
                  <w:shd w:val="clear" w:color="auto" w:fill="auto"/>
                  <w:noWrap/>
                  <w:vAlign w:val="center"/>
                  <w:hideMark/>
                </w:tcPr>
                <w:p w14:paraId="71D18936" w14:textId="77777777" w:rsidR="00AE2740" w:rsidRPr="009435C8" w:rsidRDefault="00AE2740" w:rsidP="002B7836">
                  <w:pPr>
                    <w:spacing w:after="0" w:line="240" w:lineRule="auto"/>
                    <w:rPr>
                      <w:rFonts w:ascii="Arial" w:eastAsia="Times New Roman" w:hAnsi="Arial" w:cs="Arial"/>
                      <w:sz w:val="20"/>
                      <w:szCs w:val="20"/>
                      <w:lang w:eastAsia="en-GB"/>
                    </w:rPr>
                  </w:pPr>
                  <w:r w:rsidRPr="009435C8">
                    <w:rPr>
                      <w:rFonts w:ascii="Arial" w:eastAsia="Times New Roman" w:hAnsi="Arial" w:cs="Arial"/>
                      <w:sz w:val="20"/>
                      <w:szCs w:val="20"/>
                      <w:lang w:eastAsia="en-GB"/>
                    </w:rPr>
                    <w:t>- Men</w:t>
                  </w:r>
                </w:p>
              </w:tc>
              <w:tc>
                <w:tcPr>
                  <w:tcW w:w="284" w:type="dxa"/>
                  <w:tcBorders>
                    <w:top w:val="nil"/>
                    <w:left w:val="nil"/>
                    <w:bottom w:val="nil"/>
                    <w:right w:val="nil"/>
                  </w:tcBorders>
                  <w:shd w:val="clear" w:color="auto" w:fill="auto"/>
                  <w:noWrap/>
                  <w:vAlign w:val="bottom"/>
                  <w:hideMark/>
                </w:tcPr>
                <w:p w14:paraId="0E89D2B5" w14:textId="77777777" w:rsidR="00AE2740" w:rsidRPr="009435C8" w:rsidRDefault="00AE2740" w:rsidP="002B7836">
                  <w:pPr>
                    <w:spacing w:after="0" w:line="240" w:lineRule="auto"/>
                    <w:rPr>
                      <w:rFonts w:ascii="Arial" w:eastAsia="Times New Roman" w:hAnsi="Arial" w:cs="Arial"/>
                      <w:sz w:val="20"/>
                      <w:szCs w:val="20"/>
                      <w:lang w:eastAsia="en-GB"/>
                    </w:rPr>
                  </w:pPr>
                </w:p>
              </w:tc>
              <w:tc>
                <w:tcPr>
                  <w:tcW w:w="1255" w:type="dxa"/>
                  <w:tcBorders>
                    <w:top w:val="nil"/>
                    <w:left w:val="nil"/>
                    <w:bottom w:val="nil"/>
                    <w:right w:val="nil"/>
                  </w:tcBorders>
                  <w:shd w:val="clear" w:color="auto" w:fill="auto"/>
                  <w:noWrap/>
                  <w:vAlign w:val="bottom"/>
                  <w:hideMark/>
                </w:tcPr>
                <w:p w14:paraId="5865276B" w14:textId="77777777" w:rsidR="00AE2740" w:rsidRPr="009435C8" w:rsidRDefault="00AE2740" w:rsidP="002B7836">
                  <w:pPr>
                    <w:spacing w:after="0" w:line="240" w:lineRule="auto"/>
                    <w:rPr>
                      <w:rFonts w:ascii="Times New Roman" w:eastAsia="Times New Roman" w:hAnsi="Times New Roman" w:cs="Times New Roman"/>
                      <w:sz w:val="20"/>
                      <w:szCs w:val="20"/>
                      <w:lang w:eastAsia="en-GB"/>
                    </w:rPr>
                  </w:pPr>
                </w:p>
              </w:tc>
              <w:tc>
                <w:tcPr>
                  <w:tcW w:w="1009" w:type="dxa"/>
                  <w:tcBorders>
                    <w:top w:val="nil"/>
                    <w:left w:val="nil"/>
                    <w:bottom w:val="nil"/>
                    <w:right w:val="nil"/>
                  </w:tcBorders>
                  <w:shd w:val="clear" w:color="auto" w:fill="auto"/>
                  <w:noWrap/>
                  <w:vAlign w:val="bottom"/>
                  <w:hideMark/>
                </w:tcPr>
                <w:p w14:paraId="3BA62085" w14:textId="77777777" w:rsidR="00AE2740" w:rsidRPr="009435C8" w:rsidRDefault="00AE2740" w:rsidP="002B7836">
                  <w:pPr>
                    <w:spacing w:after="0" w:line="240" w:lineRule="auto"/>
                    <w:rPr>
                      <w:rFonts w:ascii="Times New Roman" w:eastAsia="Times New Roman" w:hAnsi="Times New Roman" w:cs="Times New Roman"/>
                      <w:sz w:val="20"/>
                      <w:szCs w:val="20"/>
                      <w:lang w:eastAsia="en-GB"/>
                    </w:rPr>
                  </w:pPr>
                </w:p>
              </w:tc>
              <w:tc>
                <w:tcPr>
                  <w:tcW w:w="1359" w:type="dxa"/>
                  <w:tcBorders>
                    <w:top w:val="nil"/>
                    <w:left w:val="nil"/>
                    <w:bottom w:val="nil"/>
                    <w:right w:val="nil"/>
                  </w:tcBorders>
                  <w:shd w:val="clear" w:color="auto" w:fill="auto"/>
                  <w:noWrap/>
                  <w:vAlign w:val="center"/>
                  <w:hideMark/>
                </w:tcPr>
                <w:p w14:paraId="6F3A5053" w14:textId="77777777" w:rsidR="00AE2740" w:rsidRPr="009435C8" w:rsidRDefault="00AE2740" w:rsidP="002B7836">
                  <w:pPr>
                    <w:spacing w:after="0" w:line="240" w:lineRule="auto"/>
                    <w:jc w:val="right"/>
                    <w:rPr>
                      <w:rFonts w:ascii="Arial" w:eastAsia="Times New Roman" w:hAnsi="Arial" w:cs="Arial"/>
                      <w:b/>
                      <w:bCs/>
                      <w:sz w:val="20"/>
                      <w:szCs w:val="20"/>
                      <w:lang w:eastAsia="en-GB"/>
                    </w:rPr>
                  </w:pPr>
                  <w:r w:rsidRPr="009435C8">
                    <w:rPr>
                      <w:rFonts w:ascii="Arial" w:eastAsia="Times New Roman" w:hAnsi="Arial" w:cs="Arial"/>
                      <w:b/>
                      <w:bCs/>
                      <w:sz w:val="20"/>
                      <w:szCs w:val="20"/>
                      <w:lang w:eastAsia="en-GB"/>
                    </w:rPr>
                    <w:t>86.9</w:t>
                  </w:r>
                </w:p>
              </w:tc>
              <w:tc>
                <w:tcPr>
                  <w:tcW w:w="1254" w:type="dxa"/>
                  <w:tcBorders>
                    <w:top w:val="nil"/>
                    <w:left w:val="nil"/>
                    <w:bottom w:val="nil"/>
                    <w:right w:val="nil"/>
                  </w:tcBorders>
                  <w:shd w:val="clear" w:color="auto" w:fill="auto"/>
                  <w:noWrap/>
                  <w:vAlign w:val="center"/>
                  <w:hideMark/>
                </w:tcPr>
                <w:p w14:paraId="2B288155" w14:textId="77777777" w:rsidR="00AE2740" w:rsidRPr="009435C8" w:rsidRDefault="00AE2740" w:rsidP="002B7836">
                  <w:pPr>
                    <w:spacing w:after="0" w:line="240" w:lineRule="auto"/>
                    <w:jc w:val="right"/>
                    <w:rPr>
                      <w:rFonts w:ascii="Arial" w:eastAsia="Times New Roman" w:hAnsi="Arial" w:cs="Arial"/>
                      <w:bCs/>
                      <w:sz w:val="20"/>
                      <w:szCs w:val="20"/>
                      <w:lang w:eastAsia="en-GB"/>
                    </w:rPr>
                  </w:pPr>
                  <w:r w:rsidRPr="009435C8">
                    <w:rPr>
                      <w:rFonts w:ascii="Arial" w:eastAsia="Times New Roman" w:hAnsi="Arial" w:cs="Arial"/>
                      <w:bCs/>
                      <w:sz w:val="20"/>
                      <w:szCs w:val="20"/>
                      <w:lang w:eastAsia="en-GB"/>
                    </w:rPr>
                    <w:t>87.1</w:t>
                  </w:r>
                </w:p>
              </w:tc>
            </w:tr>
            <w:tr w:rsidR="00AE2740" w:rsidRPr="009435C8" w14:paraId="202AF107" w14:textId="77777777" w:rsidTr="00454D0E">
              <w:trPr>
                <w:trHeight w:val="263"/>
              </w:trPr>
              <w:tc>
                <w:tcPr>
                  <w:tcW w:w="3868" w:type="dxa"/>
                  <w:tcBorders>
                    <w:top w:val="nil"/>
                    <w:left w:val="nil"/>
                    <w:bottom w:val="single" w:sz="4" w:space="0" w:color="auto"/>
                    <w:right w:val="nil"/>
                  </w:tcBorders>
                  <w:shd w:val="clear" w:color="auto" w:fill="auto"/>
                  <w:noWrap/>
                  <w:vAlign w:val="center"/>
                  <w:hideMark/>
                </w:tcPr>
                <w:p w14:paraId="43DCE3E7" w14:textId="77777777" w:rsidR="00AE2740" w:rsidRPr="009435C8" w:rsidRDefault="00AE2740" w:rsidP="002B7836">
                  <w:pPr>
                    <w:spacing w:after="0" w:line="240" w:lineRule="auto"/>
                    <w:rPr>
                      <w:rFonts w:ascii="Arial" w:eastAsia="Times New Roman" w:hAnsi="Arial" w:cs="Arial"/>
                      <w:sz w:val="20"/>
                      <w:szCs w:val="20"/>
                      <w:lang w:eastAsia="en-GB"/>
                    </w:rPr>
                  </w:pPr>
                  <w:r w:rsidRPr="009435C8">
                    <w:rPr>
                      <w:rFonts w:ascii="Arial" w:eastAsia="Times New Roman" w:hAnsi="Arial" w:cs="Arial"/>
                      <w:sz w:val="20"/>
                      <w:szCs w:val="20"/>
                      <w:lang w:eastAsia="en-GB"/>
                    </w:rPr>
                    <w:t>- Women</w:t>
                  </w:r>
                </w:p>
              </w:tc>
              <w:tc>
                <w:tcPr>
                  <w:tcW w:w="284" w:type="dxa"/>
                  <w:tcBorders>
                    <w:top w:val="nil"/>
                    <w:left w:val="nil"/>
                    <w:bottom w:val="single" w:sz="4" w:space="0" w:color="auto"/>
                    <w:right w:val="nil"/>
                  </w:tcBorders>
                  <w:shd w:val="clear" w:color="auto" w:fill="auto"/>
                  <w:noWrap/>
                  <w:vAlign w:val="bottom"/>
                  <w:hideMark/>
                </w:tcPr>
                <w:p w14:paraId="0C1FE804" w14:textId="77777777" w:rsidR="00AE2740" w:rsidRPr="009435C8" w:rsidRDefault="00AE2740" w:rsidP="002B7836">
                  <w:pPr>
                    <w:spacing w:after="0" w:line="240" w:lineRule="auto"/>
                    <w:rPr>
                      <w:rFonts w:ascii="Arial" w:eastAsia="Times New Roman" w:hAnsi="Arial" w:cs="Arial"/>
                      <w:sz w:val="20"/>
                      <w:szCs w:val="20"/>
                      <w:lang w:eastAsia="en-GB"/>
                    </w:rPr>
                  </w:pPr>
                  <w:r w:rsidRPr="009435C8">
                    <w:rPr>
                      <w:rFonts w:ascii="Arial" w:eastAsia="Times New Roman" w:hAnsi="Arial" w:cs="Arial"/>
                      <w:sz w:val="20"/>
                      <w:szCs w:val="20"/>
                      <w:lang w:eastAsia="en-GB"/>
                    </w:rPr>
                    <w:t> </w:t>
                  </w:r>
                </w:p>
              </w:tc>
              <w:tc>
                <w:tcPr>
                  <w:tcW w:w="1255" w:type="dxa"/>
                  <w:tcBorders>
                    <w:top w:val="nil"/>
                    <w:left w:val="nil"/>
                    <w:bottom w:val="single" w:sz="4" w:space="0" w:color="auto"/>
                    <w:right w:val="nil"/>
                  </w:tcBorders>
                  <w:shd w:val="clear" w:color="auto" w:fill="auto"/>
                  <w:noWrap/>
                  <w:vAlign w:val="bottom"/>
                  <w:hideMark/>
                </w:tcPr>
                <w:p w14:paraId="3F14A5CA" w14:textId="77777777" w:rsidR="00AE2740" w:rsidRPr="009435C8" w:rsidRDefault="00AE2740" w:rsidP="002B7836">
                  <w:pPr>
                    <w:spacing w:after="0" w:line="240" w:lineRule="auto"/>
                    <w:rPr>
                      <w:rFonts w:ascii="Arial" w:eastAsia="Times New Roman" w:hAnsi="Arial" w:cs="Arial"/>
                      <w:sz w:val="20"/>
                      <w:szCs w:val="20"/>
                      <w:lang w:eastAsia="en-GB"/>
                    </w:rPr>
                  </w:pPr>
                  <w:r w:rsidRPr="009435C8">
                    <w:rPr>
                      <w:rFonts w:ascii="Arial" w:eastAsia="Times New Roman" w:hAnsi="Arial" w:cs="Arial"/>
                      <w:sz w:val="20"/>
                      <w:szCs w:val="20"/>
                      <w:lang w:eastAsia="en-GB"/>
                    </w:rPr>
                    <w:t> </w:t>
                  </w:r>
                </w:p>
              </w:tc>
              <w:tc>
                <w:tcPr>
                  <w:tcW w:w="1009" w:type="dxa"/>
                  <w:tcBorders>
                    <w:top w:val="nil"/>
                    <w:left w:val="nil"/>
                    <w:bottom w:val="single" w:sz="4" w:space="0" w:color="auto"/>
                    <w:right w:val="nil"/>
                  </w:tcBorders>
                  <w:shd w:val="clear" w:color="auto" w:fill="auto"/>
                  <w:noWrap/>
                  <w:vAlign w:val="bottom"/>
                  <w:hideMark/>
                </w:tcPr>
                <w:p w14:paraId="1629030A" w14:textId="77777777" w:rsidR="00AE2740" w:rsidRPr="009435C8" w:rsidRDefault="00AE2740" w:rsidP="002B7836">
                  <w:pPr>
                    <w:spacing w:after="0" w:line="240" w:lineRule="auto"/>
                    <w:rPr>
                      <w:rFonts w:ascii="Arial" w:eastAsia="Times New Roman" w:hAnsi="Arial" w:cs="Arial"/>
                      <w:sz w:val="20"/>
                      <w:szCs w:val="20"/>
                      <w:lang w:eastAsia="en-GB"/>
                    </w:rPr>
                  </w:pPr>
                  <w:r w:rsidRPr="009435C8">
                    <w:rPr>
                      <w:rFonts w:ascii="Arial" w:eastAsia="Times New Roman" w:hAnsi="Arial" w:cs="Arial"/>
                      <w:sz w:val="20"/>
                      <w:szCs w:val="20"/>
                      <w:lang w:eastAsia="en-GB"/>
                    </w:rPr>
                    <w:t> </w:t>
                  </w:r>
                </w:p>
              </w:tc>
              <w:tc>
                <w:tcPr>
                  <w:tcW w:w="1359" w:type="dxa"/>
                  <w:tcBorders>
                    <w:top w:val="nil"/>
                    <w:left w:val="nil"/>
                    <w:bottom w:val="single" w:sz="4" w:space="0" w:color="auto"/>
                    <w:right w:val="nil"/>
                  </w:tcBorders>
                  <w:shd w:val="clear" w:color="auto" w:fill="auto"/>
                  <w:noWrap/>
                  <w:vAlign w:val="center"/>
                  <w:hideMark/>
                </w:tcPr>
                <w:p w14:paraId="3E664324" w14:textId="77777777" w:rsidR="00AE2740" w:rsidRPr="009435C8" w:rsidRDefault="00AE2740" w:rsidP="002B7836">
                  <w:pPr>
                    <w:spacing w:after="0" w:line="240" w:lineRule="auto"/>
                    <w:jc w:val="right"/>
                    <w:rPr>
                      <w:rFonts w:ascii="Arial" w:eastAsia="Times New Roman" w:hAnsi="Arial" w:cs="Arial"/>
                      <w:b/>
                      <w:bCs/>
                      <w:sz w:val="20"/>
                      <w:szCs w:val="20"/>
                      <w:lang w:eastAsia="en-GB"/>
                    </w:rPr>
                  </w:pPr>
                  <w:r w:rsidRPr="009435C8">
                    <w:rPr>
                      <w:rFonts w:ascii="Arial" w:eastAsia="Times New Roman" w:hAnsi="Arial" w:cs="Arial"/>
                      <w:b/>
                      <w:bCs/>
                      <w:sz w:val="20"/>
                      <w:szCs w:val="20"/>
                      <w:lang w:eastAsia="en-GB"/>
                    </w:rPr>
                    <w:t>90.0</w:t>
                  </w:r>
                </w:p>
              </w:tc>
              <w:tc>
                <w:tcPr>
                  <w:tcW w:w="1254" w:type="dxa"/>
                  <w:tcBorders>
                    <w:top w:val="nil"/>
                    <w:left w:val="nil"/>
                    <w:bottom w:val="single" w:sz="4" w:space="0" w:color="auto"/>
                    <w:right w:val="nil"/>
                  </w:tcBorders>
                  <w:shd w:val="clear" w:color="auto" w:fill="auto"/>
                  <w:noWrap/>
                  <w:vAlign w:val="center"/>
                  <w:hideMark/>
                </w:tcPr>
                <w:p w14:paraId="742A91DE" w14:textId="77777777" w:rsidR="00AE2740" w:rsidRPr="009435C8" w:rsidRDefault="00AE2740" w:rsidP="002B7836">
                  <w:pPr>
                    <w:spacing w:after="0" w:line="240" w:lineRule="auto"/>
                    <w:jc w:val="right"/>
                    <w:rPr>
                      <w:rFonts w:ascii="Arial" w:eastAsia="Times New Roman" w:hAnsi="Arial" w:cs="Arial"/>
                      <w:bCs/>
                      <w:sz w:val="20"/>
                      <w:szCs w:val="20"/>
                      <w:lang w:eastAsia="en-GB"/>
                    </w:rPr>
                  </w:pPr>
                  <w:r w:rsidRPr="009435C8">
                    <w:rPr>
                      <w:rFonts w:ascii="Arial" w:eastAsia="Times New Roman" w:hAnsi="Arial" w:cs="Arial"/>
                      <w:bCs/>
                      <w:sz w:val="20"/>
                      <w:szCs w:val="20"/>
                      <w:lang w:eastAsia="en-GB"/>
                    </w:rPr>
                    <w:t>90.0</w:t>
                  </w:r>
                </w:p>
              </w:tc>
            </w:tr>
          </w:tbl>
          <w:p w14:paraId="2A6D6B4B" w14:textId="77777777" w:rsidR="00AE2740" w:rsidRPr="009435C8" w:rsidRDefault="00AE2740" w:rsidP="002B7836">
            <w:pPr>
              <w:spacing w:after="0" w:line="240" w:lineRule="auto"/>
              <w:rPr>
                <w:rFonts w:ascii="Arial" w:eastAsia="Times New Roman" w:hAnsi="Arial" w:cs="Arial"/>
                <w:sz w:val="20"/>
                <w:szCs w:val="20"/>
                <w:lang w:eastAsia="en-GB"/>
              </w:rPr>
            </w:pPr>
          </w:p>
        </w:tc>
      </w:tr>
    </w:tbl>
    <w:p w14:paraId="6E5CD2A0" w14:textId="77777777" w:rsidR="002E0F29" w:rsidRDefault="002E0F29" w:rsidP="006C07DD">
      <w:pPr>
        <w:spacing w:after="0" w:line="240" w:lineRule="auto"/>
        <w:rPr>
          <w:rFonts w:ascii="Arial" w:hAnsi="Arial" w:cs="Arial"/>
          <w:b/>
          <w:i/>
          <w:sz w:val="24"/>
          <w:szCs w:val="24"/>
        </w:rPr>
      </w:pPr>
    </w:p>
    <w:p w14:paraId="7A09369D" w14:textId="77777777" w:rsidR="002E0F29" w:rsidRDefault="002E0F29" w:rsidP="006C07DD">
      <w:pPr>
        <w:spacing w:after="0" w:line="240" w:lineRule="auto"/>
        <w:rPr>
          <w:rFonts w:ascii="Arial" w:hAnsi="Arial" w:cs="Arial"/>
          <w:b/>
          <w:i/>
          <w:sz w:val="24"/>
          <w:szCs w:val="24"/>
        </w:rPr>
      </w:pPr>
    </w:p>
    <w:p w14:paraId="4E8113DB" w14:textId="77777777" w:rsidR="002E0F29" w:rsidRDefault="002E0F29" w:rsidP="006C07DD">
      <w:pPr>
        <w:spacing w:after="0" w:line="240" w:lineRule="auto"/>
        <w:rPr>
          <w:rFonts w:ascii="Arial" w:hAnsi="Arial" w:cs="Arial"/>
          <w:b/>
          <w:i/>
          <w:sz w:val="24"/>
          <w:szCs w:val="24"/>
        </w:rPr>
      </w:pPr>
    </w:p>
    <w:p w14:paraId="48E384E9" w14:textId="77777777" w:rsidR="002E0F29" w:rsidRDefault="002E0F29" w:rsidP="006C07DD">
      <w:pPr>
        <w:spacing w:after="0" w:line="240" w:lineRule="auto"/>
        <w:rPr>
          <w:rFonts w:ascii="Arial" w:hAnsi="Arial" w:cs="Arial"/>
          <w:b/>
          <w:i/>
          <w:sz w:val="24"/>
          <w:szCs w:val="24"/>
        </w:rPr>
      </w:pPr>
    </w:p>
    <w:p w14:paraId="5B6EBC01" w14:textId="77777777" w:rsidR="002E0F29" w:rsidRDefault="002E0F29" w:rsidP="006C07DD">
      <w:pPr>
        <w:spacing w:after="0" w:line="240" w:lineRule="auto"/>
        <w:rPr>
          <w:rFonts w:ascii="Arial" w:hAnsi="Arial" w:cs="Arial"/>
          <w:b/>
          <w:i/>
          <w:sz w:val="24"/>
          <w:szCs w:val="24"/>
        </w:rPr>
      </w:pPr>
    </w:p>
    <w:p w14:paraId="422F58A4" w14:textId="77777777" w:rsidR="002E0F29" w:rsidRDefault="002E0F29" w:rsidP="006C07DD">
      <w:pPr>
        <w:spacing w:after="0" w:line="240" w:lineRule="auto"/>
        <w:rPr>
          <w:rFonts w:ascii="Arial" w:hAnsi="Arial" w:cs="Arial"/>
          <w:b/>
          <w:i/>
          <w:sz w:val="24"/>
          <w:szCs w:val="24"/>
        </w:rPr>
      </w:pPr>
    </w:p>
    <w:p w14:paraId="2D686319" w14:textId="77777777" w:rsidR="002E0F29" w:rsidRDefault="002E0F29" w:rsidP="006C07DD">
      <w:pPr>
        <w:spacing w:after="0" w:line="240" w:lineRule="auto"/>
        <w:rPr>
          <w:rFonts w:ascii="Arial" w:hAnsi="Arial" w:cs="Arial"/>
          <w:b/>
          <w:i/>
          <w:sz w:val="24"/>
          <w:szCs w:val="24"/>
        </w:rPr>
      </w:pPr>
    </w:p>
    <w:p w14:paraId="18AE6F8E" w14:textId="77777777" w:rsidR="002E0F29" w:rsidRDefault="002E0F29" w:rsidP="006C07DD">
      <w:pPr>
        <w:spacing w:after="0" w:line="240" w:lineRule="auto"/>
        <w:rPr>
          <w:rFonts w:ascii="Arial" w:hAnsi="Arial" w:cs="Arial"/>
          <w:b/>
          <w:i/>
          <w:sz w:val="24"/>
          <w:szCs w:val="24"/>
        </w:rPr>
      </w:pPr>
    </w:p>
    <w:p w14:paraId="76FA5A46" w14:textId="77777777" w:rsidR="002E0F29" w:rsidRDefault="002E0F29" w:rsidP="006C07DD">
      <w:pPr>
        <w:spacing w:after="0" w:line="240" w:lineRule="auto"/>
        <w:rPr>
          <w:rFonts w:ascii="Arial" w:hAnsi="Arial" w:cs="Arial"/>
          <w:b/>
          <w:i/>
          <w:sz w:val="24"/>
          <w:szCs w:val="24"/>
        </w:rPr>
      </w:pPr>
    </w:p>
    <w:p w14:paraId="50C313B0" w14:textId="77777777" w:rsidR="006C07DD" w:rsidRDefault="006C07DD" w:rsidP="006C07DD">
      <w:pPr>
        <w:spacing w:after="0" w:line="240" w:lineRule="auto"/>
        <w:rPr>
          <w:rFonts w:ascii="Arial" w:hAnsi="Arial" w:cs="Arial"/>
          <w:b/>
          <w:i/>
          <w:sz w:val="24"/>
          <w:szCs w:val="24"/>
        </w:rPr>
      </w:pPr>
      <w:r w:rsidRPr="0088736E">
        <w:rPr>
          <w:rFonts w:ascii="Arial" w:hAnsi="Arial" w:cs="Arial"/>
          <w:b/>
          <w:i/>
          <w:sz w:val="24"/>
          <w:szCs w:val="24"/>
        </w:rPr>
        <w:lastRenderedPageBreak/>
        <w:t xml:space="preserve">Notes to the financial </w:t>
      </w:r>
      <w:r>
        <w:rPr>
          <w:rFonts w:ascii="Arial" w:hAnsi="Arial" w:cs="Arial"/>
          <w:b/>
          <w:i/>
          <w:sz w:val="24"/>
          <w:szCs w:val="24"/>
        </w:rPr>
        <w:t>statements</w:t>
      </w:r>
      <w:r w:rsidRPr="0088736E">
        <w:rPr>
          <w:rFonts w:ascii="Arial" w:hAnsi="Arial" w:cs="Arial"/>
          <w:b/>
          <w:i/>
          <w:sz w:val="24"/>
          <w:szCs w:val="24"/>
        </w:rPr>
        <w:t xml:space="preserve"> (continued)</w:t>
      </w:r>
    </w:p>
    <w:p w14:paraId="66D732E8" w14:textId="77777777" w:rsidR="006C07DD" w:rsidRDefault="006C07DD" w:rsidP="001A34A2">
      <w:pPr>
        <w:autoSpaceDE w:val="0"/>
        <w:autoSpaceDN w:val="0"/>
        <w:adjustRightInd w:val="0"/>
        <w:spacing w:after="0" w:line="240" w:lineRule="auto"/>
        <w:rPr>
          <w:rFonts w:ascii="Arial" w:hAnsi="Arial" w:cs="Arial"/>
          <w:b/>
          <w:sz w:val="24"/>
          <w:szCs w:val="24"/>
        </w:rPr>
      </w:pPr>
    </w:p>
    <w:p w14:paraId="68C8E4AA" w14:textId="77777777" w:rsidR="001A34A2" w:rsidRDefault="001A34A2" w:rsidP="001A34A2">
      <w:pPr>
        <w:autoSpaceDE w:val="0"/>
        <w:autoSpaceDN w:val="0"/>
        <w:adjustRightInd w:val="0"/>
        <w:spacing w:after="0" w:line="240" w:lineRule="auto"/>
        <w:rPr>
          <w:rFonts w:ascii="Arial" w:hAnsi="Arial" w:cs="Arial"/>
          <w:b/>
          <w:sz w:val="24"/>
          <w:szCs w:val="24"/>
        </w:rPr>
      </w:pPr>
      <w:r w:rsidRPr="005076F2">
        <w:rPr>
          <w:rFonts w:ascii="Arial" w:hAnsi="Arial" w:cs="Arial"/>
          <w:b/>
          <w:sz w:val="24"/>
          <w:szCs w:val="24"/>
        </w:rPr>
        <w:t>24. Pension commitments (continued)</w:t>
      </w:r>
    </w:p>
    <w:p w14:paraId="6025288E" w14:textId="77777777" w:rsidR="0021571F" w:rsidRPr="009435C8" w:rsidRDefault="0021571F" w:rsidP="006647C2">
      <w:pPr>
        <w:spacing w:after="0" w:line="240" w:lineRule="auto"/>
        <w:jc w:val="both"/>
        <w:rPr>
          <w:rFonts w:ascii="Arial" w:eastAsia="Times New Roman" w:hAnsi="Arial" w:cs="Arial"/>
          <w:sz w:val="24"/>
          <w:szCs w:val="24"/>
          <w:lang w:eastAsia="en-GB"/>
        </w:rPr>
      </w:pPr>
    </w:p>
    <w:tbl>
      <w:tblPr>
        <w:tblW w:w="13782" w:type="dxa"/>
        <w:tblLook w:val="04A0" w:firstRow="1" w:lastRow="0" w:firstColumn="1" w:lastColumn="0" w:noHBand="0" w:noVBand="1"/>
      </w:tblPr>
      <w:tblGrid>
        <w:gridCol w:w="8959"/>
        <w:gridCol w:w="497"/>
        <w:gridCol w:w="497"/>
        <w:gridCol w:w="1242"/>
        <w:gridCol w:w="1345"/>
        <w:gridCol w:w="1242"/>
      </w:tblGrid>
      <w:tr w:rsidR="00FD3071" w:rsidRPr="009435C8" w14:paraId="64004EB4" w14:textId="77777777" w:rsidTr="00FD3071">
        <w:trPr>
          <w:trHeight w:val="315"/>
        </w:trPr>
        <w:tc>
          <w:tcPr>
            <w:tcW w:w="9953" w:type="dxa"/>
            <w:gridSpan w:val="3"/>
            <w:tcBorders>
              <w:top w:val="nil"/>
              <w:left w:val="nil"/>
              <w:bottom w:val="nil"/>
              <w:right w:val="nil"/>
            </w:tcBorders>
            <w:shd w:val="clear" w:color="auto" w:fill="auto"/>
            <w:noWrap/>
            <w:vAlign w:val="center"/>
            <w:hideMark/>
          </w:tcPr>
          <w:p w14:paraId="0C91B99D" w14:textId="77777777" w:rsidR="001A34A2" w:rsidRDefault="001A34A2" w:rsidP="00FD3071">
            <w:pPr>
              <w:spacing w:after="0" w:line="240" w:lineRule="auto"/>
              <w:rPr>
                <w:rFonts w:ascii="Arial" w:eastAsia="Times New Roman" w:hAnsi="Arial" w:cs="Arial"/>
                <w:b/>
                <w:bCs/>
                <w:sz w:val="24"/>
                <w:szCs w:val="24"/>
                <w:lang w:eastAsia="en-GB"/>
              </w:rPr>
            </w:pPr>
          </w:p>
          <w:p w14:paraId="4D8A7056" w14:textId="77777777" w:rsidR="00FD3071" w:rsidRPr="009435C8" w:rsidRDefault="00FD3071" w:rsidP="00FD3071">
            <w:pPr>
              <w:spacing w:after="0" w:line="240" w:lineRule="auto"/>
              <w:rPr>
                <w:rFonts w:ascii="Arial" w:eastAsia="Times New Roman" w:hAnsi="Arial" w:cs="Arial"/>
                <w:b/>
                <w:bCs/>
                <w:sz w:val="24"/>
                <w:szCs w:val="24"/>
                <w:lang w:eastAsia="en-GB"/>
              </w:rPr>
            </w:pPr>
            <w:r w:rsidRPr="009435C8">
              <w:rPr>
                <w:rFonts w:ascii="Arial" w:eastAsia="Times New Roman" w:hAnsi="Arial" w:cs="Arial"/>
                <w:b/>
                <w:bCs/>
                <w:sz w:val="24"/>
                <w:szCs w:val="24"/>
                <w:lang w:eastAsia="en-GB"/>
              </w:rPr>
              <w:t>Derbyshire Pension Fund</w:t>
            </w:r>
          </w:p>
        </w:tc>
        <w:tc>
          <w:tcPr>
            <w:tcW w:w="1242" w:type="dxa"/>
            <w:tcBorders>
              <w:top w:val="nil"/>
              <w:left w:val="nil"/>
              <w:bottom w:val="nil"/>
              <w:right w:val="nil"/>
            </w:tcBorders>
            <w:shd w:val="clear" w:color="auto" w:fill="auto"/>
            <w:noWrap/>
            <w:vAlign w:val="center"/>
            <w:hideMark/>
          </w:tcPr>
          <w:p w14:paraId="530464D7" w14:textId="77777777" w:rsidR="00FD3071" w:rsidRPr="009435C8" w:rsidRDefault="00FD3071" w:rsidP="00FD3071">
            <w:pPr>
              <w:spacing w:after="0" w:line="240" w:lineRule="auto"/>
              <w:rPr>
                <w:rFonts w:ascii="Arial" w:eastAsia="Times New Roman" w:hAnsi="Arial" w:cs="Arial"/>
                <w:b/>
                <w:bCs/>
                <w:sz w:val="24"/>
                <w:szCs w:val="24"/>
                <w:lang w:eastAsia="en-GB"/>
              </w:rPr>
            </w:pPr>
          </w:p>
        </w:tc>
        <w:tc>
          <w:tcPr>
            <w:tcW w:w="1345" w:type="dxa"/>
            <w:tcBorders>
              <w:top w:val="nil"/>
              <w:left w:val="nil"/>
              <w:bottom w:val="nil"/>
              <w:right w:val="nil"/>
            </w:tcBorders>
            <w:shd w:val="clear" w:color="auto" w:fill="auto"/>
            <w:noWrap/>
            <w:vAlign w:val="center"/>
            <w:hideMark/>
          </w:tcPr>
          <w:p w14:paraId="6A9D5E86" w14:textId="77777777" w:rsidR="00FD3071" w:rsidRPr="009435C8" w:rsidRDefault="00FD3071" w:rsidP="00FD3071">
            <w:pPr>
              <w:spacing w:after="0" w:line="240" w:lineRule="auto"/>
              <w:rPr>
                <w:rFonts w:ascii="Times New Roman" w:eastAsia="Times New Roman" w:hAnsi="Times New Roman" w:cs="Times New Roman"/>
                <w:sz w:val="20"/>
                <w:szCs w:val="20"/>
                <w:lang w:eastAsia="en-GB"/>
              </w:rPr>
            </w:pPr>
          </w:p>
        </w:tc>
        <w:tc>
          <w:tcPr>
            <w:tcW w:w="1242" w:type="dxa"/>
            <w:tcBorders>
              <w:top w:val="nil"/>
              <w:left w:val="nil"/>
              <w:bottom w:val="nil"/>
              <w:right w:val="nil"/>
            </w:tcBorders>
            <w:shd w:val="clear" w:color="auto" w:fill="auto"/>
            <w:noWrap/>
            <w:vAlign w:val="bottom"/>
            <w:hideMark/>
          </w:tcPr>
          <w:p w14:paraId="32403364" w14:textId="77777777" w:rsidR="00FD3071" w:rsidRPr="009435C8" w:rsidRDefault="00FD3071" w:rsidP="00FD3071">
            <w:pPr>
              <w:spacing w:after="0" w:line="240" w:lineRule="auto"/>
              <w:rPr>
                <w:rFonts w:ascii="Times New Roman" w:eastAsia="Times New Roman" w:hAnsi="Times New Roman" w:cs="Times New Roman"/>
                <w:sz w:val="20"/>
                <w:szCs w:val="20"/>
                <w:lang w:eastAsia="en-GB"/>
              </w:rPr>
            </w:pPr>
          </w:p>
        </w:tc>
      </w:tr>
      <w:tr w:rsidR="00FD3071" w:rsidRPr="009435C8" w14:paraId="0C66B8C7" w14:textId="77777777" w:rsidTr="00FD3071">
        <w:trPr>
          <w:trHeight w:val="255"/>
        </w:trPr>
        <w:tc>
          <w:tcPr>
            <w:tcW w:w="8959" w:type="dxa"/>
            <w:tcBorders>
              <w:top w:val="nil"/>
              <w:left w:val="nil"/>
              <w:bottom w:val="nil"/>
              <w:right w:val="nil"/>
            </w:tcBorders>
            <w:shd w:val="clear" w:color="auto" w:fill="auto"/>
            <w:noWrap/>
            <w:vAlign w:val="center"/>
            <w:hideMark/>
          </w:tcPr>
          <w:p w14:paraId="7AD84540" w14:textId="77777777" w:rsidR="00FD3071" w:rsidRPr="009435C8" w:rsidRDefault="00FD3071" w:rsidP="00FD3071">
            <w:pPr>
              <w:spacing w:after="0" w:line="240" w:lineRule="auto"/>
              <w:rPr>
                <w:rFonts w:ascii="Times New Roman" w:eastAsia="Times New Roman" w:hAnsi="Times New Roman" w:cs="Times New Roman"/>
                <w:sz w:val="20"/>
                <w:szCs w:val="20"/>
                <w:lang w:eastAsia="en-GB"/>
              </w:rPr>
            </w:pPr>
          </w:p>
        </w:tc>
        <w:tc>
          <w:tcPr>
            <w:tcW w:w="497" w:type="dxa"/>
            <w:tcBorders>
              <w:top w:val="nil"/>
              <w:left w:val="nil"/>
              <w:bottom w:val="nil"/>
              <w:right w:val="nil"/>
            </w:tcBorders>
            <w:shd w:val="clear" w:color="auto" w:fill="auto"/>
            <w:noWrap/>
            <w:vAlign w:val="center"/>
            <w:hideMark/>
          </w:tcPr>
          <w:p w14:paraId="55E59DBD" w14:textId="77777777" w:rsidR="00FD3071" w:rsidRPr="009435C8" w:rsidRDefault="00FD3071" w:rsidP="00FD3071">
            <w:pPr>
              <w:spacing w:after="0" w:line="240" w:lineRule="auto"/>
              <w:rPr>
                <w:rFonts w:ascii="Times New Roman" w:eastAsia="Times New Roman" w:hAnsi="Times New Roman" w:cs="Times New Roman"/>
                <w:sz w:val="20"/>
                <w:szCs w:val="20"/>
                <w:lang w:eastAsia="en-GB"/>
              </w:rPr>
            </w:pPr>
          </w:p>
        </w:tc>
        <w:tc>
          <w:tcPr>
            <w:tcW w:w="497" w:type="dxa"/>
            <w:tcBorders>
              <w:top w:val="nil"/>
              <w:left w:val="nil"/>
              <w:bottom w:val="nil"/>
              <w:right w:val="nil"/>
            </w:tcBorders>
            <w:shd w:val="clear" w:color="auto" w:fill="auto"/>
            <w:noWrap/>
            <w:vAlign w:val="center"/>
            <w:hideMark/>
          </w:tcPr>
          <w:p w14:paraId="64E12E4E" w14:textId="77777777" w:rsidR="00FD3071" w:rsidRPr="009435C8" w:rsidRDefault="00FD3071" w:rsidP="00FD3071">
            <w:pPr>
              <w:spacing w:after="0" w:line="240" w:lineRule="auto"/>
              <w:rPr>
                <w:rFonts w:ascii="Times New Roman" w:eastAsia="Times New Roman" w:hAnsi="Times New Roman" w:cs="Times New Roman"/>
                <w:sz w:val="20"/>
                <w:szCs w:val="20"/>
                <w:lang w:eastAsia="en-GB"/>
              </w:rPr>
            </w:pPr>
          </w:p>
        </w:tc>
        <w:tc>
          <w:tcPr>
            <w:tcW w:w="1242" w:type="dxa"/>
            <w:tcBorders>
              <w:top w:val="nil"/>
              <w:left w:val="nil"/>
              <w:bottom w:val="nil"/>
              <w:right w:val="nil"/>
            </w:tcBorders>
            <w:shd w:val="clear" w:color="auto" w:fill="auto"/>
            <w:noWrap/>
            <w:vAlign w:val="center"/>
            <w:hideMark/>
          </w:tcPr>
          <w:p w14:paraId="2DBA4D97" w14:textId="77777777" w:rsidR="00FD3071" w:rsidRPr="009435C8" w:rsidRDefault="00FD3071" w:rsidP="00FD3071">
            <w:pPr>
              <w:spacing w:after="0" w:line="240" w:lineRule="auto"/>
              <w:rPr>
                <w:rFonts w:ascii="Times New Roman" w:eastAsia="Times New Roman" w:hAnsi="Times New Roman" w:cs="Times New Roman"/>
                <w:sz w:val="20"/>
                <w:szCs w:val="20"/>
                <w:lang w:eastAsia="en-GB"/>
              </w:rPr>
            </w:pPr>
          </w:p>
        </w:tc>
        <w:tc>
          <w:tcPr>
            <w:tcW w:w="1345" w:type="dxa"/>
            <w:tcBorders>
              <w:top w:val="nil"/>
              <w:left w:val="nil"/>
              <w:bottom w:val="nil"/>
              <w:right w:val="nil"/>
            </w:tcBorders>
            <w:shd w:val="clear" w:color="auto" w:fill="auto"/>
            <w:noWrap/>
            <w:vAlign w:val="center"/>
            <w:hideMark/>
          </w:tcPr>
          <w:p w14:paraId="5F3F58DE" w14:textId="77777777" w:rsidR="00FD3071" w:rsidRPr="009435C8" w:rsidRDefault="00FD3071" w:rsidP="00FD3071">
            <w:pPr>
              <w:spacing w:after="0" w:line="240" w:lineRule="auto"/>
              <w:rPr>
                <w:rFonts w:ascii="Times New Roman" w:eastAsia="Times New Roman" w:hAnsi="Times New Roman" w:cs="Times New Roman"/>
                <w:sz w:val="20"/>
                <w:szCs w:val="20"/>
                <w:lang w:eastAsia="en-GB"/>
              </w:rPr>
            </w:pPr>
          </w:p>
        </w:tc>
        <w:tc>
          <w:tcPr>
            <w:tcW w:w="1242" w:type="dxa"/>
            <w:tcBorders>
              <w:top w:val="nil"/>
              <w:left w:val="nil"/>
              <w:bottom w:val="nil"/>
              <w:right w:val="nil"/>
            </w:tcBorders>
            <w:shd w:val="clear" w:color="auto" w:fill="auto"/>
            <w:noWrap/>
            <w:vAlign w:val="bottom"/>
            <w:hideMark/>
          </w:tcPr>
          <w:p w14:paraId="1C4133A3" w14:textId="77777777" w:rsidR="00FD3071" w:rsidRPr="009435C8" w:rsidRDefault="00FD3071" w:rsidP="00FD3071">
            <w:pPr>
              <w:spacing w:after="0" w:line="240" w:lineRule="auto"/>
              <w:rPr>
                <w:rFonts w:ascii="Times New Roman" w:eastAsia="Times New Roman" w:hAnsi="Times New Roman" w:cs="Times New Roman"/>
                <w:sz w:val="20"/>
                <w:szCs w:val="20"/>
                <w:lang w:eastAsia="en-GB"/>
              </w:rPr>
            </w:pPr>
          </w:p>
        </w:tc>
      </w:tr>
      <w:tr w:rsidR="00FD3071" w:rsidRPr="009435C8" w14:paraId="692E7458" w14:textId="77777777" w:rsidTr="00FD3071">
        <w:trPr>
          <w:trHeight w:val="255"/>
        </w:trPr>
        <w:tc>
          <w:tcPr>
            <w:tcW w:w="13782" w:type="dxa"/>
            <w:gridSpan w:val="6"/>
            <w:tcBorders>
              <w:top w:val="nil"/>
              <w:left w:val="nil"/>
              <w:bottom w:val="nil"/>
              <w:right w:val="nil"/>
            </w:tcBorders>
            <w:shd w:val="clear" w:color="auto" w:fill="auto"/>
            <w:hideMark/>
          </w:tcPr>
          <w:p w14:paraId="5BCB657C" w14:textId="77777777" w:rsidR="00FD3071" w:rsidRPr="009435C8" w:rsidRDefault="00FD3071" w:rsidP="00FD3071">
            <w:pPr>
              <w:spacing w:after="0" w:line="240" w:lineRule="auto"/>
              <w:rPr>
                <w:rFonts w:ascii="Arial" w:eastAsia="Times New Roman" w:hAnsi="Arial" w:cs="Arial"/>
                <w:sz w:val="20"/>
                <w:szCs w:val="20"/>
                <w:lang w:eastAsia="en-GB"/>
              </w:rPr>
            </w:pPr>
            <w:r w:rsidRPr="009435C8">
              <w:rPr>
                <w:rFonts w:ascii="Arial" w:eastAsia="Times New Roman" w:hAnsi="Arial" w:cs="Arial"/>
                <w:sz w:val="20"/>
                <w:szCs w:val="20"/>
                <w:lang w:eastAsia="en-GB"/>
              </w:rPr>
              <w:t>Principal actuarial assumptions:</w:t>
            </w:r>
          </w:p>
          <w:p w14:paraId="250132EB" w14:textId="77777777" w:rsidR="00FD3071" w:rsidRPr="009435C8" w:rsidRDefault="00FD3071" w:rsidP="00FD3071">
            <w:pPr>
              <w:spacing w:after="0" w:line="240" w:lineRule="auto"/>
              <w:rPr>
                <w:rFonts w:ascii="Arial" w:eastAsia="Times New Roman" w:hAnsi="Arial" w:cs="Arial"/>
                <w:sz w:val="20"/>
                <w:szCs w:val="20"/>
                <w:lang w:eastAsia="en-GB"/>
              </w:rPr>
            </w:pPr>
          </w:p>
          <w:tbl>
            <w:tblPr>
              <w:tblW w:w="9029" w:type="dxa"/>
              <w:tblLook w:val="04A0" w:firstRow="1" w:lastRow="0" w:firstColumn="1" w:lastColumn="0" w:noHBand="0" w:noVBand="1"/>
            </w:tblPr>
            <w:tblGrid>
              <w:gridCol w:w="3868"/>
              <w:gridCol w:w="284"/>
              <w:gridCol w:w="1255"/>
              <w:gridCol w:w="1009"/>
              <w:gridCol w:w="1359"/>
              <w:gridCol w:w="1254"/>
            </w:tblGrid>
            <w:tr w:rsidR="00FD3071" w:rsidRPr="009435C8" w14:paraId="01EC6A80" w14:textId="77777777" w:rsidTr="00454D0E">
              <w:trPr>
                <w:trHeight w:val="263"/>
              </w:trPr>
              <w:tc>
                <w:tcPr>
                  <w:tcW w:w="3868" w:type="dxa"/>
                  <w:tcBorders>
                    <w:top w:val="nil"/>
                    <w:left w:val="nil"/>
                    <w:bottom w:val="single" w:sz="4" w:space="0" w:color="auto"/>
                    <w:right w:val="nil"/>
                  </w:tcBorders>
                  <w:shd w:val="clear" w:color="auto" w:fill="auto"/>
                  <w:noWrap/>
                  <w:vAlign w:val="center"/>
                  <w:hideMark/>
                </w:tcPr>
                <w:p w14:paraId="3A0B384A" w14:textId="77777777" w:rsidR="00FD3071" w:rsidRPr="009435C8" w:rsidRDefault="00FD3071" w:rsidP="00FD3071">
                  <w:pPr>
                    <w:spacing w:after="0" w:line="240" w:lineRule="auto"/>
                    <w:rPr>
                      <w:rFonts w:ascii="Arial" w:eastAsia="Times New Roman" w:hAnsi="Arial" w:cs="Arial"/>
                      <w:sz w:val="20"/>
                      <w:szCs w:val="20"/>
                      <w:lang w:eastAsia="en-GB"/>
                    </w:rPr>
                  </w:pPr>
                  <w:r w:rsidRPr="009435C8">
                    <w:rPr>
                      <w:rFonts w:ascii="Arial" w:eastAsia="Times New Roman" w:hAnsi="Arial" w:cs="Arial"/>
                      <w:sz w:val="20"/>
                      <w:szCs w:val="20"/>
                      <w:lang w:eastAsia="en-GB"/>
                    </w:rPr>
                    <w:t> </w:t>
                  </w:r>
                </w:p>
              </w:tc>
              <w:tc>
                <w:tcPr>
                  <w:tcW w:w="284" w:type="dxa"/>
                  <w:tcBorders>
                    <w:top w:val="nil"/>
                    <w:left w:val="nil"/>
                    <w:bottom w:val="single" w:sz="4" w:space="0" w:color="auto"/>
                    <w:right w:val="nil"/>
                  </w:tcBorders>
                  <w:shd w:val="clear" w:color="auto" w:fill="auto"/>
                  <w:noWrap/>
                  <w:vAlign w:val="bottom"/>
                  <w:hideMark/>
                </w:tcPr>
                <w:p w14:paraId="5B7B3D55" w14:textId="77777777" w:rsidR="00FD3071" w:rsidRPr="009435C8" w:rsidRDefault="00FD3071" w:rsidP="00FD3071">
                  <w:pPr>
                    <w:spacing w:after="0" w:line="240" w:lineRule="auto"/>
                    <w:rPr>
                      <w:rFonts w:ascii="Arial" w:eastAsia="Times New Roman" w:hAnsi="Arial" w:cs="Arial"/>
                      <w:sz w:val="20"/>
                      <w:szCs w:val="20"/>
                      <w:lang w:eastAsia="en-GB"/>
                    </w:rPr>
                  </w:pPr>
                  <w:r w:rsidRPr="009435C8">
                    <w:rPr>
                      <w:rFonts w:ascii="Arial" w:eastAsia="Times New Roman" w:hAnsi="Arial" w:cs="Arial"/>
                      <w:sz w:val="20"/>
                      <w:szCs w:val="20"/>
                      <w:lang w:eastAsia="en-GB"/>
                    </w:rPr>
                    <w:t> </w:t>
                  </w:r>
                </w:p>
              </w:tc>
              <w:tc>
                <w:tcPr>
                  <w:tcW w:w="1255" w:type="dxa"/>
                  <w:tcBorders>
                    <w:top w:val="nil"/>
                    <w:left w:val="nil"/>
                    <w:bottom w:val="single" w:sz="4" w:space="0" w:color="auto"/>
                    <w:right w:val="nil"/>
                  </w:tcBorders>
                  <w:shd w:val="clear" w:color="auto" w:fill="auto"/>
                  <w:noWrap/>
                  <w:vAlign w:val="bottom"/>
                  <w:hideMark/>
                </w:tcPr>
                <w:p w14:paraId="21ECC68A" w14:textId="77777777" w:rsidR="00FD3071" w:rsidRPr="009435C8" w:rsidRDefault="00FD3071" w:rsidP="00FD3071">
                  <w:pPr>
                    <w:spacing w:after="0" w:line="240" w:lineRule="auto"/>
                    <w:rPr>
                      <w:rFonts w:ascii="Arial" w:eastAsia="Times New Roman" w:hAnsi="Arial" w:cs="Arial"/>
                      <w:sz w:val="20"/>
                      <w:szCs w:val="20"/>
                      <w:lang w:eastAsia="en-GB"/>
                    </w:rPr>
                  </w:pPr>
                  <w:r w:rsidRPr="009435C8">
                    <w:rPr>
                      <w:rFonts w:ascii="Arial" w:eastAsia="Times New Roman" w:hAnsi="Arial" w:cs="Arial"/>
                      <w:sz w:val="20"/>
                      <w:szCs w:val="20"/>
                      <w:lang w:eastAsia="en-GB"/>
                    </w:rPr>
                    <w:t> </w:t>
                  </w:r>
                </w:p>
              </w:tc>
              <w:tc>
                <w:tcPr>
                  <w:tcW w:w="1009" w:type="dxa"/>
                  <w:tcBorders>
                    <w:top w:val="nil"/>
                    <w:left w:val="nil"/>
                    <w:bottom w:val="single" w:sz="4" w:space="0" w:color="auto"/>
                    <w:right w:val="nil"/>
                  </w:tcBorders>
                  <w:shd w:val="clear" w:color="auto" w:fill="auto"/>
                  <w:noWrap/>
                  <w:vAlign w:val="bottom"/>
                  <w:hideMark/>
                </w:tcPr>
                <w:p w14:paraId="13895BC0" w14:textId="77777777" w:rsidR="00FD3071" w:rsidRPr="009435C8" w:rsidRDefault="00FD3071" w:rsidP="00FD3071">
                  <w:pPr>
                    <w:spacing w:after="0" w:line="240" w:lineRule="auto"/>
                    <w:rPr>
                      <w:rFonts w:ascii="Arial" w:eastAsia="Times New Roman" w:hAnsi="Arial" w:cs="Arial"/>
                      <w:sz w:val="20"/>
                      <w:szCs w:val="20"/>
                      <w:lang w:eastAsia="en-GB"/>
                    </w:rPr>
                  </w:pPr>
                  <w:r w:rsidRPr="009435C8">
                    <w:rPr>
                      <w:rFonts w:ascii="Arial" w:eastAsia="Times New Roman" w:hAnsi="Arial" w:cs="Arial"/>
                      <w:sz w:val="20"/>
                      <w:szCs w:val="20"/>
                      <w:lang w:eastAsia="en-GB"/>
                    </w:rPr>
                    <w:t> </w:t>
                  </w:r>
                </w:p>
              </w:tc>
              <w:tc>
                <w:tcPr>
                  <w:tcW w:w="1359" w:type="dxa"/>
                  <w:tcBorders>
                    <w:top w:val="nil"/>
                    <w:left w:val="nil"/>
                    <w:bottom w:val="nil"/>
                    <w:right w:val="nil"/>
                  </w:tcBorders>
                  <w:shd w:val="clear" w:color="auto" w:fill="auto"/>
                  <w:noWrap/>
                  <w:vAlign w:val="center"/>
                  <w:hideMark/>
                </w:tcPr>
                <w:p w14:paraId="17919065" w14:textId="77777777" w:rsidR="00FD3071" w:rsidRPr="009435C8" w:rsidRDefault="00FD3071" w:rsidP="00FD3071">
                  <w:pPr>
                    <w:spacing w:after="0" w:line="240" w:lineRule="auto"/>
                    <w:jc w:val="right"/>
                    <w:rPr>
                      <w:rFonts w:ascii="Arial" w:eastAsia="Times New Roman" w:hAnsi="Arial" w:cs="Arial"/>
                      <w:b/>
                      <w:bCs/>
                      <w:sz w:val="20"/>
                      <w:szCs w:val="20"/>
                      <w:lang w:eastAsia="en-GB"/>
                    </w:rPr>
                  </w:pPr>
                  <w:r w:rsidRPr="009435C8">
                    <w:rPr>
                      <w:rFonts w:ascii="Arial" w:eastAsia="Times New Roman" w:hAnsi="Arial" w:cs="Arial"/>
                      <w:b/>
                      <w:bCs/>
                      <w:sz w:val="20"/>
                      <w:szCs w:val="20"/>
                      <w:lang w:eastAsia="en-GB"/>
                    </w:rPr>
                    <w:t>2020</w:t>
                  </w:r>
                </w:p>
              </w:tc>
              <w:tc>
                <w:tcPr>
                  <w:tcW w:w="1254" w:type="dxa"/>
                  <w:tcBorders>
                    <w:top w:val="nil"/>
                    <w:left w:val="nil"/>
                    <w:bottom w:val="nil"/>
                    <w:right w:val="nil"/>
                  </w:tcBorders>
                  <w:shd w:val="clear" w:color="auto" w:fill="auto"/>
                  <w:noWrap/>
                  <w:vAlign w:val="center"/>
                  <w:hideMark/>
                </w:tcPr>
                <w:p w14:paraId="465D3CA5" w14:textId="77777777" w:rsidR="00FD3071" w:rsidRPr="009435C8" w:rsidRDefault="00FD3071" w:rsidP="00FD3071">
                  <w:pPr>
                    <w:spacing w:after="0" w:line="240" w:lineRule="auto"/>
                    <w:jc w:val="right"/>
                    <w:rPr>
                      <w:rFonts w:ascii="Arial" w:eastAsia="Times New Roman" w:hAnsi="Arial" w:cs="Arial"/>
                      <w:sz w:val="20"/>
                      <w:szCs w:val="20"/>
                      <w:lang w:eastAsia="en-GB"/>
                    </w:rPr>
                  </w:pPr>
                  <w:r w:rsidRPr="009435C8">
                    <w:rPr>
                      <w:rFonts w:ascii="Arial" w:eastAsia="Times New Roman" w:hAnsi="Arial" w:cs="Arial"/>
                      <w:sz w:val="20"/>
                      <w:szCs w:val="20"/>
                      <w:lang w:eastAsia="en-GB"/>
                    </w:rPr>
                    <w:t>2019</w:t>
                  </w:r>
                </w:p>
              </w:tc>
            </w:tr>
            <w:tr w:rsidR="00FD3071" w:rsidRPr="009435C8" w14:paraId="40869F19" w14:textId="77777777" w:rsidTr="00454D0E">
              <w:trPr>
                <w:trHeight w:val="263"/>
              </w:trPr>
              <w:tc>
                <w:tcPr>
                  <w:tcW w:w="3868" w:type="dxa"/>
                  <w:tcBorders>
                    <w:top w:val="nil"/>
                    <w:left w:val="nil"/>
                    <w:bottom w:val="nil"/>
                    <w:right w:val="nil"/>
                  </w:tcBorders>
                  <w:shd w:val="clear" w:color="auto" w:fill="auto"/>
                  <w:noWrap/>
                  <w:vAlign w:val="center"/>
                  <w:hideMark/>
                </w:tcPr>
                <w:p w14:paraId="65BE5AD5" w14:textId="77777777" w:rsidR="00FD3071" w:rsidRPr="009435C8" w:rsidRDefault="00FD3071" w:rsidP="00FD3071">
                  <w:pPr>
                    <w:spacing w:after="0" w:line="240" w:lineRule="auto"/>
                    <w:rPr>
                      <w:rFonts w:ascii="Arial" w:eastAsia="Times New Roman" w:hAnsi="Arial" w:cs="Arial"/>
                      <w:sz w:val="20"/>
                      <w:szCs w:val="20"/>
                      <w:lang w:eastAsia="en-GB"/>
                    </w:rPr>
                  </w:pPr>
                  <w:r w:rsidRPr="009435C8">
                    <w:rPr>
                      <w:rFonts w:ascii="Arial" w:eastAsia="Times New Roman" w:hAnsi="Arial" w:cs="Arial"/>
                      <w:sz w:val="20"/>
                      <w:szCs w:val="20"/>
                      <w:lang w:eastAsia="en-GB"/>
                    </w:rPr>
                    <w:t>Expected rate of salary increases</w:t>
                  </w:r>
                </w:p>
              </w:tc>
              <w:tc>
                <w:tcPr>
                  <w:tcW w:w="284" w:type="dxa"/>
                  <w:tcBorders>
                    <w:top w:val="nil"/>
                    <w:left w:val="nil"/>
                    <w:bottom w:val="nil"/>
                    <w:right w:val="nil"/>
                  </w:tcBorders>
                  <w:shd w:val="clear" w:color="auto" w:fill="auto"/>
                  <w:noWrap/>
                  <w:vAlign w:val="bottom"/>
                  <w:hideMark/>
                </w:tcPr>
                <w:p w14:paraId="52AF8F45" w14:textId="77777777" w:rsidR="00FD3071" w:rsidRPr="009435C8" w:rsidRDefault="00FD3071" w:rsidP="00FD3071">
                  <w:pPr>
                    <w:spacing w:after="0" w:line="240" w:lineRule="auto"/>
                    <w:rPr>
                      <w:rFonts w:ascii="Arial" w:eastAsia="Times New Roman" w:hAnsi="Arial" w:cs="Arial"/>
                      <w:sz w:val="20"/>
                      <w:szCs w:val="20"/>
                      <w:lang w:eastAsia="en-GB"/>
                    </w:rPr>
                  </w:pPr>
                </w:p>
              </w:tc>
              <w:tc>
                <w:tcPr>
                  <w:tcW w:w="1255" w:type="dxa"/>
                  <w:tcBorders>
                    <w:top w:val="nil"/>
                    <w:left w:val="nil"/>
                    <w:bottom w:val="nil"/>
                    <w:right w:val="nil"/>
                  </w:tcBorders>
                  <w:shd w:val="clear" w:color="auto" w:fill="auto"/>
                  <w:noWrap/>
                  <w:vAlign w:val="bottom"/>
                  <w:hideMark/>
                </w:tcPr>
                <w:p w14:paraId="34183E82" w14:textId="77777777" w:rsidR="00FD3071" w:rsidRPr="009435C8" w:rsidRDefault="00FD3071" w:rsidP="00FD3071">
                  <w:pPr>
                    <w:spacing w:after="0" w:line="240" w:lineRule="auto"/>
                    <w:rPr>
                      <w:rFonts w:ascii="Times New Roman" w:eastAsia="Times New Roman" w:hAnsi="Times New Roman" w:cs="Times New Roman"/>
                      <w:sz w:val="20"/>
                      <w:szCs w:val="20"/>
                      <w:lang w:eastAsia="en-GB"/>
                    </w:rPr>
                  </w:pPr>
                </w:p>
              </w:tc>
              <w:tc>
                <w:tcPr>
                  <w:tcW w:w="1009" w:type="dxa"/>
                  <w:tcBorders>
                    <w:top w:val="nil"/>
                    <w:left w:val="nil"/>
                    <w:bottom w:val="nil"/>
                    <w:right w:val="nil"/>
                  </w:tcBorders>
                  <w:shd w:val="clear" w:color="auto" w:fill="auto"/>
                  <w:noWrap/>
                  <w:vAlign w:val="bottom"/>
                  <w:hideMark/>
                </w:tcPr>
                <w:p w14:paraId="2122BF0B" w14:textId="77777777" w:rsidR="00FD3071" w:rsidRPr="009435C8" w:rsidRDefault="00FD3071" w:rsidP="00FD3071">
                  <w:pPr>
                    <w:spacing w:after="0" w:line="240" w:lineRule="auto"/>
                    <w:rPr>
                      <w:rFonts w:ascii="Times New Roman" w:eastAsia="Times New Roman" w:hAnsi="Times New Roman" w:cs="Times New Roman"/>
                      <w:sz w:val="20"/>
                      <w:szCs w:val="20"/>
                      <w:lang w:eastAsia="en-GB"/>
                    </w:rPr>
                  </w:pPr>
                </w:p>
              </w:tc>
              <w:tc>
                <w:tcPr>
                  <w:tcW w:w="1359" w:type="dxa"/>
                  <w:tcBorders>
                    <w:top w:val="single" w:sz="4" w:space="0" w:color="auto"/>
                    <w:left w:val="nil"/>
                    <w:bottom w:val="nil"/>
                    <w:right w:val="nil"/>
                  </w:tcBorders>
                  <w:shd w:val="clear" w:color="auto" w:fill="auto"/>
                  <w:noWrap/>
                  <w:vAlign w:val="center"/>
                  <w:hideMark/>
                </w:tcPr>
                <w:p w14:paraId="4D07DD37" w14:textId="77777777" w:rsidR="00FD3071" w:rsidRPr="009435C8" w:rsidRDefault="00FD3071" w:rsidP="00FD3071">
                  <w:pPr>
                    <w:spacing w:after="0" w:line="240" w:lineRule="auto"/>
                    <w:jc w:val="right"/>
                    <w:rPr>
                      <w:rFonts w:ascii="Arial" w:eastAsia="Times New Roman" w:hAnsi="Arial" w:cs="Arial"/>
                      <w:b/>
                      <w:bCs/>
                      <w:sz w:val="20"/>
                      <w:szCs w:val="20"/>
                      <w:lang w:eastAsia="en-GB"/>
                    </w:rPr>
                  </w:pPr>
                  <w:r w:rsidRPr="009435C8">
                    <w:rPr>
                      <w:rFonts w:ascii="Arial" w:eastAsia="Times New Roman" w:hAnsi="Arial" w:cs="Arial"/>
                      <w:b/>
                      <w:bCs/>
                      <w:sz w:val="20"/>
                      <w:szCs w:val="20"/>
                      <w:lang w:eastAsia="en-GB"/>
                    </w:rPr>
                    <w:t>2.9%</w:t>
                  </w:r>
                </w:p>
              </w:tc>
              <w:tc>
                <w:tcPr>
                  <w:tcW w:w="1254" w:type="dxa"/>
                  <w:tcBorders>
                    <w:top w:val="single" w:sz="4" w:space="0" w:color="auto"/>
                    <w:left w:val="nil"/>
                    <w:bottom w:val="nil"/>
                    <w:right w:val="nil"/>
                  </w:tcBorders>
                  <w:shd w:val="clear" w:color="auto" w:fill="auto"/>
                  <w:noWrap/>
                  <w:vAlign w:val="center"/>
                  <w:hideMark/>
                </w:tcPr>
                <w:p w14:paraId="41BE671D" w14:textId="77777777" w:rsidR="00FD3071" w:rsidRPr="009435C8" w:rsidRDefault="00FD3071" w:rsidP="00FD3071">
                  <w:pPr>
                    <w:spacing w:after="0" w:line="240" w:lineRule="auto"/>
                    <w:jc w:val="right"/>
                    <w:rPr>
                      <w:rFonts w:ascii="Arial" w:eastAsia="Times New Roman" w:hAnsi="Arial" w:cs="Arial"/>
                      <w:sz w:val="20"/>
                      <w:szCs w:val="20"/>
                      <w:lang w:eastAsia="en-GB"/>
                    </w:rPr>
                  </w:pPr>
                  <w:r w:rsidRPr="009435C8">
                    <w:rPr>
                      <w:rFonts w:ascii="Arial" w:eastAsia="Times New Roman" w:hAnsi="Arial" w:cs="Arial"/>
                      <w:bCs/>
                      <w:sz w:val="20"/>
                      <w:szCs w:val="20"/>
                      <w:lang w:eastAsia="en-GB"/>
                    </w:rPr>
                    <w:t>N/A</w:t>
                  </w:r>
                </w:p>
              </w:tc>
            </w:tr>
            <w:tr w:rsidR="00FD3071" w:rsidRPr="009435C8" w14:paraId="4DFE29BA" w14:textId="77777777" w:rsidTr="00454D0E">
              <w:trPr>
                <w:trHeight w:val="263"/>
              </w:trPr>
              <w:tc>
                <w:tcPr>
                  <w:tcW w:w="5407" w:type="dxa"/>
                  <w:gridSpan w:val="3"/>
                  <w:tcBorders>
                    <w:top w:val="nil"/>
                    <w:left w:val="nil"/>
                    <w:bottom w:val="nil"/>
                    <w:right w:val="nil"/>
                  </w:tcBorders>
                  <w:shd w:val="clear" w:color="auto" w:fill="auto"/>
                  <w:noWrap/>
                  <w:vAlign w:val="center"/>
                  <w:hideMark/>
                </w:tcPr>
                <w:p w14:paraId="07925A93" w14:textId="77777777" w:rsidR="00FD3071" w:rsidRPr="009435C8" w:rsidRDefault="00FD3071" w:rsidP="00FD3071">
                  <w:pPr>
                    <w:spacing w:after="0" w:line="240" w:lineRule="auto"/>
                    <w:rPr>
                      <w:rFonts w:ascii="Arial" w:eastAsia="Times New Roman" w:hAnsi="Arial" w:cs="Arial"/>
                      <w:sz w:val="20"/>
                      <w:szCs w:val="20"/>
                      <w:lang w:eastAsia="en-GB"/>
                    </w:rPr>
                  </w:pPr>
                  <w:r w:rsidRPr="009435C8">
                    <w:rPr>
                      <w:rFonts w:ascii="Arial" w:eastAsia="Times New Roman" w:hAnsi="Arial" w:cs="Arial"/>
                      <w:sz w:val="20"/>
                      <w:szCs w:val="20"/>
                      <w:lang w:eastAsia="en-GB"/>
                    </w:rPr>
                    <w:t>Expected rate of increase of pensions in payments</w:t>
                  </w:r>
                </w:p>
              </w:tc>
              <w:tc>
                <w:tcPr>
                  <w:tcW w:w="1009" w:type="dxa"/>
                  <w:tcBorders>
                    <w:top w:val="nil"/>
                    <w:left w:val="nil"/>
                    <w:bottom w:val="nil"/>
                    <w:right w:val="nil"/>
                  </w:tcBorders>
                  <w:shd w:val="clear" w:color="auto" w:fill="auto"/>
                  <w:noWrap/>
                  <w:vAlign w:val="bottom"/>
                  <w:hideMark/>
                </w:tcPr>
                <w:p w14:paraId="14A980BD" w14:textId="77777777" w:rsidR="00FD3071" w:rsidRPr="009435C8" w:rsidRDefault="00FD3071" w:rsidP="00FD3071">
                  <w:pPr>
                    <w:spacing w:after="0" w:line="240" w:lineRule="auto"/>
                    <w:rPr>
                      <w:rFonts w:ascii="Arial" w:eastAsia="Times New Roman" w:hAnsi="Arial" w:cs="Arial"/>
                      <w:sz w:val="20"/>
                      <w:szCs w:val="20"/>
                      <w:lang w:eastAsia="en-GB"/>
                    </w:rPr>
                  </w:pPr>
                </w:p>
              </w:tc>
              <w:tc>
                <w:tcPr>
                  <w:tcW w:w="1359" w:type="dxa"/>
                  <w:tcBorders>
                    <w:top w:val="nil"/>
                    <w:left w:val="nil"/>
                    <w:bottom w:val="nil"/>
                    <w:right w:val="nil"/>
                  </w:tcBorders>
                  <w:shd w:val="clear" w:color="auto" w:fill="auto"/>
                  <w:noWrap/>
                  <w:vAlign w:val="center"/>
                  <w:hideMark/>
                </w:tcPr>
                <w:p w14:paraId="45BC8324" w14:textId="77777777" w:rsidR="00FD3071" w:rsidRPr="009435C8" w:rsidRDefault="00FD3071" w:rsidP="00FD3071">
                  <w:pPr>
                    <w:spacing w:after="0" w:line="240" w:lineRule="auto"/>
                    <w:jc w:val="right"/>
                    <w:rPr>
                      <w:rFonts w:ascii="Arial" w:eastAsia="Times New Roman" w:hAnsi="Arial" w:cs="Arial"/>
                      <w:b/>
                      <w:bCs/>
                      <w:sz w:val="20"/>
                      <w:szCs w:val="20"/>
                      <w:lang w:eastAsia="en-GB"/>
                    </w:rPr>
                  </w:pPr>
                  <w:r w:rsidRPr="009435C8">
                    <w:rPr>
                      <w:rFonts w:ascii="Arial" w:eastAsia="Times New Roman" w:hAnsi="Arial" w:cs="Arial"/>
                      <w:b/>
                      <w:bCs/>
                      <w:sz w:val="20"/>
                      <w:szCs w:val="20"/>
                      <w:lang w:eastAsia="en-GB"/>
                    </w:rPr>
                    <w:t>2.2%</w:t>
                  </w:r>
                </w:p>
              </w:tc>
              <w:tc>
                <w:tcPr>
                  <w:tcW w:w="1254" w:type="dxa"/>
                  <w:tcBorders>
                    <w:top w:val="nil"/>
                    <w:left w:val="nil"/>
                    <w:bottom w:val="nil"/>
                    <w:right w:val="nil"/>
                  </w:tcBorders>
                  <w:shd w:val="clear" w:color="auto" w:fill="auto"/>
                  <w:noWrap/>
                  <w:vAlign w:val="center"/>
                  <w:hideMark/>
                </w:tcPr>
                <w:p w14:paraId="6BFFC38F" w14:textId="77777777" w:rsidR="00FD3071" w:rsidRPr="009435C8" w:rsidRDefault="00FD3071" w:rsidP="00FD3071">
                  <w:pPr>
                    <w:spacing w:after="0" w:line="240" w:lineRule="auto"/>
                    <w:jc w:val="right"/>
                    <w:rPr>
                      <w:rFonts w:ascii="Arial" w:eastAsia="Times New Roman" w:hAnsi="Arial" w:cs="Arial"/>
                      <w:sz w:val="20"/>
                      <w:szCs w:val="20"/>
                      <w:lang w:eastAsia="en-GB"/>
                    </w:rPr>
                  </w:pPr>
                  <w:r w:rsidRPr="009435C8">
                    <w:rPr>
                      <w:rFonts w:ascii="Arial" w:eastAsia="Times New Roman" w:hAnsi="Arial" w:cs="Arial"/>
                      <w:sz w:val="20"/>
                      <w:szCs w:val="20"/>
                      <w:lang w:eastAsia="en-GB"/>
                    </w:rPr>
                    <w:t>N/A</w:t>
                  </w:r>
                </w:p>
              </w:tc>
            </w:tr>
            <w:tr w:rsidR="00FD3071" w:rsidRPr="009435C8" w14:paraId="379AB91B" w14:textId="77777777" w:rsidTr="00454D0E">
              <w:trPr>
                <w:trHeight w:val="263"/>
              </w:trPr>
              <w:tc>
                <w:tcPr>
                  <w:tcW w:w="3868" w:type="dxa"/>
                  <w:tcBorders>
                    <w:top w:val="nil"/>
                    <w:left w:val="nil"/>
                    <w:bottom w:val="nil"/>
                    <w:right w:val="nil"/>
                  </w:tcBorders>
                  <w:shd w:val="clear" w:color="auto" w:fill="auto"/>
                  <w:noWrap/>
                  <w:vAlign w:val="center"/>
                  <w:hideMark/>
                </w:tcPr>
                <w:p w14:paraId="2A93AA40" w14:textId="77777777" w:rsidR="00FD3071" w:rsidRPr="009435C8" w:rsidRDefault="00FD3071" w:rsidP="00FD3071">
                  <w:pPr>
                    <w:spacing w:after="0" w:line="240" w:lineRule="auto"/>
                    <w:rPr>
                      <w:rFonts w:ascii="Arial" w:eastAsia="Times New Roman" w:hAnsi="Arial" w:cs="Arial"/>
                      <w:sz w:val="20"/>
                      <w:szCs w:val="20"/>
                      <w:lang w:eastAsia="en-GB"/>
                    </w:rPr>
                  </w:pPr>
                  <w:r w:rsidRPr="009435C8">
                    <w:rPr>
                      <w:rFonts w:ascii="Arial" w:eastAsia="Times New Roman" w:hAnsi="Arial" w:cs="Arial"/>
                      <w:sz w:val="20"/>
                      <w:szCs w:val="20"/>
                      <w:lang w:eastAsia="en-GB"/>
                    </w:rPr>
                    <w:t>Rate of inflation</w:t>
                  </w:r>
                </w:p>
              </w:tc>
              <w:tc>
                <w:tcPr>
                  <w:tcW w:w="284" w:type="dxa"/>
                  <w:tcBorders>
                    <w:top w:val="nil"/>
                    <w:left w:val="nil"/>
                    <w:bottom w:val="nil"/>
                    <w:right w:val="nil"/>
                  </w:tcBorders>
                  <w:shd w:val="clear" w:color="auto" w:fill="auto"/>
                  <w:noWrap/>
                  <w:vAlign w:val="bottom"/>
                  <w:hideMark/>
                </w:tcPr>
                <w:p w14:paraId="7DF71F61" w14:textId="77777777" w:rsidR="00FD3071" w:rsidRPr="009435C8" w:rsidRDefault="00FD3071" w:rsidP="00FD3071">
                  <w:pPr>
                    <w:spacing w:after="0" w:line="240" w:lineRule="auto"/>
                    <w:rPr>
                      <w:rFonts w:ascii="Arial" w:eastAsia="Times New Roman" w:hAnsi="Arial" w:cs="Arial"/>
                      <w:sz w:val="20"/>
                      <w:szCs w:val="20"/>
                      <w:lang w:eastAsia="en-GB"/>
                    </w:rPr>
                  </w:pPr>
                </w:p>
              </w:tc>
              <w:tc>
                <w:tcPr>
                  <w:tcW w:w="1255" w:type="dxa"/>
                  <w:tcBorders>
                    <w:top w:val="nil"/>
                    <w:left w:val="nil"/>
                    <w:bottom w:val="nil"/>
                    <w:right w:val="nil"/>
                  </w:tcBorders>
                  <w:shd w:val="clear" w:color="auto" w:fill="auto"/>
                  <w:noWrap/>
                  <w:vAlign w:val="bottom"/>
                  <w:hideMark/>
                </w:tcPr>
                <w:p w14:paraId="0C7BCD0B" w14:textId="77777777" w:rsidR="00FD3071" w:rsidRPr="009435C8" w:rsidRDefault="00FD3071" w:rsidP="00FD3071">
                  <w:pPr>
                    <w:spacing w:after="0" w:line="240" w:lineRule="auto"/>
                    <w:rPr>
                      <w:rFonts w:ascii="Times New Roman" w:eastAsia="Times New Roman" w:hAnsi="Times New Roman" w:cs="Times New Roman"/>
                      <w:sz w:val="20"/>
                      <w:szCs w:val="20"/>
                      <w:lang w:eastAsia="en-GB"/>
                    </w:rPr>
                  </w:pPr>
                </w:p>
              </w:tc>
              <w:tc>
                <w:tcPr>
                  <w:tcW w:w="1009" w:type="dxa"/>
                  <w:tcBorders>
                    <w:top w:val="nil"/>
                    <w:left w:val="nil"/>
                    <w:bottom w:val="nil"/>
                    <w:right w:val="nil"/>
                  </w:tcBorders>
                  <w:shd w:val="clear" w:color="auto" w:fill="auto"/>
                  <w:noWrap/>
                  <w:vAlign w:val="bottom"/>
                  <w:hideMark/>
                </w:tcPr>
                <w:p w14:paraId="0475DBC4" w14:textId="77777777" w:rsidR="00FD3071" w:rsidRPr="009435C8" w:rsidRDefault="00FD3071" w:rsidP="00FD3071">
                  <w:pPr>
                    <w:spacing w:after="0" w:line="240" w:lineRule="auto"/>
                    <w:rPr>
                      <w:rFonts w:ascii="Times New Roman" w:eastAsia="Times New Roman" w:hAnsi="Times New Roman" w:cs="Times New Roman"/>
                      <w:sz w:val="20"/>
                      <w:szCs w:val="20"/>
                      <w:lang w:eastAsia="en-GB"/>
                    </w:rPr>
                  </w:pPr>
                </w:p>
              </w:tc>
              <w:tc>
                <w:tcPr>
                  <w:tcW w:w="1359" w:type="dxa"/>
                  <w:tcBorders>
                    <w:top w:val="nil"/>
                    <w:left w:val="nil"/>
                    <w:bottom w:val="nil"/>
                    <w:right w:val="nil"/>
                  </w:tcBorders>
                  <w:shd w:val="clear" w:color="auto" w:fill="auto"/>
                  <w:noWrap/>
                  <w:vAlign w:val="center"/>
                  <w:hideMark/>
                </w:tcPr>
                <w:p w14:paraId="387CAD98" w14:textId="77777777" w:rsidR="00FD3071" w:rsidRPr="009435C8" w:rsidRDefault="00FD3071" w:rsidP="00FD3071">
                  <w:pPr>
                    <w:spacing w:after="0" w:line="240" w:lineRule="auto"/>
                    <w:jc w:val="right"/>
                    <w:rPr>
                      <w:rFonts w:ascii="Arial" w:eastAsia="Times New Roman" w:hAnsi="Arial" w:cs="Arial"/>
                      <w:b/>
                      <w:bCs/>
                      <w:sz w:val="20"/>
                      <w:szCs w:val="20"/>
                      <w:lang w:eastAsia="en-GB"/>
                    </w:rPr>
                  </w:pPr>
                  <w:r w:rsidRPr="009435C8">
                    <w:rPr>
                      <w:rFonts w:ascii="Arial" w:eastAsia="Times New Roman" w:hAnsi="Arial" w:cs="Arial"/>
                      <w:b/>
                      <w:bCs/>
                      <w:sz w:val="20"/>
                      <w:szCs w:val="20"/>
                      <w:lang w:eastAsia="en-GB"/>
                    </w:rPr>
                    <w:t>2.2%</w:t>
                  </w:r>
                </w:p>
              </w:tc>
              <w:tc>
                <w:tcPr>
                  <w:tcW w:w="1254" w:type="dxa"/>
                  <w:tcBorders>
                    <w:top w:val="nil"/>
                    <w:left w:val="nil"/>
                    <w:bottom w:val="nil"/>
                    <w:right w:val="nil"/>
                  </w:tcBorders>
                  <w:shd w:val="clear" w:color="auto" w:fill="auto"/>
                  <w:noWrap/>
                  <w:vAlign w:val="center"/>
                  <w:hideMark/>
                </w:tcPr>
                <w:p w14:paraId="221C6D52" w14:textId="77777777" w:rsidR="00FD3071" w:rsidRPr="009435C8" w:rsidRDefault="00FD3071" w:rsidP="00FD3071">
                  <w:pPr>
                    <w:spacing w:after="0" w:line="240" w:lineRule="auto"/>
                    <w:jc w:val="right"/>
                    <w:rPr>
                      <w:rFonts w:ascii="Arial" w:eastAsia="Times New Roman" w:hAnsi="Arial" w:cs="Arial"/>
                      <w:sz w:val="20"/>
                      <w:szCs w:val="20"/>
                      <w:lang w:eastAsia="en-GB"/>
                    </w:rPr>
                  </w:pPr>
                  <w:r w:rsidRPr="009435C8">
                    <w:rPr>
                      <w:rFonts w:ascii="Arial" w:eastAsia="Times New Roman" w:hAnsi="Arial" w:cs="Arial"/>
                      <w:bCs/>
                      <w:sz w:val="20"/>
                      <w:szCs w:val="20"/>
                      <w:lang w:eastAsia="en-GB"/>
                    </w:rPr>
                    <w:t>N/A</w:t>
                  </w:r>
                </w:p>
              </w:tc>
            </w:tr>
            <w:tr w:rsidR="00FD3071" w:rsidRPr="009435C8" w14:paraId="7B769639" w14:textId="77777777" w:rsidTr="00454D0E">
              <w:trPr>
                <w:trHeight w:val="263"/>
              </w:trPr>
              <w:tc>
                <w:tcPr>
                  <w:tcW w:w="3868" w:type="dxa"/>
                  <w:tcBorders>
                    <w:top w:val="nil"/>
                    <w:left w:val="nil"/>
                    <w:bottom w:val="nil"/>
                    <w:right w:val="nil"/>
                  </w:tcBorders>
                  <w:shd w:val="clear" w:color="auto" w:fill="auto"/>
                  <w:noWrap/>
                  <w:vAlign w:val="center"/>
                  <w:hideMark/>
                </w:tcPr>
                <w:p w14:paraId="45BC243D" w14:textId="77777777" w:rsidR="00FD3071" w:rsidRPr="009435C8" w:rsidRDefault="00FD3071" w:rsidP="00FD3071">
                  <w:pPr>
                    <w:spacing w:after="0" w:line="240" w:lineRule="auto"/>
                    <w:rPr>
                      <w:rFonts w:ascii="Arial" w:eastAsia="Times New Roman" w:hAnsi="Arial" w:cs="Arial"/>
                      <w:sz w:val="20"/>
                      <w:szCs w:val="20"/>
                      <w:lang w:eastAsia="en-GB"/>
                    </w:rPr>
                  </w:pPr>
                  <w:r w:rsidRPr="009435C8">
                    <w:rPr>
                      <w:rFonts w:ascii="Arial" w:eastAsia="Times New Roman" w:hAnsi="Arial" w:cs="Arial"/>
                      <w:sz w:val="20"/>
                      <w:szCs w:val="20"/>
                      <w:lang w:eastAsia="en-GB"/>
                    </w:rPr>
                    <w:t>Discount rate</w:t>
                  </w:r>
                </w:p>
              </w:tc>
              <w:tc>
                <w:tcPr>
                  <w:tcW w:w="284" w:type="dxa"/>
                  <w:tcBorders>
                    <w:top w:val="nil"/>
                    <w:left w:val="nil"/>
                    <w:bottom w:val="nil"/>
                    <w:right w:val="nil"/>
                  </w:tcBorders>
                  <w:shd w:val="clear" w:color="auto" w:fill="auto"/>
                  <w:noWrap/>
                  <w:vAlign w:val="bottom"/>
                  <w:hideMark/>
                </w:tcPr>
                <w:p w14:paraId="5DC7136C" w14:textId="77777777" w:rsidR="00FD3071" w:rsidRPr="009435C8" w:rsidRDefault="00FD3071" w:rsidP="00FD3071">
                  <w:pPr>
                    <w:spacing w:after="0" w:line="240" w:lineRule="auto"/>
                    <w:rPr>
                      <w:rFonts w:ascii="Arial" w:eastAsia="Times New Roman" w:hAnsi="Arial" w:cs="Arial"/>
                      <w:sz w:val="20"/>
                      <w:szCs w:val="20"/>
                      <w:lang w:eastAsia="en-GB"/>
                    </w:rPr>
                  </w:pPr>
                </w:p>
              </w:tc>
              <w:tc>
                <w:tcPr>
                  <w:tcW w:w="1255" w:type="dxa"/>
                  <w:tcBorders>
                    <w:top w:val="nil"/>
                    <w:left w:val="nil"/>
                    <w:bottom w:val="nil"/>
                    <w:right w:val="nil"/>
                  </w:tcBorders>
                  <w:shd w:val="clear" w:color="auto" w:fill="auto"/>
                  <w:noWrap/>
                  <w:vAlign w:val="bottom"/>
                  <w:hideMark/>
                </w:tcPr>
                <w:p w14:paraId="3940F937" w14:textId="77777777" w:rsidR="00FD3071" w:rsidRPr="009435C8" w:rsidRDefault="00FD3071" w:rsidP="00FD3071">
                  <w:pPr>
                    <w:spacing w:after="0" w:line="240" w:lineRule="auto"/>
                    <w:rPr>
                      <w:rFonts w:ascii="Times New Roman" w:eastAsia="Times New Roman" w:hAnsi="Times New Roman" w:cs="Times New Roman"/>
                      <w:sz w:val="20"/>
                      <w:szCs w:val="20"/>
                      <w:lang w:eastAsia="en-GB"/>
                    </w:rPr>
                  </w:pPr>
                </w:p>
              </w:tc>
              <w:tc>
                <w:tcPr>
                  <w:tcW w:w="1009" w:type="dxa"/>
                  <w:tcBorders>
                    <w:top w:val="nil"/>
                    <w:left w:val="nil"/>
                    <w:bottom w:val="nil"/>
                    <w:right w:val="nil"/>
                  </w:tcBorders>
                  <w:shd w:val="clear" w:color="auto" w:fill="auto"/>
                  <w:noWrap/>
                  <w:vAlign w:val="bottom"/>
                  <w:hideMark/>
                </w:tcPr>
                <w:p w14:paraId="0CA58ACD" w14:textId="77777777" w:rsidR="00FD3071" w:rsidRPr="009435C8" w:rsidRDefault="00FD3071" w:rsidP="00FD3071">
                  <w:pPr>
                    <w:spacing w:after="0" w:line="240" w:lineRule="auto"/>
                    <w:rPr>
                      <w:rFonts w:ascii="Times New Roman" w:eastAsia="Times New Roman" w:hAnsi="Times New Roman" w:cs="Times New Roman"/>
                      <w:sz w:val="20"/>
                      <w:szCs w:val="20"/>
                      <w:lang w:eastAsia="en-GB"/>
                    </w:rPr>
                  </w:pPr>
                </w:p>
              </w:tc>
              <w:tc>
                <w:tcPr>
                  <w:tcW w:w="1359" w:type="dxa"/>
                  <w:tcBorders>
                    <w:top w:val="nil"/>
                    <w:left w:val="nil"/>
                    <w:bottom w:val="nil"/>
                    <w:right w:val="nil"/>
                  </w:tcBorders>
                  <w:shd w:val="clear" w:color="auto" w:fill="auto"/>
                  <w:noWrap/>
                  <w:vAlign w:val="center"/>
                  <w:hideMark/>
                </w:tcPr>
                <w:p w14:paraId="45CA8974" w14:textId="77777777" w:rsidR="00FD3071" w:rsidRPr="009435C8" w:rsidRDefault="00FD3071" w:rsidP="00FD3071">
                  <w:pPr>
                    <w:spacing w:after="0" w:line="240" w:lineRule="auto"/>
                    <w:jc w:val="right"/>
                    <w:rPr>
                      <w:rFonts w:ascii="Arial" w:eastAsia="Times New Roman" w:hAnsi="Arial" w:cs="Arial"/>
                      <w:b/>
                      <w:bCs/>
                      <w:sz w:val="20"/>
                      <w:szCs w:val="20"/>
                      <w:lang w:eastAsia="en-GB"/>
                    </w:rPr>
                  </w:pPr>
                  <w:r w:rsidRPr="009435C8">
                    <w:rPr>
                      <w:rFonts w:ascii="Arial" w:eastAsia="Times New Roman" w:hAnsi="Arial" w:cs="Arial"/>
                      <w:b/>
                      <w:bCs/>
                      <w:sz w:val="20"/>
                      <w:szCs w:val="20"/>
                      <w:lang w:eastAsia="en-GB"/>
                    </w:rPr>
                    <w:t>1.7%</w:t>
                  </w:r>
                </w:p>
              </w:tc>
              <w:tc>
                <w:tcPr>
                  <w:tcW w:w="1254" w:type="dxa"/>
                  <w:tcBorders>
                    <w:top w:val="nil"/>
                    <w:left w:val="nil"/>
                    <w:bottom w:val="nil"/>
                    <w:right w:val="nil"/>
                  </w:tcBorders>
                  <w:shd w:val="clear" w:color="auto" w:fill="auto"/>
                  <w:noWrap/>
                  <w:vAlign w:val="center"/>
                  <w:hideMark/>
                </w:tcPr>
                <w:p w14:paraId="0607FCB6" w14:textId="77777777" w:rsidR="00FD3071" w:rsidRPr="009435C8" w:rsidRDefault="00FD3071" w:rsidP="00FD3071">
                  <w:pPr>
                    <w:spacing w:after="0" w:line="240" w:lineRule="auto"/>
                    <w:jc w:val="right"/>
                    <w:rPr>
                      <w:rFonts w:ascii="Arial" w:eastAsia="Times New Roman" w:hAnsi="Arial" w:cs="Arial"/>
                      <w:sz w:val="20"/>
                      <w:szCs w:val="20"/>
                      <w:lang w:eastAsia="en-GB"/>
                    </w:rPr>
                  </w:pPr>
                  <w:r w:rsidRPr="009435C8">
                    <w:rPr>
                      <w:rFonts w:ascii="Arial" w:eastAsia="Times New Roman" w:hAnsi="Arial" w:cs="Arial"/>
                      <w:bCs/>
                      <w:sz w:val="20"/>
                      <w:szCs w:val="20"/>
                      <w:lang w:eastAsia="en-GB"/>
                    </w:rPr>
                    <w:t>N/A</w:t>
                  </w:r>
                </w:p>
              </w:tc>
            </w:tr>
            <w:tr w:rsidR="00FD3071" w:rsidRPr="009435C8" w14:paraId="37C169B2" w14:textId="77777777" w:rsidTr="00454D0E">
              <w:trPr>
                <w:trHeight w:val="263"/>
              </w:trPr>
              <w:tc>
                <w:tcPr>
                  <w:tcW w:w="3868" w:type="dxa"/>
                  <w:tcBorders>
                    <w:top w:val="nil"/>
                    <w:left w:val="nil"/>
                    <w:bottom w:val="nil"/>
                    <w:right w:val="nil"/>
                  </w:tcBorders>
                  <w:shd w:val="clear" w:color="auto" w:fill="auto"/>
                  <w:noWrap/>
                  <w:vAlign w:val="center"/>
                  <w:hideMark/>
                </w:tcPr>
                <w:p w14:paraId="0F6E0D2F" w14:textId="77777777" w:rsidR="00FD3071" w:rsidRPr="009435C8" w:rsidRDefault="00FD3071" w:rsidP="00FD3071">
                  <w:pPr>
                    <w:spacing w:after="0" w:line="240" w:lineRule="auto"/>
                    <w:rPr>
                      <w:rFonts w:ascii="Arial" w:eastAsia="Times New Roman" w:hAnsi="Arial" w:cs="Arial"/>
                      <w:sz w:val="20"/>
                      <w:szCs w:val="20"/>
                      <w:lang w:eastAsia="en-GB"/>
                    </w:rPr>
                  </w:pPr>
                </w:p>
              </w:tc>
              <w:tc>
                <w:tcPr>
                  <w:tcW w:w="284" w:type="dxa"/>
                  <w:tcBorders>
                    <w:top w:val="nil"/>
                    <w:left w:val="nil"/>
                    <w:bottom w:val="nil"/>
                    <w:right w:val="nil"/>
                  </w:tcBorders>
                  <w:shd w:val="clear" w:color="auto" w:fill="auto"/>
                  <w:noWrap/>
                  <w:vAlign w:val="bottom"/>
                  <w:hideMark/>
                </w:tcPr>
                <w:p w14:paraId="0BFC7CF3" w14:textId="77777777" w:rsidR="00FD3071" w:rsidRPr="009435C8" w:rsidRDefault="00FD3071" w:rsidP="00FD3071">
                  <w:pPr>
                    <w:spacing w:after="0" w:line="240" w:lineRule="auto"/>
                    <w:rPr>
                      <w:rFonts w:ascii="Times New Roman" w:eastAsia="Times New Roman" w:hAnsi="Times New Roman" w:cs="Times New Roman"/>
                      <w:sz w:val="20"/>
                      <w:szCs w:val="20"/>
                      <w:lang w:eastAsia="en-GB"/>
                    </w:rPr>
                  </w:pPr>
                </w:p>
              </w:tc>
              <w:tc>
                <w:tcPr>
                  <w:tcW w:w="1255" w:type="dxa"/>
                  <w:tcBorders>
                    <w:top w:val="nil"/>
                    <w:left w:val="nil"/>
                    <w:bottom w:val="nil"/>
                    <w:right w:val="nil"/>
                  </w:tcBorders>
                  <w:shd w:val="clear" w:color="auto" w:fill="auto"/>
                  <w:noWrap/>
                  <w:vAlign w:val="bottom"/>
                  <w:hideMark/>
                </w:tcPr>
                <w:p w14:paraId="70522495" w14:textId="77777777" w:rsidR="00FD3071" w:rsidRPr="009435C8" w:rsidRDefault="00FD3071" w:rsidP="00FD3071">
                  <w:pPr>
                    <w:spacing w:after="0" w:line="240" w:lineRule="auto"/>
                    <w:rPr>
                      <w:rFonts w:ascii="Times New Roman" w:eastAsia="Times New Roman" w:hAnsi="Times New Roman" w:cs="Times New Roman"/>
                      <w:sz w:val="20"/>
                      <w:szCs w:val="20"/>
                      <w:lang w:eastAsia="en-GB"/>
                    </w:rPr>
                  </w:pPr>
                </w:p>
              </w:tc>
              <w:tc>
                <w:tcPr>
                  <w:tcW w:w="1009" w:type="dxa"/>
                  <w:tcBorders>
                    <w:top w:val="nil"/>
                    <w:left w:val="nil"/>
                    <w:bottom w:val="nil"/>
                    <w:right w:val="nil"/>
                  </w:tcBorders>
                  <w:shd w:val="clear" w:color="auto" w:fill="auto"/>
                  <w:noWrap/>
                  <w:vAlign w:val="bottom"/>
                  <w:hideMark/>
                </w:tcPr>
                <w:p w14:paraId="1A524BB6" w14:textId="77777777" w:rsidR="00FD3071" w:rsidRPr="009435C8" w:rsidRDefault="00FD3071" w:rsidP="00FD3071">
                  <w:pPr>
                    <w:spacing w:after="0" w:line="240" w:lineRule="auto"/>
                    <w:rPr>
                      <w:rFonts w:ascii="Times New Roman" w:eastAsia="Times New Roman" w:hAnsi="Times New Roman" w:cs="Times New Roman"/>
                      <w:sz w:val="20"/>
                      <w:szCs w:val="20"/>
                      <w:lang w:eastAsia="en-GB"/>
                    </w:rPr>
                  </w:pPr>
                </w:p>
              </w:tc>
              <w:tc>
                <w:tcPr>
                  <w:tcW w:w="1359" w:type="dxa"/>
                  <w:tcBorders>
                    <w:top w:val="nil"/>
                    <w:left w:val="nil"/>
                    <w:bottom w:val="nil"/>
                    <w:right w:val="nil"/>
                  </w:tcBorders>
                  <w:shd w:val="clear" w:color="auto" w:fill="auto"/>
                  <w:noWrap/>
                  <w:vAlign w:val="center"/>
                  <w:hideMark/>
                </w:tcPr>
                <w:p w14:paraId="622F4807" w14:textId="77777777" w:rsidR="00FD3071" w:rsidRPr="009435C8" w:rsidRDefault="00FD3071" w:rsidP="00FD3071">
                  <w:pPr>
                    <w:spacing w:after="0" w:line="240" w:lineRule="auto"/>
                    <w:jc w:val="right"/>
                    <w:rPr>
                      <w:rFonts w:ascii="Times New Roman" w:eastAsia="Times New Roman" w:hAnsi="Times New Roman" w:cs="Times New Roman"/>
                      <w:sz w:val="20"/>
                      <w:szCs w:val="20"/>
                      <w:lang w:eastAsia="en-GB"/>
                    </w:rPr>
                  </w:pPr>
                </w:p>
              </w:tc>
              <w:tc>
                <w:tcPr>
                  <w:tcW w:w="1254" w:type="dxa"/>
                  <w:tcBorders>
                    <w:top w:val="nil"/>
                    <w:left w:val="nil"/>
                    <w:bottom w:val="nil"/>
                    <w:right w:val="nil"/>
                  </w:tcBorders>
                  <w:shd w:val="clear" w:color="auto" w:fill="auto"/>
                  <w:noWrap/>
                  <w:vAlign w:val="center"/>
                  <w:hideMark/>
                </w:tcPr>
                <w:p w14:paraId="4AEB1640" w14:textId="77777777" w:rsidR="00FD3071" w:rsidRPr="009435C8" w:rsidRDefault="00FD3071" w:rsidP="00FD3071">
                  <w:pPr>
                    <w:spacing w:after="0" w:line="240" w:lineRule="auto"/>
                    <w:jc w:val="right"/>
                    <w:rPr>
                      <w:rFonts w:ascii="Times New Roman" w:eastAsia="Times New Roman" w:hAnsi="Times New Roman" w:cs="Times New Roman"/>
                      <w:sz w:val="20"/>
                      <w:szCs w:val="20"/>
                      <w:lang w:eastAsia="en-GB"/>
                    </w:rPr>
                  </w:pPr>
                </w:p>
              </w:tc>
            </w:tr>
            <w:tr w:rsidR="00FD3071" w:rsidRPr="009435C8" w14:paraId="04E3E00A" w14:textId="77777777" w:rsidTr="00454D0E">
              <w:trPr>
                <w:trHeight w:val="263"/>
              </w:trPr>
              <w:tc>
                <w:tcPr>
                  <w:tcW w:w="5407" w:type="dxa"/>
                  <w:gridSpan w:val="3"/>
                  <w:tcBorders>
                    <w:top w:val="nil"/>
                    <w:left w:val="nil"/>
                    <w:bottom w:val="nil"/>
                    <w:right w:val="nil"/>
                  </w:tcBorders>
                  <w:shd w:val="clear" w:color="auto" w:fill="auto"/>
                  <w:noWrap/>
                  <w:vAlign w:val="center"/>
                  <w:hideMark/>
                </w:tcPr>
                <w:p w14:paraId="1200A058" w14:textId="77777777" w:rsidR="00FD3071" w:rsidRPr="009435C8" w:rsidRDefault="00FD3071" w:rsidP="00FD3071">
                  <w:pPr>
                    <w:spacing w:after="0" w:line="240" w:lineRule="auto"/>
                    <w:rPr>
                      <w:rFonts w:ascii="Arial" w:eastAsia="Times New Roman" w:hAnsi="Arial" w:cs="Arial"/>
                      <w:sz w:val="20"/>
                      <w:szCs w:val="20"/>
                      <w:lang w:eastAsia="en-GB"/>
                    </w:rPr>
                  </w:pPr>
                  <w:r w:rsidRPr="009435C8">
                    <w:rPr>
                      <w:rFonts w:ascii="Arial" w:eastAsia="Times New Roman" w:hAnsi="Arial" w:cs="Arial"/>
                      <w:sz w:val="20"/>
                      <w:szCs w:val="20"/>
                      <w:lang w:eastAsia="en-GB"/>
                    </w:rPr>
                    <w:t>The mortality assumptions used were as follows:</w:t>
                  </w:r>
                </w:p>
              </w:tc>
              <w:tc>
                <w:tcPr>
                  <w:tcW w:w="1009" w:type="dxa"/>
                  <w:tcBorders>
                    <w:top w:val="nil"/>
                    <w:left w:val="nil"/>
                    <w:bottom w:val="nil"/>
                    <w:right w:val="nil"/>
                  </w:tcBorders>
                  <w:shd w:val="clear" w:color="auto" w:fill="auto"/>
                  <w:noWrap/>
                  <w:vAlign w:val="bottom"/>
                  <w:hideMark/>
                </w:tcPr>
                <w:p w14:paraId="3D13F8CE" w14:textId="77777777" w:rsidR="00FD3071" w:rsidRPr="009435C8" w:rsidRDefault="00FD3071" w:rsidP="00FD3071">
                  <w:pPr>
                    <w:spacing w:after="0" w:line="240" w:lineRule="auto"/>
                    <w:rPr>
                      <w:rFonts w:ascii="Arial" w:eastAsia="Times New Roman" w:hAnsi="Arial" w:cs="Arial"/>
                      <w:sz w:val="20"/>
                      <w:szCs w:val="20"/>
                      <w:lang w:eastAsia="en-GB"/>
                    </w:rPr>
                  </w:pPr>
                </w:p>
              </w:tc>
              <w:tc>
                <w:tcPr>
                  <w:tcW w:w="1359" w:type="dxa"/>
                  <w:tcBorders>
                    <w:top w:val="nil"/>
                    <w:left w:val="nil"/>
                    <w:bottom w:val="nil"/>
                    <w:right w:val="nil"/>
                  </w:tcBorders>
                  <w:shd w:val="clear" w:color="auto" w:fill="auto"/>
                  <w:noWrap/>
                  <w:vAlign w:val="center"/>
                  <w:hideMark/>
                </w:tcPr>
                <w:p w14:paraId="423CD073" w14:textId="77777777" w:rsidR="00FD3071" w:rsidRPr="009435C8" w:rsidRDefault="00FD3071" w:rsidP="00FD3071">
                  <w:pPr>
                    <w:spacing w:after="0" w:line="240" w:lineRule="auto"/>
                    <w:jc w:val="right"/>
                    <w:rPr>
                      <w:rFonts w:ascii="Times New Roman" w:eastAsia="Times New Roman" w:hAnsi="Times New Roman" w:cs="Times New Roman"/>
                      <w:sz w:val="20"/>
                      <w:szCs w:val="20"/>
                      <w:lang w:eastAsia="en-GB"/>
                    </w:rPr>
                  </w:pPr>
                </w:p>
              </w:tc>
              <w:tc>
                <w:tcPr>
                  <w:tcW w:w="1254" w:type="dxa"/>
                  <w:tcBorders>
                    <w:top w:val="nil"/>
                    <w:left w:val="nil"/>
                    <w:bottom w:val="nil"/>
                    <w:right w:val="nil"/>
                  </w:tcBorders>
                  <w:shd w:val="clear" w:color="auto" w:fill="auto"/>
                  <w:noWrap/>
                  <w:vAlign w:val="center"/>
                  <w:hideMark/>
                </w:tcPr>
                <w:p w14:paraId="3215AEE9" w14:textId="77777777" w:rsidR="00FD3071" w:rsidRPr="009435C8" w:rsidRDefault="00FD3071" w:rsidP="00FD3071">
                  <w:pPr>
                    <w:spacing w:after="0" w:line="240" w:lineRule="auto"/>
                    <w:jc w:val="right"/>
                    <w:rPr>
                      <w:rFonts w:ascii="Times New Roman" w:eastAsia="Times New Roman" w:hAnsi="Times New Roman" w:cs="Times New Roman"/>
                      <w:sz w:val="20"/>
                      <w:szCs w:val="20"/>
                      <w:lang w:eastAsia="en-GB"/>
                    </w:rPr>
                  </w:pPr>
                </w:p>
              </w:tc>
            </w:tr>
            <w:tr w:rsidR="00FD3071" w:rsidRPr="009435C8" w14:paraId="34528BB9" w14:textId="77777777" w:rsidTr="00454D0E">
              <w:trPr>
                <w:trHeight w:val="263"/>
              </w:trPr>
              <w:tc>
                <w:tcPr>
                  <w:tcW w:w="3868" w:type="dxa"/>
                  <w:tcBorders>
                    <w:top w:val="nil"/>
                    <w:left w:val="nil"/>
                    <w:bottom w:val="nil"/>
                    <w:right w:val="nil"/>
                  </w:tcBorders>
                  <w:shd w:val="clear" w:color="auto" w:fill="auto"/>
                  <w:noWrap/>
                  <w:vAlign w:val="center"/>
                  <w:hideMark/>
                </w:tcPr>
                <w:p w14:paraId="3516865F" w14:textId="77777777" w:rsidR="00FD3071" w:rsidRPr="009435C8" w:rsidRDefault="00FD3071" w:rsidP="00FD3071">
                  <w:pPr>
                    <w:spacing w:after="0" w:line="240" w:lineRule="auto"/>
                    <w:rPr>
                      <w:rFonts w:ascii="Times New Roman" w:eastAsia="Times New Roman" w:hAnsi="Times New Roman" w:cs="Times New Roman"/>
                      <w:sz w:val="20"/>
                      <w:szCs w:val="20"/>
                      <w:lang w:eastAsia="en-GB"/>
                    </w:rPr>
                  </w:pPr>
                </w:p>
              </w:tc>
              <w:tc>
                <w:tcPr>
                  <w:tcW w:w="284" w:type="dxa"/>
                  <w:tcBorders>
                    <w:top w:val="nil"/>
                    <w:left w:val="nil"/>
                    <w:bottom w:val="nil"/>
                    <w:right w:val="nil"/>
                  </w:tcBorders>
                  <w:shd w:val="clear" w:color="auto" w:fill="auto"/>
                  <w:noWrap/>
                  <w:vAlign w:val="bottom"/>
                  <w:hideMark/>
                </w:tcPr>
                <w:p w14:paraId="3C2DC0D4" w14:textId="77777777" w:rsidR="00FD3071" w:rsidRPr="009435C8" w:rsidRDefault="00FD3071" w:rsidP="00FD3071">
                  <w:pPr>
                    <w:spacing w:after="0" w:line="240" w:lineRule="auto"/>
                    <w:rPr>
                      <w:rFonts w:ascii="Times New Roman" w:eastAsia="Times New Roman" w:hAnsi="Times New Roman" w:cs="Times New Roman"/>
                      <w:sz w:val="20"/>
                      <w:szCs w:val="20"/>
                      <w:lang w:eastAsia="en-GB"/>
                    </w:rPr>
                  </w:pPr>
                </w:p>
              </w:tc>
              <w:tc>
                <w:tcPr>
                  <w:tcW w:w="1255" w:type="dxa"/>
                  <w:tcBorders>
                    <w:top w:val="nil"/>
                    <w:left w:val="nil"/>
                    <w:bottom w:val="nil"/>
                    <w:right w:val="nil"/>
                  </w:tcBorders>
                  <w:shd w:val="clear" w:color="auto" w:fill="auto"/>
                  <w:noWrap/>
                  <w:vAlign w:val="bottom"/>
                  <w:hideMark/>
                </w:tcPr>
                <w:p w14:paraId="424B6872" w14:textId="77777777" w:rsidR="00FD3071" w:rsidRPr="009435C8" w:rsidRDefault="00FD3071" w:rsidP="00FD3071">
                  <w:pPr>
                    <w:spacing w:after="0" w:line="240" w:lineRule="auto"/>
                    <w:rPr>
                      <w:rFonts w:ascii="Times New Roman" w:eastAsia="Times New Roman" w:hAnsi="Times New Roman" w:cs="Times New Roman"/>
                      <w:sz w:val="20"/>
                      <w:szCs w:val="20"/>
                      <w:lang w:eastAsia="en-GB"/>
                    </w:rPr>
                  </w:pPr>
                </w:p>
              </w:tc>
              <w:tc>
                <w:tcPr>
                  <w:tcW w:w="1009" w:type="dxa"/>
                  <w:tcBorders>
                    <w:top w:val="nil"/>
                    <w:left w:val="nil"/>
                    <w:bottom w:val="nil"/>
                    <w:right w:val="nil"/>
                  </w:tcBorders>
                  <w:shd w:val="clear" w:color="auto" w:fill="auto"/>
                  <w:noWrap/>
                  <w:vAlign w:val="bottom"/>
                  <w:hideMark/>
                </w:tcPr>
                <w:p w14:paraId="61F2B8AD" w14:textId="77777777" w:rsidR="00FD3071" w:rsidRPr="009435C8" w:rsidRDefault="00FD3071" w:rsidP="00FD3071">
                  <w:pPr>
                    <w:spacing w:after="0" w:line="240" w:lineRule="auto"/>
                    <w:rPr>
                      <w:rFonts w:ascii="Times New Roman" w:eastAsia="Times New Roman" w:hAnsi="Times New Roman" w:cs="Times New Roman"/>
                      <w:sz w:val="20"/>
                      <w:szCs w:val="20"/>
                      <w:lang w:eastAsia="en-GB"/>
                    </w:rPr>
                  </w:pPr>
                </w:p>
              </w:tc>
              <w:tc>
                <w:tcPr>
                  <w:tcW w:w="1359" w:type="dxa"/>
                  <w:tcBorders>
                    <w:top w:val="nil"/>
                    <w:left w:val="nil"/>
                    <w:bottom w:val="nil"/>
                    <w:right w:val="nil"/>
                  </w:tcBorders>
                  <w:shd w:val="clear" w:color="auto" w:fill="auto"/>
                  <w:noWrap/>
                  <w:vAlign w:val="center"/>
                  <w:hideMark/>
                </w:tcPr>
                <w:p w14:paraId="37A3A7D4" w14:textId="77777777" w:rsidR="00FD3071" w:rsidRPr="009435C8" w:rsidRDefault="00FD3071" w:rsidP="00FD3071">
                  <w:pPr>
                    <w:spacing w:after="0" w:line="240" w:lineRule="auto"/>
                    <w:jc w:val="right"/>
                    <w:rPr>
                      <w:rFonts w:ascii="Times New Roman" w:eastAsia="Times New Roman" w:hAnsi="Times New Roman" w:cs="Times New Roman"/>
                      <w:sz w:val="20"/>
                      <w:szCs w:val="20"/>
                      <w:lang w:eastAsia="en-GB"/>
                    </w:rPr>
                  </w:pPr>
                </w:p>
              </w:tc>
              <w:tc>
                <w:tcPr>
                  <w:tcW w:w="1254" w:type="dxa"/>
                  <w:tcBorders>
                    <w:top w:val="nil"/>
                    <w:left w:val="nil"/>
                    <w:bottom w:val="nil"/>
                    <w:right w:val="nil"/>
                  </w:tcBorders>
                  <w:shd w:val="clear" w:color="auto" w:fill="auto"/>
                  <w:noWrap/>
                  <w:vAlign w:val="center"/>
                  <w:hideMark/>
                </w:tcPr>
                <w:p w14:paraId="1C6A47D6" w14:textId="77777777" w:rsidR="00FD3071" w:rsidRPr="009435C8" w:rsidRDefault="00FD3071" w:rsidP="00FD3071">
                  <w:pPr>
                    <w:spacing w:after="0" w:line="240" w:lineRule="auto"/>
                    <w:jc w:val="right"/>
                    <w:rPr>
                      <w:rFonts w:ascii="Times New Roman" w:eastAsia="Times New Roman" w:hAnsi="Times New Roman" w:cs="Times New Roman"/>
                      <w:sz w:val="20"/>
                      <w:szCs w:val="20"/>
                      <w:lang w:eastAsia="en-GB"/>
                    </w:rPr>
                  </w:pPr>
                </w:p>
              </w:tc>
            </w:tr>
            <w:tr w:rsidR="00FD3071" w:rsidRPr="009435C8" w14:paraId="1B8AC29E" w14:textId="77777777" w:rsidTr="00454D0E">
              <w:trPr>
                <w:trHeight w:val="263"/>
              </w:trPr>
              <w:tc>
                <w:tcPr>
                  <w:tcW w:w="3868" w:type="dxa"/>
                  <w:tcBorders>
                    <w:top w:val="nil"/>
                    <w:left w:val="nil"/>
                    <w:bottom w:val="nil"/>
                    <w:right w:val="nil"/>
                  </w:tcBorders>
                  <w:shd w:val="clear" w:color="auto" w:fill="auto"/>
                  <w:noWrap/>
                  <w:vAlign w:val="center"/>
                  <w:hideMark/>
                </w:tcPr>
                <w:p w14:paraId="5DC70DC6" w14:textId="77777777" w:rsidR="00FD3071" w:rsidRPr="009435C8" w:rsidRDefault="00FD3071" w:rsidP="00FD3071">
                  <w:pPr>
                    <w:spacing w:after="0" w:line="240" w:lineRule="auto"/>
                    <w:rPr>
                      <w:rFonts w:ascii="Arial" w:eastAsia="Times New Roman" w:hAnsi="Arial" w:cs="Arial"/>
                      <w:sz w:val="20"/>
                      <w:szCs w:val="20"/>
                      <w:lang w:eastAsia="en-GB"/>
                    </w:rPr>
                  </w:pPr>
                  <w:r w:rsidRPr="009435C8">
                    <w:rPr>
                      <w:rFonts w:ascii="Arial" w:eastAsia="Times New Roman" w:hAnsi="Arial" w:cs="Arial"/>
                      <w:sz w:val="20"/>
                      <w:szCs w:val="20"/>
                      <w:lang w:eastAsia="en-GB"/>
                    </w:rPr>
                    <w:t>Longevity at age 65 for current pensioners</w:t>
                  </w:r>
                </w:p>
              </w:tc>
              <w:tc>
                <w:tcPr>
                  <w:tcW w:w="284" w:type="dxa"/>
                  <w:tcBorders>
                    <w:top w:val="nil"/>
                    <w:left w:val="nil"/>
                    <w:bottom w:val="nil"/>
                    <w:right w:val="nil"/>
                  </w:tcBorders>
                  <w:shd w:val="clear" w:color="auto" w:fill="auto"/>
                  <w:noWrap/>
                  <w:vAlign w:val="bottom"/>
                  <w:hideMark/>
                </w:tcPr>
                <w:p w14:paraId="38684F67" w14:textId="77777777" w:rsidR="00FD3071" w:rsidRPr="009435C8" w:rsidRDefault="00FD3071" w:rsidP="00FD3071">
                  <w:pPr>
                    <w:spacing w:after="0" w:line="240" w:lineRule="auto"/>
                    <w:rPr>
                      <w:rFonts w:ascii="Arial" w:eastAsia="Times New Roman" w:hAnsi="Arial" w:cs="Arial"/>
                      <w:sz w:val="20"/>
                      <w:szCs w:val="20"/>
                      <w:lang w:eastAsia="en-GB"/>
                    </w:rPr>
                  </w:pPr>
                </w:p>
              </w:tc>
              <w:tc>
                <w:tcPr>
                  <w:tcW w:w="1255" w:type="dxa"/>
                  <w:tcBorders>
                    <w:top w:val="nil"/>
                    <w:left w:val="nil"/>
                    <w:bottom w:val="nil"/>
                    <w:right w:val="nil"/>
                  </w:tcBorders>
                  <w:shd w:val="clear" w:color="auto" w:fill="auto"/>
                  <w:noWrap/>
                  <w:vAlign w:val="bottom"/>
                  <w:hideMark/>
                </w:tcPr>
                <w:p w14:paraId="14BB0088" w14:textId="77777777" w:rsidR="00FD3071" w:rsidRPr="009435C8" w:rsidRDefault="00FD3071" w:rsidP="00FD3071">
                  <w:pPr>
                    <w:spacing w:after="0" w:line="240" w:lineRule="auto"/>
                    <w:rPr>
                      <w:rFonts w:ascii="Times New Roman" w:eastAsia="Times New Roman" w:hAnsi="Times New Roman" w:cs="Times New Roman"/>
                      <w:sz w:val="20"/>
                      <w:szCs w:val="20"/>
                      <w:lang w:eastAsia="en-GB"/>
                    </w:rPr>
                  </w:pPr>
                </w:p>
              </w:tc>
              <w:tc>
                <w:tcPr>
                  <w:tcW w:w="1009" w:type="dxa"/>
                  <w:tcBorders>
                    <w:top w:val="nil"/>
                    <w:left w:val="nil"/>
                    <w:bottom w:val="nil"/>
                    <w:right w:val="nil"/>
                  </w:tcBorders>
                  <w:shd w:val="clear" w:color="auto" w:fill="auto"/>
                  <w:noWrap/>
                  <w:vAlign w:val="bottom"/>
                  <w:hideMark/>
                </w:tcPr>
                <w:p w14:paraId="65101A46" w14:textId="77777777" w:rsidR="00FD3071" w:rsidRPr="009435C8" w:rsidRDefault="00FD3071" w:rsidP="00FD3071">
                  <w:pPr>
                    <w:spacing w:after="0" w:line="240" w:lineRule="auto"/>
                    <w:rPr>
                      <w:rFonts w:ascii="Times New Roman" w:eastAsia="Times New Roman" w:hAnsi="Times New Roman" w:cs="Times New Roman"/>
                      <w:sz w:val="20"/>
                      <w:szCs w:val="20"/>
                      <w:lang w:eastAsia="en-GB"/>
                    </w:rPr>
                  </w:pPr>
                </w:p>
              </w:tc>
              <w:tc>
                <w:tcPr>
                  <w:tcW w:w="1359" w:type="dxa"/>
                  <w:tcBorders>
                    <w:top w:val="nil"/>
                    <w:left w:val="nil"/>
                    <w:bottom w:val="nil"/>
                    <w:right w:val="nil"/>
                  </w:tcBorders>
                  <w:shd w:val="clear" w:color="auto" w:fill="auto"/>
                  <w:noWrap/>
                  <w:vAlign w:val="center"/>
                  <w:hideMark/>
                </w:tcPr>
                <w:p w14:paraId="35CCEA76" w14:textId="77777777" w:rsidR="00FD3071" w:rsidRPr="009435C8" w:rsidRDefault="00FD3071" w:rsidP="00FD3071">
                  <w:pPr>
                    <w:spacing w:after="0" w:line="240" w:lineRule="auto"/>
                    <w:jc w:val="right"/>
                    <w:rPr>
                      <w:rFonts w:ascii="Times New Roman" w:eastAsia="Times New Roman" w:hAnsi="Times New Roman" w:cs="Times New Roman"/>
                      <w:sz w:val="20"/>
                      <w:szCs w:val="20"/>
                      <w:lang w:eastAsia="en-GB"/>
                    </w:rPr>
                  </w:pPr>
                </w:p>
              </w:tc>
              <w:tc>
                <w:tcPr>
                  <w:tcW w:w="1254" w:type="dxa"/>
                  <w:tcBorders>
                    <w:top w:val="nil"/>
                    <w:left w:val="nil"/>
                    <w:bottom w:val="nil"/>
                    <w:right w:val="nil"/>
                  </w:tcBorders>
                  <w:shd w:val="clear" w:color="auto" w:fill="auto"/>
                  <w:noWrap/>
                  <w:vAlign w:val="center"/>
                  <w:hideMark/>
                </w:tcPr>
                <w:p w14:paraId="114B9473" w14:textId="77777777" w:rsidR="00FD3071" w:rsidRPr="009435C8" w:rsidRDefault="00FD3071" w:rsidP="00FD3071">
                  <w:pPr>
                    <w:spacing w:after="0" w:line="240" w:lineRule="auto"/>
                    <w:jc w:val="right"/>
                    <w:rPr>
                      <w:rFonts w:ascii="Times New Roman" w:eastAsia="Times New Roman" w:hAnsi="Times New Roman" w:cs="Times New Roman"/>
                      <w:sz w:val="20"/>
                      <w:szCs w:val="20"/>
                      <w:lang w:eastAsia="en-GB"/>
                    </w:rPr>
                  </w:pPr>
                </w:p>
              </w:tc>
            </w:tr>
            <w:tr w:rsidR="00FD3071" w:rsidRPr="009435C8" w14:paraId="0EAF69FA" w14:textId="77777777" w:rsidTr="00454D0E">
              <w:trPr>
                <w:trHeight w:val="263"/>
              </w:trPr>
              <w:tc>
                <w:tcPr>
                  <w:tcW w:w="3868" w:type="dxa"/>
                  <w:tcBorders>
                    <w:top w:val="nil"/>
                    <w:left w:val="nil"/>
                    <w:bottom w:val="nil"/>
                    <w:right w:val="nil"/>
                  </w:tcBorders>
                  <w:shd w:val="clear" w:color="auto" w:fill="auto"/>
                  <w:noWrap/>
                  <w:vAlign w:val="center"/>
                  <w:hideMark/>
                </w:tcPr>
                <w:p w14:paraId="3558DBC6" w14:textId="77777777" w:rsidR="00FD3071" w:rsidRPr="009435C8" w:rsidRDefault="00FD3071" w:rsidP="00FD3071">
                  <w:pPr>
                    <w:spacing w:after="0" w:line="240" w:lineRule="auto"/>
                    <w:rPr>
                      <w:rFonts w:ascii="Arial" w:eastAsia="Times New Roman" w:hAnsi="Arial" w:cs="Arial"/>
                      <w:sz w:val="20"/>
                      <w:szCs w:val="20"/>
                      <w:lang w:eastAsia="en-GB"/>
                    </w:rPr>
                  </w:pPr>
                  <w:r w:rsidRPr="009435C8">
                    <w:rPr>
                      <w:rFonts w:ascii="Arial" w:eastAsia="Times New Roman" w:hAnsi="Arial" w:cs="Arial"/>
                      <w:sz w:val="20"/>
                      <w:szCs w:val="20"/>
                      <w:lang w:eastAsia="en-GB"/>
                    </w:rPr>
                    <w:t>- Men</w:t>
                  </w:r>
                </w:p>
              </w:tc>
              <w:tc>
                <w:tcPr>
                  <w:tcW w:w="284" w:type="dxa"/>
                  <w:tcBorders>
                    <w:top w:val="nil"/>
                    <w:left w:val="nil"/>
                    <w:bottom w:val="nil"/>
                    <w:right w:val="nil"/>
                  </w:tcBorders>
                  <w:shd w:val="clear" w:color="auto" w:fill="auto"/>
                  <w:noWrap/>
                  <w:vAlign w:val="bottom"/>
                  <w:hideMark/>
                </w:tcPr>
                <w:p w14:paraId="2CF4137F" w14:textId="77777777" w:rsidR="00FD3071" w:rsidRPr="009435C8" w:rsidRDefault="00FD3071" w:rsidP="00FD3071">
                  <w:pPr>
                    <w:spacing w:after="0" w:line="240" w:lineRule="auto"/>
                    <w:rPr>
                      <w:rFonts w:ascii="Arial" w:eastAsia="Times New Roman" w:hAnsi="Arial" w:cs="Arial"/>
                      <w:sz w:val="20"/>
                      <w:szCs w:val="20"/>
                      <w:lang w:eastAsia="en-GB"/>
                    </w:rPr>
                  </w:pPr>
                </w:p>
              </w:tc>
              <w:tc>
                <w:tcPr>
                  <w:tcW w:w="1255" w:type="dxa"/>
                  <w:tcBorders>
                    <w:top w:val="nil"/>
                    <w:left w:val="nil"/>
                    <w:bottom w:val="nil"/>
                    <w:right w:val="nil"/>
                  </w:tcBorders>
                  <w:shd w:val="clear" w:color="auto" w:fill="auto"/>
                  <w:noWrap/>
                  <w:vAlign w:val="bottom"/>
                  <w:hideMark/>
                </w:tcPr>
                <w:p w14:paraId="2A9CBD70" w14:textId="77777777" w:rsidR="00FD3071" w:rsidRPr="009435C8" w:rsidRDefault="00FD3071" w:rsidP="00FD3071">
                  <w:pPr>
                    <w:spacing w:after="0" w:line="240" w:lineRule="auto"/>
                    <w:rPr>
                      <w:rFonts w:ascii="Times New Roman" w:eastAsia="Times New Roman" w:hAnsi="Times New Roman" w:cs="Times New Roman"/>
                      <w:sz w:val="20"/>
                      <w:szCs w:val="20"/>
                      <w:lang w:eastAsia="en-GB"/>
                    </w:rPr>
                  </w:pPr>
                </w:p>
              </w:tc>
              <w:tc>
                <w:tcPr>
                  <w:tcW w:w="1009" w:type="dxa"/>
                  <w:tcBorders>
                    <w:top w:val="nil"/>
                    <w:left w:val="nil"/>
                    <w:bottom w:val="nil"/>
                    <w:right w:val="nil"/>
                  </w:tcBorders>
                  <w:shd w:val="clear" w:color="auto" w:fill="auto"/>
                  <w:noWrap/>
                  <w:vAlign w:val="bottom"/>
                  <w:hideMark/>
                </w:tcPr>
                <w:p w14:paraId="5A1C4468" w14:textId="77777777" w:rsidR="00FD3071" w:rsidRPr="009435C8" w:rsidRDefault="00FD3071" w:rsidP="00FD3071">
                  <w:pPr>
                    <w:spacing w:after="0" w:line="240" w:lineRule="auto"/>
                    <w:rPr>
                      <w:rFonts w:ascii="Times New Roman" w:eastAsia="Times New Roman" w:hAnsi="Times New Roman" w:cs="Times New Roman"/>
                      <w:sz w:val="20"/>
                      <w:szCs w:val="20"/>
                      <w:lang w:eastAsia="en-GB"/>
                    </w:rPr>
                  </w:pPr>
                </w:p>
              </w:tc>
              <w:tc>
                <w:tcPr>
                  <w:tcW w:w="1359" w:type="dxa"/>
                  <w:tcBorders>
                    <w:top w:val="nil"/>
                    <w:left w:val="nil"/>
                    <w:bottom w:val="nil"/>
                    <w:right w:val="nil"/>
                  </w:tcBorders>
                  <w:shd w:val="clear" w:color="auto" w:fill="auto"/>
                  <w:noWrap/>
                  <w:vAlign w:val="center"/>
                  <w:hideMark/>
                </w:tcPr>
                <w:p w14:paraId="09793801" w14:textId="77777777" w:rsidR="00FD3071" w:rsidRPr="009435C8" w:rsidRDefault="009435C8" w:rsidP="00FD3071">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86.6</w:t>
                  </w:r>
                </w:p>
              </w:tc>
              <w:tc>
                <w:tcPr>
                  <w:tcW w:w="1254" w:type="dxa"/>
                  <w:tcBorders>
                    <w:top w:val="nil"/>
                    <w:left w:val="nil"/>
                    <w:bottom w:val="nil"/>
                    <w:right w:val="nil"/>
                  </w:tcBorders>
                  <w:shd w:val="clear" w:color="auto" w:fill="auto"/>
                  <w:noWrap/>
                  <w:vAlign w:val="center"/>
                  <w:hideMark/>
                </w:tcPr>
                <w:p w14:paraId="0A663943" w14:textId="77777777" w:rsidR="00FD3071" w:rsidRPr="009435C8" w:rsidRDefault="00FD3071" w:rsidP="00FD3071">
                  <w:pPr>
                    <w:spacing w:after="0" w:line="240" w:lineRule="auto"/>
                    <w:jc w:val="right"/>
                    <w:rPr>
                      <w:rFonts w:ascii="Arial" w:eastAsia="Times New Roman" w:hAnsi="Arial" w:cs="Arial"/>
                      <w:bCs/>
                      <w:sz w:val="20"/>
                      <w:szCs w:val="20"/>
                      <w:lang w:eastAsia="en-GB"/>
                    </w:rPr>
                  </w:pPr>
                  <w:r w:rsidRPr="009435C8">
                    <w:rPr>
                      <w:rFonts w:ascii="Arial" w:eastAsia="Times New Roman" w:hAnsi="Arial" w:cs="Arial"/>
                      <w:bCs/>
                      <w:sz w:val="20"/>
                      <w:szCs w:val="20"/>
                      <w:lang w:eastAsia="en-GB"/>
                    </w:rPr>
                    <w:t>N/A</w:t>
                  </w:r>
                </w:p>
              </w:tc>
            </w:tr>
            <w:tr w:rsidR="00FD3071" w:rsidRPr="009435C8" w14:paraId="01AA4589" w14:textId="77777777" w:rsidTr="00454D0E">
              <w:trPr>
                <w:trHeight w:val="263"/>
              </w:trPr>
              <w:tc>
                <w:tcPr>
                  <w:tcW w:w="3868" w:type="dxa"/>
                  <w:tcBorders>
                    <w:top w:val="nil"/>
                    <w:left w:val="nil"/>
                    <w:bottom w:val="nil"/>
                    <w:right w:val="nil"/>
                  </w:tcBorders>
                  <w:shd w:val="clear" w:color="auto" w:fill="auto"/>
                  <w:noWrap/>
                  <w:vAlign w:val="center"/>
                  <w:hideMark/>
                </w:tcPr>
                <w:p w14:paraId="7A815CDB" w14:textId="77777777" w:rsidR="00FD3071" w:rsidRPr="009435C8" w:rsidRDefault="00FD3071" w:rsidP="00FD3071">
                  <w:pPr>
                    <w:spacing w:after="0" w:line="240" w:lineRule="auto"/>
                    <w:rPr>
                      <w:rFonts w:ascii="Arial" w:eastAsia="Times New Roman" w:hAnsi="Arial" w:cs="Arial"/>
                      <w:sz w:val="20"/>
                      <w:szCs w:val="20"/>
                      <w:lang w:eastAsia="en-GB"/>
                    </w:rPr>
                  </w:pPr>
                  <w:r w:rsidRPr="009435C8">
                    <w:rPr>
                      <w:rFonts w:ascii="Arial" w:eastAsia="Times New Roman" w:hAnsi="Arial" w:cs="Arial"/>
                      <w:sz w:val="20"/>
                      <w:szCs w:val="20"/>
                      <w:lang w:eastAsia="en-GB"/>
                    </w:rPr>
                    <w:t>- Women</w:t>
                  </w:r>
                </w:p>
              </w:tc>
              <w:tc>
                <w:tcPr>
                  <w:tcW w:w="284" w:type="dxa"/>
                  <w:tcBorders>
                    <w:top w:val="nil"/>
                    <w:left w:val="nil"/>
                    <w:bottom w:val="nil"/>
                    <w:right w:val="nil"/>
                  </w:tcBorders>
                  <w:shd w:val="clear" w:color="auto" w:fill="auto"/>
                  <w:noWrap/>
                  <w:vAlign w:val="bottom"/>
                  <w:hideMark/>
                </w:tcPr>
                <w:p w14:paraId="4FD430DF" w14:textId="77777777" w:rsidR="00FD3071" w:rsidRPr="009435C8" w:rsidRDefault="00FD3071" w:rsidP="00FD3071">
                  <w:pPr>
                    <w:spacing w:after="0" w:line="240" w:lineRule="auto"/>
                    <w:rPr>
                      <w:rFonts w:ascii="Arial" w:eastAsia="Times New Roman" w:hAnsi="Arial" w:cs="Arial"/>
                      <w:sz w:val="20"/>
                      <w:szCs w:val="20"/>
                      <w:lang w:eastAsia="en-GB"/>
                    </w:rPr>
                  </w:pPr>
                </w:p>
              </w:tc>
              <w:tc>
                <w:tcPr>
                  <w:tcW w:w="1255" w:type="dxa"/>
                  <w:tcBorders>
                    <w:top w:val="nil"/>
                    <w:left w:val="nil"/>
                    <w:bottom w:val="nil"/>
                    <w:right w:val="nil"/>
                  </w:tcBorders>
                  <w:shd w:val="clear" w:color="auto" w:fill="auto"/>
                  <w:noWrap/>
                  <w:vAlign w:val="bottom"/>
                  <w:hideMark/>
                </w:tcPr>
                <w:p w14:paraId="1A63C9D5" w14:textId="77777777" w:rsidR="00FD3071" w:rsidRPr="009435C8" w:rsidRDefault="00FD3071" w:rsidP="00FD3071">
                  <w:pPr>
                    <w:spacing w:after="0" w:line="240" w:lineRule="auto"/>
                    <w:rPr>
                      <w:rFonts w:ascii="Times New Roman" w:eastAsia="Times New Roman" w:hAnsi="Times New Roman" w:cs="Times New Roman"/>
                      <w:sz w:val="20"/>
                      <w:szCs w:val="20"/>
                      <w:lang w:eastAsia="en-GB"/>
                    </w:rPr>
                  </w:pPr>
                </w:p>
              </w:tc>
              <w:tc>
                <w:tcPr>
                  <w:tcW w:w="1009" w:type="dxa"/>
                  <w:tcBorders>
                    <w:top w:val="nil"/>
                    <w:left w:val="nil"/>
                    <w:bottom w:val="nil"/>
                    <w:right w:val="nil"/>
                  </w:tcBorders>
                  <w:shd w:val="clear" w:color="auto" w:fill="auto"/>
                  <w:noWrap/>
                  <w:vAlign w:val="bottom"/>
                  <w:hideMark/>
                </w:tcPr>
                <w:p w14:paraId="0142BCA9" w14:textId="77777777" w:rsidR="00FD3071" w:rsidRPr="009435C8" w:rsidRDefault="00FD3071" w:rsidP="00FD3071">
                  <w:pPr>
                    <w:spacing w:after="0" w:line="240" w:lineRule="auto"/>
                    <w:rPr>
                      <w:rFonts w:ascii="Times New Roman" w:eastAsia="Times New Roman" w:hAnsi="Times New Roman" w:cs="Times New Roman"/>
                      <w:sz w:val="20"/>
                      <w:szCs w:val="20"/>
                      <w:lang w:eastAsia="en-GB"/>
                    </w:rPr>
                  </w:pPr>
                </w:p>
              </w:tc>
              <w:tc>
                <w:tcPr>
                  <w:tcW w:w="1359" w:type="dxa"/>
                  <w:tcBorders>
                    <w:top w:val="nil"/>
                    <w:left w:val="nil"/>
                    <w:bottom w:val="nil"/>
                    <w:right w:val="nil"/>
                  </w:tcBorders>
                  <w:shd w:val="clear" w:color="auto" w:fill="auto"/>
                  <w:noWrap/>
                  <w:vAlign w:val="center"/>
                  <w:hideMark/>
                </w:tcPr>
                <w:p w14:paraId="784C4F6C" w14:textId="77777777" w:rsidR="00FD3071" w:rsidRPr="009435C8" w:rsidRDefault="009435C8" w:rsidP="00FD3071">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88.7</w:t>
                  </w:r>
                </w:p>
              </w:tc>
              <w:tc>
                <w:tcPr>
                  <w:tcW w:w="1254" w:type="dxa"/>
                  <w:tcBorders>
                    <w:top w:val="nil"/>
                    <w:left w:val="nil"/>
                    <w:bottom w:val="nil"/>
                    <w:right w:val="nil"/>
                  </w:tcBorders>
                  <w:shd w:val="clear" w:color="auto" w:fill="auto"/>
                  <w:noWrap/>
                  <w:vAlign w:val="center"/>
                  <w:hideMark/>
                </w:tcPr>
                <w:p w14:paraId="228FCCA3" w14:textId="77777777" w:rsidR="00FD3071" w:rsidRPr="009435C8" w:rsidRDefault="00FD3071" w:rsidP="00FD3071">
                  <w:pPr>
                    <w:spacing w:after="0" w:line="240" w:lineRule="auto"/>
                    <w:jc w:val="right"/>
                    <w:rPr>
                      <w:rFonts w:ascii="Arial" w:eastAsia="Times New Roman" w:hAnsi="Arial" w:cs="Arial"/>
                      <w:bCs/>
                      <w:sz w:val="20"/>
                      <w:szCs w:val="20"/>
                      <w:lang w:eastAsia="en-GB"/>
                    </w:rPr>
                  </w:pPr>
                  <w:r w:rsidRPr="009435C8">
                    <w:rPr>
                      <w:rFonts w:ascii="Arial" w:eastAsia="Times New Roman" w:hAnsi="Arial" w:cs="Arial"/>
                      <w:bCs/>
                      <w:sz w:val="20"/>
                      <w:szCs w:val="20"/>
                      <w:lang w:eastAsia="en-GB"/>
                    </w:rPr>
                    <w:t>N/A</w:t>
                  </w:r>
                </w:p>
              </w:tc>
            </w:tr>
            <w:tr w:rsidR="00FD3071" w:rsidRPr="009435C8" w14:paraId="53BDE20C" w14:textId="77777777" w:rsidTr="00454D0E">
              <w:trPr>
                <w:trHeight w:val="263"/>
              </w:trPr>
              <w:tc>
                <w:tcPr>
                  <w:tcW w:w="3868" w:type="dxa"/>
                  <w:tcBorders>
                    <w:top w:val="nil"/>
                    <w:left w:val="nil"/>
                    <w:bottom w:val="nil"/>
                    <w:right w:val="nil"/>
                  </w:tcBorders>
                  <w:shd w:val="clear" w:color="auto" w:fill="auto"/>
                  <w:noWrap/>
                  <w:vAlign w:val="center"/>
                  <w:hideMark/>
                </w:tcPr>
                <w:p w14:paraId="7C3A54B5" w14:textId="77777777" w:rsidR="00FD3071" w:rsidRPr="009435C8" w:rsidRDefault="00FD3071" w:rsidP="00FD3071">
                  <w:pPr>
                    <w:spacing w:after="0" w:line="240" w:lineRule="auto"/>
                    <w:rPr>
                      <w:rFonts w:ascii="Arial" w:eastAsia="Times New Roman" w:hAnsi="Arial" w:cs="Arial"/>
                      <w:sz w:val="20"/>
                      <w:szCs w:val="20"/>
                      <w:lang w:eastAsia="en-GB"/>
                    </w:rPr>
                  </w:pPr>
                  <w:r w:rsidRPr="009435C8">
                    <w:rPr>
                      <w:rFonts w:ascii="Arial" w:eastAsia="Times New Roman" w:hAnsi="Arial" w:cs="Arial"/>
                      <w:sz w:val="20"/>
                      <w:szCs w:val="20"/>
                      <w:lang w:eastAsia="en-GB"/>
                    </w:rPr>
                    <w:t>Longevity at 65 for future pensioners:</w:t>
                  </w:r>
                </w:p>
              </w:tc>
              <w:tc>
                <w:tcPr>
                  <w:tcW w:w="284" w:type="dxa"/>
                  <w:tcBorders>
                    <w:top w:val="nil"/>
                    <w:left w:val="nil"/>
                    <w:bottom w:val="nil"/>
                    <w:right w:val="nil"/>
                  </w:tcBorders>
                  <w:shd w:val="clear" w:color="auto" w:fill="auto"/>
                  <w:noWrap/>
                  <w:vAlign w:val="bottom"/>
                  <w:hideMark/>
                </w:tcPr>
                <w:p w14:paraId="64D0AFF2" w14:textId="77777777" w:rsidR="00FD3071" w:rsidRPr="009435C8" w:rsidRDefault="00FD3071" w:rsidP="00FD3071">
                  <w:pPr>
                    <w:spacing w:after="0" w:line="240" w:lineRule="auto"/>
                    <w:rPr>
                      <w:rFonts w:ascii="Arial" w:eastAsia="Times New Roman" w:hAnsi="Arial" w:cs="Arial"/>
                      <w:sz w:val="20"/>
                      <w:szCs w:val="20"/>
                      <w:lang w:eastAsia="en-GB"/>
                    </w:rPr>
                  </w:pPr>
                </w:p>
              </w:tc>
              <w:tc>
                <w:tcPr>
                  <w:tcW w:w="1255" w:type="dxa"/>
                  <w:tcBorders>
                    <w:top w:val="nil"/>
                    <w:left w:val="nil"/>
                    <w:bottom w:val="nil"/>
                    <w:right w:val="nil"/>
                  </w:tcBorders>
                  <w:shd w:val="clear" w:color="auto" w:fill="auto"/>
                  <w:noWrap/>
                  <w:vAlign w:val="bottom"/>
                  <w:hideMark/>
                </w:tcPr>
                <w:p w14:paraId="34FAB699" w14:textId="77777777" w:rsidR="00FD3071" w:rsidRPr="009435C8" w:rsidRDefault="00FD3071" w:rsidP="00FD3071">
                  <w:pPr>
                    <w:spacing w:after="0" w:line="240" w:lineRule="auto"/>
                    <w:rPr>
                      <w:rFonts w:ascii="Times New Roman" w:eastAsia="Times New Roman" w:hAnsi="Times New Roman" w:cs="Times New Roman"/>
                      <w:sz w:val="20"/>
                      <w:szCs w:val="20"/>
                      <w:lang w:eastAsia="en-GB"/>
                    </w:rPr>
                  </w:pPr>
                </w:p>
              </w:tc>
              <w:tc>
                <w:tcPr>
                  <w:tcW w:w="1009" w:type="dxa"/>
                  <w:tcBorders>
                    <w:top w:val="nil"/>
                    <w:left w:val="nil"/>
                    <w:bottom w:val="nil"/>
                    <w:right w:val="nil"/>
                  </w:tcBorders>
                  <w:shd w:val="clear" w:color="auto" w:fill="auto"/>
                  <w:noWrap/>
                  <w:vAlign w:val="bottom"/>
                  <w:hideMark/>
                </w:tcPr>
                <w:p w14:paraId="113BE3B3" w14:textId="77777777" w:rsidR="00FD3071" w:rsidRPr="009435C8" w:rsidRDefault="00FD3071" w:rsidP="00FD3071">
                  <w:pPr>
                    <w:spacing w:after="0" w:line="240" w:lineRule="auto"/>
                    <w:rPr>
                      <w:rFonts w:ascii="Times New Roman" w:eastAsia="Times New Roman" w:hAnsi="Times New Roman" w:cs="Times New Roman"/>
                      <w:sz w:val="20"/>
                      <w:szCs w:val="20"/>
                      <w:lang w:eastAsia="en-GB"/>
                    </w:rPr>
                  </w:pPr>
                </w:p>
              </w:tc>
              <w:tc>
                <w:tcPr>
                  <w:tcW w:w="1359" w:type="dxa"/>
                  <w:tcBorders>
                    <w:top w:val="nil"/>
                    <w:left w:val="nil"/>
                    <w:bottom w:val="nil"/>
                    <w:right w:val="nil"/>
                  </w:tcBorders>
                  <w:shd w:val="clear" w:color="auto" w:fill="auto"/>
                  <w:noWrap/>
                  <w:vAlign w:val="center"/>
                  <w:hideMark/>
                </w:tcPr>
                <w:p w14:paraId="419B14E2" w14:textId="77777777" w:rsidR="00FD3071" w:rsidRPr="009435C8" w:rsidRDefault="00FD3071" w:rsidP="00FD3071">
                  <w:pPr>
                    <w:spacing w:after="0" w:line="240" w:lineRule="auto"/>
                    <w:jc w:val="right"/>
                    <w:rPr>
                      <w:rFonts w:ascii="Times New Roman" w:eastAsia="Times New Roman" w:hAnsi="Times New Roman" w:cs="Times New Roman"/>
                      <w:sz w:val="20"/>
                      <w:szCs w:val="20"/>
                      <w:lang w:eastAsia="en-GB"/>
                    </w:rPr>
                  </w:pPr>
                </w:p>
              </w:tc>
              <w:tc>
                <w:tcPr>
                  <w:tcW w:w="1254" w:type="dxa"/>
                  <w:tcBorders>
                    <w:top w:val="nil"/>
                    <w:left w:val="nil"/>
                    <w:bottom w:val="nil"/>
                    <w:right w:val="nil"/>
                  </w:tcBorders>
                  <w:shd w:val="clear" w:color="auto" w:fill="auto"/>
                  <w:noWrap/>
                  <w:vAlign w:val="center"/>
                  <w:hideMark/>
                </w:tcPr>
                <w:p w14:paraId="757CE72F" w14:textId="77777777" w:rsidR="00FD3071" w:rsidRPr="009435C8" w:rsidRDefault="00FD3071" w:rsidP="00FD3071">
                  <w:pPr>
                    <w:spacing w:after="0" w:line="240" w:lineRule="auto"/>
                    <w:jc w:val="right"/>
                    <w:rPr>
                      <w:rFonts w:ascii="Times New Roman" w:eastAsia="Times New Roman" w:hAnsi="Times New Roman" w:cs="Times New Roman"/>
                      <w:sz w:val="20"/>
                      <w:szCs w:val="20"/>
                      <w:lang w:eastAsia="en-GB"/>
                    </w:rPr>
                  </w:pPr>
                </w:p>
              </w:tc>
            </w:tr>
            <w:tr w:rsidR="00FD3071" w:rsidRPr="009435C8" w14:paraId="2A91A926" w14:textId="77777777" w:rsidTr="00454D0E">
              <w:trPr>
                <w:trHeight w:val="263"/>
              </w:trPr>
              <w:tc>
                <w:tcPr>
                  <w:tcW w:w="3868" w:type="dxa"/>
                  <w:tcBorders>
                    <w:top w:val="nil"/>
                    <w:left w:val="nil"/>
                    <w:bottom w:val="nil"/>
                    <w:right w:val="nil"/>
                  </w:tcBorders>
                  <w:shd w:val="clear" w:color="auto" w:fill="auto"/>
                  <w:noWrap/>
                  <w:vAlign w:val="center"/>
                  <w:hideMark/>
                </w:tcPr>
                <w:p w14:paraId="3695B675" w14:textId="77777777" w:rsidR="00FD3071" w:rsidRPr="009435C8" w:rsidRDefault="00FD3071" w:rsidP="00FD3071">
                  <w:pPr>
                    <w:spacing w:after="0" w:line="240" w:lineRule="auto"/>
                    <w:rPr>
                      <w:rFonts w:ascii="Arial" w:eastAsia="Times New Roman" w:hAnsi="Arial" w:cs="Arial"/>
                      <w:sz w:val="20"/>
                      <w:szCs w:val="20"/>
                      <w:lang w:eastAsia="en-GB"/>
                    </w:rPr>
                  </w:pPr>
                  <w:r w:rsidRPr="009435C8">
                    <w:rPr>
                      <w:rFonts w:ascii="Arial" w:eastAsia="Times New Roman" w:hAnsi="Arial" w:cs="Arial"/>
                      <w:sz w:val="20"/>
                      <w:szCs w:val="20"/>
                      <w:lang w:eastAsia="en-GB"/>
                    </w:rPr>
                    <w:t>- Men</w:t>
                  </w:r>
                </w:p>
              </w:tc>
              <w:tc>
                <w:tcPr>
                  <w:tcW w:w="284" w:type="dxa"/>
                  <w:tcBorders>
                    <w:top w:val="nil"/>
                    <w:left w:val="nil"/>
                    <w:bottom w:val="nil"/>
                    <w:right w:val="nil"/>
                  </w:tcBorders>
                  <w:shd w:val="clear" w:color="auto" w:fill="auto"/>
                  <w:noWrap/>
                  <w:vAlign w:val="bottom"/>
                  <w:hideMark/>
                </w:tcPr>
                <w:p w14:paraId="28858703" w14:textId="77777777" w:rsidR="00FD3071" w:rsidRPr="009435C8" w:rsidRDefault="00FD3071" w:rsidP="00FD3071">
                  <w:pPr>
                    <w:spacing w:after="0" w:line="240" w:lineRule="auto"/>
                    <w:rPr>
                      <w:rFonts w:ascii="Arial" w:eastAsia="Times New Roman" w:hAnsi="Arial" w:cs="Arial"/>
                      <w:sz w:val="20"/>
                      <w:szCs w:val="20"/>
                      <w:lang w:eastAsia="en-GB"/>
                    </w:rPr>
                  </w:pPr>
                </w:p>
              </w:tc>
              <w:tc>
                <w:tcPr>
                  <w:tcW w:w="1255" w:type="dxa"/>
                  <w:tcBorders>
                    <w:top w:val="nil"/>
                    <w:left w:val="nil"/>
                    <w:bottom w:val="nil"/>
                    <w:right w:val="nil"/>
                  </w:tcBorders>
                  <w:shd w:val="clear" w:color="auto" w:fill="auto"/>
                  <w:noWrap/>
                  <w:vAlign w:val="bottom"/>
                  <w:hideMark/>
                </w:tcPr>
                <w:p w14:paraId="25995622" w14:textId="77777777" w:rsidR="00FD3071" w:rsidRPr="009435C8" w:rsidRDefault="00FD3071" w:rsidP="00FD3071">
                  <w:pPr>
                    <w:spacing w:after="0" w:line="240" w:lineRule="auto"/>
                    <w:rPr>
                      <w:rFonts w:ascii="Times New Roman" w:eastAsia="Times New Roman" w:hAnsi="Times New Roman" w:cs="Times New Roman"/>
                      <w:sz w:val="20"/>
                      <w:szCs w:val="20"/>
                      <w:lang w:eastAsia="en-GB"/>
                    </w:rPr>
                  </w:pPr>
                </w:p>
              </w:tc>
              <w:tc>
                <w:tcPr>
                  <w:tcW w:w="1009" w:type="dxa"/>
                  <w:tcBorders>
                    <w:top w:val="nil"/>
                    <w:left w:val="nil"/>
                    <w:bottom w:val="nil"/>
                    <w:right w:val="nil"/>
                  </w:tcBorders>
                  <w:shd w:val="clear" w:color="auto" w:fill="auto"/>
                  <w:noWrap/>
                  <w:vAlign w:val="bottom"/>
                  <w:hideMark/>
                </w:tcPr>
                <w:p w14:paraId="068A1A3E" w14:textId="77777777" w:rsidR="00FD3071" w:rsidRPr="009435C8" w:rsidRDefault="00FD3071" w:rsidP="00FD3071">
                  <w:pPr>
                    <w:spacing w:after="0" w:line="240" w:lineRule="auto"/>
                    <w:rPr>
                      <w:rFonts w:ascii="Times New Roman" w:eastAsia="Times New Roman" w:hAnsi="Times New Roman" w:cs="Times New Roman"/>
                      <w:sz w:val="20"/>
                      <w:szCs w:val="20"/>
                      <w:lang w:eastAsia="en-GB"/>
                    </w:rPr>
                  </w:pPr>
                </w:p>
              </w:tc>
              <w:tc>
                <w:tcPr>
                  <w:tcW w:w="1359" w:type="dxa"/>
                  <w:tcBorders>
                    <w:top w:val="nil"/>
                    <w:left w:val="nil"/>
                    <w:bottom w:val="nil"/>
                    <w:right w:val="nil"/>
                  </w:tcBorders>
                  <w:shd w:val="clear" w:color="auto" w:fill="auto"/>
                  <w:noWrap/>
                  <w:vAlign w:val="center"/>
                  <w:hideMark/>
                </w:tcPr>
                <w:p w14:paraId="7B1D5F5D" w14:textId="77777777" w:rsidR="00FD3071" w:rsidRPr="009435C8" w:rsidRDefault="009435C8" w:rsidP="00FD3071">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87.6</w:t>
                  </w:r>
                </w:p>
              </w:tc>
              <w:tc>
                <w:tcPr>
                  <w:tcW w:w="1254" w:type="dxa"/>
                  <w:tcBorders>
                    <w:top w:val="nil"/>
                    <w:left w:val="nil"/>
                    <w:bottom w:val="nil"/>
                    <w:right w:val="nil"/>
                  </w:tcBorders>
                  <w:shd w:val="clear" w:color="auto" w:fill="auto"/>
                  <w:noWrap/>
                  <w:vAlign w:val="center"/>
                  <w:hideMark/>
                </w:tcPr>
                <w:p w14:paraId="30E05E62" w14:textId="77777777" w:rsidR="00FD3071" w:rsidRPr="009435C8" w:rsidRDefault="00FD3071" w:rsidP="00FD3071">
                  <w:pPr>
                    <w:spacing w:after="0" w:line="240" w:lineRule="auto"/>
                    <w:jc w:val="right"/>
                    <w:rPr>
                      <w:rFonts w:ascii="Arial" w:eastAsia="Times New Roman" w:hAnsi="Arial" w:cs="Arial"/>
                      <w:bCs/>
                      <w:sz w:val="20"/>
                      <w:szCs w:val="20"/>
                      <w:lang w:eastAsia="en-GB"/>
                    </w:rPr>
                  </w:pPr>
                  <w:r w:rsidRPr="009435C8">
                    <w:rPr>
                      <w:rFonts w:ascii="Arial" w:eastAsia="Times New Roman" w:hAnsi="Arial" w:cs="Arial"/>
                      <w:bCs/>
                      <w:sz w:val="20"/>
                      <w:szCs w:val="20"/>
                      <w:lang w:eastAsia="en-GB"/>
                    </w:rPr>
                    <w:t>N/A</w:t>
                  </w:r>
                </w:p>
              </w:tc>
            </w:tr>
            <w:tr w:rsidR="00FD3071" w:rsidRPr="009435C8" w14:paraId="7D62B335" w14:textId="77777777" w:rsidTr="00454D0E">
              <w:trPr>
                <w:trHeight w:val="263"/>
              </w:trPr>
              <w:tc>
                <w:tcPr>
                  <w:tcW w:w="3868" w:type="dxa"/>
                  <w:tcBorders>
                    <w:top w:val="nil"/>
                    <w:left w:val="nil"/>
                    <w:bottom w:val="single" w:sz="4" w:space="0" w:color="auto"/>
                    <w:right w:val="nil"/>
                  </w:tcBorders>
                  <w:shd w:val="clear" w:color="auto" w:fill="auto"/>
                  <w:noWrap/>
                  <w:vAlign w:val="center"/>
                  <w:hideMark/>
                </w:tcPr>
                <w:p w14:paraId="3112DE96" w14:textId="77777777" w:rsidR="00FD3071" w:rsidRPr="009435C8" w:rsidRDefault="00FD3071" w:rsidP="00FD3071">
                  <w:pPr>
                    <w:spacing w:after="0" w:line="240" w:lineRule="auto"/>
                    <w:rPr>
                      <w:rFonts w:ascii="Arial" w:eastAsia="Times New Roman" w:hAnsi="Arial" w:cs="Arial"/>
                      <w:sz w:val="20"/>
                      <w:szCs w:val="20"/>
                      <w:lang w:eastAsia="en-GB"/>
                    </w:rPr>
                  </w:pPr>
                  <w:r w:rsidRPr="009435C8">
                    <w:rPr>
                      <w:rFonts w:ascii="Arial" w:eastAsia="Times New Roman" w:hAnsi="Arial" w:cs="Arial"/>
                      <w:sz w:val="20"/>
                      <w:szCs w:val="20"/>
                      <w:lang w:eastAsia="en-GB"/>
                    </w:rPr>
                    <w:t>- Women</w:t>
                  </w:r>
                </w:p>
              </w:tc>
              <w:tc>
                <w:tcPr>
                  <w:tcW w:w="284" w:type="dxa"/>
                  <w:tcBorders>
                    <w:top w:val="nil"/>
                    <w:left w:val="nil"/>
                    <w:bottom w:val="single" w:sz="4" w:space="0" w:color="auto"/>
                    <w:right w:val="nil"/>
                  </w:tcBorders>
                  <w:shd w:val="clear" w:color="auto" w:fill="auto"/>
                  <w:noWrap/>
                  <w:vAlign w:val="bottom"/>
                  <w:hideMark/>
                </w:tcPr>
                <w:p w14:paraId="3BF1FAC8" w14:textId="77777777" w:rsidR="00FD3071" w:rsidRPr="009435C8" w:rsidRDefault="00FD3071" w:rsidP="00FD3071">
                  <w:pPr>
                    <w:spacing w:after="0" w:line="240" w:lineRule="auto"/>
                    <w:rPr>
                      <w:rFonts w:ascii="Arial" w:eastAsia="Times New Roman" w:hAnsi="Arial" w:cs="Arial"/>
                      <w:sz w:val="20"/>
                      <w:szCs w:val="20"/>
                      <w:lang w:eastAsia="en-GB"/>
                    </w:rPr>
                  </w:pPr>
                  <w:r w:rsidRPr="009435C8">
                    <w:rPr>
                      <w:rFonts w:ascii="Arial" w:eastAsia="Times New Roman" w:hAnsi="Arial" w:cs="Arial"/>
                      <w:sz w:val="20"/>
                      <w:szCs w:val="20"/>
                      <w:lang w:eastAsia="en-GB"/>
                    </w:rPr>
                    <w:t> </w:t>
                  </w:r>
                </w:p>
              </w:tc>
              <w:tc>
                <w:tcPr>
                  <w:tcW w:w="1255" w:type="dxa"/>
                  <w:tcBorders>
                    <w:top w:val="nil"/>
                    <w:left w:val="nil"/>
                    <w:bottom w:val="single" w:sz="4" w:space="0" w:color="auto"/>
                    <w:right w:val="nil"/>
                  </w:tcBorders>
                  <w:shd w:val="clear" w:color="auto" w:fill="auto"/>
                  <w:noWrap/>
                  <w:vAlign w:val="bottom"/>
                  <w:hideMark/>
                </w:tcPr>
                <w:p w14:paraId="4D2E9FC6" w14:textId="77777777" w:rsidR="00FD3071" w:rsidRPr="009435C8" w:rsidRDefault="00FD3071" w:rsidP="00FD3071">
                  <w:pPr>
                    <w:spacing w:after="0" w:line="240" w:lineRule="auto"/>
                    <w:rPr>
                      <w:rFonts w:ascii="Arial" w:eastAsia="Times New Roman" w:hAnsi="Arial" w:cs="Arial"/>
                      <w:sz w:val="20"/>
                      <w:szCs w:val="20"/>
                      <w:lang w:eastAsia="en-GB"/>
                    </w:rPr>
                  </w:pPr>
                  <w:r w:rsidRPr="009435C8">
                    <w:rPr>
                      <w:rFonts w:ascii="Arial" w:eastAsia="Times New Roman" w:hAnsi="Arial" w:cs="Arial"/>
                      <w:sz w:val="20"/>
                      <w:szCs w:val="20"/>
                      <w:lang w:eastAsia="en-GB"/>
                    </w:rPr>
                    <w:t> </w:t>
                  </w:r>
                </w:p>
              </w:tc>
              <w:tc>
                <w:tcPr>
                  <w:tcW w:w="1009" w:type="dxa"/>
                  <w:tcBorders>
                    <w:top w:val="nil"/>
                    <w:left w:val="nil"/>
                    <w:bottom w:val="single" w:sz="4" w:space="0" w:color="auto"/>
                    <w:right w:val="nil"/>
                  </w:tcBorders>
                  <w:shd w:val="clear" w:color="auto" w:fill="auto"/>
                  <w:noWrap/>
                  <w:vAlign w:val="bottom"/>
                  <w:hideMark/>
                </w:tcPr>
                <w:p w14:paraId="10B455F6" w14:textId="77777777" w:rsidR="00FD3071" w:rsidRPr="009435C8" w:rsidRDefault="00FD3071" w:rsidP="00FD3071">
                  <w:pPr>
                    <w:spacing w:after="0" w:line="240" w:lineRule="auto"/>
                    <w:rPr>
                      <w:rFonts w:ascii="Arial" w:eastAsia="Times New Roman" w:hAnsi="Arial" w:cs="Arial"/>
                      <w:sz w:val="20"/>
                      <w:szCs w:val="20"/>
                      <w:lang w:eastAsia="en-GB"/>
                    </w:rPr>
                  </w:pPr>
                  <w:r w:rsidRPr="009435C8">
                    <w:rPr>
                      <w:rFonts w:ascii="Arial" w:eastAsia="Times New Roman" w:hAnsi="Arial" w:cs="Arial"/>
                      <w:sz w:val="20"/>
                      <w:szCs w:val="20"/>
                      <w:lang w:eastAsia="en-GB"/>
                    </w:rPr>
                    <w:t> </w:t>
                  </w:r>
                </w:p>
              </w:tc>
              <w:tc>
                <w:tcPr>
                  <w:tcW w:w="1359" w:type="dxa"/>
                  <w:tcBorders>
                    <w:top w:val="nil"/>
                    <w:left w:val="nil"/>
                    <w:bottom w:val="single" w:sz="4" w:space="0" w:color="auto"/>
                    <w:right w:val="nil"/>
                  </w:tcBorders>
                  <w:shd w:val="clear" w:color="auto" w:fill="auto"/>
                  <w:noWrap/>
                  <w:vAlign w:val="center"/>
                  <w:hideMark/>
                </w:tcPr>
                <w:p w14:paraId="71526879" w14:textId="77777777" w:rsidR="00FD3071" w:rsidRPr="009435C8" w:rsidRDefault="009435C8" w:rsidP="00FD3071">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90.1</w:t>
                  </w:r>
                </w:p>
              </w:tc>
              <w:tc>
                <w:tcPr>
                  <w:tcW w:w="1254" w:type="dxa"/>
                  <w:tcBorders>
                    <w:top w:val="nil"/>
                    <w:left w:val="nil"/>
                    <w:bottom w:val="single" w:sz="4" w:space="0" w:color="auto"/>
                    <w:right w:val="nil"/>
                  </w:tcBorders>
                  <w:shd w:val="clear" w:color="auto" w:fill="auto"/>
                  <w:noWrap/>
                  <w:vAlign w:val="center"/>
                  <w:hideMark/>
                </w:tcPr>
                <w:p w14:paraId="017EED4F" w14:textId="77777777" w:rsidR="00FD3071" w:rsidRPr="009435C8" w:rsidRDefault="00FD3071" w:rsidP="00FD3071">
                  <w:pPr>
                    <w:spacing w:after="0" w:line="240" w:lineRule="auto"/>
                    <w:jc w:val="right"/>
                    <w:rPr>
                      <w:rFonts w:ascii="Arial" w:eastAsia="Times New Roman" w:hAnsi="Arial" w:cs="Arial"/>
                      <w:bCs/>
                      <w:sz w:val="20"/>
                      <w:szCs w:val="20"/>
                      <w:lang w:eastAsia="en-GB"/>
                    </w:rPr>
                  </w:pPr>
                  <w:r w:rsidRPr="009435C8">
                    <w:rPr>
                      <w:rFonts w:ascii="Arial" w:eastAsia="Times New Roman" w:hAnsi="Arial" w:cs="Arial"/>
                      <w:bCs/>
                      <w:sz w:val="20"/>
                      <w:szCs w:val="20"/>
                      <w:lang w:eastAsia="en-GB"/>
                    </w:rPr>
                    <w:t>N/A</w:t>
                  </w:r>
                </w:p>
              </w:tc>
            </w:tr>
          </w:tbl>
          <w:p w14:paraId="4E81EB58" w14:textId="77777777" w:rsidR="00FD3071" w:rsidRPr="009435C8" w:rsidRDefault="00FD3071" w:rsidP="00FD3071">
            <w:pPr>
              <w:spacing w:after="0" w:line="240" w:lineRule="auto"/>
              <w:rPr>
                <w:rFonts w:ascii="Arial" w:eastAsia="Times New Roman" w:hAnsi="Arial" w:cs="Arial"/>
                <w:sz w:val="20"/>
                <w:szCs w:val="20"/>
                <w:lang w:eastAsia="en-GB"/>
              </w:rPr>
            </w:pPr>
          </w:p>
        </w:tc>
      </w:tr>
    </w:tbl>
    <w:p w14:paraId="36324AF5" w14:textId="77777777" w:rsidR="0021571F" w:rsidRDefault="0021571F" w:rsidP="006647C2">
      <w:pPr>
        <w:spacing w:after="0" w:line="240" w:lineRule="auto"/>
        <w:jc w:val="both"/>
        <w:rPr>
          <w:rFonts w:ascii="Arial" w:eastAsia="Times New Roman" w:hAnsi="Arial" w:cs="Arial"/>
          <w:sz w:val="24"/>
          <w:szCs w:val="24"/>
          <w:lang w:eastAsia="en-GB"/>
        </w:rPr>
      </w:pPr>
    </w:p>
    <w:p w14:paraId="42725D90" w14:textId="77777777" w:rsidR="0021571F" w:rsidRDefault="0021571F" w:rsidP="006647C2">
      <w:pPr>
        <w:spacing w:after="0" w:line="240" w:lineRule="auto"/>
        <w:jc w:val="both"/>
        <w:rPr>
          <w:rFonts w:ascii="Arial" w:eastAsia="Times New Roman" w:hAnsi="Arial" w:cs="Arial"/>
          <w:sz w:val="24"/>
          <w:szCs w:val="24"/>
          <w:lang w:eastAsia="en-GB"/>
        </w:rPr>
      </w:pPr>
    </w:p>
    <w:p w14:paraId="387C3EDF" w14:textId="77777777" w:rsidR="00E70CD3" w:rsidRPr="002B2F3F" w:rsidRDefault="00E70CD3" w:rsidP="006647C2">
      <w:pPr>
        <w:spacing w:after="0" w:line="240" w:lineRule="auto"/>
        <w:jc w:val="both"/>
        <w:rPr>
          <w:rFonts w:ascii="Arial" w:eastAsia="Times New Roman" w:hAnsi="Arial" w:cs="Arial"/>
          <w:sz w:val="24"/>
          <w:szCs w:val="24"/>
          <w:lang w:eastAsia="en-GB"/>
        </w:rPr>
      </w:pPr>
      <w:r w:rsidRPr="002B2F3F">
        <w:rPr>
          <w:rFonts w:ascii="Arial" w:eastAsia="Times New Roman" w:hAnsi="Arial" w:cs="Arial"/>
          <w:sz w:val="24"/>
          <w:szCs w:val="24"/>
          <w:lang w:eastAsia="en-GB"/>
        </w:rPr>
        <w:t>Share of assets in the above schemes (Staffordshire Council (LGPS), West Midland Pension Fund, Greater Manchester Pension Fund</w:t>
      </w:r>
      <w:r w:rsidR="009C4F84">
        <w:rPr>
          <w:rFonts w:ascii="Arial" w:eastAsia="Times New Roman" w:hAnsi="Arial" w:cs="Arial"/>
          <w:sz w:val="24"/>
          <w:szCs w:val="24"/>
          <w:lang w:eastAsia="en-GB"/>
        </w:rPr>
        <w:t xml:space="preserve">, </w:t>
      </w:r>
      <w:r w:rsidRPr="002B2F3F">
        <w:rPr>
          <w:rFonts w:ascii="Arial" w:eastAsia="Times New Roman" w:hAnsi="Arial" w:cs="Arial"/>
          <w:sz w:val="24"/>
          <w:szCs w:val="24"/>
          <w:lang w:eastAsia="en-GB"/>
        </w:rPr>
        <w:t>Cheshire Pension Fund</w:t>
      </w:r>
      <w:r w:rsidR="00FD3071" w:rsidRPr="00FD3071">
        <w:rPr>
          <w:rFonts w:ascii="Arial" w:eastAsia="Times New Roman" w:hAnsi="Arial" w:cs="Arial"/>
          <w:sz w:val="24"/>
          <w:szCs w:val="24"/>
          <w:lang w:eastAsia="en-GB"/>
        </w:rPr>
        <w:t xml:space="preserve"> </w:t>
      </w:r>
      <w:r w:rsidR="00FD3071" w:rsidRPr="002B2F3F">
        <w:rPr>
          <w:rFonts w:ascii="Arial" w:eastAsia="Times New Roman" w:hAnsi="Arial" w:cs="Arial"/>
          <w:sz w:val="24"/>
          <w:szCs w:val="24"/>
          <w:lang w:eastAsia="en-GB"/>
        </w:rPr>
        <w:t xml:space="preserve">and </w:t>
      </w:r>
      <w:r w:rsidR="00FD3071" w:rsidRPr="009C4F84">
        <w:rPr>
          <w:rFonts w:ascii="Arial" w:eastAsia="Times New Roman" w:hAnsi="Arial" w:cs="Arial"/>
          <w:sz w:val="24"/>
          <w:szCs w:val="24"/>
          <w:lang w:eastAsia="en-GB"/>
        </w:rPr>
        <w:t>Derbyshire Pension Fund</w:t>
      </w:r>
      <w:r w:rsidRPr="002B2F3F">
        <w:rPr>
          <w:rFonts w:ascii="Arial" w:eastAsia="Times New Roman" w:hAnsi="Arial" w:cs="Arial"/>
          <w:sz w:val="24"/>
          <w:szCs w:val="24"/>
          <w:lang w:eastAsia="en-GB"/>
        </w:rPr>
        <w:t>) was:</w:t>
      </w:r>
    </w:p>
    <w:tbl>
      <w:tblPr>
        <w:tblW w:w="9517" w:type="dxa"/>
        <w:jc w:val="center"/>
        <w:tblLook w:val="04A0" w:firstRow="1" w:lastRow="0" w:firstColumn="1" w:lastColumn="0" w:noHBand="0" w:noVBand="1"/>
      </w:tblPr>
      <w:tblGrid>
        <w:gridCol w:w="3973"/>
        <w:gridCol w:w="288"/>
        <w:gridCol w:w="2127"/>
        <w:gridCol w:w="1977"/>
        <w:gridCol w:w="1152"/>
      </w:tblGrid>
      <w:tr w:rsidR="00BC537E" w:rsidRPr="00F507D0" w14:paraId="5D606AF7" w14:textId="77777777" w:rsidTr="00D85D6F">
        <w:trPr>
          <w:trHeight w:val="1599"/>
          <w:jc w:val="center"/>
        </w:trPr>
        <w:tc>
          <w:tcPr>
            <w:tcW w:w="3973" w:type="dxa"/>
            <w:tcBorders>
              <w:top w:val="nil"/>
              <w:left w:val="nil"/>
              <w:bottom w:val="nil"/>
              <w:right w:val="nil"/>
            </w:tcBorders>
            <w:shd w:val="clear" w:color="auto" w:fill="auto"/>
            <w:vAlign w:val="center"/>
            <w:hideMark/>
          </w:tcPr>
          <w:p w14:paraId="1184B786" w14:textId="77777777" w:rsidR="00BC537E" w:rsidRPr="00F507D0" w:rsidRDefault="00BC537E" w:rsidP="007729E5">
            <w:pPr>
              <w:spacing w:after="0" w:line="240" w:lineRule="auto"/>
              <w:rPr>
                <w:rFonts w:ascii="Times New Roman" w:eastAsia="Times New Roman" w:hAnsi="Times New Roman" w:cs="Times New Roman"/>
                <w:sz w:val="24"/>
                <w:szCs w:val="24"/>
                <w:lang w:eastAsia="en-GB"/>
              </w:rPr>
            </w:pPr>
          </w:p>
        </w:tc>
        <w:tc>
          <w:tcPr>
            <w:tcW w:w="288" w:type="dxa"/>
            <w:tcBorders>
              <w:top w:val="nil"/>
              <w:left w:val="nil"/>
              <w:bottom w:val="nil"/>
              <w:right w:val="nil"/>
            </w:tcBorders>
            <w:shd w:val="clear" w:color="auto" w:fill="auto"/>
            <w:vAlign w:val="center"/>
            <w:hideMark/>
          </w:tcPr>
          <w:p w14:paraId="2B81403C" w14:textId="77777777" w:rsidR="00BC537E" w:rsidRPr="00F507D0" w:rsidRDefault="00BC537E" w:rsidP="007729E5">
            <w:pPr>
              <w:spacing w:after="0" w:line="240" w:lineRule="auto"/>
              <w:rPr>
                <w:rFonts w:ascii="Times New Roman" w:eastAsia="Times New Roman" w:hAnsi="Times New Roman" w:cs="Times New Roman"/>
                <w:sz w:val="20"/>
                <w:szCs w:val="20"/>
                <w:lang w:eastAsia="en-GB"/>
              </w:rPr>
            </w:pPr>
          </w:p>
        </w:tc>
        <w:tc>
          <w:tcPr>
            <w:tcW w:w="2127" w:type="dxa"/>
            <w:tcBorders>
              <w:top w:val="nil"/>
              <w:left w:val="nil"/>
              <w:bottom w:val="nil"/>
              <w:right w:val="nil"/>
            </w:tcBorders>
            <w:shd w:val="clear" w:color="auto" w:fill="auto"/>
            <w:vAlign w:val="bottom"/>
            <w:hideMark/>
          </w:tcPr>
          <w:p w14:paraId="188A0C40" w14:textId="77777777" w:rsidR="00BC537E" w:rsidRPr="00F507D0" w:rsidRDefault="00BC537E" w:rsidP="007729E5">
            <w:pPr>
              <w:spacing w:after="0" w:line="240" w:lineRule="auto"/>
              <w:rPr>
                <w:rFonts w:ascii="Times New Roman" w:eastAsia="Times New Roman" w:hAnsi="Times New Roman" w:cs="Times New Roman"/>
                <w:sz w:val="20"/>
                <w:szCs w:val="20"/>
                <w:lang w:eastAsia="en-GB"/>
              </w:rPr>
            </w:pPr>
          </w:p>
        </w:tc>
        <w:tc>
          <w:tcPr>
            <w:tcW w:w="1977" w:type="dxa"/>
            <w:tcBorders>
              <w:top w:val="nil"/>
              <w:left w:val="nil"/>
              <w:bottom w:val="nil"/>
              <w:right w:val="nil"/>
            </w:tcBorders>
            <w:shd w:val="clear" w:color="auto" w:fill="auto"/>
            <w:vAlign w:val="center"/>
            <w:hideMark/>
          </w:tcPr>
          <w:p w14:paraId="0304AD8C" w14:textId="77777777" w:rsidR="00BC537E" w:rsidRPr="00F507D0" w:rsidRDefault="00BC537E" w:rsidP="005229F1">
            <w:pPr>
              <w:spacing w:after="0" w:line="240" w:lineRule="auto"/>
              <w:jc w:val="right"/>
              <w:rPr>
                <w:rFonts w:ascii="Arial" w:eastAsia="Times New Roman" w:hAnsi="Arial" w:cs="Arial"/>
                <w:b/>
                <w:bCs/>
                <w:sz w:val="20"/>
                <w:szCs w:val="20"/>
                <w:lang w:eastAsia="en-GB"/>
              </w:rPr>
            </w:pPr>
            <w:r w:rsidRPr="00F507D0">
              <w:rPr>
                <w:rFonts w:ascii="Arial" w:eastAsia="Times New Roman" w:hAnsi="Arial" w:cs="Arial"/>
                <w:b/>
                <w:bCs/>
                <w:sz w:val="20"/>
                <w:szCs w:val="20"/>
                <w:lang w:eastAsia="en-GB"/>
              </w:rPr>
              <w:t xml:space="preserve">Value at 31 August </w:t>
            </w:r>
            <w:r w:rsidR="0037645F">
              <w:rPr>
                <w:rFonts w:ascii="Arial" w:eastAsia="Times New Roman" w:hAnsi="Arial" w:cs="Arial"/>
                <w:b/>
                <w:bCs/>
                <w:sz w:val="20"/>
                <w:szCs w:val="20"/>
                <w:lang w:eastAsia="en-GB"/>
              </w:rPr>
              <w:t>2020</w:t>
            </w:r>
          </w:p>
        </w:tc>
        <w:tc>
          <w:tcPr>
            <w:tcW w:w="1152" w:type="dxa"/>
            <w:tcBorders>
              <w:top w:val="nil"/>
              <w:left w:val="nil"/>
              <w:bottom w:val="nil"/>
              <w:right w:val="nil"/>
            </w:tcBorders>
            <w:shd w:val="clear" w:color="auto" w:fill="auto"/>
            <w:vAlign w:val="center"/>
            <w:hideMark/>
          </w:tcPr>
          <w:p w14:paraId="65829379" w14:textId="77777777" w:rsidR="00BC537E" w:rsidRPr="00F507D0" w:rsidRDefault="00BC537E" w:rsidP="005229F1">
            <w:pPr>
              <w:spacing w:after="0" w:line="240" w:lineRule="auto"/>
              <w:jc w:val="right"/>
              <w:rPr>
                <w:rFonts w:ascii="Arial" w:eastAsia="Times New Roman" w:hAnsi="Arial" w:cs="Arial"/>
                <w:sz w:val="20"/>
                <w:szCs w:val="20"/>
                <w:lang w:eastAsia="en-GB"/>
              </w:rPr>
            </w:pPr>
            <w:r w:rsidRPr="00F507D0">
              <w:rPr>
                <w:rFonts w:ascii="Arial" w:eastAsia="Times New Roman" w:hAnsi="Arial" w:cs="Arial"/>
                <w:sz w:val="20"/>
                <w:szCs w:val="20"/>
                <w:lang w:eastAsia="en-GB"/>
              </w:rPr>
              <w:t xml:space="preserve">Value at 31 August </w:t>
            </w:r>
            <w:r w:rsidR="0037645F">
              <w:rPr>
                <w:rFonts w:ascii="Arial" w:eastAsia="Times New Roman" w:hAnsi="Arial" w:cs="Arial"/>
                <w:sz w:val="20"/>
                <w:szCs w:val="20"/>
                <w:lang w:eastAsia="en-GB"/>
              </w:rPr>
              <w:t>2019</w:t>
            </w:r>
          </w:p>
        </w:tc>
      </w:tr>
      <w:tr w:rsidR="00BC537E" w:rsidRPr="00F507D0" w14:paraId="38F67B48" w14:textId="77777777" w:rsidTr="00D85D6F">
        <w:trPr>
          <w:trHeight w:val="350"/>
          <w:jc w:val="center"/>
        </w:trPr>
        <w:tc>
          <w:tcPr>
            <w:tcW w:w="3973" w:type="dxa"/>
            <w:tcBorders>
              <w:top w:val="nil"/>
              <w:left w:val="nil"/>
              <w:bottom w:val="nil"/>
              <w:right w:val="nil"/>
            </w:tcBorders>
            <w:shd w:val="clear" w:color="auto" w:fill="auto"/>
            <w:vAlign w:val="center"/>
            <w:hideMark/>
          </w:tcPr>
          <w:p w14:paraId="56F466B0" w14:textId="77777777" w:rsidR="00BC537E" w:rsidRPr="00F507D0" w:rsidRDefault="00BC537E" w:rsidP="007729E5">
            <w:pPr>
              <w:spacing w:after="0" w:line="240" w:lineRule="auto"/>
              <w:rPr>
                <w:rFonts w:ascii="Arial" w:eastAsia="Times New Roman" w:hAnsi="Arial" w:cs="Arial"/>
                <w:sz w:val="20"/>
                <w:szCs w:val="20"/>
                <w:lang w:eastAsia="en-GB"/>
              </w:rPr>
            </w:pPr>
          </w:p>
        </w:tc>
        <w:tc>
          <w:tcPr>
            <w:tcW w:w="288" w:type="dxa"/>
            <w:tcBorders>
              <w:top w:val="nil"/>
              <w:left w:val="nil"/>
              <w:bottom w:val="nil"/>
              <w:right w:val="nil"/>
            </w:tcBorders>
            <w:shd w:val="clear" w:color="auto" w:fill="auto"/>
            <w:vAlign w:val="center"/>
            <w:hideMark/>
          </w:tcPr>
          <w:p w14:paraId="7914496C" w14:textId="77777777" w:rsidR="00BC537E" w:rsidRPr="00F507D0" w:rsidRDefault="00BC537E" w:rsidP="007729E5">
            <w:pPr>
              <w:spacing w:after="0" w:line="240" w:lineRule="auto"/>
              <w:rPr>
                <w:rFonts w:ascii="Times New Roman" w:eastAsia="Times New Roman" w:hAnsi="Times New Roman" w:cs="Times New Roman"/>
                <w:sz w:val="20"/>
                <w:szCs w:val="20"/>
                <w:lang w:eastAsia="en-GB"/>
              </w:rPr>
            </w:pPr>
          </w:p>
        </w:tc>
        <w:tc>
          <w:tcPr>
            <w:tcW w:w="2127" w:type="dxa"/>
            <w:tcBorders>
              <w:top w:val="nil"/>
              <w:left w:val="nil"/>
              <w:bottom w:val="nil"/>
              <w:right w:val="nil"/>
            </w:tcBorders>
            <w:shd w:val="clear" w:color="auto" w:fill="auto"/>
            <w:vAlign w:val="bottom"/>
            <w:hideMark/>
          </w:tcPr>
          <w:p w14:paraId="1A51AC1F" w14:textId="77777777" w:rsidR="00BC537E" w:rsidRPr="00F507D0" w:rsidRDefault="00BC537E" w:rsidP="007729E5">
            <w:pPr>
              <w:spacing w:after="0" w:line="240" w:lineRule="auto"/>
              <w:rPr>
                <w:rFonts w:ascii="Times New Roman" w:eastAsia="Times New Roman" w:hAnsi="Times New Roman" w:cs="Times New Roman"/>
                <w:sz w:val="20"/>
                <w:szCs w:val="20"/>
                <w:lang w:eastAsia="en-GB"/>
              </w:rPr>
            </w:pPr>
          </w:p>
        </w:tc>
        <w:tc>
          <w:tcPr>
            <w:tcW w:w="1977" w:type="dxa"/>
            <w:tcBorders>
              <w:top w:val="nil"/>
              <w:left w:val="nil"/>
              <w:bottom w:val="nil"/>
              <w:right w:val="nil"/>
            </w:tcBorders>
            <w:shd w:val="clear" w:color="auto" w:fill="auto"/>
            <w:vAlign w:val="center"/>
            <w:hideMark/>
          </w:tcPr>
          <w:p w14:paraId="4A44ECB7" w14:textId="77777777" w:rsidR="00BC537E" w:rsidRPr="00F507D0" w:rsidRDefault="00BC537E" w:rsidP="005229F1">
            <w:pPr>
              <w:spacing w:after="0" w:line="240" w:lineRule="auto"/>
              <w:jc w:val="right"/>
              <w:rPr>
                <w:rFonts w:ascii="Arial" w:eastAsia="Times New Roman" w:hAnsi="Arial" w:cs="Arial"/>
                <w:b/>
                <w:bCs/>
                <w:sz w:val="20"/>
                <w:szCs w:val="20"/>
                <w:lang w:eastAsia="en-GB"/>
              </w:rPr>
            </w:pPr>
            <w:r w:rsidRPr="00F507D0">
              <w:rPr>
                <w:rFonts w:ascii="Arial" w:eastAsia="Times New Roman" w:hAnsi="Arial" w:cs="Arial"/>
                <w:b/>
                <w:bCs/>
                <w:sz w:val="20"/>
                <w:szCs w:val="20"/>
                <w:lang w:eastAsia="en-GB"/>
              </w:rPr>
              <w:t>£'000</w:t>
            </w:r>
          </w:p>
        </w:tc>
        <w:tc>
          <w:tcPr>
            <w:tcW w:w="1152" w:type="dxa"/>
            <w:tcBorders>
              <w:top w:val="nil"/>
              <w:left w:val="nil"/>
              <w:bottom w:val="nil"/>
              <w:right w:val="nil"/>
            </w:tcBorders>
            <w:shd w:val="clear" w:color="auto" w:fill="auto"/>
            <w:vAlign w:val="center"/>
            <w:hideMark/>
          </w:tcPr>
          <w:p w14:paraId="5139FEF2" w14:textId="77777777" w:rsidR="00BC537E" w:rsidRPr="00F507D0" w:rsidRDefault="00BC537E" w:rsidP="005229F1">
            <w:pPr>
              <w:spacing w:after="0" w:line="240" w:lineRule="auto"/>
              <w:jc w:val="right"/>
              <w:rPr>
                <w:rFonts w:ascii="Arial" w:eastAsia="Times New Roman" w:hAnsi="Arial" w:cs="Arial"/>
                <w:sz w:val="20"/>
                <w:szCs w:val="20"/>
                <w:lang w:eastAsia="en-GB"/>
              </w:rPr>
            </w:pPr>
            <w:r w:rsidRPr="00F507D0">
              <w:rPr>
                <w:rFonts w:ascii="Arial" w:eastAsia="Times New Roman" w:hAnsi="Arial" w:cs="Arial"/>
                <w:sz w:val="20"/>
                <w:szCs w:val="20"/>
                <w:lang w:eastAsia="en-GB"/>
              </w:rPr>
              <w:t>£'000</w:t>
            </w:r>
          </w:p>
        </w:tc>
      </w:tr>
      <w:tr w:rsidR="00416FDD" w:rsidRPr="00F507D0" w14:paraId="60351A5F" w14:textId="77777777" w:rsidTr="00D85D6F">
        <w:trPr>
          <w:trHeight w:val="350"/>
          <w:jc w:val="center"/>
        </w:trPr>
        <w:tc>
          <w:tcPr>
            <w:tcW w:w="3973" w:type="dxa"/>
            <w:tcBorders>
              <w:top w:val="single" w:sz="4" w:space="0" w:color="auto"/>
              <w:left w:val="nil"/>
              <w:bottom w:val="nil"/>
              <w:right w:val="nil"/>
            </w:tcBorders>
            <w:shd w:val="clear" w:color="auto" w:fill="auto"/>
            <w:noWrap/>
            <w:vAlign w:val="center"/>
            <w:hideMark/>
          </w:tcPr>
          <w:p w14:paraId="62E44C2D" w14:textId="77777777" w:rsidR="00416FDD" w:rsidRPr="00F507D0" w:rsidRDefault="00416FDD" w:rsidP="00416FDD">
            <w:pPr>
              <w:spacing w:after="0" w:line="240" w:lineRule="auto"/>
              <w:rPr>
                <w:rFonts w:ascii="Arial" w:eastAsia="Times New Roman" w:hAnsi="Arial" w:cs="Arial"/>
                <w:sz w:val="20"/>
                <w:szCs w:val="20"/>
                <w:lang w:eastAsia="en-GB"/>
              </w:rPr>
            </w:pPr>
            <w:r w:rsidRPr="00F507D0">
              <w:rPr>
                <w:rFonts w:ascii="Arial" w:eastAsia="Times New Roman" w:hAnsi="Arial" w:cs="Arial"/>
                <w:sz w:val="20"/>
                <w:szCs w:val="20"/>
                <w:lang w:eastAsia="en-GB"/>
              </w:rPr>
              <w:t>Equities</w:t>
            </w:r>
          </w:p>
        </w:tc>
        <w:tc>
          <w:tcPr>
            <w:tcW w:w="288" w:type="dxa"/>
            <w:tcBorders>
              <w:top w:val="single" w:sz="4" w:space="0" w:color="auto"/>
              <w:left w:val="nil"/>
              <w:bottom w:val="nil"/>
              <w:right w:val="nil"/>
            </w:tcBorders>
            <w:shd w:val="clear" w:color="auto" w:fill="auto"/>
            <w:noWrap/>
            <w:vAlign w:val="center"/>
            <w:hideMark/>
          </w:tcPr>
          <w:p w14:paraId="6B4B3E13" w14:textId="77777777" w:rsidR="00416FDD" w:rsidRPr="00F507D0" w:rsidRDefault="00416FDD" w:rsidP="00416FDD">
            <w:pPr>
              <w:spacing w:after="0" w:line="240" w:lineRule="auto"/>
              <w:rPr>
                <w:rFonts w:ascii="Arial" w:eastAsia="Times New Roman" w:hAnsi="Arial" w:cs="Arial"/>
                <w:sz w:val="20"/>
                <w:szCs w:val="20"/>
                <w:lang w:eastAsia="en-GB"/>
              </w:rPr>
            </w:pPr>
            <w:r w:rsidRPr="00F507D0">
              <w:rPr>
                <w:rFonts w:ascii="Arial" w:eastAsia="Times New Roman" w:hAnsi="Arial" w:cs="Arial"/>
                <w:sz w:val="20"/>
                <w:szCs w:val="20"/>
                <w:lang w:eastAsia="en-GB"/>
              </w:rPr>
              <w:t> </w:t>
            </w:r>
          </w:p>
        </w:tc>
        <w:tc>
          <w:tcPr>
            <w:tcW w:w="2127" w:type="dxa"/>
            <w:tcBorders>
              <w:top w:val="single" w:sz="4" w:space="0" w:color="auto"/>
              <w:left w:val="nil"/>
              <w:bottom w:val="nil"/>
              <w:right w:val="nil"/>
            </w:tcBorders>
            <w:shd w:val="clear" w:color="auto" w:fill="auto"/>
            <w:noWrap/>
            <w:vAlign w:val="bottom"/>
            <w:hideMark/>
          </w:tcPr>
          <w:p w14:paraId="4099560A" w14:textId="77777777" w:rsidR="00416FDD" w:rsidRPr="00F507D0" w:rsidRDefault="00416FDD" w:rsidP="00416FDD">
            <w:pPr>
              <w:spacing w:after="0" w:line="240" w:lineRule="auto"/>
              <w:rPr>
                <w:rFonts w:ascii="Arial" w:eastAsia="Times New Roman" w:hAnsi="Arial" w:cs="Arial"/>
                <w:sz w:val="20"/>
                <w:szCs w:val="20"/>
                <w:lang w:eastAsia="en-GB"/>
              </w:rPr>
            </w:pPr>
            <w:r w:rsidRPr="00F507D0">
              <w:rPr>
                <w:rFonts w:ascii="Arial" w:eastAsia="Times New Roman" w:hAnsi="Arial" w:cs="Arial"/>
                <w:sz w:val="20"/>
                <w:szCs w:val="20"/>
                <w:lang w:eastAsia="en-GB"/>
              </w:rPr>
              <w:t> </w:t>
            </w:r>
          </w:p>
        </w:tc>
        <w:tc>
          <w:tcPr>
            <w:tcW w:w="1977" w:type="dxa"/>
            <w:tcBorders>
              <w:top w:val="single" w:sz="4" w:space="0" w:color="auto"/>
              <w:left w:val="nil"/>
              <w:bottom w:val="nil"/>
              <w:right w:val="nil"/>
            </w:tcBorders>
            <w:shd w:val="clear" w:color="auto" w:fill="auto"/>
            <w:noWrap/>
            <w:vAlign w:val="center"/>
          </w:tcPr>
          <w:p w14:paraId="55869047" w14:textId="77777777" w:rsidR="00416FDD" w:rsidRPr="00F507D0" w:rsidRDefault="00782D6C" w:rsidP="00416FDD">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24,681</w:t>
            </w:r>
          </w:p>
        </w:tc>
        <w:tc>
          <w:tcPr>
            <w:tcW w:w="1152" w:type="dxa"/>
            <w:tcBorders>
              <w:top w:val="single" w:sz="4" w:space="0" w:color="auto"/>
              <w:left w:val="nil"/>
              <w:bottom w:val="nil"/>
              <w:right w:val="nil"/>
            </w:tcBorders>
            <w:shd w:val="clear" w:color="auto" w:fill="auto"/>
            <w:noWrap/>
            <w:vAlign w:val="center"/>
            <w:hideMark/>
          </w:tcPr>
          <w:p w14:paraId="2659DB0C" w14:textId="77777777" w:rsidR="00416FDD" w:rsidRPr="00416FDD" w:rsidRDefault="00416FDD" w:rsidP="00416FDD">
            <w:pPr>
              <w:spacing w:after="0" w:line="240" w:lineRule="auto"/>
              <w:jc w:val="right"/>
              <w:rPr>
                <w:rFonts w:ascii="Arial" w:eastAsia="Times New Roman" w:hAnsi="Arial" w:cs="Arial"/>
                <w:sz w:val="20"/>
                <w:szCs w:val="20"/>
                <w:lang w:eastAsia="en-GB"/>
              </w:rPr>
            </w:pPr>
            <w:r w:rsidRPr="00416FDD">
              <w:rPr>
                <w:rFonts w:ascii="Arial" w:eastAsia="Times New Roman" w:hAnsi="Arial" w:cs="Arial"/>
                <w:bCs/>
                <w:sz w:val="20"/>
                <w:szCs w:val="20"/>
                <w:lang w:eastAsia="en-GB"/>
              </w:rPr>
              <w:t>18,929</w:t>
            </w:r>
          </w:p>
        </w:tc>
      </w:tr>
      <w:tr w:rsidR="00416FDD" w:rsidRPr="00F507D0" w14:paraId="78054321" w14:textId="77777777" w:rsidTr="00D85D6F">
        <w:trPr>
          <w:trHeight w:val="350"/>
          <w:jc w:val="center"/>
        </w:trPr>
        <w:tc>
          <w:tcPr>
            <w:tcW w:w="3973" w:type="dxa"/>
            <w:tcBorders>
              <w:top w:val="nil"/>
              <w:left w:val="nil"/>
              <w:bottom w:val="nil"/>
              <w:right w:val="nil"/>
            </w:tcBorders>
            <w:shd w:val="clear" w:color="auto" w:fill="auto"/>
            <w:noWrap/>
            <w:vAlign w:val="center"/>
            <w:hideMark/>
          </w:tcPr>
          <w:p w14:paraId="7041A57F" w14:textId="77777777" w:rsidR="00416FDD" w:rsidRPr="00F507D0" w:rsidRDefault="00416FDD" w:rsidP="00416FDD">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Corporate b</w:t>
            </w:r>
            <w:r w:rsidRPr="00F507D0">
              <w:rPr>
                <w:rFonts w:ascii="Arial" w:eastAsia="Times New Roman" w:hAnsi="Arial" w:cs="Arial"/>
                <w:sz w:val="20"/>
                <w:szCs w:val="20"/>
                <w:lang w:eastAsia="en-GB"/>
              </w:rPr>
              <w:t>onds</w:t>
            </w:r>
          </w:p>
        </w:tc>
        <w:tc>
          <w:tcPr>
            <w:tcW w:w="288" w:type="dxa"/>
            <w:tcBorders>
              <w:top w:val="nil"/>
              <w:left w:val="nil"/>
              <w:bottom w:val="nil"/>
              <w:right w:val="nil"/>
            </w:tcBorders>
            <w:shd w:val="clear" w:color="auto" w:fill="auto"/>
            <w:noWrap/>
            <w:vAlign w:val="center"/>
            <w:hideMark/>
          </w:tcPr>
          <w:p w14:paraId="2176E410" w14:textId="77777777" w:rsidR="00416FDD" w:rsidRPr="00F507D0" w:rsidRDefault="00416FDD" w:rsidP="00416FDD">
            <w:pPr>
              <w:spacing w:after="0" w:line="240" w:lineRule="auto"/>
              <w:rPr>
                <w:rFonts w:ascii="Arial" w:eastAsia="Times New Roman" w:hAnsi="Arial" w:cs="Arial"/>
                <w:sz w:val="20"/>
                <w:szCs w:val="20"/>
                <w:lang w:eastAsia="en-GB"/>
              </w:rPr>
            </w:pPr>
          </w:p>
        </w:tc>
        <w:tc>
          <w:tcPr>
            <w:tcW w:w="2127" w:type="dxa"/>
            <w:tcBorders>
              <w:top w:val="nil"/>
              <w:left w:val="nil"/>
              <w:bottom w:val="nil"/>
              <w:right w:val="nil"/>
            </w:tcBorders>
            <w:shd w:val="clear" w:color="auto" w:fill="auto"/>
            <w:noWrap/>
            <w:vAlign w:val="bottom"/>
            <w:hideMark/>
          </w:tcPr>
          <w:p w14:paraId="6917F514" w14:textId="77777777" w:rsidR="00416FDD" w:rsidRPr="00F507D0" w:rsidRDefault="00416FDD" w:rsidP="00416FDD">
            <w:pPr>
              <w:spacing w:after="0" w:line="240" w:lineRule="auto"/>
              <w:rPr>
                <w:rFonts w:ascii="Times New Roman" w:eastAsia="Times New Roman" w:hAnsi="Times New Roman" w:cs="Times New Roman"/>
                <w:sz w:val="20"/>
                <w:szCs w:val="20"/>
                <w:lang w:eastAsia="en-GB"/>
              </w:rPr>
            </w:pPr>
          </w:p>
        </w:tc>
        <w:tc>
          <w:tcPr>
            <w:tcW w:w="1977" w:type="dxa"/>
            <w:tcBorders>
              <w:top w:val="nil"/>
              <w:left w:val="nil"/>
              <w:bottom w:val="nil"/>
              <w:right w:val="nil"/>
            </w:tcBorders>
            <w:shd w:val="clear" w:color="auto" w:fill="auto"/>
            <w:noWrap/>
            <w:vAlign w:val="center"/>
          </w:tcPr>
          <w:p w14:paraId="5721F41B" w14:textId="77777777" w:rsidR="00416FDD" w:rsidRPr="00F507D0" w:rsidRDefault="00782D6C" w:rsidP="00416FDD">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7,901</w:t>
            </w:r>
          </w:p>
        </w:tc>
        <w:tc>
          <w:tcPr>
            <w:tcW w:w="1152" w:type="dxa"/>
            <w:tcBorders>
              <w:top w:val="nil"/>
              <w:left w:val="nil"/>
              <w:bottom w:val="nil"/>
              <w:right w:val="nil"/>
            </w:tcBorders>
            <w:shd w:val="clear" w:color="auto" w:fill="auto"/>
            <w:noWrap/>
            <w:vAlign w:val="center"/>
            <w:hideMark/>
          </w:tcPr>
          <w:p w14:paraId="4C9E829B" w14:textId="77777777" w:rsidR="00416FDD" w:rsidRPr="00416FDD" w:rsidRDefault="00416FDD" w:rsidP="00416FDD">
            <w:pPr>
              <w:spacing w:after="0" w:line="240" w:lineRule="auto"/>
              <w:jc w:val="right"/>
              <w:rPr>
                <w:rFonts w:ascii="Arial" w:eastAsia="Times New Roman" w:hAnsi="Arial" w:cs="Arial"/>
                <w:sz w:val="20"/>
                <w:szCs w:val="20"/>
                <w:lang w:eastAsia="en-GB"/>
              </w:rPr>
            </w:pPr>
            <w:r w:rsidRPr="00416FDD">
              <w:rPr>
                <w:rFonts w:ascii="Arial" w:eastAsia="Times New Roman" w:hAnsi="Arial" w:cs="Arial"/>
                <w:bCs/>
                <w:sz w:val="20"/>
                <w:szCs w:val="20"/>
                <w:lang w:eastAsia="en-GB"/>
              </w:rPr>
              <w:t>6,357</w:t>
            </w:r>
          </w:p>
        </w:tc>
      </w:tr>
      <w:tr w:rsidR="00416FDD" w:rsidRPr="00F507D0" w14:paraId="72975AD2" w14:textId="77777777" w:rsidTr="00D85D6F">
        <w:trPr>
          <w:trHeight w:val="350"/>
          <w:jc w:val="center"/>
        </w:trPr>
        <w:tc>
          <w:tcPr>
            <w:tcW w:w="3973" w:type="dxa"/>
            <w:tcBorders>
              <w:top w:val="nil"/>
              <w:left w:val="nil"/>
              <w:bottom w:val="nil"/>
              <w:right w:val="nil"/>
            </w:tcBorders>
            <w:shd w:val="clear" w:color="auto" w:fill="auto"/>
            <w:noWrap/>
            <w:vAlign w:val="center"/>
            <w:hideMark/>
          </w:tcPr>
          <w:p w14:paraId="7CED4C7C" w14:textId="77777777" w:rsidR="00416FDD" w:rsidRPr="00F507D0" w:rsidRDefault="00416FDD" w:rsidP="00416FDD">
            <w:pPr>
              <w:spacing w:after="0" w:line="240" w:lineRule="auto"/>
              <w:rPr>
                <w:rFonts w:ascii="Arial" w:eastAsia="Times New Roman" w:hAnsi="Arial" w:cs="Arial"/>
                <w:sz w:val="20"/>
                <w:szCs w:val="20"/>
                <w:lang w:eastAsia="en-GB"/>
              </w:rPr>
            </w:pPr>
            <w:r w:rsidRPr="00F507D0">
              <w:rPr>
                <w:rFonts w:ascii="Arial" w:eastAsia="Times New Roman" w:hAnsi="Arial" w:cs="Arial"/>
                <w:sz w:val="20"/>
                <w:szCs w:val="20"/>
                <w:lang w:eastAsia="en-GB"/>
              </w:rPr>
              <w:t>Property</w:t>
            </w:r>
          </w:p>
        </w:tc>
        <w:tc>
          <w:tcPr>
            <w:tcW w:w="288" w:type="dxa"/>
            <w:tcBorders>
              <w:top w:val="nil"/>
              <w:left w:val="nil"/>
              <w:bottom w:val="nil"/>
              <w:right w:val="nil"/>
            </w:tcBorders>
            <w:shd w:val="clear" w:color="auto" w:fill="auto"/>
            <w:noWrap/>
            <w:vAlign w:val="center"/>
            <w:hideMark/>
          </w:tcPr>
          <w:p w14:paraId="369C28DC" w14:textId="77777777" w:rsidR="00416FDD" w:rsidRPr="00F507D0" w:rsidRDefault="00416FDD" w:rsidP="00416FDD">
            <w:pPr>
              <w:spacing w:after="0" w:line="240" w:lineRule="auto"/>
              <w:rPr>
                <w:rFonts w:ascii="Arial" w:eastAsia="Times New Roman" w:hAnsi="Arial" w:cs="Arial"/>
                <w:sz w:val="20"/>
                <w:szCs w:val="20"/>
                <w:lang w:eastAsia="en-GB"/>
              </w:rPr>
            </w:pPr>
          </w:p>
        </w:tc>
        <w:tc>
          <w:tcPr>
            <w:tcW w:w="2127" w:type="dxa"/>
            <w:tcBorders>
              <w:top w:val="nil"/>
              <w:left w:val="nil"/>
              <w:bottom w:val="nil"/>
              <w:right w:val="nil"/>
            </w:tcBorders>
            <w:shd w:val="clear" w:color="auto" w:fill="auto"/>
            <w:noWrap/>
            <w:vAlign w:val="bottom"/>
            <w:hideMark/>
          </w:tcPr>
          <w:p w14:paraId="1FD8447C" w14:textId="77777777" w:rsidR="00416FDD" w:rsidRPr="00F507D0" w:rsidRDefault="00416FDD" w:rsidP="00416FDD">
            <w:pPr>
              <w:spacing w:after="0" w:line="240" w:lineRule="auto"/>
              <w:rPr>
                <w:rFonts w:ascii="Times New Roman" w:eastAsia="Times New Roman" w:hAnsi="Times New Roman" w:cs="Times New Roman"/>
                <w:sz w:val="20"/>
                <w:szCs w:val="20"/>
                <w:lang w:eastAsia="en-GB"/>
              </w:rPr>
            </w:pPr>
          </w:p>
        </w:tc>
        <w:tc>
          <w:tcPr>
            <w:tcW w:w="1977" w:type="dxa"/>
            <w:tcBorders>
              <w:top w:val="nil"/>
              <w:left w:val="nil"/>
              <w:bottom w:val="nil"/>
              <w:right w:val="nil"/>
            </w:tcBorders>
            <w:shd w:val="clear" w:color="auto" w:fill="auto"/>
            <w:noWrap/>
            <w:vAlign w:val="center"/>
          </w:tcPr>
          <w:p w14:paraId="46C8043D" w14:textId="77777777" w:rsidR="00416FDD" w:rsidRPr="00F507D0" w:rsidRDefault="00782D6C" w:rsidP="00416FDD">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3,040</w:t>
            </w:r>
          </w:p>
        </w:tc>
        <w:tc>
          <w:tcPr>
            <w:tcW w:w="1152" w:type="dxa"/>
            <w:tcBorders>
              <w:top w:val="nil"/>
              <w:left w:val="nil"/>
              <w:bottom w:val="nil"/>
              <w:right w:val="nil"/>
            </w:tcBorders>
            <w:shd w:val="clear" w:color="auto" w:fill="auto"/>
            <w:noWrap/>
            <w:vAlign w:val="center"/>
            <w:hideMark/>
          </w:tcPr>
          <w:p w14:paraId="02578509" w14:textId="77777777" w:rsidR="00416FDD" w:rsidRPr="00416FDD" w:rsidRDefault="00416FDD" w:rsidP="00416FDD">
            <w:pPr>
              <w:spacing w:after="0" w:line="240" w:lineRule="auto"/>
              <w:jc w:val="right"/>
              <w:rPr>
                <w:rFonts w:ascii="Arial" w:eastAsia="Times New Roman" w:hAnsi="Arial" w:cs="Arial"/>
                <w:sz w:val="20"/>
                <w:szCs w:val="20"/>
                <w:lang w:eastAsia="en-GB"/>
              </w:rPr>
            </w:pPr>
            <w:r w:rsidRPr="00416FDD">
              <w:rPr>
                <w:rFonts w:ascii="Arial" w:eastAsia="Times New Roman" w:hAnsi="Arial" w:cs="Arial"/>
                <w:bCs/>
                <w:sz w:val="20"/>
                <w:szCs w:val="20"/>
                <w:lang w:eastAsia="en-GB"/>
              </w:rPr>
              <w:t>2,320</w:t>
            </w:r>
          </w:p>
        </w:tc>
      </w:tr>
      <w:tr w:rsidR="00416FDD" w:rsidRPr="00F507D0" w14:paraId="73BA6027" w14:textId="77777777" w:rsidTr="00D85D6F">
        <w:trPr>
          <w:trHeight w:val="350"/>
          <w:jc w:val="center"/>
        </w:trPr>
        <w:tc>
          <w:tcPr>
            <w:tcW w:w="3973" w:type="dxa"/>
            <w:tcBorders>
              <w:top w:val="nil"/>
              <w:left w:val="nil"/>
              <w:bottom w:val="nil"/>
              <w:right w:val="nil"/>
            </w:tcBorders>
            <w:shd w:val="clear" w:color="auto" w:fill="auto"/>
            <w:noWrap/>
            <w:vAlign w:val="center"/>
            <w:hideMark/>
          </w:tcPr>
          <w:p w14:paraId="33841F1B" w14:textId="77777777" w:rsidR="00416FDD" w:rsidRPr="00F507D0" w:rsidRDefault="00416FDD" w:rsidP="00416FDD">
            <w:pPr>
              <w:spacing w:after="0" w:line="240" w:lineRule="auto"/>
              <w:rPr>
                <w:rFonts w:ascii="Arial" w:eastAsia="Times New Roman" w:hAnsi="Arial" w:cs="Arial"/>
                <w:sz w:val="20"/>
                <w:szCs w:val="20"/>
                <w:lang w:eastAsia="en-GB"/>
              </w:rPr>
            </w:pPr>
            <w:r w:rsidRPr="00F507D0">
              <w:rPr>
                <w:rFonts w:ascii="Arial" w:eastAsia="Times New Roman" w:hAnsi="Arial" w:cs="Arial"/>
                <w:sz w:val="20"/>
                <w:szCs w:val="20"/>
                <w:lang w:eastAsia="en-GB"/>
              </w:rPr>
              <w:t>Cash and other liquid assets</w:t>
            </w:r>
          </w:p>
        </w:tc>
        <w:tc>
          <w:tcPr>
            <w:tcW w:w="288" w:type="dxa"/>
            <w:tcBorders>
              <w:top w:val="nil"/>
              <w:left w:val="nil"/>
              <w:bottom w:val="nil"/>
              <w:right w:val="nil"/>
            </w:tcBorders>
            <w:shd w:val="clear" w:color="auto" w:fill="auto"/>
            <w:noWrap/>
            <w:vAlign w:val="center"/>
            <w:hideMark/>
          </w:tcPr>
          <w:p w14:paraId="6EAA201A" w14:textId="77777777" w:rsidR="00416FDD" w:rsidRPr="00F507D0" w:rsidRDefault="00416FDD" w:rsidP="00416FDD">
            <w:pPr>
              <w:spacing w:after="0" w:line="240" w:lineRule="auto"/>
              <w:rPr>
                <w:rFonts w:ascii="Arial" w:eastAsia="Times New Roman" w:hAnsi="Arial" w:cs="Arial"/>
                <w:sz w:val="20"/>
                <w:szCs w:val="20"/>
                <w:lang w:eastAsia="en-GB"/>
              </w:rPr>
            </w:pPr>
          </w:p>
        </w:tc>
        <w:tc>
          <w:tcPr>
            <w:tcW w:w="2127" w:type="dxa"/>
            <w:tcBorders>
              <w:top w:val="nil"/>
              <w:left w:val="nil"/>
              <w:bottom w:val="nil"/>
              <w:right w:val="nil"/>
            </w:tcBorders>
            <w:shd w:val="clear" w:color="auto" w:fill="auto"/>
            <w:noWrap/>
            <w:vAlign w:val="bottom"/>
            <w:hideMark/>
          </w:tcPr>
          <w:p w14:paraId="0F9E88B9" w14:textId="77777777" w:rsidR="00416FDD" w:rsidRPr="00F507D0" w:rsidRDefault="00416FDD" w:rsidP="00416FDD">
            <w:pPr>
              <w:spacing w:after="0" w:line="240" w:lineRule="auto"/>
              <w:rPr>
                <w:rFonts w:ascii="Times New Roman" w:eastAsia="Times New Roman" w:hAnsi="Times New Roman" w:cs="Times New Roman"/>
                <w:sz w:val="20"/>
                <w:szCs w:val="20"/>
                <w:lang w:eastAsia="en-GB"/>
              </w:rPr>
            </w:pPr>
          </w:p>
        </w:tc>
        <w:tc>
          <w:tcPr>
            <w:tcW w:w="1977" w:type="dxa"/>
            <w:tcBorders>
              <w:top w:val="nil"/>
              <w:left w:val="nil"/>
              <w:bottom w:val="nil"/>
              <w:right w:val="nil"/>
            </w:tcBorders>
            <w:shd w:val="clear" w:color="auto" w:fill="auto"/>
            <w:noWrap/>
            <w:vAlign w:val="center"/>
          </w:tcPr>
          <w:p w14:paraId="4FEFDDAC" w14:textId="77777777" w:rsidR="00416FDD" w:rsidRPr="00F507D0" w:rsidRDefault="00782D6C" w:rsidP="00416FDD">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2,082</w:t>
            </w:r>
          </w:p>
        </w:tc>
        <w:tc>
          <w:tcPr>
            <w:tcW w:w="1152" w:type="dxa"/>
            <w:tcBorders>
              <w:top w:val="nil"/>
              <w:left w:val="nil"/>
              <w:bottom w:val="nil"/>
              <w:right w:val="nil"/>
            </w:tcBorders>
            <w:shd w:val="clear" w:color="auto" w:fill="auto"/>
            <w:noWrap/>
            <w:vAlign w:val="center"/>
            <w:hideMark/>
          </w:tcPr>
          <w:p w14:paraId="4017FFBA" w14:textId="77777777" w:rsidR="00416FDD" w:rsidRPr="00416FDD" w:rsidRDefault="00416FDD" w:rsidP="00416FDD">
            <w:pPr>
              <w:spacing w:after="0" w:line="240" w:lineRule="auto"/>
              <w:jc w:val="right"/>
              <w:rPr>
                <w:rFonts w:ascii="Arial" w:eastAsia="Times New Roman" w:hAnsi="Arial" w:cs="Arial"/>
                <w:sz w:val="20"/>
                <w:szCs w:val="20"/>
                <w:lang w:eastAsia="en-GB"/>
              </w:rPr>
            </w:pPr>
            <w:r w:rsidRPr="00416FDD">
              <w:rPr>
                <w:rFonts w:ascii="Arial" w:eastAsia="Times New Roman" w:hAnsi="Arial" w:cs="Arial"/>
                <w:bCs/>
                <w:sz w:val="20"/>
                <w:szCs w:val="20"/>
                <w:lang w:eastAsia="en-GB"/>
              </w:rPr>
              <w:t>988</w:t>
            </w:r>
          </w:p>
        </w:tc>
      </w:tr>
      <w:tr w:rsidR="00416FDD" w:rsidRPr="00F507D0" w14:paraId="1CB8C62C" w14:textId="77777777" w:rsidTr="00D85D6F">
        <w:trPr>
          <w:trHeight w:val="350"/>
          <w:jc w:val="center"/>
        </w:trPr>
        <w:tc>
          <w:tcPr>
            <w:tcW w:w="3973" w:type="dxa"/>
            <w:tcBorders>
              <w:top w:val="nil"/>
              <w:left w:val="nil"/>
              <w:bottom w:val="nil"/>
              <w:right w:val="nil"/>
            </w:tcBorders>
            <w:shd w:val="clear" w:color="auto" w:fill="auto"/>
            <w:noWrap/>
            <w:vAlign w:val="center"/>
            <w:hideMark/>
          </w:tcPr>
          <w:p w14:paraId="5007B359" w14:textId="77777777" w:rsidR="00416FDD" w:rsidRPr="00F507D0" w:rsidRDefault="00416FDD" w:rsidP="00416FDD">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Other a</w:t>
            </w:r>
            <w:r w:rsidRPr="00F507D0">
              <w:rPr>
                <w:rFonts w:ascii="Arial" w:eastAsia="Times New Roman" w:hAnsi="Arial" w:cs="Arial"/>
                <w:sz w:val="20"/>
                <w:szCs w:val="20"/>
                <w:lang w:eastAsia="en-GB"/>
              </w:rPr>
              <w:t>ssets</w:t>
            </w:r>
          </w:p>
        </w:tc>
        <w:tc>
          <w:tcPr>
            <w:tcW w:w="288" w:type="dxa"/>
            <w:tcBorders>
              <w:top w:val="nil"/>
              <w:left w:val="nil"/>
              <w:bottom w:val="nil"/>
              <w:right w:val="nil"/>
            </w:tcBorders>
            <w:shd w:val="clear" w:color="auto" w:fill="auto"/>
            <w:noWrap/>
            <w:vAlign w:val="center"/>
            <w:hideMark/>
          </w:tcPr>
          <w:p w14:paraId="52784ED9" w14:textId="77777777" w:rsidR="00416FDD" w:rsidRPr="00F507D0" w:rsidRDefault="00416FDD" w:rsidP="00416FDD">
            <w:pPr>
              <w:spacing w:after="0" w:line="240" w:lineRule="auto"/>
              <w:rPr>
                <w:rFonts w:ascii="Arial" w:eastAsia="Times New Roman" w:hAnsi="Arial" w:cs="Arial"/>
                <w:sz w:val="20"/>
                <w:szCs w:val="20"/>
                <w:lang w:eastAsia="en-GB"/>
              </w:rPr>
            </w:pPr>
          </w:p>
        </w:tc>
        <w:tc>
          <w:tcPr>
            <w:tcW w:w="2127" w:type="dxa"/>
            <w:tcBorders>
              <w:top w:val="nil"/>
              <w:left w:val="nil"/>
              <w:bottom w:val="nil"/>
              <w:right w:val="nil"/>
            </w:tcBorders>
            <w:shd w:val="clear" w:color="auto" w:fill="auto"/>
            <w:noWrap/>
            <w:vAlign w:val="bottom"/>
            <w:hideMark/>
          </w:tcPr>
          <w:p w14:paraId="6C75BBC9" w14:textId="77777777" w:rsidR="00416FDD" w:rsidRPr="00F507D0" w:rsidRDefault="00416FDD" w:rsidP="00416FDD">
            <w:pPr>
              <w:spacing w:after="0" w:line="240" w:lineRule="auto"/>
              <w:rPr>
                <w:rFonts w:ascii="Times New Roman" w:eastAsia="Times New Roman" w:hAnsi="Times New Roman" w:cs="Times New Roman"/>
                <w:sz w:val="20"/>
                <w:szCs w:val="20"/>
                <w:lang w:eastAsia="en-GB"/>
              </w:rPr>
            </w:pPr>
          </w:p>
        </w:tc>
        <w:tc>
          <w:tcPr>
            <w:tcW w:w="1977" w:type="dxa"/>
            <w:tcBorders>
              <w:top w:val="nil"/>
              <w:left w:val="nil"/>
              <w:bottom w:val="nil"/>
              <w:right w:val="nil"/>
            </w:tcBorders>
            <w:shd w:val="clear" w:color="auto" w:fill="auto"/>
            <w:noWrap/>
            <w:vAlign w:val="center"/>
          </w:tcPr>
          <w:p w14:paraId="7BB20FDE" w14:textId="77777777" w:rsidR="00416FDD" w:rsidRPr="00F507D0" w:rsidRDefault="00782D6C" w:rsidP="00416FDD">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620</w:t>
            </w:r>
          </w:p>
        </w:tc>
        <w:tc>
          <w:tcPr>
            <w:tcW w:w="1152" w:type="dxa"/>
            <w:tcBorders>
              <w:top w:val="nil"/>
              <w:left w:val="nil"/>
              <w:bottom w:val="nil"/>
              <w:right w:val="nil"/>
            </w:tcBorders>
            <w:shd w:val="clear" w:color="auto" w:fill="auto"/>
            <w:noWrap/>
            <w:vAlign w:val="center"/>
            <w:hideMark/>
          </w:tcPr>
          <w:p w14:paraId="7917AF9B" w14:textId="77777777" w:rsidR="00416FDD" w:rsidRPr="00416FDD" w:rsidRDefault="00416FDD" w:rsidP="00416FDD">
            <w:pPr>
              <w:spacing w:after="0" w:line="240" w:lineRule="auto"/>
              <w:jc w:val="right"/>
              <w:rPr>
                <w:rFonts w:ascii="Arial" w:eastAsia="Times New Roman" w:hAnsi="Arial" w:cs="Arial"/>
                <w:sz w:val="20"/>
                <w:szCs w:val="20"/>
                <w:lang w:eastAsia="en-GB"/>
              </w:rPr>
            </w:pPr>
            <w:r w:rsidRPr="00416FDD">
              <w:rPr>
                <w:rFonts w:ascii="Arial" w:eastAsia="Times New Roman" w:hAnsi="Arial" w:cs="Arial"/>
                <w:bCs/>
                <w:sz w:val="20"/>
                <w:szCs w:val="20"/>
                <w:lang w:eastAsia="en-GB"/>
              </w:rPr>
              <w:t>364</w:t>
            </w:r>
          </w:p>
        </w:tc>
      </w:tr>
      <w:tr w:rsidR="00416FDD" w:rsidRPr="00F507D0" w14:paraId="62A68791" w14:textId="77777777" w:rsidTr="00D85D6F">
        <w:trPr>
          <w:trHeight w:val="350"/>
          <w:jc w:val="center"/>
        </w:trPr>
        <w:tc>
          <w:tcPr>
            <w:tcW w:w="3973" w:type="dxa"/>
            <w:tcBorders>
              <w:top w:val="single" w:sz="4" w:space="0" w:color="auto"/>
              <w:left w:val="nil"/>
              <w:bottom w:val="nil"/>
              <w:right w:val="nil"/>
            </w:tcBorders>
            <w:shd w:val="clear" w:color="auto" w:fill="auto"/>
            <w:noWrap/>
            <w:vAlign w:val="center"/>
            <w:hideMark/>
          </w:tcPr>
          <w:p w14:paraId="77973902" w14:textId="77777777" w:rsidR="00416FDD" w:rsidRPr="00F507D0" w:rsidRDefault="00416FDD" w:rsidP="00416FDD">
            <w:pPr>
              <w:spacing w:after="0" w:line="240" w:lineRule="auto"/>
              <w:rPr>
                <w:rFonts w:ascii="Arial" w:eastAsia="Times New Roman" w:hAnsi="Arial" w:cs="Arial"/>
                <w:sz w:val="20"/>
                <w:szCs w:val="20"/>
                <w:lang w:eastAsia="en-GB"/>
              </w:rPr>
            </w:pPr>
            <w:r w:rsidRPr="00F507D0">
              <w:rPr>
                <w:rFonts w:ascii="Arial" w:eastAsia="Times New Roman" w:hAnsi="Arial" w:cs="Arial"/>
                <w:sz w:val="20"/>
                <w:szCs w:val="20"/>
                <w:lang w:eastAsia="en-GB"/>
              </w:rPr>
              <w:t>Total market value of assets</w:t>
            </w:r>
          </w:p>
        </w:tc>
        <w:tc>
          <w:tcPr>
            <w:tcW w:w="288" w:type="dxa"/>
            <w:tcBorders>
              <w:top w:val="single" w:sz="4" w:space="0" w:color="auto"/>
              <w:left w:val="nil"/>
              <w:bottom w:val="nil"/>
              <w:right w:val="nil"/>
            </w:tcBorders>
            <w:shd w:val="clear" w:color="auto" w:fill="auto"/>
            <w:noWrap/>
            <w:vAlign w:val="center"/>
            <w:hideMark/>
          </w:tcPr>
          <w:p w14:paraId="7F72F650" w14:textId="77777777" w:rsidR="00416FDD" w:rsidRPr="00F507D0" w:rsidRDefault="00416FDD" w:rsidP="00416FDD">
            <w:pPr>
              <w:spacing w:after="0" w:line="240" w:lineRule="auto"/>
              <w:rPr>
                <w:rFonts w:ascii="Arial" w:eastAsia="Times New Roman" w:hAnsi="Arial" w:cs="Arial"/>
                <w:sz w:val="20"/>
                <w:szCs w:val="20"/>
                <w:lang w:eastAsia="en-GB"/>
              </w:rPr>
            </w:pPr>
            <w:r w:rsidRPr="00F507D0">
              <w:rPr>
                <w:rFonts w:ascii="Arial" w:eastAsia="Times New Roman" w:hAnsi="Arial" w:cs="Arial"/>
                <w:sz w:val="20"/>
                <w:szCs w:val="20"/>
                <w:lang w:eastAsia="en-GB"/>
              </w:rPr>
              <w:t> </w:t>
            </w:r>
          </w:p>
        </w:tc>
        <w:tc>
          <w:tcPr>
            <w:tcW w:w="2127" w:type="dxa"/>
            <w:tcBorders>
              <w:top w:val="single" w:sz="4" w:space="0" w:color="auto"/>
              <w:left w:val="nil"/>
              <w:bottom w:val="nil"/>
              <w:right w:val="nil"/>
            </w:tcBorders>
            <w:shd w:val="clear" w:color="auto" w:fill="auto"/>
            <w:noWrap/>
            <w:vAlign w:val="bottom"/>
            <w:hideMark/>
          </w:tcPr>
          <w:p w14:paraId="78604D2D" w14:textId="77777777" w:rsidR="00416FDD" w:rsidRPr="00F507D0" w:rsidRDefault="00416FDD" w:rsidP="00416FDD">
            <w:pPr>
              <w:spacing w:after="0" w:line="240" w:lineRule="auto"/>
              <w:rPr>
                <w:rFonts w:ascii="Arial" w:eastAsia="Times New Roman" w:hAnsi="Arial" w:cs="Arial"/>
                <w:sz w:val="20"/>
                <w:szCs w:val="20"/>
                <w:lang w:eastAsia="en-GB"/>
              </w:rPr>
            </w:pPr>
            <w:r w:rsidRPr="00F507D0">
              <w:rPr>
                <w:rFonts w:ascii="Arial" w:eastAsia="Times New Roman" w:hAnsi="Arial" w:cs="Arial"/>
                <w:sz w:val="20"/>
                <w:szCs w:val="20"/>
                <w:lang w:eastAsia="en-GB"/>
              </w:rPr>
              <w:t> </w:t>
            </w:r>
          </w:p>
        </w:tc>
        <w:tc>
          <w:tcPr>
            <w:tcW w:w="1977" w:type="dxa"/>
            <w:tcBorders>
              <w:top w:val="single" w:sz="4" w:space="0" w:color="auto"/>
              <w:left w:val="nil"/>
              <w:bottom w:val="nil"/>
              <w:right w:val="nil"/>
            </w:tcBorders>
            <w:shd w:val="clear" w:color="auto" w:fill="auto"/>
            <w:noWrap/>
            <w:vAlign w:val="center"/>
          </w:tcPr>
          <w:p w14:paraId="217DA9C4" w14:textId="77777777" w:rsidR="00416FDD" w:rsidRPr="00F507D0" w:rsidRDefault="00BD465F" w:rsidP="00416FDD">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38,3</w:t>
            </w:r>
            <w:r w:rsidR="00782D6C">
              <w:rPr>
                <w:rFonts w:ascii="Arial" w:eastAsia="Times New Roman" w:hAnsi="Arial" w:cs="Arial"/>
                <w:b/>
                <w:bCs/>
                <w:sz w:val="20"/>
                <w:szCs w:val="20"/>
                <w:lang w:eastAsia="en-GB"/>
              </w:rPr>
              <w:t>24</w:t>
            </w:r>
          </w:p>
        </w:tc>
        <w:tc>
          <w:tcPr>
            <w:tcW w:w="1152" w:type="dxa"/>
            <w:tcBorders>
              <w:top w:val="single" w:sz="4" w:space="0" w:color="auto"/>
              <w:left w:val="nil"/>
              <w:bottom w:val="nil"/>
              <w:right w:val="nil"/>
            </w:tcBorders>
            <w:shd w:val="clear" w:color="auto" w:fill="auto"/>
            <w:noWrap/>
            <w:vAlign w:val="center"/>
            <w:hideMark/>
          </w:tcPr>
          <w:p w14:paraId="6CE685C3" w14:textId="77777777" w:rsidR="00416FDD" w:rsidRPr="00416FDD" w:rsidRDefault="00416FDD" w:rsidP="00416FDD">
            <w:pPr>
              <w:spacing w:after="0" w:line="240" w:lineRule="auto"/>
              <w:jc w:val="right"/>
              <w:rPr>
                <w:rFonts w:ascii="Arial" w:eastAsia="Times New Roman" w:hAnsi="Arial" w:cs="Arial"/>
                <w:sz w:val="20"/>
                <w:szCs w:val="20"/>
                <w:lang w:eastAsia="en-GB"/>
              </w:rPr>
            </w:pPr>
            <w:r w:rsidRPr="00416FDD">
              <w:rPr>
                <w:rFonts w:ascii="Arial" w:eastAsia="Times New Roman" w:hAnsi="Arial" w:cs="Arial"/>
                <w:bCs/>
                <w:sz w:val="20"/>
                <w:szCs w:val="20"/>
                <w:lang w:eastAsia="en-GB"/>
              </w:rPr>
              <w:t>28,958</w:t>
            </w:r>
          </w:p>
        </w:tc>
      </w:tr>
      <w:tr w:rsidR="00416FDD" w:rsidRPr="00543D10" w14:paraId="4D163409" w14:textId="77777777" w:rsidTr="00D85D6F">
        <w:trPr>
          <w:trHeight w:val="350"/>
          <w:jc w:val="center"/>
        </w:trPr>
        <w:tc>
          <w:tcPr>
            <w:tcW w:w="3973" w:type="dxa"/>
            <w:tcBorders>
              <w:top w:val="nil"/>
              <w:left w:val="nil"/>
              <w:bottom w:val="nil"/>
              <w:right w:val="nil"/>
            </w:tcBorders>
            <w:shd w:val="clear" w:color="auto" w:fill="auto"/>
            <w:noWrap/>
            <w:vAlign w:val="center"/>
            <w:hideMark/>
          </w:tcPr>
          <w:p w14:paraId="29ABBE16" w14:textId="77777777" w:rsidR="00416FDD" w:rsidRPr="00543D10" w:rsidRDefault="00416FDD" w:rsidP="00416FDD">
            <w:pPr>
              <w:spacing w:after="0" w:line="240" w:lineRule="auto"/>
              <w:rPr>
                <w:rFonts w:ascii="Arial" w:eastAsia="Times New Roman" w:hAnsi="Arial" w:cs="Arial"/>
                <w:sz w:val="20"/>
                <w:szCs w:val="20"/>
                <w:lang w:eastAsia="en-GB"/>
              </w:rPr>
            </w:pPr>
            <w:r w:rsidRPr="00543D10">
              <w:rPr>
                <w:rFonts w:ascii="Arial" w:eastAsia="Times New Roman" w:hAnsi="Arial" w:cs="Arial"/>
                <w:sz w:val="20"/>
                <w:szCs w:val="20"/>
                <w:lang w:eastAsia="en-GB"/>
              </w:rPr>
              <w:t>Present value of scheme liabilities</w:t>
            </w:r>
          </w:p>
        </w:tc>
        <w:tc>
          <w:tcPr>
            <w:tcW w:w="288" w:type="dxa"/>
            <w:tcBorders>
              <w:top w:val="nil"/>
              <w:left w:val="nil"/>
              <w:bottom w:val="nil"/>
              <w:right w:val="nil"/>
            </w:tcBorders>
            <w:shd w:val="clear" w:color="auto" w:fill="auto"/>
            <w:noWrap/>
            <w:vAlign w:val="center"/>
            <w:hideMark/>
          </w:tcPr>
          <w:p w14:paraId="3CA827DC" w14:textId="77777777" w:rsidR="00416FDD" w:rsidRPr="00543D10" w:rsidRDefault="00416FDD" w:rsidP="00416FDD">
            <w:pPr>
              <w:spacing w:after="0" w:line="240" w:lineRule="auto"/>
              <w:rPr>
                <w:rFonts w:ascii="Arial" w:eastAsia="Times New Roman" w:hAnsi="Arial" w:cs="Arial"/>
                <w:sz w:val="20"/>
                <w:szCs w:val="20"/>
                <w:lang w:eastAsia="en-GB"/>
              </w:rPr>
            </w:pPr>
          </w:p>
        </w:tc>
        <w:tc>
          <w:tcPr>
            <w:tcW w:w="2127" w:type="dxa"/>
            <w:tcBorders>
              <w:top w:val="nil"/>
              <w:left w:val="nil"/>
              <w:bottom w:val="nil"/>
              <w:right w:val="nil"/>
            </w:tcBorders>
            <w:shd w:val="clear" w:color="auto" w:fill="auto"/>
            <w:noWrap/>
            <w:vAlign w:val="bottom"/>
            <w:hideMark/>
          </w:tcPr>
          <w:p w14:paraId="1A0E02E8" w14:textId="77777777" w:rsidR="00416FDD" w:rsidRPr="00543D10" w:rsidRDefault="00416FDD" w:rsidP="00416FDD">
            <w:pPr>
              <w:spacing w:after="0" w:line="240" w:lineRule="auto"/>
              <w:rPr>
                <w:rFonts w:ascii="Times New Roman" w:eastAsia="Times New Roman" w:hAnsi="Times New Roman" w:cs="Times New Roman"/>
                <w:sz w:val="20"/>
                <w:szCs w:val="20"/>
                <w:lang w:eastAsia="en-GB"/>
              </w:rPr>
            </w:pPr>
          </w:p>
        </w:tc>
        <w:tc>
          <w:tcPr>
            <w:tcW w:w="1977" w:type="dxa"/>
            <w:tcBorders>
              <w:top w:val="nil"/>
              <w:left w:val="nil"/>
              <w:bottom w:val="nil"/>
              <w:right w:val="nil"/>
            </w:tcBorders>
            <w:shd w:val="clear" w:color="auto" w:fill="auto"/>
            <w:noWrap/>
            <w:vAlign w:val="center"/>
          </w:tcPr>
          <w:p w14:paraId="26924BE9" w14:textId="77777777" w:rsidR="00416FDD" w:rsidRPr="00543D10" w:rsidRDefault="00782D6C" w:rsidP="00416FDD">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(86,750)</w:t>
            </w:r>
          </w:p>
        </w:tc>
        <w:tc>
          <w:tcPr>
            <w:tcW w:w="1152" w:type="dxa"/>
            <w:tcBorders>
              <w:top w:val="nil"/>
              <w:left w:val="nil"/>
              <w:bottom w:val="nil"/>
              <w:right w:val="nil"/>
            </w:tcBorders>
            <w:shd w:val="clear" w:color="auto" w:fill="auto"/>
            <w:noWrap/>
            <w:vAlign w:val="center"/>
            <w:hideMark/>
          </w:tcPr>
          <w:p w14:paraId="5576E403" w14:textId="77777777" w:rsidR="00416FDD" w:rsidRPr="00416FDD" w:rsidRDefault="00416FDD" w:rsidP="00416FDD">
            <w:pPr>
              <w:spacing w:after="0" w:line="240" w:lineRule="auto"/>
              <w:jc w:val="right"/>
              <w:rPr>
                <w:rFonts w:ascii="Arial" w:eastAsia="Times New Roman" w:hAnsi="Arial" w:cs="Arial"/>
                <w:sz w:val="20"/>
                <w:szCs w:val="20"/>
                <w:lang w:eastAsia="en-GB"/>
              </w:rPr>
            </w:pPr>
            <w:r w:rsidRPr="00416FDD">
              <w:rPr>
                <w:rFonts w:ascii="Arial" w:eastAsia="Times New Roman" w:hAnsi="Arial" w:cs="Arial"/>
                <w:bCs/>
                <w:sz w:val="20"/>
                <w:szCs w:val="20"/>
                <w:lang w:eastAsia="en-GB"/>
              </w:rPr>
              <w:t>(62,020)</w:t>
            </w:r>
          </w:p>
        </w:tc>
      </w:tr>
      <w:tr w:rsidR="00416FDD" w:rsidRPr="00543D10" w14:paraId="0B0F06F4" w14:textId="77777777" w:rsidTr="00D85D6F">
        <w:trPr>
          <w:trHeight w:val="350"/>
          <w:jc w:val="center"/>
        </w:trPr>
        <w:tc>
          <w:tcPr>
            <w:tcW w:w="3973" w:type="dxa"/>
            <w:tcBorders>
              <w:top w:val="single" w:sz="4" w:space="0" w:color="auto"/>
              <w:left w:val="nil"/>
              <w:bottom w:val="single" w:sz="4" w:space="0" w:color="auto"/>
              <w:right w:val="nil"/>
            </w:tcBorders>
            <w:shd w:val="clear" w:color="auto" w:fill="auto"/>
            <w:noWrap/>
            <w:vAlign w:val="center"/>
            <w:hideMark/>
          </w:tcPr>
          <w:p w14:paraId="67D71B27" w14:textId="77777777" w:rsidR="00416FDD" w:rsidRPr="00543D10" w:rsidRDefault="00416FDD" w:rsidP="00416FDD">
            <w:pPr>
              <w:spacing w:after="0" w:line="240" w:lineRule="auto"/>
              <w:rPr>
                <w:rFonts w:ascii="Arial" w:eastAsia="Times New Roman" w:hAnsi="Arial" w:cs="Arial"/>
                <w:sz w:val="20"/>
                <w:szCs w:val="20"/>
                <w:lang w:eastAsia="en-GB"/>
              </w:rPr>
            </w:pPr>
            <w:r w:rsidRPr="00543D10">
              <w:rPr>
                <w:rFonts w:ascii="Arial" w:eastAsia="Times New Roman" w:hAnsi="Arial" w:cs="Arial"/>
                <w:sz w:val="20"/>
                <w:szCs w:val="20"/>
                <w:lang w:eastAsia="en-GB"/>
              </w:rPr>
              <w:t>Net pension deficit</w:t>
            </w:r>
          </w:p>
        </w:tc>
        <w:tc>
          <w:tcPr>
            <w:tcW w:w="288" w:type="dxa"/>
            <w:tcBorders>
              <w:top w:val="single" w:sz="4" w:space="0" w:color="auto"/>
              <w:left w:val="nil"/>
              <w:bottom w:val="single" w:sz="4" w:space="0" w:color="auto"/>
              <w:right w:val="nil"/>
            </w:tcBorders>
            <w:shd w:val="clear" w:color="auto" w:fill="auto"/>
            <w:noWrap/>
            <w:vAlign w:val="center"/>
            <w:hideMark/>
          </w:tcPr>
          <w:p w14:paraId="423997DC" w14:textId="77777777" w:rsidR="00416FDD" w:rsidRPr="00543D10" w:rsidRDefault="00416FDD" w:rsidP="00416FDD">
            <w:pPr>
              <w:spacing w:after="0" w:line="240" w:lineRule="auto"/>
              <w:rPr>
                <w:rFonts w:ascii="Arial" w:eastAsia="Times New Roman" w:hAnsi="Arial" w:cs="Arial"/>
                <w:sz w:val="20"/>
                <w:szCs w:val="20"/>
                <w:lang w:eastAsia="en-GB"/>
              </w:rPr>
            </w:pPr>
            <w:r w:rsidRPr="00543D10">
              <w:rPr>
                <w:rFonts w:ascii="Arial" w:eastAsia="Times New Roman" w:hAnsi="Arial" w:cs="Arial"/>
                <w:sz w:val="20"/>
                <w:szCs w:val="20"/>
                <w:lang w:eastAsia="en-GB"/>
              </w:rPr>
              <w:t> </w:t>
            </w:r>
          </w:p>
        </w:tc>
        <w:tc>
          <w:tcPr>
            <w:tcW w:w="2127" w:type="dxa"/>
            <w:tcBorders>
              <w:top w:val="single" w:sz="4" w:space="0" w:color="auto"/>
              <w:left w:val="nil"/>
              <w:bottom w:val="single" w:sz="4" w:space="0" w:color="auto"/>
              <w:right w:val="nil"/>
            </w:tcBorders>
            <w:shd w:val="clear" w:color="auto" w:fill="auto"/>
            <w:noWrap/>
            <w:vAlign w:val="bottom"/>
            <w:hideMark/>
          </w:tcPr>
          <w:p w14:paraId="3683B3F4" w14:textId="77777777" w:rsidR="00416FDD" w:rsidRPr="00543D10" w:rsidRDefault="00416FDD" w:rsidP="00416FDD">
            <w:pPr>
              <w:spacing w:after="0" w:line="240" w:lineRule="auto"/>
              <w:rPr>
                <w:rFonts w:ascii="Arial" w:eastAsia="Times New Roman" w:hAnsi="Arial" w:cs="Arial"/>
                <w:sz w:val="20"/>
                <w:szCs w:val="20"/>
                <w:lang w:eastAsia="en-GB"/>
              </w:rPr>
            </w:pPr>
            <w:r w:rsidRPr="00543D10">
              <w:rPr>
                <w:rFonts w:ascii="Arial" w:eastAsia="Times New Roman" w:hAnsi="Arial" w:cs="Arial"/>
                <w:sz w:val="20"/>
                <w:szCs w:val="20"/>
                <w:lang w:eastAsia="en-GB"/>
              </w:rPr>
              <w:t> </w:t>
            </w:r>
          </w:p>
        </w:tc>
        <w:tc>
          <w:tcPr>
            <w:tcW w:w="1977" w:type="dxa"/>
            <w:tcBorders>
              <w:top w:val="single" w:sz="4" w:space="0" w:color="auto"/>
              <w:left w:val="nil"/>
              <w:bottom w:val="single" w:sz="4" w:space="0" w:color="auto"/>
              <w:right w:val="nil"/>
            </w:tcBorders>
            <w:shd w:val="clear" w:color="auto" w:fill="auto"/>
            <w:noWrap/>
            <w:vAlign w:val="center"/>
          </w:tcPr>
          <w:p w14:paraId="759B7A18" w14:textId="77777777" w:rsidR="00416FDD" w:rsidRPr="00543D10" w:rsidRDefault="00782D6C" w:rsidP="00416FDD">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(48,426)</w:t>
            </w:r>
          </w:p>
        </w:tc>
        <w:tc>
          <w:tcPr>
            <w:tcW w:w="1152" w:type="dxa"/>
            <w:tcBorders>
              <w:top w:val="single" w:sz="4" w:space="0" w:color="auto"/>
              <w:left w:val="nil"/>
              <w:bottom w:val="single" w:sz="4" w:space="0" w:color="auto"/>
              <w:right w:val="nil"/>
            </w:tcBorders>
            <w:shd w:val="clear" w:color="auto" w:fill="auto"/>
            <w:noWrap/>
            <w:vAlign w:val="center"/>
            <w:hideMark/>
          </w:tcPr>
          <w:p w14:paraId="68A7DE7B" w14:textId="77777777" w:rsidR="00416FDD" w:rsidRPr="00416FDD" w:rsidRDefault="00416FDD" w:rsidP="00416FDD">
            <w:pPr>
              <w:spacing w:after="0" w:line="240" w:lineRule="auto"/>
              <w:jc w:val="right"/>
              <w:rPr>
                <w:rFonts w:ascii="Arial" w:eastAsia="Times New Roman" w:hAnsi="Arial" w:cs="Arial"/>
                <w:sz w:val="20"/>
                <w:szCs w:val="20"/>
                <w:lang w:eastAsia="en-GB"/>
              </w:rPr>
            </w:pPr>
            <w:r w:rsidRPr="00416FDD">
              <w:rPr>
                <w:rFonts w:ascii="Arial" w:eastAsia="Times New Roman" w:hAnsi="Arial" w:cs="Arial"/>
                <w:bCs/>
                <w:sz w:val="20"/>
                <w:szCs w:val="20"/>
                <w:lang w:eastAsia="en-GB"/>
              </w:rPr>
              <w:t>(33,062)</w:t>
            </w:r>
          </w:p>
        </w:tc>
      </w:tr>
    </w:tbl>
    <w:p w14:paraId="5A8A7231" w14:textId="77777777" w:rsidR="00E70CD3" w:rsidRPr="00543D10" w:rsidRDefault="00E70CD3" w:rsidP="00E70CD3">
      <w:pPr>
        <w:spacing w:after="0" w:line="240" w:lineRule="auto"/>
        <w:rPr>
          <w:rFonts w:ascii="Arial" w:eastAsia="Times New Roman" w:hAnsi="Arial" w:cs="Arial"/>
          <w:sz w:val="20"/>
          <w:szCs w:val="20"/>
          <w:lang w:eastAsia="en-GB"/>
        </w:rPr>
      </w:pPr>
    </w:p>
    <w:p w14:paraId="0C4B9A72" w14:textId="77777777" w:rsidR="00E70CD3" w:rsidRPr="00543D10" w:rsidRDefault="00E70CD3" w:rsidP="00E70CD3">
      <w:pPr>
        <w:spacing w:after="0" w:line="240" w:lineRule="auto"/>
        <w:rPr>
          <w:rFonts w:ascii="Arial" w:eastAsia="Times New Roman" w:hAnsi="Arial" w:cs="Arial"/>
          <w:sz w:val="20"/>
          <w:szCs w:val="20"/>
          <w:lang w:eastAsia="en-GB"/>
        </w:rPr>
      </w:pPr>
    </w:p>
    <w:tbl>
      <w:tblPr>
        <w:tblW w:w="9026" w:type="dxa"/>
        <w:tblInd w:w="-142" w:type="dxa"/>
        <w:tblLook w:val="04A0" w:firstRow="1" w:lastRow="0" w:firstColumn="1" w:lastColumn="0" w:noHBand="0" w:noVBand="1"/>
      </w:tblPr>
      <w:tblGrid>
        <w:gridCol w:w="5910"/>
        <w:gridCol w:w="222"/>
        <w:gridCol w:w="222"/>
        <w:gridCol w:w="222"/>
        <w:gridCol w:w="1273"/>
        <w:gridCol w:w="1177"/>
      </w:tblGrid>
      <w:tr w:rsidR="00543D10" w:rsidRPr="00543D10" w14:paraId="3E0F3664" w14:textId="77777777" w:rsidTr="006647C2">
        <w:trPr>
          <w:trHeight w:val="255"/>
        </w:trPr>
        <w:tc>
          <w:tcPr>
            <w:tcW w:w="9026" w:type="dxa"/>
            <w:gridSpan w:val="6"/>
            <w:tcBorders>
              <w:top w:val="nil"/>
              <w:left w:val="nil"/>
              <w:bottom w:val="nil"/>
              <w:right w:val="nil"/>
            </w:tcBorders>
            <w:shd w:val="clear" w:color="auto" w:fill="auto"/>
            <w:noWrap/>
            <w:vAlign w:val="center"/>
            <w:hideMark/>
          </w:tcPr>
          <w:p w14:paraId="4B70B652" w14:textId="77777777" w:rsidR="002B2F3F" w:rsidRPr="00543D10" w:rsidRDefault="002B2F3F" w:rsidP="007E75AA">
            <w:pPr>
              <w:spacing w:after="0" w:line="240" w:lineRule="auto"/>
              <w:rPr>
                <w:rFonts w:ascii="Times New Roman" w:eastAsia="Times New Roman" w:hAnsi="Times New Roman" w:cs="Times New Roman"/>
                <w:sz w:val="20"/>
                <w:szCs w:val="20"/>
                <w:lang w:eastAsia="en-GB"/>
              </w:rPr>
            </w:pPr>
            <w:r w:rsidRPr="00543D10">
              <w:rPr>
                <w:rFonts w:ascii="Arial" w:eastAsia="Times New Roman" w:hAnsi="Arial" w:cs="Arial"/>
                <w:sz w:val="24"/>
                <w:szCs w:val="24"/>
                <w:lang w:eastAsia="en-GB"/>
              </w:rPr>
              <w:t>The actual return on scheme assets was £</w:t>
            </w:r>
            <w:r w:rsidR="007E75AA">
              <w:rPr>
                <w:rFonts w:ascii="Arial" w:eastAsia="Times New Roman" w:hAnsi="Arial" w:cs="Arial"/>
                <w:sz w:val="24"/>
                <w:szCs w:val="24"/>
                <w:lang w:eastAsia="en-GB"/>
              </w:rPr>
              <w:t>2,372,000</w:t>
            </w:r>
            <w:r w:rsidR="004B2BB5">
              <w:rPr>
                <w:rFonts w:ascii="Arial" w:eastAsia="Times New Roman" w:hAnsi="Arial" w:cs="Arial"/>
                <w:sz w:val="24"/>
                <w:szCs w:val="24"/>
                <w:lang w:eastAsia="en-GB"/>
              </w:rPr>
              <w:t xml:space="preserve"> </w:t>
            </w:r>
            <w:r w:rsidRPr="00543D10">
              <w:rPr>
                <w:rFonts w:ascii="Arial" w:eastAsia="Times New Roman" w:hAnsi="Arial" w:cs="Arial"/>
                <w:sz w:val="24"/>
                <w:szCs w:val="24"/>
                <w:lang w:eastAsia="en-GB"/>
              </w:rPr>
              <w:t>(</w:t>
            </w:r>
            <w:r w:rsidR="0037645F">
              <w:rPr>
                <w:rFonts w:ascii="Arial" w:eastAsia="Times New Roman" w:hAnsi="Arial" w:cs="Arial"/>
                <w:sz w:val="24"/>
                <w:szCs w:val="24"/>
                <w:lang w:eastAsia="en-GB"/>
              </w:rPr>
              <w:t>2019</w:t>
            </w:r>
            <w:r w:rsidRPr="00543D10">
              <w:rPr>
                <w:rFonts w:ascii="Arial" w:eastAsia="Times New Roman" w:hAnsi="Arial" w:cs="Arial"/>
                <w:sz w:val="24"/>
                <w:szCs w:val="24"/>
                <w:lang w:eastAsia="en-GB"/>
              </w:rPr>
              <w:t>: £</w:t>
            </w:r>
            <w:r w:rsidR="00416FDD">
              <w:rPr>
                <w:rFonts w:ascii="Arial" w:eastAsia="Times New Roman" w:hAnsi="Arial" w:cs="Arial"/>
                <w:sz w:val="24"/>
                <w:szCs w:val="24"/>
                <w:lang w:eastAsia="en-GB"/>
              </w:rPr>
              <w:t>1,67</w:t>
            </w:r>
            <w:r w:rsidRPr="00543D10">
              <w:rPr>
                <w:rFonts w:ascii="Arial" w:eastAsia="Times New Roman" w:hAnsi="Arial" w:cs="Arial"/>
                <w:sz w:val="24"/>
                <w:szCs w:val="24"/>
                <w:lang w:eastAsia="en-GB"/>
              </w:rPr>
              <w:t>0,000)</w:t>
            </w:r>
          </w:p>
        </w:tc>
      </w:tr>
      <w:tr w:rsidR="00543D10" w:rsidRPr="00543D10" w14:paraId="44C1EC26" w14:textId="77777777" w:rsidTr="006647C2">
        <w:trPr>
          <w:trHeight w:val="255"/>
        </w:trPr>
        <w:tc>
          <w:tcPr>
            <w:tcW w:w="5910" w:type="dxa"/>
            <w:tcBorders>
              <w:top w:val="nil"/>
              <w:left w:val="nil"/>
              <w:bottom w:val="nil"/>
              <w:right w:val="nil"/>
            </w:tcBorders>
            <w:shd w:val="clear" w:color="auto" w:fill="auto"/>
            <w:noWrap/>
            <w:vAlign w:val="center"/>
            <w:hideMark/>
          </w:tcPr>
          <w:p w14:paraId="68A6628F" w14:textId="77777777" w:rsidR="00E70CD3" w:rsidRPr="00543D10" w:rsidRDefault="00E70CD3" w:rsidP="007729E5">
            <w:pPr>
              <w:spacing w:after="0" w:line="240" w:lineRule="auto"/>
              <w:rPr>
                <w:rFonts w:ascii="Times New Roman" w:eastAsia="Times New Roman" w:hAnsi="Times New Roman" w:cs="Times New Roman"/>
                <w:sz w:val="24"/>
                <w:szCs w:val="24"/>
                <w:lang w:eastAsia="en-GB"/>
              </w:rPr>
            </w:pPr>
          </w:p>
        </w:tc>
        <w:tc>
          <w:tcPr>
            <w:tcW w:w="222" w:type="dxa"/>
            <w:tcBorders>
              <w:top w:val="nil"/>
              <w:left w:val="nil"/>
              <w:bottom w:val="nil"/>
              <w:right w:val="nil"/>
            </w:tcBorders>
            <w:shd w:val="clear" w:color="auto" w:fill="auto"/>
            <w:noWrap/>
            <w:vAlign w:val="center"/>
            <w:hideMark/>
          </w:tcPr>
          <w:p w14:paraId="521FE5AF" w14:textId="77777777" w:rsidR="00E70CD3" w:rsidRPr="00543D10" w:rsidRDefault="00E70CD3" w:rsidP="007729E5">
            <w:pPr>
              <w:spacing w:after="0" w:line="240" w:lineRule="auto"/>
              <w:rPr>
                <w:rFonts w:ascii="Times New Roman" w:eastAsia="Times New Roman" w:hAnsi="Times New Roman" w:cs="Times New Roman"/>
                <w:sz w:val="24"/>
                <w:szCs w:val="24"/>
                <w:lang w:eastAsia="en-GB"/>
              </w:rPr>
            </w:pPr>
          </w:p>
        </w:tc>
        <w:tc>
          <w:tcPr>
            <w:tcW w:w="222" w:type="dxa"/>
            <w:tcBorders>
              <w:top w:val="nil"/>
              <w:left w:val="nil"/>
              <w:bottom w:val="nil"/>
              <w:right w:val="nil"/>
            </w:tcBorders>
            <w:shd w:val="clear" w:color="auto" w:fill="auto"/>
            <w:noWrap/>
            <w:vAlign w:val="center"/>
            <w:hideMark/>
          </w:tcPr>
          <w:p w14:paraId="2CBB4D55" w14:textId="77777777" w:rsidR="00E70CD3" w:rsidRPr="00543D10" w:rsidRDefault="00E70CD3" w:rsidP="007729E5">
            <w:pPr>
              <w:spacing w:after="0" w:line="240" w:lineRule="auto"/>
              <w:rPr>
                <w:rFonts w:ascii="Times New Roman" w:eastAsia="Times New Roman" w:hAnsi="Times New Roman" w:cs="Times New Roman"/>
                <w:sz w:val="24"/>
                <w:szCs w:val="24"/>
                <w:lang w:eastAsia="en-GB"/>
              </w:rPr>
            </w:pPr>
          </w:p>
        </w:tc>
        <w:tc>
          <w:tcPr>
            <w:tcW w:w="222" w:type="dxa"/>
            <w:tcBorders>
              <w:top w:val="nil"/>
              <w:left w:val="nil"/>
              <w:bottom w:val="nil"/>
              <w:right w:val="nil"/>
            </w:tcBorders>
            <w:shd w:val="clear" w:color="auto" w:fill="auto"/>
            <w:noWrap/>
            <w:vAlign w:val="bottom"/>
            <w:hideMark/>
          </w:tcPr>
          <w:p w14:paraId="289278CB" w14:textId="77777777" w:rsidR="00E70CD3" w:rsidRPr="00543D10" w:rsidRDefault="00E70CD3" w:rsidP="007729E5">
            <w:pPr>
              <w:spacing w:after="0" w:line="240" w:lineRule="auto"/>
              <w:rPr>
                <w:rFonts w:ascii="Times New Roman" w:eastAsia="Times New Roman" w:hAnsi="Times New Roman" w:cs="Times New Roman"/>
                <w:sz w:val="24"/>
                <w:szCs w:val="24"/>
                <w:lang w:eastAsia="en-GB"/>
              </w:rPr>
            </w:pPr>
          </w:p>
        </w:tc>
        <w:tc>
          <w:tcPr>
            <w:tcW w:w="1273" w:type="dxa"/>
            <w:tcBorders>
              <w:top w:val="nil"/>
              <w:left w:val="nil"/>
              <w:bottom w:val="nil"/>
              <w:right w:val="nil"/>
            </w:tcBorders>
            <w:shd w:val="clear" w:color="auto" w:fill="auto"/>
            <w:noWrap/>
            <w:vAlign w:val="center"/>
            <w:hideMark/>
          </w:tcPr>
          <w:p w14:paraId="1630BF18" w14:textId="77777777" w:rsidR="00E70CD3" w:rsidRPr="00543D10" w:rsidRDefault="00E70CD3" w:rsidP="007729E5">
            <w:pPr>
              <w:spacing w:after="0" w:line="240" w:lineRule="auto"/>
              <w:rPr>
                <w:rFonts w:ascii="Times New Roman" w:eastAsia="Times New Roman" w:hAnsi="Times New Roman" w:cs="Times New Roman"/>
                <w:sz w:val="20"/>
                <w:szCs w:val="20"/>
                <w:lang w:eastAsia="en-GB"/>
              </w:rPr>
            </w:pPr>
          </w:p>
        </w:tc>
        <w:tc>
          <w:tcPr>
            <w:tcW w:w="1177" w:type="dxa"/>
            <w:tcBorders>
              <w:top w:val="nil"/>
              <w:left w:val="nil"/>
              <w:bottom w:val="nil"/>
              <w:right w:val="nil"/>
            </w:tcBorders>
            <w:shd w:val="clear" w:color="auto" w:fill="auto"/>
            <w:noWrap/>
            <w:vAlign w:val="center"/>
            <w:hideMark/>
          </w:tcPr>
          <w:p w14:paraId="671FA9CC" w14:textId="77777777" w:rsidR="00E70CD3" w:rsidRPr="00543D10" w:rsidRDefault="00E70CD3" w:rsidP="007729E5">
            <w:pPr>
              <w:spacing w:after="0" w:line="240" w:lineRule="auto"/>
              <w:rPr>
                <w:rFonts w:ascii="Times New Roman" w:eastAsia="Times New Roman" w:hAnsi="Times New Roman" w:cs="Times New Roman"/>
                <w:sz w:val="20"/>
                <w:szCs w:val="20"/>
                <w:lang w:eastAsia="en-GB"/>
              </w:rPr>
            </w:pPr>
          </w:p>
        </w:tc>
      </w:tr>
      <w:tr w:rsidR="00E70CD3" w:rsidRPr="00543D10" w14:paraId="2457D1A1" w14:textId="77777777" w:rsidTr="006647C2">
        <w:trPr>
          <w:trHeight w:val="255"/>
        </w:trPr>
        <w:tc>
          <w:tcPr>
            <w:tcW w:w="5910" w:type="dxa"/>
            <w:tcBorders>
              <w:top w:val="nil"/>
              <w:left w:val="nil"/>
              <w:bottom w:val="nil"/>
              <w:right w:val="nil"/>
            </w:tcBorders>
            <w:shd w:val="clear" w:color="auto" w:fill="auto"/>
            <w:noWrap/>
            <w:vAlign w:val="center"/>
            <w:hideMark/>
          </w:tcPr>
          <w:p w14:paraId="5E8D3D01" w14:textId="77777777" w:rsidR="00E70CD3" w:rsidRPr="00543D10" w:rsidRDefault="00E70CD3" w:rsidP="007729E5">
            <w:pPr>
              <w:spacing w:after="0" w:line="240" w:lineRule="auto"/>
              <w:rPr>
                <w:rFonts w:ascii="Arial" w:eastAsia="Times New Roman" w:hAnsi="Arial" w:cs="Arial"/>
                <w:sz w:val="24"/>
                <w:szCs w:val="24"/>
                <w:lang w:eastAsia="en-GB"/>
              </w:rPr>
            </w:pPr>
            <w:r w:rsidRPr="00543D10">
              <w:rPr>
                <w:rFonts w:ascii="Arial" w:eastAsia="Times New Roman" w:hAnsi="Arial" w:cs="Arial"/>
                <w:sz w:val="24"/>
                <w:szCs w:val="24"/>
                <w:lang w:eastAsia="en-GB"/>
              </w:rPr>
              <w:t>Total cost recognised as an expense:</w:t>
            </w:r>
          </w:p>
        </w:tc>
        <w:tc>
          <w:tcPr>
            <w:tcW w:w="222" w:type="dxa"/>
            <w:tcBorders>
              <w:top w:val="nil"/>
              <w:left w:val="nil"/>
              <w:bottom w:val="nil"/>
              <w:right w:val="nil"/>
            </w:tcBorders>
            <w:shd w:val="clear" w:color="auto" w:fill="auto"/>
            <w:noWrap/>
            <w:vAlign w:val="center"/>
            <w:hideMark/>
          </w:tcPr>
          <w:p w14:paraId="6B6A28FA" w14:textId="77777777" w:rsidR="00E70CD3" w:rsidRPr="00543D10" w:rsidRDefault="00E70CD3" w:rsidP="007729E5">
            <w:pPr>
              <w:spacing w:after="0" w:line="240" w:lineRule="auto"/>
              <w:rPr>
                <w:rFonts w:ascii="Arial" w:eastAsia="Times New Roman" w:hAnsi="Arial" w:cs="Arial"/>
                <w:sz w:val="24"/>
                <w:szCs w:val="24"/>
                <w:lang w:eastAsia="en-GB"/>
              </w:rPr>
            </w:pPr>
          </w:p>
        </w:tc>
        <w:tc>
          <w:tcPr>
            <w:tcW w:w="222" w:type="dxa"/>
            <w:tcBorders>
              <w:top w:val="nil"/>
              <w:left w:val="nil"/>
              <w:bottom w:val="nil"/>
              <w:right w:val="nil"/>
            </w:tcBorders>
            <w:shd w:val="clear" w:color="auto" w:fill="auto"/>
            <w:noWrap/>
            <w:vAlign w:val="center"/>
            <w:hideMark/>
          </w:tcPr>
          <w:p w14:paraId="62B2E1F3" w14:textId="77777777" w:rsidR="00E70CD3" w:rsidRPr="00543D10" w:rsidRDefault="00E70CD3" w:rsidP="007729E5">
            <w:pPr>
              <w:spacing w:after="0" w:line="240" w:lineRule="auto"/>
              <w:rPr>
                <w:rFonts w:ascii="Times New Roman" w:eastAsia="Times New Roman" w:hAnsi="Times New Roman" w:cs="Times New Roman"/>
                <w:sz w:val="24"/>
                <w:szCs w:val="24"/>
                <w:lang w:eastAsia="en-GB"/>
              </w:rPr>
            </w:pPr>
          </w:p>
        </w:tc>
        <w:tc>
          <w:tcPr>
            <w:tcW w:w="222" w:type="dxa"/>
            <w:tcBorders>
              <w:top w:val="nil"/>
              <w:left w:val="nil"/>
              <w:bottom w:val="nil"/>
              <w:right w:val="nil"/>
            </w:tcBorders>
            <w:shd w:val="clear" w:color="auto" w:fill="auto"/>
            <w:noWrap/>
            <w:vAlign w:val="bottom"/>
            <w:hideMark/>
          </w:tcPr>
          <w:p w14:paraId="03930D1C" w14:textId="77777777" w:rsidR="00E70CD3" w:rsidRPr="00543D10" w:rsidRDefault="00E70CD3" w:rsidP="007729E5">
            <w:pPr>
              <w:spacing w:after="0" w:line="240" w:lineRule="auto"/>
              <w:rPr>
                <w:rFonts w:ascii="Times New Roman" w:eastAsia="Times New Roman" w:hAnsi="Times New Roman" w:cs="Times New Roman"/>
                <w:sz w:val="24"/>
                <w:szCs w:val="24"/>
                <w:lang w:eastAsia="en-GB"/>
              </w:rPr>
            </w:pPr>
          </w:p>
        </w:tc>
        <w:tc>
          <w:tcPr>
            <w:tcW w:w="1273" w:type="dxa"/>
            <w:tcBorders>
              <w:top w:val="nil"/>
              <w:left w:val="nil"/>
              <w:bottom w:val="nil"/>
              <w:right w:val="nil"/>
            </w:tcBorders>
            <w:shd w:val="clear" w:color="auto" w:fill="auto"/>
            <w:noWrap/>
            <w:vAlign w:val="center"/>
            <w:hideMark/>
          </w:tcPr>
          <w:p w14:paraId="3B6A98E1" w14:textId="77777777" w:rsidR="00E70CD3" w:rsidRPr="00543D10" w:rsidRDefault="00E70CD3" w:rsidP="007729E5">
            <w:pPr>
              <w:spacing w:after="0" w:line="240" w:lineRule="auto"/>
              <w:rPr>
                <w:rFonts w:ascii="Times New Roman" w:eastAsia="Times New Roman" w:hAnsi="Times New Roman" w:cs="Times New Roman"/>
                <w:sz w:val="20"/>
                <w:szCs w:val="20"/>
                <w:lang w:eastAsia="en-GB"/>
              </w:rPr>
            </w:pPr>
          </w:p>
        </w:tc>
        <w:tc>
          <w:tcPr>
            <w:tcW w:w="1177" w:type="dxa"/>
            <w:tcBorders>
              <w:top w:val="nil"/>
              <w:left w:val="nil"/>
              <w:bottom w:val="nil"/>
              <w:right w:val="nil"/>
            </w:tcBorders>
            <w:shd w:val="clear" w:color="auto" w:fill="auto"/>
            <w:noWrap/>
            <w:vAlign w:val="center"/>
            <w:hideMark/>
          </w:tcPr>
          <w:p w14:paraId="0377C1F0" w14:textId="77777777" w:rsidR="00E70CD3" w:rsidRPr="00543D10" w:rsidRDefault="00E70CD3" w:rsidP="007729E5">
            <w:pPr>
              <w:spacing w:after="0" w:line="240" w:lineRule="auto"/>
              <w:rPr>
                <w:rFonts w:ascii="Times New Roman" w:eastAsia="Times New Roman" w:hAnsi="Times New Roman" w:cs="Times New Roman"/>
                <w:sz w:val="20"/>
                <w:szCs w:val="20"/>
                <w:lang w:eastAsia="en-GB"/>
              </w:rPr>
            </w:pPr>
          </w:p>
        </w:tc>
      </w:tr>
    </w:tbl>
    <w:p w14:paraId="5811E53A" w14:textId="77777777" w:rsidR="001A34A2" w:rsidRDefault="001A34A2" w:rsidP="001A34A2">
      <w:pPr>
        <w:tabs>
          <w:tab w:val="left" w:pos="567"/>
        </w:tabs>
        <w:ind w:left="567" w:hanging="567"/>
        <w:rPr>
          <w:rFonts w:ascii="Arial" w:hAnsi="Arial" w:cs="Arial"/>
          <w:b/>
          <w:i/>
          <w:sz w:val="24"/>
          <w:szCs w:val="24"/>
        </w:rPr>
      </w:pPr>
    </w:p>
    <w:p w14:paraId="4193D6CF" w14:textId="77777777" w:rsidR="006C07DD" w:rsidRDefault="006C07DD" w:rsidP="00242910">
      <w:pPr>
        <w:spacing w:after="0" w:line="240" w:lineRule="auto"/>
        <w:ind w:left="-567"/>
        <w:rPr>
          <w:rFonts w:ascii="Arial" w:hAnsi="Arial" w:cs="Arial"/>
          <w:b/>
          <w:i/>
          <w:sz w:val="24"/>
          <w:szCs w:val="24"/>
        </w:rPr>
      </w:pPr>
      <w:r w:rsidRPr="0088736E">
        <w:rPr>
          <w:rFonts w:ascii="Arial" w:hAnsi="Arial" w:cs="Arial"/>
          <w:b/>
          <w:i/>
          <w:sz w:val="24"/>
          <w:szCs w:val="24"/>
        </w:rPr>
        <w:lastRenderedPageBreak/>
        <w:t xml:space="preserve">Notes to the financial </w:t>
      </w:r>
      <w:r>
        <w:rPr>
          <w:rFonts w:ascii="Arial" w:hAnsi="Arial" w:cs="Arial"/>
          <w:b/>
          <w:i/>
          <w:sz w:val="24"/>
          <w:szCs w:val="24"/>
        </w:rPr>
        <w:t>statements</w:t>
      </w:r>
      <w:r w:rsidRPr="0088736E">
        <w:rPr>
          <w:rFonts w:ascii="Arial" w:hAnsi="Arial" w:cs="Arial"/>
          <w:b/>
          <w:i/>
          <w:sz w:val="24"/>
          <w:szCs w:val="24"/>
        </w:rPr>
        <w:t xml:space="preserve"> (continued)</w:t>
      </w:r>
    </w:p>
    <w:p w14:paraId="5FA49CE3" w14:textId="77777777" w:rsidR="006C07DD" w:rsidRDefault="006C07DD" w:rsidP="001A34A2">
      <w:pPr>
        <w:autoSpaceDE w:val="0"/>
        <w:autoSpaceDN w:val="0"/>
        <w:adjustRightInd w:val="0"/>
        <w:spacing w:after="0" w:line="240" w:lineRule="auto"/>
        <w:rPr>
          <w:rFonts w:ascii="Arial" w:hAnsi="Arial" w:cs="Arial"/>
          <w:b/>
          <w:sz w:val="24"/>
          <w:szCs w:val="24"/>
        </w:rPr>
      </w:pPr>
    </w:p>
    <w:p w14:paraId="49239A90" w14:textId="77777777" w:rsidR="001A34A2" w:rsidRDefault="001A34A2" w:rsidP="00242910">
      <w:pPr>
        <w:autoSpaceDE w:val="0"/>
        <w:autoSpaceDN w:val="0"/>
        <w:adjustRightInd w:val="0"/>
        <w:spacing w:after="0" w:line="240" w:lineRule="auto"/>
        <w:ind w:left="-567"/>
        <w:rPr>
          <w:rFonts w:ascii="Arial" w:hAnsi="Arial" w:cs="Arial"/>
          <w:b/>
          <w:sz w:val="24"/>
          <w:szCs w:val="24"/>
        </w:rPr>
      </w:pPr>
      <w:r w:rsidRPr="005076F2">
        <w:rPr>
          <w:rFonts w:ascii="Arial" w:hAnsi="Arial" w:cs="Arial"/>
          <w:b/>
          <w:sz w:val="24"/>
          <w:szCs w:val="24"/>
        </w:rPr>
        <w:t>24. Pension commitments (continued)</w:t>
      </w:r>
    </w:p>
    <w:p w14:paraId="75ED67F1" w14:textId="77777777" w:rsidR="00E70CD3" w:rsidRPr="00543D10" w:rsidRDefault="00E70CD3" w:rsidP="00E70CD3">
      <w:pPr>
        <w:spacing w:after="0" w:line="240" w:lineRule="auto"/>
        <w:rPr>
          <w:rFonts w:ascii="Arial" w:eastAsia="Times New Roman" w:hAnsi="Arial" w:cs="Arial"/>
          <w:sz w:val="20"/>
          <w:szCs w:val="20"/>
          <w:lang w:eastAsia="en-GB"/>
        </w:rPr>
      </w:pPr>
    </w:p>
    <w:tbl>
      <w:tblPr>
        <w:tblW w:w="10181" w:type="dxa"/>
        <w:jc w:val="center"/>
        <w:tblLook w:val="04A0" w:firstRow="1" w:lastRow="0" w:firstColumn="1" w:lastColumn="0" w:noHBand="0" w:noVBand="1"/>
      </w:tblPr>
      <w:tblGrid>
        <w:gridCol w:w="3267"/>
        <w:gridCol w:w="742"/>
        <w:gridCol w:w="297"/>
        <w:gridCol w:w="769"/>
        <w:gridCol w:w="31"/>
        <w:gridCol w:w="388"/>
        <w:gridCol w:w="611"/>
        <w:gridCol w:w="328"/>
        <w:gridCol w:w="1287"/>
        <w:gridCol w:w="445"/>
        <w:gridCol w:w="385"/>
        <w:gridCol w:w="269"/>
        <w:gridCol w:w="1006"/>
        <w:gridCol w:w="205"/>
        <w:gridCol w:w="20"/>
        <w:gridCol w:w="224"/>
      </w:tblGrid>
      <w:tr w:rsidR="004B2BB5" w:rsidRPr="00543D10" w14:paraId="32CAF820" w14:textId="77777777" w:rsidTr="00D85D6F">
        <w:trPr>
          <w:gridAfter w:val="2"/>
          <w:wAfter w:w="244" w:type="dxa"/>
          <w:trHeight w:val="950"/>
          <w:jc w:val="center"/>
        </w:trPr>
        <w:tc>
          <w:tcPr>
            <w:tcW w:w="3237" w:type="dxa"/>
            <w:tcBorders>
              <w:top w:val="nil"/>
              <w:left w:val="nil"/>
              <w:bottom w:val="nil"/>
              <w:right w:val="nil"/>
            </w:tcBorders>
            <w:shd w:val="clear" w:color="auto" w:fill="auto"/>
            <w:noWrap/>
            <w:vAlign w:val="center"/>
            <w:hideMark/>
          </w:tcPr>
          <w:p w14:paraId="2FB97C64" w14:textId="77777777" w:rsidR="00BC537E" w:rsidRPr="00543D10" w:rsidRDefault="00BC537E" w:rsidP="006647C2">
            <w:pPr>
              <w:spacing w:after="0" w:line="240" w:lineRule="auto"/>
              <w:ind w:firstLine="174"/>
              <w:rPr>
                <w:rFonts w:ascii="Times New Roman" w:eastAsia="Times New Roman" w:hAnsi="Times New Roman" w:cs="Times New Roman"/>
                <w:sz w:val="24"/>
                <w:szCs w:val="24"/>
                <w:lang w:eastAsia="en-GB"/>
              </w:rPr>
            </w:pPr>
          </w:p>
        </w:tc>
        <w:tc>
          <w:tcPr>
            <w:tcW w:w="735" w:type="dxa"/>
            <w:tcBorders>
              <w:top w:val="nil"/>
              <w:left w:val="nil"/>
              <w:bottom w:val="nil"/>
              <w:right w:val="nil"/>
            </w:tcBorders>
            <w:shd w:val="clear" w:color="auto" w:fill="auto"/>
            <w:noWrap/>
            <w:vAlign w:val="center"/>
            <w:hideMark/>
          </w:tcPr>
          <w:p w14:paraId="79E5DB45" w14:textId="77777777" w:rsidR="00BC537E" w:rsidRPr="00543D10" w:rsidRDefault="00BC537E" w:rsidP="007729E5">
            <w:pPr>
              <w:spacing w:after="0" w:line="240" w:lineRule="auto"/>
              <w:rPr>
                <w:rFonts w:ascii="Times New Roman" w:eastAsia="Times New Roman" w:hAnsi="Times New Roman" w:cs="Times New Roman"/>
                <w:sz w:val="20"/>
                <w:szCs w:val="20"/>
                <w:lang w:eastAsia="en-GB"/>
              </w:rPr>
            </w:pPr>
          </w:p>
        </w:tc>
        <w:tc>
          <w:tcPr>
            <w:tcW w:w="1087" w:type="dxa"/>
            <w:gridSpan w:val="3"/>
            <w:tcBorders>
              <w:top w:val="nil"/>
              <w:left w:val="nil"/>
              <w:bottom w:val="nil"/>
              <w:right w:val="nil"/>
            </w:tcBorders>
            <w:shd w:val="clear" w:color="auto" w:fill="auto"/>
            <w:noWrap/>
            <w:vAlign w:val="center"/>
            <w:hideMark/>
          </w:tcPr>
          <w:p w14:paraId="0219E932" w14:textId="77777777" w:rsidR="00BC537E" w:rsidRPr="00543D10" w:rsidRDefault="00BC537E" w:rsidP="007729E5">
            <w:pPr>
              <w:spacing w:after="0" w:line="240" w:lineRule="auto"/>
              <w:rPr>
                <w:rFonts w:ascii="Times New Roman" w:eastAsia="Times New Roman" w:hAnsi="Times New Roman" w:cs="Times New Roman"/>
                <w:sz w:val="20"/>
                <w:szCs w:val="20"/>
                <w:lang w:eastAsia="en-GB"/>
              </w:rPr>
            </w:pPr>
          </w:p>
        </w:tc>
        <w:tc>
          <w:tcPr>
            <w:tcW w:w="3411" w:type="dxa"/>
            <w:gridSpan w:val="6"/>
            <w:tcBorders>
              <w:top w:val="nil"/>
              <w:left w:val="nil"/>
              <w:bottom w:val="nil"/>
              <w:right w:val="nil"/>
            </w:tcBorders>
            <w:shd w:val="clear" w:color="auto" w:fill="auto"/>
            <w:noWrap/>
            <w:vAlign w:val="center"/>
            <w:hideMark/>
          </w:tcPr>
          <w:p w14:paraId="3713D1D8" w14:textId="77777777" w:rsidR="007164DD" w:rsidRDefault="00D85D6F" w:rsidP="00D85D6F">
            <w:pPr>
              <w:spacing w:after="0" w:line="240" w:lineRule="auto"/>
              <w:jc w:val="center"/>
              <w:rPr>
                <w:rFonts w:ascii="Arial" w:eastAsia="Times New Roman" w:hAnsi="Arial" w:cs="Arial"/>
                <w:b/>
                <w:bCs/>
                <w:sz w:val="20"/>
                <w:szCs w:val="20"/>
                <w:lang w:eastAsia="en-GB"/>
              </w:rPr>
            </w:pPr>
            <w:r>
              <w:rPr>
                <w:rFonts w:ascii="Arial" w:eastAsia="Times New Roman" w:hAnsi="Arial" w:cs="Arial"/>
                <w:b/>
                <w:bCs/>
                <w:sz w:val="20"/>
                <w:szCs w:val="20"/>
                <w:lang w:eastAsia="en-GB"/>
              </w:rPr>
              <w:t xml:space="preserve">             </w:t>
            </w:r>
            <w:r w:rsidR="007164DD">
              <w:rPr>
                <w:rFonts w:ascii="Arial" w:eastAsia="Times New Roman" w:hAnsi="Arial" w:cs="Arial"/>
                <w:b/>
                <w:bCs/>
                <w:sz w:val="20"/>
                <w:szCs w:val="20"/>
                <w:lang w:eastAsia="en-GB"/>
              </w:rPr>
              <w:t xml:space="preserve">                         Value at 31     </w:t>
            </w:r>
          </w:p>
          <w:p w14:paraId="0E662B88" w14:textId="77777777" w:rsidR="00BC537E" w:rsidRPr="00543D10" w:rsidRDefault="007164DD" w:rsidP="007164DD">
            <w:pPr>
              <w:spacing w:after="0" w:line="240" w:lineRule="auto"/>
              <w:jc w:val="center"/>
              <w:rPr>
                <w:rFonts w:ascii="Arial" w:eastAsia="Times New Roman" w:hAnsi="Arial" w:cs="Arial"/>
                <w:b/>
                <w:bCs/>
                <w:sz w:val="20"/>
                <w:szCs w:val="20"/>
                <w:lang w:eastAsia="en-GB"/>
              </w:rPr>
            </w:pPr>
            <w:r>
              <w:rPr>
                <w:rFonts w:ascii="Arial" w:eastAsia="Times New Roman" w:hAnsi="Arial" w:cs="Arial"/>
                <w:b/>
                <w:bCs/>
                <w:sz w:val="20"/>
                <w:szCs w:val="20"/>
                <w:lang w:eastAsia="en-GB"/>
              </w:rPr>
              <w:t xml:space="preserve">                                    </w:t>
            </w:r>
            <w:r w:rsidRPr="00F507D0">
              <w:rPr>
                <w:rFonts w:ascii="Arial" w:eastAsia="Times New Roman" w:hAnsi="Arial" w:cs="Arial"/>
                <w:b/>
                <w:bCs/>
                <w:sz w:val="20"/>
                <w:szCs w:val="20"/>
                <w:lang w:eastAsia="en-GB"/>
              </w:rPr>
              <w:t xml:space="preserve">August </w:t>
            </w:r>
            <w:r>
              <w:rPr>
                <w:rFonts w:ascii="Arial" w:eastAsia="Times New Roman" w:hAnsi="Arial" w:cs="Arial"/>
                <w:b/>
                <w:bCs/>
                <w:sz w:val="20"/>
                <w:szCs w:val="20"/>
                <w:lang w:eastAsia="en-GB"/>
              </w:rPr>
              <w:t>2020</w:t>
            </w:r>
          </w:p>
        </w:tc>
        <w:tc>
          <w:tcPr>
            <w:tcW w:w="1467" w:type="dxa"/>
            <w:gridSpan w:val="3"/>
            <w:tcBorders>
              <w:top w:val="nil"/>
              <w:left w:val="nil"/>
              <w:bottom w:val="nil"/>
              <w:right w:val="nil"/>
            </w:tcBorders>
            <w:shd w:val="clear" w:color="auto" w:fill="auto"/>
            <w:noWrap/>
            <w:vAlign w:val="center"/>
            <w:hideMark/>
          </w:tcPr>
          <w:p w14:paraId="00A0C5A5" w14:textId="77777777" w:rsidR="00BC537E" w:rsidRPr="00543D10" w:rsidRDefault="007164DD" w:rsidP="00D85D6F">
            <w:pPr>
              <w:spacing w:after="0" w:line="240" w:lineRule="auto"/>
              <w:jc w:val="center"/>
              <w:rPr>
                <w:rFonts w:ascii="Arial" w:eastAsia="Times New Roman" w:hAnsi="Arial" w:cs="Arial"/>
                <w:sz w:val="20"/>
                <w:szCs w:val="20"/>
                <w:lang w:eastAsia="en-GB"/>
              </w:rPr>
            </w:pPr>
            <w:r w:rsidRPr="007164DD">
              <w:rPr>
                <w:rFonts w:ascii="Arial" w:eastAsia="Times New Roman" w:hAnsi="Arial" w:cs="Arial"/>
                <w:sz w:val="20"/>
                <w:szCs w:val="20"/>
                <w:lang w:eastAsia="en-GB"/>
              </w:rPr>
              <w:t>Value at 31 August 2019</w:t>
            </w:r>
          </w:p>
        </w:tc>
      </w:tr>
      <w:tr w:rsidR="004B2BB5" w:rsidRPr="00543D10" w14:paraId="6172B1EA" w14:textId="77777777" w:rsidTr="00D85D6F">
        <w:trPr>
          <w:gridAfter w:val="2"/>
          <w:wAfter w:w="244" w:type="dxa"/>
          <w:trHeight w:val="261"/>
          <w:jc w:val="center"/>
        </w:trPr>
        <w:tc>
          <w:tcPr>
            <w:tcW w:w="3237" w:type="dxa"/>
            <w:tcBorders>
              <w:top w:val="nil"/>
              <w:left w:val="nil"/>
              <w:bottom w:val="single" w:sz="4" w:space="0" w:color="auto"/>
              <w:right w:val="nil"/>
            </w:tcBorders>
            <w:shd w:val="clear" w:color="auto" w:fill="auto"/>
            <w:noWrap/>
            <w:vAlign w:val="center"/>
          </w:tcPr>
          <w:p w14:paraId="2F9DAB69" w14:textId="77777777" w:rsidR="00BC537E" w:rsidRPr="00543D10" w:rsidRDefault="00BC537E" w:rsidP="006647C2">
            <w:pPr>
              <w:spacing w:after="0" w:line="240" w:lineRule="auto"/>
              <w:ind w:left="32" w:firstLine="142"/>
              <w:rPr>
                <w:rFonts w:ascii="Arial" w:eastAsia="Times New Roman" w:hAnsi="Arial" w:cs="Arial"/>
                <w:sz w:val="20"/>
                <w:szCs w:val="20"/>
                <w:lang w:eastAsia="en-GB"/>
              </w:rPr>
            </w:pPr>
          </w:p>
        </w:tc>
        <w:tc>
          <w:tcPr>
            <w:tcW w:w="735" w:type="dxa"/>
            <w:tcBorders>
              <w:top w:val="nil"/>
              <w:left w:val="nil"/>
              <w:bottom w:val="single" w:sz="4" w:space="0" w:color="auto"/>
              <w:right w:val="nil"/>
            </w:tcBorders>
            <w:shd w:val="clear" w:color="auto" w:fill="auto"/>
            <w:noWrap/>
            <w:vAlign w:val="center"/>
          </w:tcPr>
          <w:p w14:paraId="4EC59A92" w14:textId="77777777" w:rsidR="00BC537E" w:rsidRPr="00543D10" w:rsidRDefault="00BC537E" w:rsidP="007729E5">
            <w:pPr>
              <w:spacing w:after="0" w:line="240" w:lineRule="auto"/>
              <w:rPr>
                <w:rFonts w:ascii="Arial" w:eastAsia="Times New Roman" w:hAnsi="Arial" w:cs="Arial"/>
                <w:sz w:val="20"/>
                <w:szCs w:val="20"/>
                <w:lang w:eastAsia="en-GB"/>
              </w:rPr>
            </w:pPr>
          </w:p>
        </w:tc>
        <w:tc>
          <w:tcPr>
            <w:tcW w:w="1087" w:type="dxa"/>
            <w:gridSpan w:val="3"/>
            <w:tcBorders>
              <w:top w:val="nil"/>
              <w:left w:val="nil"/>
              <w:bottom w:val="single" w:sz="4" w:space="0" w:color="auto"/>
              <w:right w:val="nil"/>
            </w:tcBorders>
            <w:shd w:val="clear" w:color="auto" w:fill="auto"/>
            <w:noWrap/>
            <w:vAlign w:val="center"/>
          </w:tcPr>
          <w:p w14:paraId="0DC7B6CF" w14:textId="77777777" w:rsidR="00BC537E" w:rsidRPr="00543D10" w:rsidRDefault="00BC537E" w:rsidP="007729E5">
            <w:pPr>
              <w:spacing w:after="0" w:line="240" w:lineRule="auto"/>
              <w:rPr>
                <w:rFonts w:ascii="Arial" w:eastAsia="Times New Roman" w:hAnsi="Arial" w:cs="Arial"/>
                <w:sz w:val="20"/>
                <w:szCs w:val="20"/>
                <w:lang w:eastAsia="en-GB"/>
              </w:rPr>
            </w:pPr>
          </w:p>
        </w:tc>
        <w:tc>
          <w:tcPr>
            <w:tcW w:w="3411" w:type="dxa"/>
            <w:gridSpan w:val="6"/>
            <w:tcBorders>
              <w:top w:val="nil"/>
              <w:left w:val="nil"/>
              <w:bottom w:val="single" w:sz="4" w:space="0" w:color="auto"/>
              <w:right w:val="nil"/>
            </w:tcBorders>
            <w:shd w:val="clear" w:color="auto" w:fill="auto"/>
            <w:noWrap/>
            <w:vAlign w:val="center"/>
          </w:tcPr>
          <w:p w14:paraId="41BCE43D" w14:textId="77777777" w:rsidR="00BC537E" w:rsidRPr="00543D10" w:rsidRDefault="00D85D6F" w:rsidP="00D85D6F">
            <w:pPr>
              <w:spacing w:after="0" w:line="240" w:lineRule="auto"/>
              <w:jc w:val="center"/>
              <w:rPr>
                <w:rFonts w:ascii="Arial" w:eastAsia="Times New Roman" w:hAnsi="Arial" w:cs="Arial"/>
                <w:b/>
                <w:bCs/>
                <w:sz w:val="20"/>
                <w:szCs w:val="20"/>
                <w:lang w:eastAsia="en-GB"/>
              </w:rPr>
            </w:pPr>
            <w:r>
              <w:rPr>
                <w:rFonts w:ascii="Arial" w:eastAsia="Times New Roman" w:hAnsi="Arial" w:cs="Arial"/>
                <w:b/>
                <w:bCs/>
                <w:sz w:val="20"/>
                <w:szCs w:val="20"/>
                <w:lang w:eastAsia="en-GB"/>
              </w:rPr>
              <w:t xml:space="preserve">                                             </w:t>
            </w:r>
            <w:r w:rsidRPr="00F507D0">
              <w:rPr>
                <w:rFonts w:ascii="Arial" w:eastAsia="Times New Roman" w:hAnsi="Arial" w:cs="Arial"/>
                <w:b/>
                <w:bCs/>
                <w:sz w:val="20"/>
                <w:szCs w:val="20"/>
                <w:lang w:eastAsia="en-GB"/>
              </w:rPr>
              <w:t>£'000</w:t>
            </w:r>
          </w:p>
        </w:tc>
        <w:tc>
          <w:tcPr>
            <w:tcW w:w="1467" w:type="dxa"/>
            <w:gridSpan w:val="3"/>
            <w:tcBorders>
              <w:top w:val="nil"/>
              <w:left w:val="nil"/>
              <w:bottom w:val="single" w:sz="4" w:space="0" w:color="auto"/>
              <w:right w:val="nil"/>
            </w:tcBorders>
            <w:shd w:val="clear" w:color="auto" w:fill="auto"/>
            <w:noWrap/>
            <w:vAlign w:val="center"/>
          </w:tcPr>
          <w:p w14:paraId="068CC51E" w14:textId="77777777" w:rsidR="00BC537E" w:rsidRPr="00543D10" w:rsidRDefault="00D85D6F" w:rsidP="00D85D6F">
            <w:pPr>
              <w:spacing w:after="0" w:line="240" w:lineRule="auto"/>
              <w:jc w:val="center"/>
              <w:rPr>
                <w:rFonts w:ascii="Arial" w:eastAsia="Times New Roman" w:hAnsi="Arial" w:cs="Arial"/>
                <w:sz w:val="20"/>
                <w:szCs w:val="20"/>
                <w:lang w:eastAsia="en-GB"/>
              </w:rPr>
            </w:pPr>
            <w:r w:rsidRPr="00D85D6F">
              <w:rPr>
                <w:rFonts w:ascii="Arial" w:eastAsia="Times New Roman" w:hAnsi="Arial" w:cs="Arial"/>
                <w:sz w:val="20"/>
                <w:szCs w:val="20"/>
                <w:lang w:eastAsia="en-GB"/>
              </w:rPr>
              <w:t>£'000</w:t>
            </w:r>
          </w:p>
        </w:tc>
      </w:tr>
      <w:tr w:rsidR="004B2BB5" w:rsidRPr="00543D10" w14:paraId="69C8F872" w14:textId="77777777" w:rsidTr="00D85D6F">
        <w:trPr>
          <w:gridAfter w:val="2"/>
          <w:wAfter w:w="244" w:type="dxa"/>
          <w:trHeight w:val="315"/>
          <w:jc w:val="center"/>
        </w:trPr>
        <w:tc>
          <w:tcPr>
            <w:tcW w:w="3237" w:type="dxa"/>
            <w:tcBorders>
              <w:top w:val="nil"/>
              <w:left w:val="nil"/>
              <w:bottom w:val="nil"/>
              <w:right w:val="nil"/>
            </w:tcBorders>
            <w:shd w:val="clear" w:color="auto" w:fill="auto"/>
            <w:noWrap/>
            <w:vAlign w:val="center"/>
          </w:tcPr>
          <w:p w14:paraId="082049AF" w14:textId="77777777" w:rsidR="00416FDD" w:rsidRPr="00543D10" w:rsidRDefault="00416FDD" w:rsidP="006647C2">
            <w:pPr>
              <w:spacing w:after="0" w:line="240" w:lineRule="auto"/>
              <w:ind w:left="32" w:firstLine="142"/>
              <w:rPr>
                <w:rFonts w:ascii="Arial" w:eastAsia="Times New Roman" w:hAnsi="Arial" w:cs="Arial"/>
                <w:sz w:val="20"/>
                <w:szCs w:val="20"/>
                <w:lang w:eastAsia="en-GB"/>
              </w:rPr>
            </w:pPr>
          </w:p>
        </w:tc>
        <w:tc>
          <w:tcPr>
            <w:tcW w:w="735" w:type="dxa"/>
            <w:tcBorders>
              <w:top w:val="nil"/>
              <w:left w:val="nil"/>
              <w:bottom w:val="nil"/>
              <w:right w:val="nil"/>
            </w:tcBorders>
            <w:shd w:val="clear" w:color="auto" w:fill="auto"/>
            <w:noWrap/>
            <w:vAlign w:val="center"/>
          </w:tcPr>
          <w:p w14:paraId="59B772B9" w14:textId="77777777" w:rsidR="00416FDD" w:rsidRPr="00543D10" w:rsidRDefault="00416FDD" w:rsidP="00416FDD">
            <w:pPr>
              <w:spacing w:after="0" w:line="240" w:lineRule="auto"/>
              <w:rPr>
                <w:rFonts w:ascii="Arial" w:eastAsia="Times New Roman" w:hAnsi="Arial" w:cs="Arial"/>
                <w:sz w:val="20"/>
                <w:szCs w:val="20"/>
                <w:lang w:eastAsia="en-GB"/>
              </w:rPr>
            </w:pPr>
          </w:p>
        </w:tc>
        <w:tc>
          <w:tcPr>
            <w:tcW w:w="1087" w:type="dxa"/>
            <w:gridSpan w:val="3"/>
            <w:tcBorders>
              <w:top w:val="nil"/>
              <w:left w:val="nil"/>
              <w:bottom w:val="nil"/>
              <w:right w:val="nil"/>
            </w:tcBorders>
            <w:shd w:val="clear" w:color="auto" w:fill="auto"/>
            <w:noWrap/>
            <w:vAlign w:val="center"/>
          </w:tcPr>
          <w:p w14:paraId="6DB90D3A" w14:textId="77777777" w:rsidR="00416FDD" w:rsidRPr="00543D10" w:rsidRDefault="00416FDD" w:rsidP="00416FDD">
            <w:pPr>
              <w:spacing w:after="0" w:line="240" w:lineRule="auto"/>
              <w:rPr>
                <w:rFonts w:ascii="Times New Roman" w:eastAsia="Times New Roman" w:hAnsi="Times New Roman" w:cs="Times New Roman"/>
                <w:sz w:val="20"/>
                <w:szCs w:val="20"/>
                <w:lang w:eastAsia="en-GB"/>
              </w:rPr>
            </w:pPr>
          </w:p>
        </w:tc>
        <w:tc>
          <w:tcPr>
            <w:tcW w:w="3411" w:type="dxa"/>
            <w:gridSpan w:val="6"/>
            <w:tcBorders>
              <w:top w:val="nil"/>
              <w:left w:val="nil"/>
              <w:bottom w:val="nil"/>
              <w:right w:val="nil"/>
            </w:tcBorders>
            <w:shd w:val="clear" w:color="auto" w:fill="auto"/>
            <w:noWrap/>
            <w:vAlign w:val="center"/>
          </w:tcPr>
          <w:p w14:paraId="6F3D6B18" w14:textId="77777777" w:rsidR="00416FDD" w:rsidRPr="00543D10" w:rsidRDefault="00416FDD" w:rsidP="00416FDD">
            <w:pPr>
              <w:spacing w:after="0" w:line="240" w:lineRule="auto"/>
              <w:jc w:val="right"/>
              <w:rPr>
                <w:rFonts w:ascii="Arial" w:eastAsia="Times New Roman" w:hAnsi="Arial" w:cs="Arial"/>
                <w:b/>
                <w:bCs/>
                <w:sz w:val="20"/>
                <w:szCs w:val="20"/>
                <w:lang w:eastAsia="en-GB"/>
              </w:rPr>
            </w:pPr>
          </w:p>
        </w:tc>
        <w:tc>
          <w:tcPr>
            <w:tcW w:w="1467" w:type="dxa"/>
            <w:gridSpan w:val="3"/>
            <w:tcBorders>
              <w:top w:val="nil"/>
              <w:left w:val="nil"/>
              <w:bottom w:val="nil"/>
              <w:right w:val="nil"/>
            </w:tcBorders>
            <w:shd w:val="clear" w:color="auto" w:fill="auto"/>
            <w:noWrap/>
            <w:vAlign w:val="center"/>
          </w:tcPr>
          <w:p w14:paraId="22426FD5" w14:textId="77777777" w:rsidR="00416FDD" w:rsidRPr="00416FDD" w:rsidRDefault="00416FDD" w:rsidP="00416FDD">
            <w:pPr>
              <w:spacing w:after="0" w:line="240" w:lineRule="auto"/>
              <w:jc w:val="right"/>
              <w:rPr>
                <w:rFonts w:ascii="Arial" w:eastAsia="Times New Roman" w:hAnsi="Arial" w:cs="Arial"/>
                <w:sz w:val="20"/>
                <w:szCs w:val="20"/>
                <w:lang w:eastAsia="en-GB"/>
              </w:rPr>
            </w:pPr>
          </w:p>
        </w:tc>
      </w:tr>
      <w:tr w:rsidR="004B2BB5" w:rsidRPr="00A42EEB" w14:paraId="4D990036" w14:textId="77777777" w:rsidTr="00F362B3">
        <w:tblPrEx>
          <w:jc w:val="left"/>
        </w:tblPrEx>
        <w:trPr>
          <w:gridAfter w:val="1"/>
          <w:wAfter w:w="224" w:type="dxa"/>
          <w:trHeight w:val="850"/>
        </w:trPr>
        <w:tc>
          <w:tcPr>
            <w:tcW w:w="9957" w:type="dxa"/>
            <w:gridSpan w:val="15"/>
            <w:tcBorders>
              <w:top w:val="nil"/>
              <w:left w:val="nil"/>
              <w:bottom w:val="nil"/>
              <w:right w:val="nil"/>
            </w:tcBorders>
            <w:shd w:val="clear" w:color="auto" w:fill="auto"/>
            <w:hideMark/>
          </w:tcPr>
          <w:tbl>
            <w:tblPr>
              <w:tblW w:w="9825" w:type="dxa"/>
              <w:jc w:val="center"/>
              <w:tblLook w:val="04A0" w:firstRow="1" w:lastRow="0" w:firstColumn="1" w:lastColumn="0" w:noHBand="0" w:noVBand="1"/>
            </w:tblPr>
            <w:tblGrid>
              <w:gridCol w:w="3950"/>
              <w:gridCol w:w="285"/>
              <w:gridCol w:w="2114"/>
              <w:gridCol w:w="1965"/>
              <w:gridCol w:w="1511"/>
            </w:tblGrid>
            <w:tr w:rsidR="007164DD" w:rsidRPr="00416FDD" w14:paraId="3EDDA43A" w14:textId="77777777" w:rsidTr="007164DD">
              <w:trPr>
                <w:trHeight w:val="262"/>
                <w:jc w:val="center"/>
              </w:trPr>
              <w:tc>
                <w:tcPr>
                  <w:tcW w:w="3950" w:type="dxa"/>
                  <w:tcBorders>
                    <w:top w:val="nil"/>
                    <w:left w:val="nil"/>
                    <w:bottom w:val="nil"/>
                    <w:right w:val="nil"/>
                  </w:tcBorders>
                  <w:shd w:val="clear" w:color="auto" w:fill="auto"/>
                  <w:noWrap/>
                  <w:hideMark/>
                </w:tcPr>
                <w:p w14:paraId="5DF024D9" w14:textId="77777777" w:rsidR="00D85D6F" w:rsidRPr="00D85D6F" w:rsidRDefault="00D85D6F" w:rsidP="00D85D6F">
                  <w:pPr>
                    <w:spacing w:after="0" w:line="240" w:lineRule="auto"/>
                    <w:rPr>
                      <w:rFonts w:ascii="Arial" w:eastAsia="Times New Roman" w:hAnsi="Arial" w:cs="Arial"/>
                      <w:sz w:val="20"/>
                      <w:szCs w:val="20"/>
                      <w:lang w:eastAsia="en-GB"/>
                    </w:rPr>
                  </w:pPr>
                  <w:r w:rsidRPr="00D85D6F">
                    <w:rPr>
                      <w:rFonts w:ascii="Arial" w:hAnsi="Arial" w:cs="Arial"/>
                      <w:sz w:val="20"/>
                      <w:szCs w:val="20"/>
                    </w:rPr>
                    <w:t>Current service cost</w:t>
                  </w:r>
                </w:p>
              </w:tc>
              <w:tc>
                <w:tcPr>
                  <w:tcW w:w="285" w:type="dxa"/>
                  <w:tcBorders>
                    <w:top w:val="nil"/>
                    <w:left w:val="nil"/>
                    <w:bottom w:val="nil"/>
                    <w:right w:val="nil"/>
                  </w:tcBorders>
                  <w:shd w:val="clear" w:color="auto" w:fill="auto"/>
                  <w:noWrap/>
                  <w:vAlign w:val="center"/>
                  <w:hideMark/>
                </w:tcPr>
                <w:p w14:paraId="60C28733" w14:textId="77777777" w:rsidR="00D85D6F" w:rsidRPr="00F507D0" w:rsidRDefault="00D85D6F" w:rsidP="00D85D6F">
                  <w:pPr>
                    <w:spacing w:after="0" w:line="240" w:lineRule="auto"/>
                    <w:rPr>
                      <w:rFonts w:ascii="Arial" w:eastAsia="Times New Roman" w:hAnsi="Arial" w:cs="Arial"/>
                      <w:sz w:val="20"/>
                      <w:szCs w:val="20"/>
                      <w:lang w:eastAsia="en-GB"/>
                    </w:rPr>
                  </w:pPr>
                </w:p>
              </w:tc>
              <w:tc>
                <w:tcPr>
                  <w:tcW w:w="2114" w:type="dxa"/>
                  <w:tcBorders>
                    <w:top w:val="nil"/>
                    <w:left w:val="nil"/>
                    <w:bottom w:val="nil"/>
                    <w:right w:val="nil"/>
                  </w:tcBorders>
                  <w:shd w:val="clear" w:color="auto" w:fill="auto"/>
                  <w:noWrap/>
                  <w:vAlign w:val="bottom"/>
                  <w:hideMark/>
                </w:tcPr>
                <w:p w14:paraId="21C99EB9" w14:textId="77777777" w:rsidR="00D85D6F" w:rsidRPr="00F507D0" w:rsidRDefault="00D85D6F" w:rsidP="00D85D6F">
                  <w:pPr>
                    <w:spacing w:after="0" w:line="240" w:lineRule="auto"/>
                    <w:rPr>
                      <w:rFonts w:ascii="Times New Roman" w:eastAsia="Times New Roman" w:hAnsi="Times New Roman" w:cs="Times New Roman"/>
                      <w:sz w:val="20"/>
                      <w:szCs w:val="20"/>
                      <w:lang w:eastAsia="en-GB"/>
                    </w:rPr>
                  </w:pPr>
                </w:p>
              </w:tc>
              <w:tc>
                <w:tcPr>
                  <w:tcW w:w="1965" w:type="dxa"/>
                  <w:tcBorders>
                    <w:top w:val="nil"/>
                    <w:left w:val="nil"/>
                    <w:bottom w:val="nil"/>
                    <w:right w:val="nil"/>
                  </w:tcBorders>
                  <w:shd w:val="clear" w:color="auto" w:fill="auto"/>
                  <w:noWrap/>
                </w:tcPr>
                <w:p w14:paraId="4EDAE7F6" w14:textId="77777777" w:rsidR="00D85D6F" w:rsidRPr="00D85D6F" w:rsidRDefault="00D85D6F" w:rsidP="00D85D6F">
                  <w:pPr>
                    <w:spacing w:after="0" w:line="240" w:lineRule="auto"/>
                    <w:jc w:val="right"/>
                    <w:rPr>
                      <w:rFonts w:ascii="Arial" w:eastAsia="Times New Roman" w:hAnsi="Arial" w:cs="Arial"/>
                      <w:b/>
                      <w:bCs/>
                      <w:sz w:val="20"/>
                      <w:szCs w:val="20"/>
                      <w:lang w:eastAsia="en-GB"/>
                    </w:rPr>
                  </w:pPr>
                  <w:r w:rsidRPr="00D85D6F">
                    <w:rPr>
                      <w:rFonts w:ascii="Arial" w:hAnsi="Arial" w:cs="Arial"/>
                      <w:b/>
                      <w:sz w:val="20"/>
                      <w:szCs w:val="20"/>
                    </w:rPr>
                    <w:t>6,319</w:t>
                  </w:r>
                </w:p>
              </w:tc>
              <w:tc>
                <w:tcPr>
                  <w:tcW w:w="1511" w:type="dxa"/>
                  <w:tcBorders>
                    <w:top w:val="nil"/>
                    <w:left w:val="nil"/>
                    <w:bottom w:val="nil"/>
                    <w:right w:val="nil"/>
                  </w:tcBorders>
                  <w:shd w:val="clear" w:color="auto" w:fill="auto"/>
                  <w:noWrap/>
                  <w:hideMark/>
                </w:tcPr>
                <w:p w14:paraId="3F01B085" w14:textId="77777777" w:rsidR="00D85D6F" w:rsidRPr="00D85D6F" w:rsidRDefault="00D85D6F" w:rsidP="00D85D6F">
                  <w:pPr>
                    <w:spacing w:after="0" w:line="240" w:lineRule="auto"/>
                    <w:jc w:val="right"/>
                    <w:rPr>
                      <w:rFonts w:ascii="Arial" w:eastAsia="Times New Roman" w:hAnsi="Arial" w:cs="Arial"/>
                      <w:b/>
                      <w:sz w:val="20"/>
                      <w:szCs w:val="20"/>
                      <w:lang w:eastAsia="en-GB"/>
                    </w:rPr>
                  </w:pPr>
                  <w:r w:rsidRPr="00D85D6F">
                    <w:rPr>
                      <w:rFonts w:ascii="Arial" w:hAnsi="Arial" w:cs="Arial"/>
                      <w:b/>
                      <w:sz w:val="20"/>
                      <w:szCs w:val="20"/>
                    </w:rPr>
                    <w:t>3,819</w:t>
                  </w:r>
                </w:p>
              </w:tc>
            </w:tr>
            <w:tr w:rsidR="007164DD" w:rsidRPr="00416FDD" w14:paraId="7ADFAED8" w14:textId="77777777" w:rsidTr="007164DD">
              <w:trPr>
                <w:trHeight w:val="262"/>
                <w:jc w:val="center"/>
              </w:trPr>
              <w:tc>
                <w:tcPr>
                  <w:tcW w:w="3950" w:type="dxa"/>
                  <w:tcBorders>
                    <w:top w:val="nil"/>
                    <w:left w:val="nil"/>
                    <w:bottom w:val="nil"/>
                    <w:right w:val="nil"/>
                  </w:tcBorders>
                  <w:shd w:val="clear" w:color="auto" w:fill="auto"/>
                  <w:noWrap/>
                  <w:hideMark/>
                </w:tcPr>
                <w:p w14:paraId="57F20A9A" w14:textId="77777777" w:rsidR="00D85D6F" w:rsidRPr="00D85D6F" w:rsidRDefault="00D85D6F" w:rsidP="00D85D6F">
                  <w:pPr>
                    <w:spacing w:after="0" w:line="240" w:lineRule="auto"/>
                    <w:rPr>
                      <w:rFonts w:ascii="Arial" w:eastAsia="Times New Roman" w:hAnsi="Arial" w:cs="Arial"/>
                      <w:sz w:val="20"/>
                      <w:szCs w:val="20"/>
                      <w:lang w:eastAsia="en-GB"/>
                    </w:rPr>
                  </w:pPr>
                  <w:r w:rsidRPr="00D85D6F">
                    <w:rPr>
                      <w:rFonts w:ascii="Arial" w:hAnsi="Arial" w:cs="Arial"/>
                      <w:sz w:val="20"/>
                      <w:szCs w:val="20"/>
                    </w:rPr>
                    <w:t>Past service cost</w:t>
                  </w:r>
                </w:p>
              </w:tc>
              <w:tc>
                <w:tcPr>
                  <w:tcW w:w="285" w:type="dxa"/>
                  <w:tcBorders>
                    <w:top w:val="nil"/>
                    <w:left w:val="nil"/>
                    <w:bottom w:val="nil"/>
                    <w:right w:val="nil"/>
                  </w:tcBorders>
                  <w:shd w:val="clear" w:color="auto" w:fill="auto"/>
                  <w:noWrap/>
                  <w:vAlign w:val="center"/>
                  <w:hideMark/>
                </w:tcPr>
                <w:p w14:paraId="7B8DA55C" w14:textId="77777777" w:rsidR="00D85D6F" w:rsidRPr="00F507D0" w:rsidRDefault="00D85D6F" w:rsidP="00D85D6F">
                  <w:pPr>
                    <w:spacing w:after="0" w:line="240" w:lineRule="auto"/>
                    <w:rPr>
                      <w:rFonts w:ascii="Arial" w:eastAsia="Times New Roman" w:hAnsi="Arial" w:cs="Arial"/>
                      <w:sz w:val="20"/>
                      <w:szCs w:val="20"/>
                      <w:lang w:eastAsia="en-GB"/>
                    </w:rPr>
                  </w:pPr>
                </w:p>
              </w:tc>
              <w:tc>
                <w:tcPr>
                  <w:tcW w:w="2114" w:type="dxa"/>
                  <w:tcBorders>
                    <w:top w:val="nil"/>
                    <w:left w:val="nil"/>
                    <w:bottom w:val="nil"/>
                    <w:right w:val="nil"/>
                  </w:tcBorders>
                  <w:shd w:val="clear" w:color="auto" w:fill="auto"/>
                  <w:noWrap/>
                  <w:vAlign w:val="bottom"/>
                  <w:hideMark/>
                </w:tcPr>
                <w:p w14:paraId="040DBE73" w14:textId="77777777" w:rsidR="00D85D6F" w:rsidRPr="00F507D0" w:rsidRDefault="00D85D6F" w:rsidP="00D85D6F">
                  <w:pPr>
                    <w:spacing w:after="0" w:line="240" w:lineRule="auto"/>
                    <w:rPr>
                      <w:rFonts w:ascii="Times New Roman" w:eastAsia="Times New Roman" w:hAnsi="Times New Roman" w:cs="Times New Roman"/>
                      <w:sz w:val="20"/>
                      <w:szCs w:val="20"/>
                      <w:lang w:eastAsia="en-GB"/>
                    </w:rPr>
                  </w:pPr>
                </w:p>
              </w:tc>
              <w:tc>
                <w:tcPr>
                  <w:tcW w:w="1965" w:type="dxa"/>
                  <w:tcBorders>
                    <w:top w:val="nil"/>
                    <w:left w:val="nil"/>
                    <w:bottom w:val="nil"/>
                    <w:right w:val="nil"/>
                  </w:tcBorders>
                  <w:shd w:val="clear" w:color="auto" w:fill="auto"/>
                  <w:noWrap/>
                </w:tcPr>
                <w:p w14:paraId="1E4FF75A" w14:textId="77777777" w:rsidR="00D85D6F" w:rsidRPr="00D85D6F" w:rsidRDefault="00D85D6F" w:rsidP="00D85D6F">
                  <w:pPr>
                    <w:spacing w:after="0" w:line="240" w:lineRule="auto"/>
                    <w:jc w:val="right"/>
                    <w:rPr>
                      <w:rFonts w:ascii="Arial" w:eastAsia="Times New Roman" w:hAnsi="Arial" w:cs="Arial"/>
                      <w:b/>
                      <w:bCs/>
                      <w:sz w:val="20"/>
                      <w:szCs w:val="20"/>
                      <w:lang w:eastAsia="en-GB"/>
                    </w:rPr>
                  </w:pPr>
                  <w:r w:rsidRPr="00D85D6F">
                    <w:rPr>
                      <w:rFonts w:ascii="Arial" w:hAnsi="Arial" w:cs="Arial"/>
                      <w:b/>
                      <w:sz w:val="20"/>
                      <w:szCs w:val="20"/>
                    </w:rPr>
                    <w:t>333</w:t>
                  </w:r>
                </w:p>
              </w:tc>
              <w:tc>
                <w:tcPr>
                  <w:tcW w:w="1511" w:type="dxa"/>
                  <w:tcBorders>
                    <w:top w:val="nil"/>
                    <w:left w:val="nil"/>
                    <w:bottom w:val="nil"/>
                    <w:right w:val="nil"/>
                  </w:tcBorders>
                  <w:shd w:val="clear" w:color="auto" w:fill="auto"/>
                  <w:noWrap/>
                  <w:hideMark/>
                </w:tcPr>
                <w:p w14:paraId="7CD10CA9" w14:textId="77777777" w:rsidR="00D85D6F" w:rsidRPr="00D85D6F" w:rsidRDefault="00D85D6F" w:rsidP="00D85D6F">
                  <w:pPr>
                    <w:spacing w:after="0" w:line="240" w:lineRule="auto"/>
                    <w:jc w:val="right"/>
                    <w:rPr>
                      <w:rFonts w:ascii="Arial" w:eastAsia="Times New Roman" w:hAnsi="Arial" w:cs="Arial"/>
                      <w:b/>
                      <w:sz w:val="20"/>
                      <w:szCs w:val="20"/>
                      <w:lang w:eastAsia="en-GB"/>
                    </w:rPr>
                  </w:pPr>
                  <w:r w:rsidRPr="00D85D6F">
                    <w:rPr>
                      <w:rFonts w:ascii="Arial" w:hAnsi="Arial" w:cs="Arial"/>
                      <w:b/>
                      <w:sz w:val="20"/>
                      <w:szCs w:val="20"/>
                    </w:rPr>
                    <w:t>330</w:t>
                  </w:r>
                </w:p>
              </w:tc>
            </w:tr>
            <w:tr w:rsidR="007164DD" w:rsidRPr="00416FDD" w14:paraId="14586720" w14:textId="77777777" w:rsidTr="007164DD">
              <w:trPr>
                <w:trHeight w:val="262"/>
                <w:jc w:val="center"/>
              </w:trPr>
              <w:tc>
                <w:tcPr>
                  <w:tcW w:w="3950" w:type="dxa"/>
                  <w:tcBorders>
                    <w:top w:val="nil"/>
                    <w:left w:val="nil"/>
                    <w:bottom w:val="nil"/>
                    <w:right w:val="nil"/>
                  </w:tcBorders>
                  <w:shd w:val="clear" w:color="auto" w:fill="auto"/>
                  <w:noWrap/>
                  <w:hideMark/>
                </w:tcPr>
                <w:p w14:paraId="7243939F" w14:textId="77777777" w:rsidR="00D85D6F" w:rsidRPr="00D85D6F" w:rsidRDefault="00D85D6F" w:rsidP="00D85D6F">
                  <w:pPr>
                    <w:spacing w:after="0" w:line="240" w:lineRule="auto"/>
                    <w:rPr>
                      <w:rFonts w:ascii="Arial" w:eastAsia="Times New Roman" w:hAnsi="Arial" w:cs="Arial"/>
                      <w:sz w:val="20"/>
                      <w:szCs w:val="20"/>
                      <w:lang w:eastAsia="en-GB"/>
                    </w:rPr>
                  </w:pPr>
                  <w:r w:rsidRPr="00D85D6F">
                    <w:rPr>
                      <w:rFonts w:ascii="Arial" w:hAnsi="Arial" w:cs="Arial"/>
                      <w:sz w:val="20"/>
                      <w:szCs w:val="20"/>
                    </w:rPr>
                    <w:t>Interest income</w:t>
                  </w:r>
                </w:p>
              </w:tc>
              <w:tc>
                <w:tcPr>
                  <w:tcW w:w="285" w:type="dxa"/>
                  <w:tcBorders>
                    <w:top w:val="nil"/>
                    <w:left w:val="nil"/>
                    <w:bottom w:val="nil"/>
                    <w:right w:val="nil"/>
                  </w:tcBorders>
                  <w:shd w:val="clear" w:color="auto" w:fill="auto"/>
                  <w:noWrap/>
                  <w:vAlign w:val="center"/>
                  <w:hideMark/>
                </w:tcPr>
                <w:p w14:paraId="25831E0B" w14:textId="77777777" w:rsidR="00D85D6F" w:rsidRPr="00F507D0" w:rsidRDefault="00D85D6F" w:rsidP="00D85D6F">
                  <w:pPr>
                    <w:spacing w:after="0" w:line="240" w:lineRule="auto"/>
                    <w:rPr>
                      <w:rFonts w:ascii="Arial" w:eastAsia="Times New Roman" w:hAnsi="Arial" w:cs="Arial"/>
                      <w:sz w:val="20"/>
                      <w:szCs w:val="20"/>
                      <w:lang w:eastAsia="en-GB"/>
                    </w:rPr>
                  </w:pPr>
                </w:p>
              </w:tc>
              <w:tc>
                <w:tcPr>
                  <w:tcW w:w="2114" w:type="dxa"/>
                  <w:tcBorders>
                    <w:top w:val="nil"/>
                    <w:left w:val="nil"/>
                    <w:bottom w:val="nil"/>
                    <w:right w:val="nil"/>
                  </w:tcBorders>
                  <w:shd w:val="clear" w:color="auto" w:fill="auto"/>
                  <w:noWrap/>
                  <w:vAlign w:val="bottom"/>
                  <w:hideMark/>
                </w:tcPr>
                <w:p w14:paraId="32245966" w14:textId="77777777" w:rsidR="00D85D6F" w:rsidRPr="00F507D0" w:rsidRDefault="00D85D6F" w:rsidP="00D85D6F">
                  <w:pPr>
                    <w:spacing w:after="0" w:line="240" w:lineRule="auto"/>
                    <w:rPr>
                      <w:rFonts w:ascii="Times New Roman" w:eastAsia="Times New Roman" w:hAnsi="Times New Roman" w:cs="Times New Roman"/>
                      <w:sz w:val="20"/>
                      <w:szCs w:val="20"/>
                      <w:lang w:eastAsia="en-GB"/>
                    </w:rPr>
                  </w:pPr>
                </w:p>
              </w:tc>
              <w:tc>
                <w:tcPr>
                  <w:tcW w:w="1965" w:type="dxa"/>
                  <w:tcBorders>
                    <w:top w:val="nil"/>
                    <w:left w:val="nil"/>
                    <w:bottom w:val="nil"/>
                    <w:right w:val="nil"/>
                  </w:tcBorders>
                  <w:shd w:val="clear" w:color="auto" w:fill="auto"/>
                  <w:noWrap/>
                </w:tcPr>
                <w:p w14:paraId="378669E2" w14:textId="77777777" w:rsidR="00D85D6F" w:rsidRPr="00D85D6F" w:rsidRDefault="00D85D6F" w:rsidP="00D85D6F">
                  <w:pPr>
                    <w:spacing w:after="0" w:line="240" w:lineRule="auto"/>
                    <w:jc w:val="right"/>
                    <w:rPr>
                      <w:rFonts w:ascii="Arial" w:eastAsia="Times New Roman" w:hAnsi="Arial" w:cs="Arial"/>
                      <w:b/>
                      <w:bCs/>
                      <w:sz w:val="20"/>
                      <w:szCs w:val="20"/>
                      <w:lang w:eastAsia="en-GB"/>
                    </w:rPr>
                  </w:pPr>
                  <w:r w:rsidRPr="00D85D6F">
                    <w:rPr>
                      <w:rFonts w:ascii="Arial" w:hAnsi="Arial" w:cs="Arial"/>
                      <w:b/>
                      <w:sz w:val="20"/>
                      <w:szCs w:val="20"/>
                    </w:rPr>
                    <w:t>(982)</w:t>
                  </w:r>
                </w:p>
              </w:tc>
              <w:tc>
                <w:tcPr>
                  <w:tcW w:w="1511" w:type="dxa"/>
                  <w:tcBorders>
                    <w:top w:val="nil"/>
                    <w:left w:val="nil"/>
                    <w:bottom w:val="nil"/>
                    <w:right w:val="nil"/>
                  </w:tcBorders>
                  <w:shd w:val="clear" w:color="auto" w:fill="auto"/>
                  <w:noWrap/>
                  <w:hideMark/>
                </w:tcPr>
                <w:p w14:paraId="3A98D60C" w14:textId="77777777" w:rsidR="00D85D6F" w:rsidRPr="00D85D6F" w:rsidRDefault="00D85D6F" w:rsidP="00D85D6F">
                  <w:pPr>
                    <w:spacing w:after="0" w:line="240" w:lineRule="auto"/>
                    <w:jc w:val="right"/>
                    <w:rPr>
                      <w:rFonts w:ascii="Arial" w:eastAsia="Times New Roman" w:hAnsi="Arial" w:cs="Arial"/>
                      <w:b/>
                      <w:sz w:val="20"/>
                      <w:szCs w:val="20"/>
                      <w:lang w:eastAsia="en-GB"/>
                    </w:rPr>
                  </w:pPr>
                  <w:r w:rsidRPr="00D85D6F">
                    <w:rPr>
                      <w:rFonts w:ascii="Arial" w:hAnsi="Arial" w:cs="Arial"/>
                      <w:b/>
                      <w:sz w:val="20"/>
                      <w:szCs w:val="20"/>
                    </w:rPr>
                    <w:t>(710)</w:t>
                  </w:r>
                </w:p>
              </w:tc>
            </w:tr>
            <w:tr w:rsidR="007164DD" w:rsidRPr="00416FDD" w14:paraId="6C86873F" w14:textId="77777777" w:rsidTr="007164DD">
              <w:trPr>
                <w:trHeight w:val="262"/>
                <w:jc w:val="center"/>
              </w:trPr>
              <w:tc>
                <w:tcPr>
                  <w:tcW w:w="3950" w:type="dxa"/>
                  <w:tcBorders>
                    <w:top w:val="nil"/>
                    <w:left w:val="nil"/>
                    <w:bottom w:val="nil"/>
                    <w:right w:val="nil"/>
                  </w:tcBorders>
                  <w:shd w:val="clear" w:color="auto" w:fill="auto"/>
                  <w:noWrap/>
                  <w:hideMark/>
                </w:tcPr>
                <w:p w14:paraId="1E78E528" w14:textId="77777777" w:rsidR="00D85D6F" w:rsidRPr="00D85D6F" w:rsidRDefault="00D85D6F" w:rsidP="00D85D6F">
                  <w:pPr>
                    <w:spacing w:after="0" w:line="240" w:lineRule="auto"/>
                    <w:rPr>
                      <w:rFonts w:ascii="Arial" w:eastAsia="Times New Roman" w:hAnsi="Arial" w:cs="Arial"/>
                      <w:sz w:val="20"/>
                      <w:szCs w:val="20"/>
                      <w:lang w:eastAsia="en-GB"/>
                    </w:rPr>
                  </w:pPr>
                  <w:r w:rsidRPr="00D85D6F">
                    <w:rPr>
                      <w:rFonts w:ascii="Arial" w:hAnsi="Arial" w:cs="Arial"/>
                      <w:sz w:val="20"/>
                      <w:szCs w:val="20"/>
                    </w:rPr>
                    <w:t>Interest cost</w:t>
                  </w:r>
                </w:p>
              </w:tc>
              <w:tc>
                <w:tcPr>
                  <w:tcW w:w="285" w:type="dxa"/>
                  <w:tcBorders>
                    <w:top w:val="nil"/>
                    <w:left w:val="nil"/>
                    <w:bottom w:val="nil"/>
                    <w:right w:val="nil"/>
                  </w:tcBorders>
                  <w:shd w:val="clear" w:color="auto" w:fill="auto"/>
                  <w:noWrap/>
                  <w:vAlign w:val="center"/>
                  <w:hideMark/>
                </w:tcPr>
                <w:p w14:paraId="1EFC01A8" w14:textId="77777777" w:rsidR="00D85D6F" w:rsidRPr="00F507D0" w:rsidRDefault="00D85D6F" w:rsidP="00D85D6F">
                  <w:pPr>
                    <w:spacing w:after="0" w:line="240" w:lineRule="auto"/>
                    <w:rPr>
                      <w:rFonts w:ascii="Arial" w:eastAsia="Times New Roman" w:hAnsi="Arial" w:cs="Arial"/>
                      <w:sz w:val="20"/>
                      <w:szCs w:val="20"/>
                      <w:lang w:eastAsia="en-GB"/>
                    </w:rPr>
                  </w:pPr>
                </w:p>
              </w:tc>
              <w:tc>
                <w:tcPr>
                  <w:tcW w:w="2114" w:type="dxa"/>
                  <w:tcBorders>
                    <w:top w:val="nil"/>
                    <w:left w:val="nil"/>
                    <w:bottom w:val="nil"/>
                    <w:right w:val="nil"/>
                  </w:tcBorders>
                  <w:shd w:val="clear" w:color="auto" w:fill="auto"/>
                  <w:noWrap/>
                  <w:vAlign w:val="bottom"/>
                  <w:hideMark/>
                </w:tcPr>
                <w:p w14:paraId="44D84081" w14:textId="77777777" w:rsidR="00D85D6F" w:rsidRPr="00F507D0" w:rsidRDefault="00D85D6F" w:rsidP="00D85D6F">
                  <w:pPr>
                    <w:spacing w:after="0" w:line="240" w:lineRule="auto"/>
                    <w:rPr>
                      <w:rFonts w:ascii="Times New Roman" w:eastAsia="Times New Roman" w:hAnsi="Times New Roman" w:cs="Times New Roman"/>
                      <w:sz w:val="20"/>
                      <w:szCs w:val="20"/>
                      <w:lang w:eastAsia="en-GB"/>
                    </w:rPr>
                  </w:pPr>
                </w:p>
              </w:tc>
              <w:tc>
                <w:tcPr>
                  <w:tcW w:w="1965" w:type="dxa"/>
                  <w:tcBorders>
                    <w:top w:val="nil"/>
                    <w:left w:val="nil"/>
                    <w:bottom w:val="nil"/>
                    <w:right w:val="nil"/>
                  </w:tcBorders>
                  <w:shd w:val="clear" w:color="auto" w:fill="auto"/>
                  <w:noWrap/>
                </w:tcPr>
                <w:p w14:paraId="372F70BA" w14:textId="77777777" w:rsidR="00D85D6F" w:rsidRPr="00D85D6F" w:rsidRDefault="00D85D6F" w:rsidP="00D85D6F">
                  <w:pPr>
                    <w:spacing w:after="0" w:line="240" w:lineRule="auto"/>
                    <w:jc w:val="right"/>
                    <w:rPr>
                      <w:rFonts w:ascii="Arial" w:eastAsia="Times New Roman" w:hAnsi="Arial" w:cs="Arial"/>
                      <w:b/>
                      <w:bCs/>
                      <w:sz w:val="20"/>
                      <w:szCs w:val="20"/>
                      <w:lang w:eastAsia="en-GB"/>
                    </w:rPr>
                  </w:pPr>
                  <w:r w:rsidRPr="00D85D6F">
                    <w:rPr>
                      <w:rFonts w:ascii="Arial" w:hAnsi="Arial" w:cs="Arial"/>
                      <w:b/>
                      <w:sz w:val="20"/>
                      <w:szCs w:val="20"/>
                    </w:rPr>
                    <w:t>1,442</w:t>
                  </w:r>
                </w:p>
              </w:tc>
              <w:tc>
                <w:tcPr>
                  <w:tcW w:w="1511" w:type="dxa"/>
                  <w:tcBorders>
                    <w:top w:val="nil"/>
                    <w:left w:val="nil"/>
                    <w:bottom w:val="nil"/>
                    <w:right w:val="nil"/>
                  </w:tcBorders>
                  <w:shd w:val="clear" w:color="auto" w:fill="auto"/>
                  <w:noWrap/>
                  <w:hideMark/>
                </w:tcPr>
                <w:p w14:paraId="32045D92" w14:textId="77777777" w:rsidR="00D85D6F" w:rsidRPr="00D85D6F" w:rsidRDefault="00D85D6F" w:rsidP="00D85D6F">
                  <w:pPr>
                    <w:spacing w:after="0" w:line="240" w:lineRule="auto"/>
                    <w:jc w:val="right"/>
                    <w:rPr>
                      <w:rFonts w:ascii="Arial" w:eastAsia="Times New Roman" w:hAnsi="Arial" w:cs="Arial"/>
                      <w:b/>
                      <w:sz w:val="20"/>
                      <w:szCs w:val="20"/>
                      <w:lang w:eastAsia="en-GB"/>
                    </w:rPr>
                  </w:pPr>
                  <w:r w:rsidRPr="00D85D6F">
                    <w:rPr>
                      <w:rFonts w:ascii="Arial" w:hAnsi="Arial" w:cs="Arial"/>
                      <w:b/>
                      <w:sz w:val="20"/>
                      <w:szCs w:val="20"/>
                    </w:rPr>
                    <w:t>1,331</w:t>
                  </w:r>
                </w:p>
              </w:tc>
            </w:tr>
            <w:tr w:rsidR="007164DD" w:rsidRPr="00416FDD" w14:paraId="0C94A7D2" w14:textId="77777777" w:rsidTr="007164DD">
              <w:trPr>
                <w:trHeight w:val="262"/>
                <w:jc w:val="center"/>
              </w:trPr>
              <w:tc>
                <w:tcPr>
                  <w:tcW w:w="3950" w:type="dxa"/>
                  <w:tcBorders>
                    <w:top w:val="single" w:sz="4" w:space="0" w:color="auto"/>
                    <w:left w:val="nil"/>
                    <w:bottom w:val="nil"/>
                    <w:right w:val="nil"/>
                  </w:tcBorders>
                  <w:shd w:val="clear" w:color="auto" w:fill="auto"/>
                  <w:noWrap/>
                  <w:hideMark/>
                </w:tcPr>
                <w:p w14:paraId="7FFF7A96" w14:textId="77777777" w:rsidR="00D85D6F" w:rsidRPr="00D85D6F" w:rsidRDefault="00D85D6F" w:rsidP="00D85D6F">
                  <w:pPr>
                    <w:spacing w:after="0" w:line="240" w:lineRule="auto"/>
                    <w:rPr>
                      <w:rFonts w:ascii="Arial" w:eastAsia="Times New Roman" w:hAnsi="Arial" w:cs="Arial"/>
                      <w:sz w:val="20"/>
                      <w:szCs w:val="20"/>
                      <w:lang w:eastAsia="en-GB"/>
                    </w:rPr>
                  </w:pPr>
                  <w:r w:rsidRPr="00D85D6F">
                    <w:rPr>
                      <w:rFonts w:ascii="Arial" w:hAnsi="Arial" w:cs="Arial"/>
                      <w:sz w:val="20"/>
                      <w:szCs w:val="20"/>
                    </w:rPr>
                    <w:t>Total operating charge</w:t>
                  </w:r>
                </w:p>
              </w:tc>
              <w:tc>
                <w:tcPr>
                  <w:tcW w:w="285" w:type="dxa"/>
                  <w:tcBorders>
                    <w:top w:val="single" w:sz="4" w:space="0" w:color="auto"/>
                    <w:left w:val="nil"/>
                    <w:bottom w:val="nil"/>
                    <w:right w:val="nil"/>
                  </w:tcBorders>
                  <w:shd w:val="clear" w:color="auto" w:fill="auto"/>
                  <w:noWrap/>
                  <w:vAlign w:val="center"/>
                  <w:hideMark/>
                </w:tcPr>
                <w:p w14:paraId="070ED2B1" w14:textId="77777777" w:rsidR="00D85D6F" w:rsidRPr="00F507D0" w:rsidRDefault="00D85D6F" w:rsidP="00D85D6F">
                  <w:pPr>
                    <w:spacing w:after="0" w:line="240" w:lineRule="auto"/>
                    <w:rPr>
                      <w:rFonts w:ascii="Arial" w:eastAsia="Times New Roman" w:hAnsi="Arial" w:cs="Arial"/>
                      <w:sz w:val="20"/>
                      <w:szCs w:val="20"/>
                      <w:lang w:eastAsia="en-GB"/>
                    </w:rPr>
                  </w:pPr>
                  <w:r w:rsidRPr="00F507D0">
                    <w:rPr>
                      <w:rFonts w:ascii="Arial" w:eastAsia="Times New Roman" w:hAnsi="Arial" w:cs="Arial"/>
                      <w:sz w:val="20"/>
                      <w:szCs w:val="20"/>
                      <w:lang w:eastAsia="en-GB"/>
                    </w:rPr>
                    <w:t> </w:t>
                  </w:r>
                </w:p>
              </w:tc>
              <w:tc>
                <w:tcPr>
                  <w:tcW w:w="2114" w:type="dxa"/>
                  <w:tcBorders>
                    <w:top w:val="single" w:sz="4" w:space="0" w:color="auto"/>
                    <w:left w:val="nil"/>
                    <w:bottom w:val="nil"/>
                    <w:right w:val="nil"/>
                  </w:tcBorders>
                  <w:shd w:val="clear" w:color="auto" w:fill="auto"/>
                  <w:noWrap/>
                  <w:vAlign w:val="bottom"/>
                  <w:hideMark/>
                </w:tcPr>
                <w:p w14:paraId="5EB59010" w14:textId="77777777" w:rsidR="00D85D6F" w:rsidRPr="00F507D0" w:rsidRDefault="00D85D6F" w:rsidP="00D85D6F">
                  <w:pPr>
                    <w:spacing w:after="0" w:line="240" w:lineRule="auto"/>
                    <w:rPr>
                      <w:rFonts w:ascii="Arial" w:eastAsia="Times New Roman" w:hAnsi="Arial" w:cs="Arial"/>
                      <w:sz w:val="20"/>
                      <w:szCs w:val="20"/>
                      <w:lang w:eastAsia="en-GB"/>
                    </w:rPr>
                  </w:pPr>
                  <w:r w:rsidRPr="00F507D0">
                    <w:rPr>
                      <w:rFonts w:ascii="Arial" w:eastAsia="Times New Roman" w:hAnsi="Arial" w:cs="Arial"/>
                      <w:sz w:val="20"/>
                      <w:szCs w:val="20"/>
                      <w:lang w:eastAsia="en-GB"/>
                    </w:rPr>
                    <w:t> </w:t>
                  </w:r>
                </w:p>
              </w:tc>
              <w:tc>
                <w:tcPr>
                  <w:tcW w:w="1965" w:type="dxa"/>
                  <w:tcBorders>
                    <w:top w:val="single" w:sz="4" w:space="0" w:color="auto"/>
                    <w:left w:val="nil"/>
                    <w:bottom w:val="nil"/>
                    <w:right w:val="nil"/>
                  </w:tcBorders>
                  <w:shd w:val="clear" w:color="auto" w:fill="auto"/>
                  <w:noWrap/>
                </w:tcPr>
                <w:p w14:paraId="7664A5C1" w14:textId="77777777" w:rsidR="00D85D6F" w:rsidRPr="00D85D6F" w:rsidRDefault="00D85D6F" w:rsidP="00D85D6F">
                  <w:pPr>
                    <w:spacing w:after="0" w:line="240" w:lineRule="auto"/>
                    <w:jc w:val="right"/>
                    <w:rPr>
                      <w:rFonts w:ascii="Arial" w:eastAsia="Times New Roman" w:hAnsi="Arial" w:cs="Arial"/>
                      <w:b/>
                      <w:bCs/>
                      <w:sz w:val="20"/>
                      <w:szCs w:val="20"/>
                      <w:lang w:eastAsia="en-GB"/>
                    </w:rPr>
                  </w:pPr>
                  <w:r w:rsidRPr="00D85D6F">
                    <w:rPr>
                      <w:rFonts w:ascii="Arial" w:hAnsi="Arial" w:cs="Arial"/>
                      <w:b/>
                      <w:sz w:val="20"/>
                      <w:szCs w:val="20"/>
                    </w:rPr>
                    <w:t>7,112</w:t>
                  </w:r>
                </w:p>
              </w:tc>
              <w:tc>
                <w:tcPr>
                  <w:tcW w:w="1511" w:type="dxa"/>
                  <w:tcBorders>
                    <w:top w:val="single" w:sz="4" w:space="0" w:color="auto"/>
                    <w:left w:val="nil"/>
                    <w:bottom w:val="nil"/>
                    <w:right w:val="nil"/>
                  </w:tcBorders>
                  <w:shd w:val="clear" w:color="auto" w:fill="auto"/>
                  <w:noWrap/>
                  <w:hideMark/>
                </w:tcPr>
                <w:p w14:paraId="0E37C531" w14:textId="77777777" w:rsidR="00D85D6F" w:rsidRPr="00D85D6F" w:rsidRDefault="00D85D6F" w:rsidP="00D85D6F">
                  <w:pPr>
                    <w:spacing w:after="0" w:line="240" w:lineRule="auto"/>
                    <w:jc w:val="right"/>
                    <w:rPr>
                      <w:rFonts w:ascii="Arial" w:eastAsia="Times New Roman" w:hAnsi="Arial" w:cs="Arial"/>
                      <w:b/>
                      <w:sz w:val="20"/>
                      <w:szCs w:val="20"/>
                      <w:lang w:eastAsia="en-GB"/>
                    </w:rPr>
                  </w:pPr>
                  <w:r w:rsidRPr="00D85D6F">
                    <w:rPr>
                      <w:rFonts w:ascii="Arial" w:hAnsi="Arial" w:cs="Arial"/>
                      <w:b/>
                      <w:sz w:val="20"/>
                      <w:szCs w:val="20"/>
                    </w:rPr>
                    <w:t>4,770</w:t>
                  </w:r>
                </w:p>
              </w:tc>
            </w:tr>
          </w:tbl>
          <w:p w14:paraId="3DF6CD8D" w14:textId="77777777" w:rsidR="0021571F" w:rsidRDefault="0021571F" w:rsidP="006647C2">
            <w:pPr>
              <w:spacing w:after="240" w:line="240" w:lineRule="auto"/>
              <w:jc w:val="both"/>
              <w:rPr>
                <w:rFonts w:ascii="Arial" w:eastAsia="Times New Roman" w:hAnsi="Arial" w:cs="Arial"/>
                <w:b/>
                <w:bCs/>
                <w:sz w:val="24"/>
                <w:szCs w:val="24"/>
                <w:lang w:eastAsia="en-GB"/>
              </w:rPr>
            </w:pPr>
          </w:p>
          <w:p w14:paraId="40385EC8" w14:textId="77777777" w:rsidR="009B5A00" w:rsidRPr="002B2F3F" w:rsidRDefault="00E70CD3" w:rsidP="006647C2">
            <w:pPr>
              <w:spacing w:after="240" w:line="240" w:lineRule="auto"/>
              <w:jc w:val="both"/>
              <w:rPr>
                <w:rFonts w:ascii="Arial" w:eastAsia="Times New Roman" w:hAnsi="Arial" w:cs="Arial"/>
                <w:b/>
                <w:bCs/>
                <w:sz w:val="24"/>
                <w:szCs w:val="24"/>
                <w:lang w:eastAsia="en-GB"/>
              </w:rPr>
            </w:pPr>
            <w:r w:rsidRPr="002B2F3F">
              <w:rPr>
                <w:rFonts w:ascii="Arial" w:eastAsia="Times New Roman" w:hAnsi="Arial" w:cs="Arial"/>
                <w:b/>
                <w:bCs/>
                <w:sz w:val="24"/>
                <w:szCs w:val="24"/>
                <w:lang w:eastAsia="en-GB"/>
              </w:rPr>
              <w:t>London Pensions Fund Authority, the City of Bradford Metropolitan District Council, Gloucestershire County Council, Northamptonshire County Council, Wolverhampton City Council and Leicestershire County Council</w:t>
            </w:r>
            <w:r w:rsidR="00396F6C">
              <w:rPr>
                <w:rFonts w:ascii="Arial" w:eastAsia="Times New Roman" w:hAnsi="Arial" w:cs="Arial"/>
                <w:b/>
                <w:bCs/>
                <w:sz w:val="24"/>
                <w:szCs w:val="24"/>
                <w:lang w:eastAsia="en-GB"/>
              </w:rPr>
              <w:t xml:space="preserve"> </w:t>
            </w:r>
            <w:r w:rsidR="009B5A00">
              <w:rPr>
                <w:rFonts w:ascii="Arial" w:eastAsia="Times New Roman" w:hAnsi="Arial" w:cs="Arial"/>
                <w:b/>
                <w:bCs/>
                <w:sz w:val="24"/>
                <w:szCs w:val="24"/>
                <w:lang w:eastAsia="en-GB"/>
              </w:rPr>
              <w:t>(Prospects Service Pension Schemes)</w:t>
            </w:r>
          </w:p>
        </w:tc>
      </w:tr>
      <w:tr w:rsidR="004B2BB5" w:rsidRPr="00A42EEB" w14:paraId="6374E3A9" w14:textId="77777777" w:rsidTr="00F362B3">
        <w:tblPrEx>
          <w:jc w:val="left"/>
        </w:tblPrEx>
        <w:trPr>
          <w:gridAfter w:val="1"/>
          <w:wAfter w:w="224" w:type="dxa"/>
          <w:trHeight w:val="862"/>
        </w:trPr>
        <w:tc>
          <w:tcPr>
            <w:tcW w:w="9957" w:type="dxa"/>
            <w:gridSpan w:val="15"/>
            <w:tcBorders>
              <w:top w:val="nil"/>
              <w:left w:val="nil"/>
              <w:bottom w:val="nil"/>
              <w:right w:val="nil"/>
            </w:tcBorders>
            <w:shd w:val="clear" w:color="auto" w:fill="auto"/>
            <w:hideMark/>
          </w:tcPr>
          <w:p w14:paraId="01AA047E" w14:textId="77777777" w:rsidR="00E70CD3" w:rsidRDefault="00E70CD3" w:rsidP="006647C2">
            <w:pPr>
              <w:spacing w:after="240" w:line="240" w:lineRule="auto"/>
              <w:jc w:val="both"/>
              <w:rPr>
                <w:rFonts w:ascii="Arial" w:eastAsia="Times New Roman" w:hAnsi="Arial" w:cs="Arial"/>
                <w:sz w:val="24"/>
                <w:szCs w:val="24"/>
                <w:lang w:eastAsia="en-GB"/>
              </w:rPr>
            </w:pPr>
            <w:r w:rsidRPr="002B2F3F">
              <w:rPr>
                <w:rFonts w:ascii="Arial" w:eastAsia="Times New Roman" w:hAnsi="Arial" w:cs="Arial"/>
                <w:sz w:val="24"/>
                <w:szCs w:val="24"/>
                <w:lang w:eastAsia="en-GB"/>
              </w:rPr>
              <w:t xml:space="preserve">The actuarial valuations for the company have been updated to 31 August </w:t>
            </w:r>
            <w:r w:rsidR="0037645F">
              <w:rPr>
                <w:rFonts w:ascii="Arial" w:eastAsia="Times New Roman" w:hAnsi="Arial" w:cs="Arial"/>
                <w:sz w:val="24"/>
                <w:szCs w:val="24"/>
                <w:lang w:eastAsia="en-GB"/>
              </w:rPr>
              <w:t>2020</w:t>
            </w:r>
            <w:r w:rsidRPr="002B2F3F">
              <w:rPr>
                <w:rFonts w:ascii="Arial" w:eastAsia="Times New Roman" w:hAnsi="Arial" w:cs="Arial"/>
                <w:sz w:val="24"/>
                <w:szCs w:val="24"/>
                <w:lang w:eastAsia="en-GB"/>
              </w:rPr>
              <w:t xml:space="preserve"> by qualified independent actuaries. The major assumptions used across the schemes described above, were:</w:t>
            </w:r>
          </w:p>
          <w:tbl>
            <w:tblPr>
              <w:tblW w:w="9569" w:type="dxa"/>
              <w:tblInd w:w="4" w:type="dxa"/>
              <w:tblLook w:val="04A0" w:firstRow="1" w:lastRow="0" w:firstColumn="1" w:lastColumn="0" w:noHBand="0" w:noVBand="1"/>
            </w:tblPr>
            <w:tblGrid>
              <w:gridCol w:w="4259"/>
              <w:gridCol w:w="279"/>
              <w:gridCol w:w="1232"/>
              <w:gridCol w:w="784"/>
              <w:gridCol w:w="1701"/>
              <w:gridCol w:w="1314"/>
            </w:tblGrid>
            <w:tr w:rsidR="0069798A" w:rsidRPr="00DA5F44" w14:paraId="66205FDE" w14:textId="77777777" w:rsidTr="005C5A16">
              <w:trPr>
                <w:trHeight w:val="261"/>
              </w:trPr>
              <w:tc>
                <w:tcPr>
                  <w:tcW w:w="4259" w:type="dxa"/>
                  <w:tcBorders>
                    <w:top w:val="nil"/>
                    <w:left w:val="nil"/>
                    <w:bottom w:val="single" w:sz="4" w:space="0" w:color="auto"/>
                    <w:right w:val="nil"/>
                  </w:tcBorders>
                  <w:shd w:val="clear" w:color="auto" w:fill="auto"/>
                  <w:noWrap/>
                  <w:vAlign w:val="center"/>
                  <w:hideMark/>
                </w:tcPr>
                <w:p w14:paraId="727B0653" w14:textId="77777777" w:rsidR="0069798A" w:rsidRPr="00DA5F44" w:rsidRDefault="0069798A" w:rsidP="0069798A">
                  <w:pPr>
                    <w:spacing w:after="0" w:line="240" w:lineRule="auto"/>
                    <w:rPr>
                      <w:rFonts w:ascii="Arial" w:eastAsia="Times New Roman" w:hAnsi="Arial" w:cs="Arial"/>
                      <w:sz w:val="20"/>
                      <w:szCs w:val="20"/>
                      <w:lang w:eastAsia="en-GB"/>
                    </w:rPr>
                  </w:pPr>
                  <w:r w:rsidRPr="00DA5F44">
                    <w:rPr>
                      <w:rFonts w:ascii="Arial" w:eastAsia="Times New Roman" w:hAnsi="Arial" w:cs="Arial"/>
                      <w:sz w:val="20"/>
                      <w:szCs w:val="20"/>
                      <w:lang w:eastAsia="en-GB"/>
                    </w:rPr>
                    <w:t> </w:t>
                  </w:r>
                </w:p>
              </w:tc>
              <w:tc>
                <w:tcPr>
                  <w:tcW w:w="279" w:type="dxa"/>
                  <w:tcBorders>
                    <w:top w:val="nil"/>
                    <w:left w:val="nil"/>
                    <w:bottom w:val="single" w:sz="4" w:space="0" w:color="auto"/>
                    <w:right w:val="nil"/>
                  </w:tcBorders>
                  <w:shd w:val="clear" w:color="auto" w:fill="auto"/>
                  <w:noWrap/>
                  <w:vAlign w:val="bottom"/>
                  <w:hideMark/>
                </w:tcPr>
                <w:p w14:paraId="74AE92F7" w14:textId="77777777" w:rsidR="0069798A" w:rsidRPr="00DA5F44" w:rsidRDefault="0069798A" w:rsidP="0069798A">
                  <w:pPr>
                    <w:spacing w:after="0" w:line="240" w:lineRule="auto"/>
                    <w:rPr>
                      <w:rFonts w:ascii="Arial" w:eastAsia="Times New Roman" w:hAnsi="Arial" w:cs="Arial"/>
                      <w:sz w:val="20"/>
                      <w:szCs w:val="20"/>
                      <w:lang w:eastAsia="en-GB"/>
                    </w:rPr>
                  </w:pPr>
                  <w:r w:rsidRPr="00DA5F44">
                    <w:rPr>
                      <w:rFonts w:ascii="Arial" w:eastAsia="Times New Roman" w:hAnsi="Arial" w:cs="Arial"/>
                      <w:sz w:val="20"/>
                      <w:szCs w:val="20"/>
                      <w:lang w:eastAsia="en-GB"/>
                    </w:rPr>
                    <w:t> </w:t>
                  </w:r>
                </w:p>
              </w:tc>
              <w:tc>
                <w:tcPr>
                  <w:tcW w:w="1232" w:type="dxa"/>
                  <w:tcBorders>
                    <w:top w:val="nil"/>
                    <w:left w:val="nil"/>
                    <w:bottom w:val="single" w:sz="4" w:space="0" w:color="auto"/>
                    <w:right w:val="nil"/>
                  </w:tcBorders>
                  <w:shd w:val="clear" w:color="auto" w:fill="auto"/>
                  <w:noWrap/>
                  <w:vAlign w:val="bottom"/>
                  <w:hideMark/>
                </w:tcPr>
                <w:p w14:paraId="6848FA00" w14:textId="77777777" w:rsidR="0069798A" w:rsidRPr="00DA5F44" w:rsidRDefault="0069798A" w:rsidP="0069798A">
                  <w:pPr>
                    <w:spacing w:after="0" w:line="240" w:lineRule="auto"/>
                    <w:rPr>
                      <w:rFonts w:ascii="Arial" w:eastAsia="Times New Roman" w:hAnsi="Arial" w:cs="Arial"/>
                      <w:sz w:val="20"/>
                      <w:szCs w:val="20"/>
                      <w:lang w:eastAsia="en-GB"/>
                    </w:rPr>
                  </w:pPr>
                  <w:r w:rsidRPr="00DA5F44">
                    <w:rPr>
                      <w:rFonts w:ascii="Arial" w:eastAsia="Times New Roman" w:hAnsi="Arial" w:cs="Arial"/>
                      <w:sz w:val="20"/>
                      <w:szCs w:val="20"/>
                      <w:lang w:eastAsia="en-GB"/>
                    </w:rPr>
                    <w:t> </w:t>
                  </w:r>
                </w:p>
              </w:tc>
              <w:tc>
                <w:tcPr>
                  <w:tcW w:w="784" w:type="dxa"/>
                  <w:tcBorders>
                    <w:top w:val="nil"/>
                    <w:left w:val="nil"/>
                    <w:bottom w:val="single" w:sz="4" w:space="0" w:color="auto"/>
                    <w:right w:val="nil"/>
                  </w:tcBorders>
                  <w:shd w:val="clear" w:color="auto" w:fill="auto"/>
                  <w:noWrap/>
                  <w:vAlign w:val="bottom"/>
                  <w:hideMark/>
                </w:tcPr>
                <w:p w14:paraId="52ABBDF9" w14:textId="77777777" w:rsidR="0069798A" w:rsidRPr="00DA5F44" w:rsidRDefault="0069798A" w:rsidP="0069798A">
                  <w:pPr>
                    <w:spacing w:after="0" w:line="240" w:lineRule="auto"/>
                    <w:rPr>
                      <w:rFonts w:ascii="Arial" w:eastAsia="Times New Roman" w:hAnsi="Arial" w:cs="Arial"/>
                      <w:sz w:val="20"/>
                      <w:szCs w:val="20"/>
                      <w:lang w:eastAsia="en-GB"/>
                    </w:rPr>
                  </w:pPr>
                  <w:r w:rsidRPr="00DA5F44">
                    <w:rPr>
                      <w:rFonts w:ascii="Arial" w:eastAsia="Times New Roman" w:hAnsi="Arial" w:cs="Arial"/>
                      <w:sz w:val="20"/>
                      <w:szCs w:val="20"/>
                      <w:lang w:eastAsia="en-GB"/>
                    </w:rPr>
                    <w:t> </w:t>
                  </w:r>
                </w:p>
              </w:tc>
              <w:tc>
                <w:tcPr>
                  <w:tcW w:w="1701" w:type="dxa"/>
                  <w:tcBorders>
                    <w:top w:val="nil"/>
                    <w:left w:val="nil"/>
                    <w:bottom w:val="nil"/>
                    <w:right w:val="nil"/>
                  </w:tcBorders>
                  <w:shd w:val="clear" w:color="auto" w:fill="auto"/>
                  <w:noWrap/>
                  <w:vAlign w:val="center"/>
                  <w:hideMark/>
                </w:tcPr>
                <w:p w14:paraId="21A3C97C" w14:textId="77777777" w:rsidR="0069798A" w:rsidRPr="00DA5F44" w:rsidRDefault="0069798A" w:rsidP="0069798A">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2020</w:t>
                  </w:r>
                </w:p>
              </w:tc>
              <w:tc>
                <w:tcPr>
                  <w:tcW w:w="1314" w:type="dxa"/>
                  <w:tcBorders>
                    <w:top w:val="nil"/>
                    <w:left w:val="nil"/>
                    <w:bottom w:val="nil"/>
                    <w:right w:val="nil"/>
                  </w:tcBorders>
                  <w:shd w:val="clear" w:color="auto" w:fill="auto"/>
                  <w:noWrap/>
                  <w:vAlign w:val="center"/>
                  <w:hideMark/>
                </w:tcPr>
                <w:p w14:paraId="23754D3A" w14:textId="77777777" w:rsidR="0069798A" w:rsidRPr="00DA5F44" w:rsidRDefault="0069798A" w:rsidP="0069798A">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2019</w:t>
                  </w:r>
                </w:p>
              </w:tc>
            </w:tr>
            <w:tr w:rsidR="0069798A" w:rsidRPr="00DA5F44" w14:paraId="5721D37C" w14:textId="77777777" w:rsidTr="005C5A16">
              <w:trPr>
                <w:trHeight w:val="261"/>
              </w:trPr>
              <w:tc>
                <w:tcPr>
                  <w:tcW w:w="4259" w:type="dxa"/>
                  <w:tcBorders>
                    <w:top w:val="nil"/>
                    <w:left w:val="nil"/>
                    <w:bottom w:val="nil"/>
                    <w:right w:val="nil"/>
                  </w:tcBorders>
                  <w:shd w:val="clear" w:color="auto" w:fill="auto"/>
                  <w:noWrap/>
                  <w:vAlign w:val="center"/>
                  <w:hideMark/>
                </w:tcPr>
                <w:p w14:paraId="030AB187" w14:textId="77777777" w:rsidR="0069798A" w:rsidRPr="00DA5F44" w:rsidRDefault="0069798A" w:rsidP="0069798A">
                  <w:pPr>
                    <w:spacing w:after="0" w:line="240" w:lineRule="auto"/>
                    <w:rPr>
                      <w:rFonts w:ascii="Arial" w:eastAsia="Times New Roman" w:hAnsi="Arial" w:cs="Arial"/>
                      <w:sz w:val="20"/>
                      <w:szCs w:val="20"/>
                      <w:lang w:eastAsia="en-GB"/>
                    </w:rPr>
                  </w:pPr>
                  <w:r w:rsidRPr="00DA5F44">
                    <w:rPr>
                      <w:rFonts w:ascii="Arial" w:eastAsia="Times New Roman" w:hAnsi="Arial" w:cs="Arial"/>
                      <w:sz w:val="20"/>
                      <w:szCs w:val="20"/>
                      <w:lang w:eastAsia="en-GB"/>
                    </w:rPr>
                    <w:t>Expected rate of salary increases</w:t>
                  </w:r>
                  <w:r w:rsidR="00E26815">
                    <w:rPr>
                      <w:rFonts w:ascii="Arial" w:eastAsia="Times New Roman" w:hAnsi="Arial" w:cs="Arial"/>
                      <w:sz w:val="20"/>
                      <w:szCs w:val="20"/>
                      <w:lang w:eastAsia="en-GB"/>
                    </w:rPr>
                    <w:t xml:space="preserve"> *</w:t>
                  </w:r>
                </w:p>
              </w:tc>
              <w:tc>
                <w:tcPr>
                  <w:tcW w:w="279" w:type="dxa"/>
                  <w:tcBorders>
                    <w:top w:val="nil"/>
                    <w:left w:val="nil"/>
                    <w:bottom w:val="nil"/>
                    <w:right w:val="nil"/>
                  </w:tcBorders>
                  <w:shd w:val="clear" w:color="auto" w:fill="auto"/>
                  <w:noWrap/>
                  <w:vAlign w:val="bottom"/>
                  <w:hideMark/>
                </w:tcPr>
                <w:p w14:paraId="4C492E68" w14:textId="77777777" w:rsidR="0069798A" w:rsidRPr="00DA5F44" w:rsidRDefault="0069798A" w:rsidP="0069798A">
                  <w:pPr>
                    <w:spacing w:after="0" w:line="240" w:lineRule="auto"/>
                    <w:rPr>
                      <w:rFonts w:ascii="Arial" w:eastAsia="Times New Roman" w:hAnsi="Arial" w:cs="Arial"/>
                      <w:sz w:val="20"/>
                      <w:szCs w:val="20"/>
                      <w:lang w:eastAsia="en-GB"/>
                    </w:rPr>
                  </w:pPr>
                </w:p>
              </w:tc>
              <w:tc>
                <w:tcPr>
                  <w:tcW w:w="1232" w:type="dxa"/>
                  <w:tcBorders>
                    <w:top w:val="nil"/>
                    <w:left w:val="nil"/>
                    <w:bottom w:val="nil"/>
                    <w:right w:val="nil"/>
                  </w:tcBorders>
                  <w:shd w:val="clear" w:color="auto" w:fill="auto"/>
                  <w:noWrap/>
                  <w:vAlign w:val="bottom"/>
                  <w:hideMark/>
                </w:tcPr>
                <w:p w14:paraId="2E8625A0" w14:textId="77777777" w:rsidR="0069798A" w:rsidRPr="00DA5F44" w:rsidRDefault="0069798A" w:rsidP="0069798A">
                  <w:pPr>
                    <w:spacing w:after="0" w:line="240" w:lineRule="auto"/>
                    <w:rPr>
                      <w:rFonts w:ascii="Times New Roman" w:eastAsia="Times New Roman" w:hAnsi="Times New Roman" w:cs="Times New Roman"/>
                      <w:sz w:val="20"/>
                      <w:szCs w:val="20"/>
                      <w:lang w:eastAsia="en-GB"/>
                    </w:rPr>
                  </w:pPr>
                </w:p>
              </w:tc>
              <w:tc>
                <w:tcPr>
                  <w:tcW w:w="784" w:type="dxa"/>
                  <w:tcBorders>
                    <w:top w:val="nil"/>
                    <w:left w:val="nil"/>
                    <w:bottom w:val="nil"/>
                    <w:right w:val="nil"/>
                  </w:tcBorders>
                  <w:shd w:val="clear" w:color="auto" w:fill="auto"/>
                  <w:noWrap/>
                  <w:vAlign w:val="bottom"/>
                  <w:hideMark/>
                </w:tcPr>
                <w:p w14:paraId="6B5E2D6F" w14:textId="77777777" w:rsidR="0069798A" w:rsidRPr="00DA5F44" w:rsidRDefault="0069798A" w:rsidP="0069798A">
                  <w:pPr>
                    <w:spacing w:after="0" w:line="240" w:lineRule="auto"/>
                    <w:rPr>
                      <w:rFonts w:ascii="Times New Roman" w:eastAsia="Times New Roman" w:hAnsi="Times New Roman" w:cs="Times New Roman"/>
                      <w:sz w:val="20"/>
                      <w:szCs w:val="20"/>
                      <w:lang w:eastAsia="en-GB"/>
                    </w:rPr>
                  </w:pPr>
                </w:p>
              </w:tc>
              <w:tc>
                <w:tcPr>
                  <w:tcW w:w="1701" w:type="dxa"/>
                  <w:tcBorders>
                    <w:top w:val="single" w:sz="4" w:space="0" w:color="auto"/>
                    <w:left w:val="nil"/>
                    <w:bottom w:val="nil"/>
                    <w:right w:val="nil"/>
                  </w:tcBorders>
                  <w:shd w:val="clear" w:color="auto" w:fill="auto"/>
                  <w:noWrap/>
                  <w:vAlign w:val="center"/>
                  <w:hideMark/>
                </w:tcPr>
                <w:p w14:paraId="1701F203" w14:textId="77777777" w:rsidR="00A62445" w:rsidRPr="00CA77A4" w:rsidRDefault="008700DE" w:rsidP="00CA77A4">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2.2</w:t>
                  </w:r>
                  <w:r w:rsidR="00CA77A4">
                    <w:rPr>
                      <w:rFonts w:ascii="Arial" w:eastAsia="Times New Roman" w:hAnsi="Arial" w:cs="Arial"/>
                      <w:b/>
                      <w:bCs/>
                      <w:sz w:val="20"/>
                      <w:szCs w:val="20"/>
                      <w:lang w:eastAsia="en-GB"/>
                    </w:rPr>
                    <w:t>% -</w:t>
                  </w:r>
                  <w:r w:rsidR="00A62445" w:rsidRPr="00CA77A4">
                    <w:rPr>
                      <w:rFonts w:ascii="Arial" w:eastAsia="Times New Roman" w:hAnsi="Arial" w:cs="Arial"/>
                      <w:b/>
                      <w:bCs/>
                      <w:sz w:val="20"/>
                      <w:szCs w:val="20"/>
                      <w:lang w:eastAsia="en-GB"/>
                    </w:rPr>
                    <w:t xml:space="preserve"> </w:t>
                  </w:r>
                  <w:r>
                    <w:rPr>
                      <w:rFonts w:ascii="Arial" w:eastAsia="Times New Roman" w:hAnsi="Arial" w:cs="Arial"/>
                      <w:b/>
                      <w:bCs/>
                      <w:sz w:val="20"/>
                      <w:szCs w:val="20"/>
                      <w:lang w:eastAsia="en-GB"/>
                    </w:rPr>
                    <w:t>2.8</w:t>
                  </w:r>
                  <w:r w:rsidR="00A62445" w:rsidRPr="00CA77A4">
                    <w:rPr>
                      <w:rFonts w:ascii="Arial" w:eastAsia="Times New Roman" w:hAnsi="Arial" w:cs="Arial"/>
                      <w:b/>
                      <w:bCs/>
                      <w:sz w:val="20"/>
                      <w:szCs w:val="20"/>
                      <w:lang w:eastAsia="en-GB"/>
                    </w:rPr>
                    <w:t xml:space="preserve">% </w:t>
                  </w:r>
                </w:p>
                <w:p w14:paraId="40AE2C24" w14:textId="77777777" w:rsidR="0069798A" w:rsidRPr="005C5A16" w:rsidRDefault="00936814" w:rsidP="005C5A16">
                  <w:pPr>
                    <w:pStyle w:val="ListParagraph"/>
                    <w:spacing w:after="0" w:line="240" w:lineRule="auto"/>
                    <w:ind w:left="360"/>
                    <w:jc w:val="center"/>
                    <w:rPr>
                      <w:rFonts w:ascii="Arial" w:eastAsia="Times New Roman" w:hAnsi="Arial" w:cs="Arial"/>
                      <w:b/>
                      <w:bCs/>
                      <w:sz w:val="20"/>
                      <w:szCs w:val="20"/>
                      <w:lang w:eastAsia="en-GB"/>
                    </w:rPr>
                  </w:pPr>
                  <w:r w:rsidRPr="005C5A16">
                    <w:rPr>
                      <w:rFonts w:ascii="Arial" w:eastAsia="Times New Roman" w:hAnsi="Arial" w:cs="Arial"/>
                      <w:b/>
                      <w:bCs/>
                      <w:sz w:val="20"/>
                      <w:szCs w:val="20"/>
                      <w:lang w:eastAsia="en-GB"/>
                    </w:rPr>
                    <w:t>plus PSS</w:t>
                  </w:r>
                </w:p>
              </w:tc>
              <w:tc>
                <w:tcPr>
                  <w:tcW w:w="1314" w:type="dxa"/>
                  <w:tcBorders>
                    <w:top w:val="single" w:sz="4" w:space="0" w:color="auto"/>
                    <w:left w:val="nil"/>
                    <w:bottom w:val="nil"/>
                    <w:right w:val="nil"/>
                  </w:tcBorders>
                  <w:shd w:val="clear" w:color="auto" w:fill="auto"/>
                  <w:noWrap/>
                  <w:vAlign w:val="center"/>
                  <w:hideMark/>
                </w:tcPr>
                <w:p w14:paraId="74E02CC1" w14:textId="77777777" w:rsidR="0069798A" w:rsidRPr="00416FDD" w:rsidRDefault="00CA77A4" w:rsidP="0069798A">
                  <w:pPr>
                    <w:spacing w:after="0" w:line="240" w:lineRule="auto"/>
                    <w:jc w:val="right"/>
                    <w:rPr>
                      <w:rFonts w:ascii="Arial" w:eastAsia="Times New Roman" w:hAnsi="Arial" w:cs="Arial"/>
                      <w:sz w:val="20"/>
                      <w:szCs w:val="20"/>
                      <w:lang w:eastAsia="en-GB"/>
                    </w:rPr>
                  </w:pPr>
                  <w:r>
                    <w:rPr>
                      <w:rFonts w:ascii="Arial" w:eastAsia="Times New Roman" w:hAnsi="Arial" w:cs="Arial"/>
                      <w:bCs/>
                      <w:sz w:val="20"/>
                      <w:szCs w:val="20"/>
                      <w:lang w:eastAsia="en-GB"/>
                    </w:rPr>
                    <w:t>2.</w:t>
                  </w:r>
                  <w:r w:rsidR="008700DE">
                    <w:rPr>
                      <w:rFonts w:ascii="Arial" w:eastAsia="Times New Roman" w:hAnsi="Arial" w:cs="Arial"/>
                      <w:bCs/>
                      <w:sz w:val="20"/>
                      <w:szCs w:val="20"/>
                      <w:lang w:eastAsia="en-GB"/>
                    </w:rPr>
                    <w:t>3</w:t>
                  </w:r>
                  <w:r w:rsidR="0069798A" w:rsidRPr="00416FDD">
                    <w:rPr>
                      <w:rFonts w:ascii="Arial" w:eastAsia="Times New Roman" w:hAnsi="Arial" w:cs="Arial"/>
                      <w:bCs/>
                      <w:sz w:val="20"/>
                      <w:szCs w:val="20"/>
                      <w:lang w:eastAsia="en-GB"/>
                    </w:rPr>
                    <w:t>%</w:t>
                  </w:r>
                  <w:r w:rsidR="00A62445">
                    <w:rPr>
                      <w:rFonts w:ascii="Arial" w:eastAsia="Times New Roman" w:hAnsi="Arial" w:cs="Arial"/>
                      <w:bCs/>
                      <w:sz w:val="20"/>
                      <w:szCs w:val="20"/>
                      <w:lang w:eastAsia="en-GB"/>
                    </w:rPr>
                    <w:t xml:space="preserve"> - 3.</w:t>
                  </w:r>
                  <w:r w:rsidR="008700DE">
                    <w:rPr>
                      <w:rFonts w:ascii="Arial" w:eastAsia="Times New Roman" w:hAnsi="Arial" w:cs="Arial"/>
                      <w:bCs/>
                      <w:sz w:val="20"/>
                      <w:szCs w:val="20"/>
                      <w:lang w:eastAsia="en-GB"/>
                    </w:rPr>
                    <w:t>1</w:t>
                  </w:r>
                  <w:r w:rsidR="00A62445">
                    <w:rPr>
                      <w:rFonts w:ascii="Arial" w:eastAsia="Times New Roman" w:hAnsi="Arial" w:cs="Arial"/>
                      <w:bCs/>
                      <w:sz w:val="20"/>
                      <w:szCs w:val="20"/>
                      <w:lang w:eastAsia="en-GB"/>
                    </w:rPr>
                    <w:t>%</w:t>
                  </w:r>
                  <w:r w:rsidR="00936814">
                    <w:rPr>
                      <w:rFonts w:ascii="Arial" w:eastAsia="Times New Roman" w:hAnsi="Arial" w:cs="Arial"/>
                      <w:bCs/>
                      <w:sz w:val="20"/>
                      <w:szCs w:val="20"/>
                      <w:lang w:eastAsia="en-GB"/>
                    </w:rPr>
                    <w:t xml:space="preserve"> plus PSS</w:t>
                  </w:r>
                </w:p>
              </w:tc>
            </w:tr>
            <w:tr w:rsidR="0069798A" w:rsidRPr="00DA5F44" w14:paraId="4E00933E" w14:textId="77777777" w:rsidTr="005C5A16">
              <w:trPr>
                <w:trHeight w:val="261"/>
              </w:trPr>
              <w:tc>
                <w:tcPr>
                  <w:tcW w:w="5770" w:type="dxa"/>
                  <w:gridSpan w:val="3"/>
                  <w:tcBorders>
                    <w:top w:val="nil"/>
                    <w:left w:val="nil"/>
                    <w:bottom w:val="nil"/>
                    <w:right w:val="nil"/>
                  </w:tcBorders>
                  <w:shd w:val="clear" w:color="auto" w:fill="auto"/>
                  <w:noWrap/>
                  <w:vAlign w:val="center"/>
                  <w:hideMark/>
                </w:tcPr>
                <w:p w14:paraId="47BB2120" w14:textId="77777777" w:rsidR="0069798A" w:rsidRPr="00DA5F44" w:rsidRDefault="0069798A" w:rsidP="0069798A">
                  <w:pPr>
                    <w:spacing w:after="0" w:line="240" w:lineRule="auto"/>
                    <w:rPr>
                      <w:rFonts w:ascii="Arial" w:eastAsia="Times New Roman" w:hAnsi="Arial" w:cs="Arial"/>
                      <w:sz w:val="20"/>
                      <w:szCs w:val="20"/>
                      <w:lang w:eastAsia="en-GB"/>
                    </w:rPr>
                  </w:pPr>
                  <w:r w:rsidRPr="00DA5F44">
                    <w:rPr>
                      <w:rFonts w:ascii="Arial" w:eastAsia="Times New Roman" w:hAnsi="Arial" w:cs="Arial"/>
                      <w:sz w:val="20"/>
                      <w:szCs w:val="20"/>
                      <w:lang w:eastAsia="en-GB"/>
                    </w:rPr>
                    <w:t>Expected rate of increase of pensions in payments</w:t>
                  </w:r>
                </w:p>
              </w:tc>
              <w:tc>
                <w:tcPr>
                  <w:tcW w:w="784" w:type="dxa"/>
                  <w:tcBorders>
                    <w:top w:val="nil"/>
                    <w:left w:val="nil"/>
                    <w:bottom w:val="nil"/>
                    <w:right w:val="nil"/>
                  </w:tcBorders>
                  <w:shd w:val="clear" w:color="auto" w:fill="auto"/>
                  <w:noWrap/>
                  <w:vAlign w:val="bottom"/>
                  <w:hideMark/>
                </w:tcPr>
                <w:p w14:paraId="70F2A3BC" w14:textId="77777777" w:rsidR="0069798A" w:rsidRPr="00DA5F44" w:rsidRDefault="0069798A" w:rsidP="0069798A">
                  <w:pPr>
                    <w:spacing w:after="0" w:line="240" w:lineRule="auto"/>
                    <w:rPr>
                      <w:rFonts w:ascii="Arial" w:eastAsia="Times New Roman" w:hAnsi="Arial" w:cs="Arial"/>
                      <w:sz w:val="20"/>
                      <w:szCs w:val="20"/>
                      <w:lang w:eastAsia="en-GB"/>
                    </w:rPr>
                  </w:pPr>
                </w:p>
              </w:tc>
              <w:tc>
                <w:tcPr>
                  <w:tcW w:w="1701" w:type="dxa"/>
                  <w:tcBorders>
                    <w:top w:val="nil"/>
                    <w:left w:val="nil"/>
                    <w:bottom w:val="nil"/>
                    <w:right w:val="nil"/>
                  </w:tcBorders>
                  <w:shd w:val="clear" w:color="auto" w:fill="auto"/>
                  <w:noWrap/>
                  <w:vAlign w:val="center"/>
                  <w:hideMark/>
                </w:tcPr>
                <w:p w14:paraId="27805EB5" w14:textId="77777777" w:rsidR="0069798A" w:rsidRPr="00DA5F44" w:rsidRDefault="008700DE" w:rsidP="0069798A">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1.5</w:t>
                  </w:r>
                  <w:r w:rsidR="00A62445">
                    <w:rPr>
                      <w:rFonts w:ascii="Arial" w:eastAsia="Times New Roman" w:hAnsi="Arial" w:cs="Arial"/>
                      <w:b/>
                      <w:bCs/>
                      <w:sz w:val="20"/>
                      <w:szCs w:val="20"/>
                      <w:lang w:eastAsia="en-GB"/>
                    </w:rPr>
                    <w:t xml:space="preserve">% - </w:t>
                  </w:r>
                  <w:r>
                    <w:rPr>
                      <w:rFonts w:ascii="Arial" w:eastAsia="Times New Roman" w:hAnsi="Arial" w:cs="Arial"/>
                      <w:b/>
                      <w:bCs/>
                      <w:sz w:val="20"/>
                      <w:szCs w:val="20"/>
                      <w:lang w:eastAsia="en-GB"/>
                    </w:rPr>
                    <w:t>3.4</w:t>
                  </w:r>
                  <w:r w:rsidR="0069798A" w:rsidRPr="00DA5F44">
                    <w:rPr>
                      <w:rFonts w:ascii="Arial" w:eastAsia="Times New Roman" w:hAnsi="Arial" w:cs="Arial"/>
                      <w:b/>
                      <w:bCs/>
                      <w:sz w:val="20"/>
                      <w:szCs w:val="20"/>
                      <w:lang w:eastAsia="en-GB"/>
                    </w:rPr>
                    <w:t>%</w:t>
                  </w:r>
                </w:p>
              </w:tc>
              <w:tc>
                <w:tcPr>
                  <w:tcW w:w="1314" w:type="dxa"/>
                  <w:tcBorders>
                    <w:top w:val="nil"/>
                    <w:left w:val="nil"/>
                    <w:bottom w:val="nil"/>
                    <w:right w:val="nil"/>
                  </w:tcBorders>
                  <w:shd w:val="clear" w:color="auto" w:fill="auto"/>
                  <w:noWrap/>
                  <w:vAlign w:val="center"/>
                  <w:hideMark/>
                </w:tcPr>
                <w:p w14:paraId="02BDFF87" w14:textId="77777777" w:rsidR="0069798A" w:rsidRPr="00416FDD" w:rsidRDefault="00A62445" w:rsidP="0069798A">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2.</w:t>
                  </w:r>
                  <w:r w:rsidR="008700DE">
                    <w:rPr>
                      <w:rFonts w:ascii="Arial" w:eastAsia="Times New Roman" w:hAnsi="Arial" w:cs="Arial"/>
                      <w:sz w:val="20"/>
                      <w:szCs w:val="20"/>
                      <w:lang w:eastAsia="en-GB"/>
                    </w:rPr>
                    <w:t>6</w:t>
                  </w:r>
                  <w:r>
                    <w:rPr>
                      <w:rFonts w:ascii="Arial" w:eastAsia="Times New Roman" w:hAnsi="Arial" w:cs="Arial"/>
                      <w:sz w:val="20"/>
                      <w:szCs w:val="20"/>
                      <w:lang w:eastAsia="en-GB"/>
                    </w:rPr>
                    <w:t>% - 3.</w:t>
                  </w:r>
                  <w:r w:rsidR="008700DE">
                    <w:rPr>
                      <w:rFonts w:ascii="Arial" w:eastAsia="Times New Roman" w:hAnsi="Arial" w:cs="Arial"/>
                      <w:sz w:val="20"/>
                      <w:szCs w:val="20"/>
                      <w:lang w:eastAsia="en-GB"/>
                    </w:rPr>
                    <w:t>8</w:t>
                  </w:r>
                  <w:r>
                    <w:rPr>
                      <w:rFonts w:ascii="Arial" w:eastAsia="Times New Roman" w:hAnsi="Arial" w:cs="Arial"/>
                      <w:sz w:val="20"/>
                      <w:szCs w:val="20"/>
                      <w:lang w:eastAsia="en-GB"/>
                    </w:rPr>
                    <w:t>%</w:t>
                  </w:r>
                </w:p>
              </w:tc>
            </w:tr>
            <w:tr w:rsidR="0069798A" w:rsidRPr="00DA5F44" w14:paraId="0D6EEDD4" w14:textId="77777777" w:rsidTr="005C5A16">
              <w:trPr>
                <w:trHeight w:val="261"/>
              </w:trPr>
              <w:tc>
                <w:tcPr>
                  <w:tcW w:w="4259" w:type="dxa"/>
                  <w:tcBorders>
                    <w:top w:val="nil"/>
                    <w:left w:val="nil"/>
                    <w:bottom w:val="nil"/>
                    <w:right w:val="nil"/>
                  </w:tcBorders>
                  <w:shd w:val="clear" w:color="auto" w:fill="auto"/>
                  <w:noWrap/>
                  <w:vAlign w:val="center"/>
                  <w:hideMark/>
                </w:tcPr>
                <w:p w14:paraId="071D8A05" w14:textId="77777777" w:rsidR="0069798A" w:rsidRPr="00DA5F44" w:rsidRDefault="0069798A" w:rsidP="0069798A">
                  <w:pPr>
                    <w:spacing w:after="0" w:line="240" w:lineRule="auto"/>
                    <w:rPr>
                      <w:rFonts w:ascii="Arial" w:eastAsia="Times New Roman" w:hAnsi="Arial" w:cs="Arial"/>
                      <w:sz w:val="20"/>
                      <w:szCs w:val="20"/>
                      <w:lang w:eastAsia="en-GB"/>
                    </w:rPr>
                  </w:pPr>
                  <w:r w:rsidRPr="00DA5F44">
                    <w:rPr>
                      <w:rFonts w:ascii="Arial" w:eastAsia="Times New Roman" w:hAnsi="Arial" w:cs="Arial"/>
                      <w:sz w:val="20"/>
                      <w:szCs w:val="20"/>
                      <w:lang w:eastAsia="en-GB"/>
                    </w:rPr>
                    <w:t>Rate of inflation</w:t>
                  </w:r>
                </w:p>
              </w:tc>
              <w:tc>
                <w:tcPr>
                  <w:tcW w:w="279" w:type="dxa"/>
                  <w:tcBorders>
                    <w:top w:val="nil"/>
                    <w:left w:val="nil"/>
                    <w:bottom w:val="nil"/>
                    <w:right w:val="nil"/>
                  </w:tcBorders>
                  <w:shd w:val="clear" w:color="auto" w:fill="auto"/>
                  <w:noWrap/>
                  <w:vAlign w:val="bottom"/>
                  <w:hideMark/>
                </w:tcPr>
                <w:p w14:paraId="134499CA" w14:textId="77777777" w:rsidR="0069798A" w:rsidRPr="00DA5F44" w:rsidRDefault="0069798A" w:rsidP="0069798A">
                  <w:pPr>
                    <w:spacing w:after="0" w:line="240" w:lineRule="auto"/>
                    <w:rPr>
                      <w:rFonts w:ascii="Arial" w:eastAsia="Times New Roman" w:hAnsi="Arial" w:cs="Arial"/>
                      <w:sz w:val="20"/>
                      <w:szCs w:val="20"/>
                      <w:lang w:eastAsia="en-GB"/>
                    </w:rPr>
                  </w:pPr>
                </w:p>
              </w:tc>
              <w:tc>
                <w:tcPr>
                  <w:tcW w:w="1232" w:type="dxa"/>
                  <w:tcBorders>
                    <w:top w:val="nil"/>
                    <w:left w:val="nil"/>
                    <w:bottom w:val="nil"/>
                    <w:right w:val="nil"/>
                  </w:tcBorders>
                  <w:shd w:val="clear" w:color="auto" w:fill="auto"/>
                  <w:noWrap/>
                  <w:vAlign w:val="bottom"/>
                  <w:hideMark/>
                </w:tcPr>
                <w:p w14:paraId="49CCA828" w14:textId="77777777" w:rsidR="0069798A" w:rsidRPr="00DA5F44" w:rsidRDefault="0069798A" w:rsidP="0069798A">
                  <w:pPr>
                    <w:spacing w:after="0" w:line="240" w:lineRule="auto"/>
                    <w:rPr>
                      <w:rFonts w:ascii="Times New Roman" w:eastAsia="Times New Roman" w:hAnsi="Times New Roman" w:cs="Times New Roman"/>
                      <w:sz w:val="20"/>
                      <w:szCs w:val="20"/>
                      <w:lang w:eastAsia="en-GB"/>
                    </w:rPr>
                  </w:pPr>
                </w:p>
              </w:tc>
              <w:tc>
                <w:tcPr>
                  <w:tcW w:w="784" w:type="dxa"/>
                  <w:tcBorders>
                    <w:top w:val="nil"/>
                    <w:left w:val="nil"/>
                    <w:bottom w:val="nil"/>
                    <w:right w:val="nil"/>
                  </w:tcBorders>
                  <w:shd w:val="clear" w:color="auto" w:fill="auto"/>
                  <w:noWrap/>
                  <w:vAlign w:val="bottom"/>
                  <w:hideMark/>
                </w:tcPr>
                <w:p w14:paraId="4B5BF533" w14:textId="77777777" w:rsidR="0069798A" w:rsidRPr="00DA5F44" w:rsidRDefault="0069798A" w:rsidP="0069798A">
                  <w:pPr>
                    <w:spacing w:after="0" w:line="240" w:lineRule="auto"/>
                    <w:rPr>
                      <w:rFonts w:ascii="Times New Roman" w:eastAsia="Times New Roman" w:hAnsi="Times New Roman" w:cs="Times New Roman"/>
                      <w:sz w:val="20"/>
                      <w:szCs w:val="20"/>
                      <w:lang w:eastAsia="en-GB"/>
                    </w:rPr>
                  </w:pPr>
                </w:p>
              </w:tc>
              <w:tc>
                <w:tcPr>
                  <w:tcW w:w="1701" w:type="dxa"/>
                  <w:tcBorders>
                    <w:top w:val="nil"/>
                    <w:left w:val="nil"/>
                    <w:bottom w:val="nil"/>
                    <w:right w:val="nil"/>
                  </w:tcBorders>
                  <w:shd w:val="clear" w:color="auto" w:fill="auto"/>
                  <w:noWrap/>
                  <w:vAlign w:val="center"/>
                  <w:hideMark/>
                </w:tcPr>
                <w:p w14:paraId="21DA8A3C" w14:textId="77777777" w:rsidR="0069798A" w:rsidRPr="00DA5F44" w:rsidRDefault="0069798A" w:rsidP="0069798A">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2.</w:t>
                  </w:r>
                  <w:r w:rsidR="00936814">
                    <w:rPr>
                      <w:rFonts w:ascii="Arial" w:eastAsia="Times New Roman" w:hAnsi="Arial" w:cs="Arial"/>
                      <w:b/>
                      <w:bCs/>
                      <w:sz w:val="20"/>
                      <w:szCs w:val="20"/>
                      <w:lang w:eastAsia="en-GB"/>
                    </w:rPr>
                    <w:t>0</w:t>
                  </w:r>
                  <w:r w:rsidR="00A62445">
                    <w:rPr>
                      <w:rFonts w:ascii="Arial" w:eastAsia="Times New Roman" w:hAnsi="Arial" w:cs="Arial"/>
                      <w:b/>
                      <w:bCs/>
                      <w:sz w:val="20"/>
                      <w:szCs w:val="20"/>
                      <w:lang w:eastAsia="en-GB"/>
                    </w:rPr>
                    <w:t>% - 2.</w:t>
                  </w:r>
                  <w:r w:rsidR="008700DE">
                    <w:rPr>
                      <w:rFonts w:ascii="Arial" w:eastAsia="Times New Roman" w:hAnsi="Arial" w:cs="Arial"/>
                      <w:b/>
                      <w:bCs/>
                      <w:sz w:val="20"/>
                      <w:szCs w:val="20"/>
                      <w:lang w:eastAsia="en-GB"/>
                    </w:rPr>
                    <w:t>3</w:t>
                  </w:r>
                  <w:r w:rsidR="00A62445">
                    <w:rPr>
                      <w:rFonts w:ascii="Arial" w:eastAsia="Times New Roman" w:hAnsi="Arial" w:cs="Arial"/>
                      <w:b/>
                      <w:bCs/>
                      <w:sz w:val="20"/>
                      <w:szCs w:val="20"/>
                      <w:lang w:eastAsia="en-GB"/>
                    </w:rPr>
                    <w:t>%</w:t>
                  </w:r>
                </w:p>
              </w:tc>
              <w:tc>
                <w:tcPr>
                  <w:tcW w:w="1314" w:type="dxa"/>
                  <w:tcBorders>
                    <w:top w:val="nil"/>
                    <w:left w:val="nil"/>
                    <w:bottom w:val="nil"/>
                    <w:right w:val="nil"/>
                  </w:tcBorders>
                  <w:shd w:val="clear" w:color="auto" w:fill="auto"/>
                  <w:noWrap/>
                  <w:vAlign w:val="center"/>
                  <w:hideMark/>
                </w:tcPr>
                <w:p w14:paraId="57F5D811" w14:textId="77777777" w:rsidR="0069798A" w:rsidRPr="00416FDD" w:rsidRDefault="00936814" w:rsidP="0069798A">
                  <w:pPr>
                    <w:spacing w:after="0" w:line="240" w:lineRule="auto"/>
                    <w:jc w:val="right"/>
                    <w:rPr>
                      <w:rFonts w:ascii="Arial" w:eastAsia="Times New Roman" w:hAnsi="Arial" w:cs="Arial"/>
                      <w:sz w:val="20"/>
                      <w:szCs w:val="20"/>
                      <w:lang w:eastAsia="en-GB"/>
                    </w:rPr>
                  </w:pPr>
                  <w:r>
                    <w:rPr>
                      <w:rFonts w:ascii="Arial" w:eastAsia="Times New Roman" w:hAnsi="Arial" w:cs="Arial"/>
                      <w:bCs/>
                      <w:sz w:val="20"/>
                      <w:szCs w:val="20"/>
                      <w:lang w:eastAsia="en-GB"/>
                    </w:rPr>
                    <w:t>2.</w:t>
                  </w:r>
                  <w:r w:rsidR="00A62445">
                    <w:rPr>
                      <w:rFonts w:ascii="Arial" w:eastAsia="Times New Roman" w:hAnsi="Arial" w:cs="Arial"/>
                      <w:bCs/>
                      <w:sz w:val="20"/>
                      <w:szCs w:val="20"/>
                      <w:lang w:eastAsia="en-GB"/>
                    </w:rPr>
                    <w:t>3</w:t>
                  </w:r>
                  <w:r w:rsidR="0069798A" w:rsidRPr="00416FDD">
                    <w:rPr>
                      <w:rFonts w:ascii="Arial" w:eastAsia="Times New Roman" w:hAnsi="Arial" w:cs="Arial"/>
                      <w:bCs/>
                      <w:sz w:val="20"/>
                      <w:szCs w:val="20"/>
                      <w:lang w:eastAsia="en-GB"/>
                    </w:rPr>
                    <w:t>%</w:t>
                  </w:r>
                  <w:r w:rsidR="00A62445">
                    <w:rPr>
                      <w:rFonts w:ascii="Arial" w:eastAsia="Times New Roman" w:hAnsi="Arial" w:cs="Arial"/>
                      <w:bCs/>
                      <w:sz w:val="20"/>
                      <w:szCs w:val="20"/>
                      <w:lang w:eastAsia="en-GB"/>
                    </w:rPr>
                    <w:t xml:space="preserve"> - 2.</w:t>
                  </w:r>
                  <w:r w:rsidR="008700DE">
                    <w:rPr>
                      <w:rFonts w:ascii="Arial" w:eastAsia="Times New Roman" w:hAnsi="Arial" w:cs="Arial"/>
                      <w:bCs/>
                      <w:sz w:val="20"/>
                      <w:szCs w:val="20"/>
                      <w:lang w:eastAsia="en-GB"/>
                    </w:rPr>
                    <w:t>6</w:t>
                  </w:r>
                  <w:r w:rsidR="00A62445">
                    <w:rPr>
                      <w:rFonts w:ascii="Arial" w:eastAsia="Times New Roman" w:hAnsi="Arial" w:cs="Arial"/>
                      <w:bCs/>
                      <w:sz w:val="20"/>
                      <w:szCs w:val="20"/>
                      <w:lang w:eastAsia="en-GB"/>
                    </w:rPr>
                    <w:t>%</w:t>
                  </w:r>
                </w:p>
              </w:tc>
            </w:tr>
            <w:tr w:rsidR="0069798A" w:rsidRPr="00DA5F44" w14:paraId="2E772683" w14:textId="77777777" w:rsidTr="005C5A16">
              <w:trPr>
                <w:trHeight w:val="261"/>
              </w:trPr>
              <w:tc>
                <w:tcPr>
                  <w:tcW w:w="4259" w:type="dxa"/>
                  <w:tcBorders>
                    <w:top w:val="nil"/>
                    <w:left w:val="nil"/>
                    <w:bottom w:val="nil"/>
                    <w:right w:val="nil"/>
                  </w:tcBorders>
                  <w:shd w:val="clear" w:color="auto" w:fill="auto"/>
                  <w:noWrap/>
                  <w:vAlign w:val="center"/>
                  <w:hideMark/>
                </w:tcPr>
                <w:p w14:paraId="73A695D6" w14:textId="77777777" w:rsidR="0069798A" w:rsidRPr="00DA5F44" w:rsidRDefault="0069798A" w:rsidP="0069798A">
                  <w:pPr>
                    <w:spacing w:after="0" w:line="240" w:lineRule="auto"/>
                    <w:rPr>
                      <w:rFonts w:ascii="Arial" w:eastAsia="Times New Roman" w:hAnsi="Arial" w:cs="Arial"/>
                      <w:sz w:val="20"/>
                      <w:szCs w:val="20"/>
                      <w:lang w:eastAsia="en-GB"/>
                    </w:rPr>
                  </w:pPr>
                  <w:r w:rsidRPr="00DA5F44">
                    <w:rPr>
                      <w:rFonts w:ascii="Arial" w:eastAsia="Times New Roman" w:hAnsi="Arial" w:cs="Arial"/>
                      <w:sz w:val="20"/>
                      <w:szCs w:val="20"/>
                      <w:lang w:eastAsia="en-GB"/>
                    </w:rPr>
                    <w:t>Discount rate</w:t>
                  </w:r>
                </w:p>
              </w:tc>
              <w:tc>
                <w:tcPr>
                  <w:tcW w:w="279" w:type="dxa"/>
                  <w:tcBorders>
                    <w:top w:val="nil"/>
                    <w:left w:val="nil"/>
                    <w:bottom w:val="nil"/>
                    <w:right w:val="nil"/>
                  </w:tcBorders>
                  <w:shd w:val="clear" w:color="auto" w:fill="auto"/>
                  <w:noWrap/>
                  <w:vAlign w:val="bottom"/>
                  <w:hideMark/>
                </w:tcPr>
                <w:p w14:paraId="58CF18F1" w14:textId="77777777" w:rsidR="0069798A" w:rsidRPr="00DA5F44" w:rsidRDefault="0069798A" w:rsidP="0069798A">
                  <w:pPr>
                    <w:spacing w:after="0" w:line="240" w:lineRule="auto"/>
                    <w:rPr>
                      <w:rFonts w:ascii="Arial" w:eastAsia="Times New Roman" w:hAnsi="Arial" w:cs="Arial"/>
                      <w:sz w:val="20"/>
                      <w:szCs w:val="20"/>
                      <w:lang w:eastAsia="en-GB"/>
                    </w:rPr>
                  </w:pPr>
                </w:p>
              </w:tc>
              <w:tc>
                <w:tcPr>
                  <w:tcW w:w="1232" w:type="dxa"/>
                  <w:tcBorders>
                    <w:top w:val="nil"/>
                    <w:left w:val="nil"/>
                    <w:bottom w:val="nil"/>
                    <w:right w:val="nil"/>
                  </w:tcBorders>
                  <w:shd w:val="clear" w:color="auto" w:fill="auto"/>
                  <w:noWrap/>
                  <w:vAlign w:val="bottom"/>
                  <w:hideMark/>
                </w:tcPr>
                <w:p w14:paraId="1BFCCC77" w14:textId="77777777" w:rsidR="0069798A" w:rsidRPr="00DA5F44" w:rsidRDefault="0069798A" w:rsidP="0069798A">
                  <w:pPr>
                    <w:spacing w:after="0" w:line="240" w:lineRule="auto"/>
                    <w:rPr>
                      <w:rFonts w:ascii="Times New Roman" w:eastAsia="Times New Roman" w:hAnsi="Times New Roman" w:cs="Times New Roman"/>
                      <w:sz w:val="20"/>
                      <w:szCs w:val="20"/>
                      <w:lang w:eastAsia="en-GB"/>
                    </w:rPr>
                  </w:pPr>
                </w:p>
              </w:tc>
              <w:tc>
                <w:tcPr>
                  <w:tcW w:w="784" w:type="dxa"/>
                  <w:tcBorders>
                    <w:top w:val="nil"/>
                    <w:left w:val="nil"/>
                    <w:bottom w:val="nil"/>
                    <w:right w:val="nil"/>
                  </w:tcBorders>
                  <w:shd w:val="clear" w:color="auto" w:fill="auto"/>
                  <w:noWrap/>
                  <w:vAlign w:val="bottom"/>
                  <w:hideMark/>
                </w:tcPr>
                <w:p w14:paraId="4C3CAED2" w14:textId="77777777" w:rsidR="0069798A" w:rsidRPr="00DA5F44" w:rsidRDefault="0069798A" w:rsidP="0069798A">
                  <w:pPr>
                    <w:spacing w:after="0" w:line="240" w:lineRule="auto"/>
                    <w:rPr>
                      <w:rFonts w:ascii="Times New Roman" w:eastAsia="Times New Roman" w:hAnsi="Times New Roman" w:cs="Times New Roman"/>
                      <w:sz w:val="20"/>
                      <w:szCs w:val="20"/>
                      <w:lang w:eastAsia="en-GB"/>
                    </w:rPr>
                  </w:pPr>
                </w:p>
              </w:tc>
              <w:tc>
                <w:tcPr>
                  <w:tcW w:w="1701" w:type="dxa"/>
                  <w:tcBorders>
                    <w:top w:val="nil"/>
                    <w:left w:val="nil"/>
                    <w:bottom w:val="nil"/>
                    <w:right w:val="nil"/>
                  </w:tcBorders>
                  <w:shd w:val="clear" w:color="auto" w:fill="auto"/>
                  <w:noWrap/>
                  <w:vAlign w:val="center"/>
                  <w:hideMark/>
                </w:tcPr>
                <w:p w14:paraId="4F0B93F7" w14:textId="77777777" w:rsidR="0069798A" w:rsidRPr="00DA5F44" w:rsidRDefault="0069798A" w:rsidP="0069798A">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1.</w:t>
                  </w:r>
                  <w:r w:rsidR="00936814">
                    <w:rPr>
                      <w:rFonts w:ascii="Arial" w:eastAsia="Times New Roman" w:hAnsi="Arial" w:cs="Arial"/>
                      <w:b/>
                      <w:bCs/>
                      <w:sz w:val="20"/>
                      <w:szCs w:val="20"/>
                      <w:lang w:eastAsia="en-GB"/>
                    </w:rPr>
                    <w:t>6</w:t>
                  </w:r>
                  <w:r w:rsidRPr="00DA5F44">
                    <w:rPr>
                      <w:rFonts w:ascii="Arial" w:eastAsia="Times New Roman" w:hAnsi="Arial" w:cs="Arial"/>
                      <w:b/>
                      <w:bCs/>
                      <w:sz w:val="20"/>
                      <w:szCs w:val="20"/>
                      <w:lang w:eastAsia="en-GB"/>
                    </w:rPr>
                    <w:t>%</w:t>
                  </w:r>
                  <w:r w:rsidR="00A62445">
                    <w:rPr>
                      <w:rFonts w:ascii="Arial" w:eastAsia="Times New Roman" w:hAnsi="Arial" w:cs="Arial"/>
                      <w:b/>
                      <w:bCs/>
                      <w:sz w:val="20"/>
                      <w:szCs w:val="20"/>
                      <w:lang w:eastAsia="en-GB"/>
                    </w:rPr>
                    <w:t xml:space="preserve"> - 1.7%</w:t>
                  </w:r>
                </w:p>
              </w:tc>
              <w:tc>
                <w:tcPr>
                  <w:tcW w:w="1314" w:type="dxa"/>
                  <w:tcBorders>
                    <w:top w:val="nil"/>
                    <w:left w:val="nil"/>
                    <w:bottom w:val="nil"/>
                    <w:right w:val="nil"/>
                  </w:tcBorders>
                  <w:shd w:val="clear" w:color="auto" w:fill="auto"/>
                  <w:noWrap/>
                  <w:vAlign w:val="center"/>
                  <w:hideMark/>
                </w:tcPr>
                <w:p w14:paraId="0A38573B" w14:textId="77777777" w:rsidR="0069798A" w:rsidRPr="00416FDD" w:rsidRDefault="00A62445" w:rsidP="0069798A">
                  <w:pPr>
                    <w:spacing w:after="0" w:line="240" w:lineRule="auto"/>
                    <w:jc w:val="right"/>
                    <w:rPr>
                      <w:rFonts w:ascii="Arial" w:eastAsia="Times New Roman" w:hAnsi="Arial" w:cs="Arial"/>
                      <w:sz w:val="20"/>
                      <w:szCs w:val="20"/>
                      <w:lang w:eastAsia="en-GB"/>
                    </w:rPr>
                  </w:pPr>
                  <w:r>
                    <w:rPr>
                      <w:rFonts w:ascii="Arial" w:eastAsia="Times New Roman" w:hAnsi="Arial" w:cs="Arial"/>
                      <w:bCs/>
                      <w:sz w:val="20"/>
                      <w:szCs w:val="20"/>
                      <w:lang w:eastAsia="en-GB"/>
                    </w:rPr>
                    <w:t xml:space="preserve">1.4% - </w:t>
                  </w:r>
                  <w:r w:rsidR="0069798A" w:rsidRPr="00416FDD">
                    <w:rPr>
                      <w:rFonts w:ascii="Arial" w:eastAsia="Times New Roman" w:hAnsi="Arial" w:cs="Arial"/>
                      <w:bCs/>
                      <w:sz w:val="20"/>
                      <w:szCs w:val="20"/>
                      <w:lang w:eastAsia="en-GB"/>
                    </w:rPr>
                    <w:t>1.9%</w:t>
                  </w:r>
                </w:p>
              </w:tc>
            </w:tr>
            <w:tr w:rsidR="0069798A" w:rsidRPr="00DA5F44" w14:paraId="2C6F9340" w14:textId="77777777" w:rsidTr="005C5A16">
              <w:trPr>
                <w:trHeight w:val="261"/>
              </w:trPr>
              <w:tc>
                <w:tcPr>
                  <w:tcW w:w="4259" w:type="dxa"/>
                  <w:tcBorders>
                    <w:top w:val="nil"/>
                    <w:left w:val="nil"/>
                    <w:bottom w:val="nil"/>
                    <w:right w:val="nil"/>
                  </w:tcBorders>
                  <w:shd w:val="clear" w:color="auto" w:fill="auto"/>
                  <w:noWrap/>
                  <w:vAlign w:val="center"/>
                  <w:hideMark/>
                </w:tcPr>
                <w:p w14:paraId="2C0D2C49" w14:textId="77777777" w:rsidR="0069798A" w:rsidRDefault="0069798A" w:rsidP="0069798A">
                  <w:pPr>
                    <w:spacing w:after="0" w:line="240" w:lineRule="auto"/>
                    <w:rPr>
                      <w:rFonts w:ascii="Arial" w:eastAsia="Times New Roman" w:hAnsi="Arial" w:cs="Arial"/>
                      <w:sz w:val="20"/>
                      <w:szCs w:val="20"/>
                      <w:lang w:eastAsia="en-GB"/>
                    </w:rPr>
                  </w:pPr>
                </w:p>
                <w:p w14:paraId="1068A4F2" w14:textId="77777777" w:rsidR="00936814" w:rsidRDefault="00936814" w:rsidP="0069798A">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PSS = Promotional salary scale</w:t>
                  </w:r>
                </w:p>
                <w:p w14:paraId="198C82C7" w14:textId="77777777" w:rsidR="00936814" w:rsidRPr="00DA5F44" w:rsidRDefault="00936814" w:rsidP="0069798A">
                  <w:pPr>
                    <w:spacing w:after="0" w:line="240" w:lineRule="auto"/>
                    <w:rPr>
                      <w:rFonts w:ascii="Arial" w:eastAsia="Times New Roman" w:hAnsi="Arial" w:cs="Arial"/>
                      <w:sz w:val="20"/>
                      <w:szCs w:val="20"/>
                      <w:lang w:eastAsia="en-GB"/>
                    </w:rPr>
                  </w:pPr>
                </w:p>
              </w:tc>
              <w:tc>
                <w:tcPr>
                  <w:tcW w:w="279" w:type="dxa"/>
                  <w:tcBorders>
                    <w:top w:val="nil"/>
                    <w:left w:val="nil"/>
                    <w:bottom w:val="nil"/>
                    <w:right w:val="nil"/>
                  </w:tcBorders>
                  <w:shd w:val="clear" w:color="auto" w:fill="auto"/>
                  <w:noWrap/>
                  <w:vAlign w:val="bottom"/>
                  <w:hideMark/>
                </w:tcPr>
                <w:p w14:paraId="3E81BBDF" w14:textId="77777777" w:rsidR="0069798A" w:rsidRPr="00DA5F44" w:rsidRDefault="0069798A" w:rsidP="0069798A">
                  <w:pPr>
                    <w:spacing w:after="0" w:line="240" w:lineRule="auto"/>
                    <w:rPr>
                      <w:rFonts w:ascii="Times New Roman" w:eastAsia="Times New Roman" w:hAnsi="Times New Roman" w:cs="Times New Roman"/>
                      <w:sz w:val="20"/>
                      <w:szCs w:val="20"/>
                      <w:lang w:eastAsia="en-GB"/>
                    </w:rPr>
                  </w:pPr>
                </w:p>
              </w:tc>
              <w:tc>
                <w:tcPr>
                  <w:tcW w:w="1232" w:type="dxa"/>
                  <w:tcBorders>
                    <w:top w:val="nil"/>
                    <w:left w:val="nil"/>
                    <w:bottom w:val="nil"/>
                    <w:right w:val="nil"/>
                  </w:tcBorders>
                  <w:shd w:val="clear" w:color="auto" w:fill="auto"/>
                  <w:noWrap/>
                  <w:vAlign w:val="bottom"/>
                  <w:hideMark/>
                </w:tcPr>
                <w:p w14:paraId="121140F7" w14:textId="77777777" w:rsidR="0069798A" w:rsidRPr="00DA5F44" w:rsidRDefault="0069798A" w:rsidP="0069798A">
                  <w:pPr>
                    <w:spacing w:after="0" w:line="240" w:lineRule="auto"/>
                    <w:rPr>
                      <w:rFonts w:ascii="Times New Roman" w:eastAsia="Times New Roman" w:hAnsi="Times New Roman" w:cs="Times New Roman"/>
                      <w:sz w:val="20"/>
                      <w:szCs w:val="20"/>
                      <w:lang w:eastAsia="en-GB"/>
                    </w:rPr>
                  </w:pPr>
                </w:p>
              </w:tc>
              <w:tc>
                <w:tcPr>
                  <w:tcW w:w="784" w:type="dxa"/>
                  <w:tcBorders>
                    <w:top w:val="nil"/>
                    <w:left w:val="nil"/>
                    <w:bottom w:val="nil"/>
                    <w:right w:val="nil"/>
                  </w:tcBorders>
                  <w:shd w:val="clear" w:color="auto" w:fill="auto"/>
                  <w:noWrap/>
                  <w:vAlign w:val="bottom"/>
                  <w:hideMark/>
                </w:tcPr>
                <w:p w14:paraId="3AF60D3C" w14:textId="77777777" w:rsidR="0069798A" w:rsidRPr="00DA5F44" w:rsidRDefault="0069798A" w:rsidP="0069798A">
                  <w:pPr>
                    <w:spacing w:after="0" w:line="240" w:lineRule="auto"/>
                    <w:rPr>
                      <w:rFonts w:ascii="Times New Roman" w:eastAsia="Times New Roman" w:hAnsi="Times New Roman" w:cs="Times New Roman"/>
                      <w:sz w:val="20"/>
                      <w:szCs w:val="20"/>
                      <w:lang w:eastAsia="en-GB"/>
                    </w:rPr>
                  </w:pPr>
                </w:p>
              </w:tc>
              <w:tc>
                <w:tcPr>
                  <w:tcW w:w="1701" w:type="dxa"/>
                  <w:tcBorders>
                    <w:top w:val="nil"/>
                    <w:left w:val="nil"/>
                    <w:bottom w:val="nil"/>
                    <w:right w:val="nil"/>
                  </w:tcBorders>
                  <w:shd w:val="clear" w:color="auto" w:fill="auto"/>
                  <w:noWrap/>
                  <w:vAlign w:val="center"/>
                  <w:hideMark/>
                </w:tcPr>
                <w:p w14:paraId="0C6697E8" w14:textId="77777777" w:rsidR="0069798A" w:rsidRPr="00DA5F44" w:rsidRDefault="0069798A" w:rsidP="0069798A">
                  <w:pPr>
                    <w:spacing w:after="0" w:line="240" w:lineRule="auto"/>
                    <w:jc w:val="right"/>
                    <w:rPr>
                      <w:rFonts w:ascii="Times New Roman" w:eastAsia="Times New Roman" w:hAnsi="Times New Roman" w:cs="Times New Roman"/>
                      <w:sz w:val="20"/>
                      <w:szCs w:val="20"/>
                      <w:lang w:eastAsia="en-GB"/>
                    </w:rPr>
                  </w:pPr>
                </w:p>
              </w:tc>
              <w:tc>
                <w:tcPr>
                  <w:tcW w:w="1314" w:type="dxa"/>
                  <w:tcBorders>
                    <w:top w:val="nil"/>
                    <w:left w:val="nil"/>
                    <w:bottom w:val="nil"/>
                    <w:right w:val="nil"/>
                  </w:tcBorders>
                  <w:shd w:val="clear" w:color="auto" w:fill="auto"/>
                  <w:noWrap/>
                  <w:vAlign w:val="center"/>
                  <w:hideMark/>
                </w:tcPr>
                <w:p w14:paraId="56DE6257" w14:textId="77777777" w:rsidR="0069798A" w:rsidRPr="00416FDD" w:rsidRDefault="0069798A" w:rsidP="0069798A">
                  <w:pPr>
                    <w:spacing w:after="0" w:line="240" w:lineRule="auto"/>
                    <w:jc w:val="right"/>
                    <w:rPr>
                      <w:rFonts w:ascii="Times New Roman" w:eastAsia="Times New Roman" w:hAnsi="Times New Roman" w:cs="Times New Roman"/>
                      <w:sz w:val="20"/>
                      <w:szCs w:val="20"/>
                      <w:lang w:eastAsia="en-GB"/>
                    </w:rPr>
                  </w:pPr>
                </w:p>
              </w:tc>
            </w:tr>
            <w:tr w:rsidR="0069798A" w:rsidRPr="00DA5F44" w14:paraId="626CDD51" w14:textId="77777777" w:rsidTr="005C5A16">
              <w:trPr>
                <w:trHeight w:val="261"/>
              </w:trPr>
              <w:tc>
                <w:tcPr>
                  <w:tcW w:w="5770" w:type="dxa"/>
                  <w:gridSpan w:val="3"/>
                  <w:tcBorders>
                    <w:top w:val="nil"/>
                    <w:left w:val="nil"/>
                    <w:bottom w:val="nil"/>
                    <w:right w:val="nil"/>
                  </w:tcBorders>
                  <w:shd w:val="clear" w:color="auto" w:fill="auto"/>
                  <w:noWrap/>
                  <w:vAlign w:val="center"/>
                  <w:hideMark/>
                </w:tcPr>
                <w:p w14:paraId="4F70CA74" w14:textId="77777777" w:rsidR="0069798A" w:rsidRPr="00DA5F44" w:rsidRDefault="0069798A" w:rsidP="0069798A">
                  <w:pPr>
                    <w:spacing w:after="0" w:line="240" w:lineRule="auto"/>
                    <w:rPr>
                      <w:rFonts w:ascii="Arial" w:eastAsia="Times New Roman" w:hAnsi="Arial" w:cs="Arial"/>
                      <w:sz w:val="20"/>
                      <w:szCs w:val="20"/>
                      <w:lang w:eastAsia="en-GB"/>
                    </w:rPr>
                  </w:pPr>
                  <w:r w:rsidRPr="00DA5F44">
                    <w:rPr>
                      <w:rFonts w:ascii="Arial" w:eastAsia="Times New Roman" w:hAnsi="Arial" w:cs="Arial"/>
                      <w:sz w:val="20"/>
                      <w:szCs w:val="20"/>
                      <w:lang w:eastAsia="en-GB"/>
                    </w:rPr>
                    <w:t>The mortality assumptions used were as follows:</w:t>
                  </w:r>
                </w:p>
              </w:tc>
              <w:tc>
                <w:tcPr>
                  <w:tcW w:w="784" w:type="dxa"/>
                  <w:tcBorders>
                    <w:top w:val="nil"/>
                    <w:left w:val="nil"/>
                    <w:bottom w:val="nil"/>
                    <w:right w:val="nil"/>
                  </w:tcBorders>
                  <w:shd w:val="clear" w:color="auto" w:fill="auto"/>
                  <w:noWrap/>
                  <w:vAlign w:val="bottom"/>
                  <w:hideMark/>
                </w:tcPr>
                <w:p w14:paraId="35139391" w14:textId="77777777" w:rsidR="0069798A" w:rsidRPr="00DA5F44" w:rsidRDefault="0069798A" w:rsidP="0069798A">
                  <w:pPr>
                    <w:spacing w:after="0" w:line="240" w:lineRule="auto"/>
                    <w:rPr>
                      <w:rFonts w:ascii="Arial" w:eastAsia="Times New Roman" w:hAnsi="Arial" w:cs="Arial"/>
                      <w:sz w:val="20"/>
                      <w:szCs w:val="20"/>
                      <w:lang w:eastAsia="en-GB"/>
                    </w:rPr>
                  </w:pPr>
                </w:p>
              </w:tc>
              <w:tc>
                <w:tcPr>
                  <w:tcW w:w="1701" w:type="dxa"/>
                  <w:tcBorders>
                    <w:top w:val="nil"/>
                    <w:left w:val="nil"/>
                    <w:bottom w:val="nil"/>
                    <w:right w:val="nil"/>
                  </w:tcBorders>
                  <w:shd w:val="clear" w:color="auto" w:fill="auto"/>
                  <w:noWrap/>
                  <w:vAlign w:val="center"/>
                  <w:hideMark/>
                </w:tcPr>
                <w:p w14:paraId="4B10E9D5" w14:textId="77777777" w:rsidR="0069798A" w:rsidRPr="00DA5F44" w:rsidRDefault="0069798A" w:rsidP="0069798A">
                  <w:pPr>
                    <w:spacing w:after="0" w:line="240" w:lineRule="auto"/>
                    <w:jc w:val="right"/>
                    <w:rPr>
                      <w:rFonts w:ascii="Times New Roman" w:eastAsia="Times New Roman" w:hAnsi="Times New Roman" w:cs="Times New Roman"/>
                      <w:sz w:val="20"/>
                      <w:szCs w:val="20"/>
                      <w:lang w:eastAsia="en-GB"/>
                    </w:rPr>
                  </w:pPr>
                </w:p>
              </w:tc>
              <w:tc>
                <w:tcPr>
                  <w:tcW w:w="1314" w:type="dxa"/>
                  <w:tcBorders>
                    <w:top w:val="nil"/>
                    <w:left w:val="nil"/>
                    <w:bottom w:val="nil"/>
                    <w:right w:val="nil"/>
                  </w:tcBorders>
                  <w:shd w:val="clear" w:color="auto" w:fill="auto"/>
                  <w:noWrap/>
                  <w:vAlign w:val="center"/>
                  <w:hideMark/>
                </w:tcPr>
                <w:p w14:paraId="62E76725" w14:textId="77777777" w:rsidR="0069798A" w:rsidRPr="00416FDD" w:rsidRDefault="0069798A" w:rsidP="0069798A">
                  <w:pPr>
                    <w:spacing w:after="0" w:line="240" w:lineRule="auto"/>
                    <w:jc w:val="right"/>
                    <w:rPr>
                      <w:rFonts w:ascii="Times New Roman" w:eastAsia="Times New Roman" w:hAnsi="Times New Roman" w:cs="Times New Roman"/>
                      <w:sz w:val="20"/>
                      <w:szCs w:val="20"/>
                      <w:lang w:eastAsia="en-GB"/>
                    </w:rPr>
                  </w:pPr>
                </w:p>
              </w:tc>
            </w:tr>
            <w:tr w:rsidR="0069798A" w:rsidRPr="00DA5F44" w14:paraId="31CB0402" w14:textId="77777777" w:rsidTr="005C5A16">
              <w:trPr>
                <w:trHeight w:val="261"/>
              </w:trPr>
              <w:tc>
                <w:tcPr>
                  <w:tcW w:w="4259" w:type="dxa"/>
                  <w:tcBorders>
                    <w:top w:val="nil"/>
                    <w:left w:val="nil"/>
                    <w:bottom w:val="nil"/>
                    <w:right w:val="nil"/>
                  </w:tcBorders>
                  <w:shd w:val="clear" w:color="auto" w:fill="auto"/>
                  <w:noWrap/>
                  <w:vAlign w:val="center"/>
                  <w:hideMark/>
                </w:tcPr>
                <w:p w14:paraId="05735554" w14:textId="77777777" w:rsidR="0069798A" w:rsidRPr="00DA5F44" w:rsidRDefault="0069798A" w:rsidP="0069798A">
                  <w:pPr>
                    <w:spacing w:after="0" w:line="240" w:lineRule="auto"/>
                    <w:rPr>
                      <w:rFonts w:ascii="Times New Roman" w:eastAsia="Times New Roman" w:hAnsi="Times New Roman" w:cs="Times New Roman"/>
                      <w:sz w:val="20"/>
                      <w:szCs w:val="20"/>
                      <w:lang w:eastAsia="en-GB"/>
                    </w:rPr>
                  </w:pPr>
                </w:p>
              </w:tc>
              <w:tc>
                <w:tcPr>
                  <w:tcW w:w="279" w:type="dxa"/>
                  <w:tcBorders>
                    <w:top w:val="nil"/>
                    <w:left w:val="nil"/>
                    <w:bottom w:val="nil"/>
                    <w:right w:val="nil"/>
                  </w:tcBorders>
                  <w:shd w:val="clear" w:color="auto" w:fill="auto"/>
                  <w:noWrap/>
                  <w:vAlign w:val="bottom"/>
                  <w:hideMark/>
                </w:tcPr>
                <w:p w14:paraId="349D3662" w14:textId="77777777" w:rsidR="0069798A" w:rsidRPr="00DA5F44" w:rsidRDefault="0069798A" w:rsidP="0069798A">
                  <w:pPr>
                    <w:spacing w:after="0" w:line="240" w:lineRule="auto"/>
                    <w:rPr>
                      <w:rFonts w:ascii="Times New Roman" w:eastAsia="Times New Roman" w:hAnsi="Times New Roman" w:cs="Times New Roman"/>
                      <w:sz w:val="20"/>
                      <w:szCs w:val="20"/>
                      <w:lang w:eastAsia="en-GB"/>
                    </w:rPr>
                  </w:pPr>
                </w:p>
              </w:tc>
              <w:tc>
                <w:tcPr>
                  <w:tcW w:w="1232" w:type="dxa"/>
                  <w:tcBorders>
                    <w:top w:val="nil"/>
                    <w:left w:val="nil"/>
                    <w:bottom w:val="nil"/>
                    <w:right w:val="nil"/>
                  </w:tcBorders>
                  <w:shd w:val="clear" w:color="auto" w:fill="auto"/>
                  <w:noWrap/>
                  <w:vAlign w:val="bottom"/>
                  <w:hideMark/>
                </w:tcPr>
                <w:p w14:paraId="0E3C104B" w14:textId="77777777" w:rsidR="0069798A" w:rsidRPr="00DA5F44" w:rsidRDefault="0069798A" w:rsidP="0069798A">
                  <w:pPr>
                    <w:spacing w:after="0" w:line="240" w:lineRule="auto"/>
                    <w:rPr>
                      <w:rFonts w:ascii="Times New Roman" w:eastAsia="Times New Roman" w:hAnsi="Times New Roman" w:cs="Times New Roman"/>
                      <w:sz w:val="20"/>
                      <w:szCs w:val="20"/>
                      <w:lang w:eastAsia="en-GB"/>
                    </w:rPr>
                  </w:pPr>
                </w:p>
              </w:tc>
              <w:tc>
                <w:tcPr>
                  <w:tcW w:w="784" w:type="dxa"/>
                  <w:tcBorders>
                    <w:top w:val="nil"/>
                    <w:left w:val="nil"/>
                    <w:bottom w:val="nil"/>
                    <w:right w:val="nil"/>
                  </w:tcBorders>
                  <w:shd w:val="clear" w:color="auto" w:fill="auto"/>
                  <w:noWrap/>
                  <w:vAlign w:val="bottom"/>
                  <w:hideMark/>
                </w:tcPr>
                <w:p w14:paraId="3149B3AF" w14:textId="77777777" w:rsidR="0069798A" w:rsidRPr="00DA5F44" w:rsidRDefault="0069798A" w:rsidP="0069798A">
                  <w:pPr>
                    <w:spacing w:after="0" w:line="240" w:lineRule="auto"/>
                    <w:rPr>
                      <w:rFonts w:ascii="Times New Roman" w:eastAsia="Times New Roman" w:hAnsi="Times New Roman" w:cs="Times New Roman"/>
                      <w:sz w:val="20"/>
                      <w:szCs w:val="20"/>
                      <w:lang w:eastAsia="en-GB"/>
                    </w:rPr>
                  </w:pPr>
                </w:p>
              </w:tc>
              <w:tc>
                <w:tcPr>
                  <w:tcW w:w="1701" w:type="dxa"/>
                  <w:tcBorders>
                    <w:top w:val="nil"/>
                    <w:left w:val="nil"/>
                    <w:bottom w:val="nil"/>
                    <w:right w:val="nil"/>
                  </w:tcBorders>
                  <w:shd w:val="clear" w:color="auto" w:fill="auto"/>
                  <w:noWrap/>
                  <w:vAlign w:val="center"/>
                  <w:hideMark/>
                </w:tcPr>
                <w:p w14:paraId="737F2161" w14:textId="77777777" w:rsidR="0069798A" w:rsidRPr="00DA5F44" w:rsidRDefault="0069798A" w:rsidP="0069798A">
                  <w:pPr>
                    <w:spacing w:after="0" w:line="240" w:lineRule="auto"/>
                    <w:jc w:val="right"/>
                    <w:rPr>
                      <w:rFonts w:ascii="Times New Roman" w:eastAsia="Times New Roman" w:hAnsi="Times New Roman" w:cs="Times New Roman"/>
                      <w:sz w:val="20"/>
                      <w:szCs w:val="20"/>
                      <w:lang w:eastAsia="en-GB"/>
                    </w:rPr>
                  </w:pPr>
                </w:p>
              </w:tc>
              <w:tc>
                <w:tcPr>
                  <w:tcW w:w="1314" w:type="dxa"/>
                  <w:tcBorders>
                    <w:top w:val="nil"/>
                    <w:left w:val="nil"/>
                    <w:bottom w:val="nil"/>
                    <w:right w:val="nil"/>
                  </w:tcBorders>
                  <w:shd w:val="clear" w:color="auto" w:fill="auto"/>
                  <w:noWrap/>
                  <w:vAlign w:val="center"/>
                  <w:hideMark/>
                </w:tcPr>
                <w:p w14:paraId="6F307A26" w14:textId="77777777" w:rsidR="0069798A" w:rsidRPr="00416FDD" w:rsidRDefault="0069798A" w:rsidP="0069798A">
                  <w:pPr>
                    <w:spacing w:after="0" w:line="240" w:lineRule="auto"/>
                    <w:jc w:val="right"/>
                    <w:rPr>
                      <w:rFonts w:ascii="Times New Roman" w:eastAsia="Times New Roman" w:hAnsi="Times New Roman" w:cs="Times New Roman"/>
                      <w:sz w:val="20"/>
                      <w:szCs w:val="20"/>
                      <w:lang w:eastAsia="en-GB"/>
                    </w:rPr>
                  </w:pPr>
                </w:p>
              </w:tc>
            </w:tr>
            <w:tr w:rsidR="0069798A" w:rsidRPr="00DA5F44" w14:paraId="63E8DFB9" w14:textId="77777777" w:rsidTr="005C5A16">
              <w:trPr>
                <w:trHeight w:val="261"/>
              </w:trPr>
              <w:tc>
                <w:tcPr>
                  <w:tcW w:w="4259" w:type="dxa"/>
                  <w:tcBorders>
                    <w:top w:val="nil"/>
                    <w:left w:val="nil"/>
                    <w:bottom w:val="nil"/>
                    <w:right w:val="nil"/>
                  </w:tcBorders>
                  <w:shd w:val="clear" w:color="auto" w:fill="auto"/>
                  <w:noWrap/>
                  <w:vAlign w:val="center"/>
                  <w:hideMark/>
                </w:tcPr>
                <w:p w14:paraId="54659279" w14:textId="77777777" w:rsidR="0069798A" w:rsidRPr="00DA5F44" w:rsidRDefault="0069798A" w:rsidP="0069798A">
                  <w:pPr>
                    <w:spacing w:after="0" w:line="240" w:lineRule="auto"/>
                    <w:rPr>
                      <w:rFonts w:ascii="Arial" w:eastAsia="Times New Roman" w:hAnsi="Arial" w:cs="Arial"/>
                      <w:sz w:val="20"/>
                      <w:szCs w:val="20"/>
                      <w:lang w:eastAsia="en-GB"/>
                    </w:rPr>
                  </w:pPr>
                  <w:r w:rsidRPr="00DA5F44">
                    <w:rPr>
                      <w:rFonts w:ascii="Arial" w:eastAsia="Times New Roman" w:hAnsi="Arial" w:cs="Arial"/>
                      <w:sz w:val="20"/>
                      <w:szCs w:val="20"/>
                      <w:lang w:eastAsia="en-GB"/>
                    </w:rPr>
                    <w:t>Longevity at age 65 for current pen</w:t>
                  </w:r>
                  <w:r>
                    <w:rPr>
                      <w:rFonts w:ascii="Arial" w:eastAsia="Times New Roman" w:hAnsi="Arial" w:cs="Arial"/>
                      <w:sz w:val="20"/>
                      <w:szCs w:val="20"/>
                      <w:lang w:eastAsia="en-GB"/>
                    </w:rPr>
                    <w:t>s</w:t>
                  </w:r>
                  <w:r w:rsidRPr="00DA5F44">
                    <w:rPr>
                      <w:rFonts w:ascii="Arial" w:eastAsia="Times New Roman" w:hAnsi="Arial" w:cs="Arial"/>
                      <w:sz w:val="20"/>
                      <w:szCs w:val="20"/>
                      <w:lang w:eastAsia="en-GB"/>
                    </w:rPr>
                    <w:t>ioners</w:t>
                  </w:r>
                </w:p>
              </w:tc>
              <w:tc>
                <w:tcPr>
                  <w:tcW w:w="279" w:type="dxa"/>
                  <w:tcBorders>
                    <w:top w:val="nil"/>
                    <w:left w:val="nil"/>
                    <w:bottom w:val="nil"/>
                    <w:right w:val="nil"/>
                  </w:tcBorders>
                  <w:shd w:val="clear" w:color="auto" w:fill="auto"/>
                  <w:noWrap/>
                  <w:vAlign w:val="bottom"/>
                  <w:hideMark/>
                </w:tcPr>
                <w:p w14:paraId="57B10C50" w14:textId="77777777" w:rsidR="0069798A" w:rsidRPr="00DA5F44" w:rsidRDefault="0069798A" w:rsidP="0069798A">
                  <w:pPr>
                    <w:spacing w:after="0" w:line="240" w:lineRule="auto"/>
                    <w:rPr>
                      <w:rFonts w:ascii="Arial" w:eastAsia="Times New Roman" w:hAnsi="Arial" w:cs="Arial"/>
                      <w:sz w:val="20"/>
                      <w:szCs w:val="20"/>
                      <w:lang w:eastAsia="en-GB"/>
                    </w:rPr>
                  </w:pPr>
                </w:p>
              </w:tc>
              <w:tc>
                <w:tcPr>
                  <w:tcW w:w="1232" w:type="dxa"/>
                  <w:tcBorders>
                    <w:top w:val="nil"/>
                    <w:left w:val="nil"/>
                    <w:bottom w:val="nil"/>
                    <w:right w:val="nil"/>
                  </w:tcBorders>
                  <w:shd w:val="clear" w:color="auto" w:fill="auto"/>
                  <w:noWrap/>
                  <w:vAlign w:val="bottom"/>
                  <w:hideMark/>
                </w:tcPr>
                <w:p w14:paraId="3E324988" w14:textId="77777777" w:rsidR="0069798A" w:rsidRPr="00DA5F44" w:rsidRDefault="0069798A" w:rsidP="0069798A">
                  <w:pPr>
                    <w:spacing w:after="0" w:line="240" w:lineRule="auto"/>
                    <w:rPr>
                      <w:rFonts w:ascii="Times New Roman" w:eastAsia="Times New Roman" w:hAnsi="Times New Roman" w:cs="Times New Roman"/>
                      <w:sz w:val="20"/>
                      <w:szCs w:val="20"/>
                      <w:lang w:eastAsia="en-GB"/>
                    </w:rPr>
                  </w:pPr>
                </w:p>
              </w:tc>
              <w:tc>
                <w:tcPr>
                  <w:tcW w:w="784" w:type="dxa"/>
                  <w:tcBorders>
                    <w:top w:val="nil"/>
                    <w:left w:val="nil"/>
                    <w:bottom w:val="nil"/>
                    <w:right w:val="nil"/>
                  </w:tcBorders>
                  <w:shd w:val="clear" w:color="auto" w:fill="auto"/>
                  <w:noWrap/>
                  <w:vAlign w:val="bottom"/>
                  <w:hideMark/>
                </w:tcPr>
                <w:p w14:paraId="2A3BB289" w14:textId="77777777" w:rsidR="0069798A" w:rsidRPr="00DA5F44" w:rsidRDefault="0069798A" w:rsidP="0069798A">
                  <w:pPr>
                    <w:spacing w:after="0" w:line="240" w:lineRule="auto"/>
                    <w:rPr>
                      <w:rFonts w:ascii="Times New Roman" w:eastAsia="Times New Roman" w:hAnsi="Times New Roman" w:cs="Times New Roman"/>
                      <w:sz w:val="20"/>
                      <w:szCs w:val="20"/>
                      <w:lang w:eastAsia="en-GB"/>
                    </w:rPr>
                  </w:pPr>
                </w:p>
              </w:tc>
              <w:tc>
                <w:tcPr>
                  <w:tcW w:w="1701" w:type="dxa"/>
                  <w:tcBorders>
                    <w:top w:val="nil"/>
                    <w:left w:val="nil"/>
                    <w:bottom w:val="nil"/>
                    <w:right w:val="nil"/>
                  </w:tcBorders>
                  <w:shd w:val="clear" w:color="auto" w:fill="auto"/>
                  <w:noWrap/>
                  <w:vAlign w:val="center"/>
                  <w:hideMark/>
                </w:tcPr>
                <w:p w14:paraId="4F3CFA39" w14:textId="77777777" w:rsidR="0069798A" w:rsidRPr="00DA5F44" w:rsidRDefault="0069798A" w:rsidP="0069798A">
                  <w:pPr>
                    <w:spacing w:after="0" w:line="240" w:lineRule="auto"/>
                    <w:jc w:val="right"/>
                    <w:rPr>
                      <w:rFonts w:ascii="Times New Roman" w:eastAsia="Times New Roman" w:hAnsi="Times New Roman" w:cs="Times New Roman"/>
                      <w:sz w:val="20"/>
                      <w:szCs w:val="20"/>
                      <w:lang w:eastAsia="en-GB"/>
                    </w:rPr>
                  </w:pPr>
                </w:p>
              </w:tc>
              <w:tc>
                <w:tcPr>
                  <w:tcW w:w="1314" w:type="dxa"/>
                  <w:tcBorders>
                    <w:top w:val="nil"/>
                    <w:left w:val="nil"/>
                    <w:bottom w:val="nil"/>
                    <w:right w:val="nil"/>
                  </w:tcBorders>
                  <w:shd w:val="clear" w:color="auto" w:fill="auto"/>
                  <w:noWrap/>
                  <w:vAlign w:val="center"/>
                  <w:hideMark/>
                </w:tcPr>
                <w:p w14:paraId="71584F58" w14:textId="77777777" w:rsidR="0069798A" w:rsidRPr="00416FDD" w:rsidRDefault="0069798A" w:rsidP="0069798A">
                  <w:pPr>
                    <w:spacing w:after="0" w:line="240" w:lineRule="auto"/>
                    <w:jc w:val="right"/>
                    <w:rPr>
                      <w:rFonts w:ascii="Times New Roman" w:eastAsia="Times New Roman" w:hAnsi="Times New Roman" w:cs="Times New Roman"/>
                      <w:sz w:val="20"/>
                      <w:szCs w:val="20"/>
                      <w:lang w:eastAsia="en-GB"/>
                    </w:rPr>
                  </w:pPr>
                </w:p>
              </w:tc>
            </w:tr>
            <w:tr w:rsidR="0069798A" w:rsidRPr="00DA5F44" w14:paraId="0A6911B6" w14:textId="77777777" w:rsidTr="005C5A16">
              <w:trPr>
                <w:trHeight w:val="261"/>
              </w:trPr>
              <w:tc>
                <w:tcPr>
                  <w:tcW w:w="4259" w:type="dxa"/>
                  <w:tcBorders>
                    <w:top w:val="nil"/>
                    <w:left w:val="nil"/>
                    <w:bottom w:val="nil"/>
                    <w:right w:val="nil"/>
                  </w:tcBorders>
                  <w:shd w:val="clear" w:color="auto" w:fill="auto"/>
                  <w:noWrap/>
                  <w:vAlign w:val="center"/>
                  <w:hideMark/>
                </w:tcPr>
                <w:p w14:paraId="77DBA6AD" w14:textId="77777777" w:rsidR="0069798A" w:rsidRPr="00DA5F44" w:rsidRDefault="0069798A" w:rsidP="0069798A">
                  <w:pPr>
                    <w:spacing w:after="0" w:line="240" w:lineRule="auto"/>
                    <w:rPr>
                      <w:rFonts w:ascii="Arial" w:eastAsia="Times New Roman" w:hAnsi="Arial" w:cs="Arial"/>
                      <w:sz w:val="20"/>
                      <w:szCs w:val="20"/>
                      <w:lang w:eastAsia="en-GB"/>
                    </w:rPr>
                  </w:pPr>
                  <w:r w:rsidRPr="00DA5F44">
                    <w:rPr>
                      <w:rFonts w:ascii="Arial" w:eastAsia="Times New Roman" w:hAnsi="Arial" w:cs="Arial"/>
                      <w:sz w:val="20"/>
                      <w:szCs w:val="20"/>
                      <w:lang w:eastAsia="en-GB"/>
                    </w:rPr>
                    <w:t>- Men</w:t>
                  </w:r>
                </w:p>
              </w:tc>
              <w:tc>
                <w:tcPr>
                  <w:tcW w:w="279" w:type="dxa"/>
                  <w:tcBorders>
                    <w:top w:val="nil"/>
                    <w:left w:val="nil"/>
                    <w:bottom w:val="nil"/>
                    <w:right w:val="nil"/>
                  </w:tcBorders>
                  <w:shd w:val="clear" w:color="auto" w:fill="auto"/>
                  <w:noWrap/>
                  <w:vAlign w:val="bottom"/>
                  <w:hideMark/>
                </w:tcPr>
                <w:p w14:paraId="40963F52" w14:textId="77777777" w:rsidR="0069798A" w:rsidRPr="00DA5F44" w:rsidRDefault="0069798A" w:rsidP="0069798A">
                  <w:pPr>
                    <w:spacing w:after="0" w:line="240" w:lineRule="auto"/>
                    <w:rPr>
                      <w:rFonts w:ascii="Arial" w:eastAsia="Times New Roman" w:hAnsi="Arial" w:cs="Arial"/>
                      <w:sz w:val="20"/>
                      <w:szCs w:val="20"/>
                      <w:lang w:eastAsia="en-GB"/>
                    </w:rPr>
                  </w:pPr>
                </w:p>
              </w:tc>
              <w:tc>
                <w:tcPr>
                  <w:tcW w:w="1232" w:type="dxa"/>
                  <w:tcBorders>
                    <w:top w:val="nil"/>
                    <w:left w:val="nil"/>
                    <w:bottom w:val="nil"/>
                    <w:right w:val="nil"/>
                  </w:tcBorders>
                  <w:shd w:val="clear" w:color="auto" w:fill="auto"/>
                  <w:noWrap/>
                  <w:vAlign w:val="bottom"/>
                  <w:hideMark/>
                </w:tcPr>
                <w:p w14:paraId="5F080C05" w14:textId="77777777" w:rsidR="0069798A" w:rsidRPr="00DA5F44" w:rsidRDefault="0069798A" w:rsidP="0069798A">
                  <w:pPr>
                    <w:spacing w:after="0" w:line="240" w:lineRule="auto"/>
                    <w:rPr>
                      <w:rFonts w:ascii="Times New Roman" w:eastAsia="Times New Roman" w:hAnsi="Times New Roman" w:cs="Times New Roman"/>
                      <w:sz w:val="20"/>
                      <w:szCs w:val="20"/>
                      <w:lang w:eastAsia="en-GB"/>
                    </w:rPr>
                  </w:pPr>
                </w:p>
              </w:tc>
              <w:tc>
                <w:tcPr>
                  <w:tcW w:w="784" w:type="dxa"/>
                  <w:tcBorders>
                    <w:top w:val="nil"/>
                    <w:left w:val="nil"/>
                    <w:bottom w:val="nil"/>
                    <w:right w:val="nil"/>
                  </w:tcBorders>
                  <w:shd w:val="clear" w:color="auto" w:fill="auto"/>
                  <w:noWrap/>
                  <w:vAlign w:val="bottom"/>
                  <w:hideMark/>
                </w:tcPr>
                <w:p w14:paraId="52C216D9" w14:textId="77777777" w:rsidR="0069798A" w:rsidRPr="00DA5F44" w:rsidRDefault="0069798A" w:rsidP="0069798A">
                  <w:pPr>
                    <w:spacing w:after="0" w:line="240" w:lineRule="auto"/>
                    <w:rPr>
                      <w:rFonts w:ascii="Times New Roman" w:eastAsia="Times New Roman" w:hAnsi="Times New Roman" w:cs="Times New Roman"/>
                      <w:sz w:val="20"/>
                      <w:szCs w:val="20"/>
                      <w:lang w:eastAsia="en-GB"/>
                    </w:rPr>
                  </w:pPr>
                </w:p>
              </w:tc>
              <w:tc>
                <w:tcPr>
                  <w:tcW w:w="1701" w:type="dxa"/>
                  <w:tcBorders>
                    <w:top w:val="nil"/>
                    <w:left w:val="nil"/>
                    <w:bottom w:val="nil"/>
                    <w:right w:val="nil"/>
                  </w:tcBorders>
                  <w:shd w:val="clear" w:color="auto" w:fill="auto"/>
                  <w:noWrap/>
                  <w:vAlign w:val="center"/>
                  <w:hideMark/>
                </w:tcPr>
                <w:p w14:paraId="7AF36669" w14:textId="77777777" w:rsidR="0069798A" w:rsidRPr="00DA5F44" w:rsidRDefault="00936814" w:rsidP="0069798A">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8</w:t>
                  </w:r>
                  <w:r w:rsidR="00A62445">
                    <w:rPr>
                      <w:rFonts w:ascii="Arial" w:eastAsia="Times New Roman" w:hAnsi="Arial" w:cs="Arial"/>
                      <w:b/>
                      <w:bCs/>
                      <w:sz w:val="20"/>
                      <w:szCs w:val="20"/>
                      <w:lang w:eastAsia="en-GB"/>
                    </w:rPr>
                    <w:t>6</w:t>
                  </w:r>
                  <w:r>
                    <w:rPr>
                      <w:rFonts w:ascii="Arial" w:eastAsia="Times New Roman" w:hAnsi="Arial" w:cs="Arial"/>
                      <w:b/>
                      <w:bCs/>
                      <w:sz w:val="20"/>
                      <w:szCs w:val="20"/>
                      <w:lang w:eastAsia="en-GB"/>
                    </w:rPr>
                    <w:t>.0</w:t>
                  </w:r>
                  <w:r w:rsidR="00960F23">
                    <w:rPr>
                      <w:rFonts w:ascii="Arial" w:eastAsia="Times New Roman" w:hAnsi="Arial" w:cs="Arial"/>
                      <w:b/>
                      <w:bCs/>
                      <w:sz w:val="20"/>
                      <w:szCs w:val="20"/>
                      <w:lang w:eastAsia="en-GB"/>
                    </w:rPr>
                    <w:t xml:space="preserve"> </w:t>
                  </w:r>
                  <w:r w:rsidR="00A62445">
                    <w:rPr>
                      <w:rFonts w:ascii="Arial" w:eastAsia="Times New Roman" w:hAnsi="Arial" w:cs="Arial"/>
                      <w:b/>
                      <w:bCs/>
                      <w:sz w:val="20"/>
                      <w:szCs w:val="20"/>
                      <w:lang w:eastAsia="en-GB"/>
                    </w:rPr>
                    <w:t>- 87.</w:t>
                  </w:r>
                  <w:r w:rsidR="008700DE">
                    <w:rPr>
                      <w:rFonts w:ascii="Arial" w:eastAsia="Times New Roman" w:hAnsi="Arial" w:cs="Arial"/>
                      <w:b/>
                      <w:bCs/>
                      <w:sz w:val="20"/>
                      <w:szCs w:val="20"/>
                      <w:lang w:eastAsia="en-GB"/>
                    </w:rPr>
                    <w:t>0</w:t>
                  </w:r>
                </w:p>
              </w:tc>
              <w:tc>
                <w:tcPr>
                  <w:tcW w:w="1314" w:type="dxa"/>
                  <w:tcBorders>
                    <w:top w:val="nil"/>
                    <w:left w:val="nil"/>
                    <w:bottom w:val="nil"/>
                    <w:right w:val="nil"/>
                  </w:tcBorders>
                  <w:shd w:val="clear" w:color="auto" w:fill="auto"/>
                  <w:noWrap/>
                  <w:vAlign w:val="center"/>
                  <w:hideMark/>
                </w:tcPr>
                <w:p w14:paraId="66ACB358" w14:textId="77777777" w:rsidR="0069798A" w:rsidRPr="00416FDD" w:rsidRDefault="00A62445" w:rsidP="0069798A">
                  <w:pPr>
                    <w:spacing w:after="0" w:line="240" w:lineRule="auto"/>
                    <w:jc w:val="right"/>
                    <w:rPr>
                      <w:rFonts w:ascii="Arial" w:eastAsia="Times New Roman" w:hAnsi="Arial" w:cs="Arial"/>
                      <w:bCs/>
                      <w:sz w:val="20"/>
                      <w:szCs w:val="20"/>
                      <w:lang w:eastAsia="en-GB"/>
                    </w:rPr>
                  </w:pPr>
                  <w:r>
                    <w:rPr>
                      <w:rFonts w:ascii="Arial" w:eastAsia="Times New Roman" w:hAnsi="Arial" w:cs="Arial"/>
                      <w:bCs/>
                      <w:sz w:val="20"/>
                      <w:szCs w:val="20"/>
                      <w:lang w:eastAsia="en-GB"/>
                    </w:rPr>
                    <w:t xml:space="preserve">85.6 </w:t>
                  </w:r>
                  <w:r w:rsidR="008700DE">
                    <w:rPr>
                      <w:rFonts w:ascii="Arial" w:eastAsia="Times New Roman" w:hAnsi="Arial" w:cs="Arial"/>
                      <w:bCs/>
                      <w:sz w:val="20"/>
                      <w:szCs w:val="20"/>
                      <w:lang w:eastAsia="en-GB"/>
                    </w:rPr>
                    <w:t>-</w:t>
                  </w:r>
                  <w:r>
                    <w:rPr>
                      <w:rFonts w:ascii="Arial" w:eastAsia="Times New Roman" w:hAnsi="Arial" w:cs="Arial"/>
                      <w:bCs/>
                      <w:sz w:val="20"/>
                      <w:szCs w:val="20"/>
                      <w:lang w:eastAsia="en-GB"/>
                    </w:rPr>
                    <w:t xml:space="preserve"> 8</w:t>
                  </w:r>
                  <w:r w:rsidR="008700DE">
                    <w:rPr>
                      <w:rFonts w:ascii="Arial" w:eastAsia="Times New Roman" w:hAnsi="Arial" w:cs="Arial"/>
                      <w:bCs/>
                      <w:sz w:val="20"/>
                      <w:szCs w:val="20"/>
                      <w:lang w:eastAsia="en-GB"/>
                    </w:rPr>
                    <w:t>7.4</w:t>
                  </w:r>
                </w:p>
              </w:tc>
            </w:tr>
            <w:tr w:rsidR="0069798A" w:rsidRPr="00DA5F44" w14:paraId="3A9B61FC" w14:textId="77777777" w:rsidTr="005C5A16">
              <w:trPr>
                <w:trHeight w:val="261"/>
              </w:trPr>
              <w:tc>
                <w:tcPr>
                  <w:tcW w:w="4259" w:type="dxa"/>
                  <w:tcBorders>
                    <w:top w:val="nil"/>
                    <w:left w:val="nil"/>
                    <w:bottom w:val="nil"/>
                    <w:right w:val="nil"/>
                  </w:tcBorders>
                  <w:shd w:val="clear" w:color="auto" w:fill="auto"/>
                  <w:noWrap/>
                  <w:vAlign w:val="center"/>
                  <w:hideMark/>
                </w:tcPr>
                <w:p w14:paraId="7BD92551" w14:textId="77777777" w:rsidR="0069798A" w:rsidRPr="00DA5F44" w:rsidRDefault="0069798A" w:rsidP="0069798A">
                  <w:pPr>
                    <w:spacing w:after="0" w:line="240" w:lineRule="auto"/>
                    <w:rPr>
                      <w:rFonts w:ascii="Arial" w:eastAsia="Times New Roman" w:hAnsi="Arial" w:cs="Arial"/>
                      <w:sz w:val="20"/>
                      <w:szCs w:val="20"/>
                      <w:lang w:eastAsia="en-GB"/>
                    </w:rPr>
                  </w:pPr>
                  <w:r w:rsidRPr="00DA5F44">
                    <w:rPr>
                      <w:rFonts w:ascii="Arial" w:eastAsia="Times New Roman" w:hAnsi="Arial" w:cs="Arial"/>
                      <w:sz w:val="20"/>
                      <w:szCs w:val="20"/>
                      <w:lang w:eastAsia="en-GB"/>
                    </w:rPr>
                    <w:t>- Women</w:t>
                  </w:r>
                </w:p>
              </w:tc>
              <w:tc>
                <w:tcPr>
                  <w:tcW w:w="279" w:type="dxa"/>
                  <w:tcBorders>
                    <w:top w:val="nil"/>
                    <w:left w:val="nil"/>
                    <w:bottom w:val="nil"/>
                    <w:right w:val="nil"/>
                  </w:tcBorders>
                  <w:shd w:val="clear" w:color="auto" w:fill="auto"/>
                  <w:noWrap/>
                  <w:vAlign w:val="bottom"/>
                  <w:hideMark/>
                </w:tcPr>
                <w:p w14:paraId="54798917" w14:textId="77777777" w:rsidR="0069798A" w:rsidRPr="00DA5F44" w:rsidRDefault="0069798A" w:rsidP="0069798A">
                  <w:pPr>
                    <w:spacing w:after="0" w:line="240" w:lineRule="auto"/>
                    <w:rPr>
                      <w:rFonts w:ascii="Arial" w:eastAsia="Times New Roman" w:hAnsi="Arial" w:cs="Arial"/>
                      <w:sz w:val="20"/>
                      <w:szCs w:val="20"/>
                      <w:lang w:eastAsia="en-GB"/>
                    </w:rPr>
                  </w:pPr>
                </w:p>
              </w:tc>
              <w:tc>
                <w:tcPr>
                  <w:tcW w:w="1232" w:type="dxa"/>
                  <w:tcBorders>
                    <w:top w:val="nil"/>
                    <w:left w:val="nil"/>
                    <w:bottom w:val="nil"/>
                    <w:right w:val="nil"/>
                  </w:tcBorders>
                  <w:shd w:val="clear" w:color="auto" w:fill="auto"/>
                  <w:noWrap/>
                  <w:vAlign w:val="bottom"/>
                  <w:hideMark/>
                </w:tcPr>
                <w:p w14:paraId="558D0A26" w14:textId="77777777" w:rsidR="0069798A" w:rsidRPr="00DA5F44" w:rsidRDefault="0069798A" w:rsidP="0069798A">
                  <w:pPr>
                    <w:spacing w:after="0" w:line="240" w:lineRule="auto"/>
                    <w:rPr>
                      <w:rFonts w:ascii="Times New Roman" w:eastAsia="Times New Roman" w:hAnsi="Times New Roman" w:cs="Times New Roman"/>
                      <w:sz w:val="20"/>
                      <w:szCs w:val="20"/>
                      <w:lang w:eastAsia="en-GB"/>
                    </w:rPr>
                  </w:pPr>
                </w:p>
              </w:tc>
              <w:tc>
                <w:tcPr>
                  <w:tcW w:w="784" w:type="dxa"/>
                  <w:tcBorders>
                    <w:top w:val="nil"/>
                    <w:left w:val="nil"/>
                    <w:bottom w:val="nil"/>
                    <w:right w:val="nil"/>
                  </w:tcBorders>
                  <w:shd w:val="clear" w:color="auto" w:fill="auto"/>
                  <w:noWrap/>
                  <w:vAlign w:val="bottom"/>
                  <w:hideMark/>
                </w:tcPr>
                <w:p w14:paraId="1ECB48FF" w14:textId="77777777" w:rsidR="0069798A" w:rsidRPr="00DA5F44" w:rsidRDefault="0069798A" w:rsidP="0069798A">
                  <w:pPr>
                    <w:spacing w:after="0" w:line="240" w:lineRule="auto"/>
                    <w:rPr>
                      <w:rFonts w:ascii="Times New Roman" w:eastAsia="Times New Roman" w:hAnsi="Times New Roman" w:cs="Times New Roman"/>
                      <w:sz w:val="20"/>
                      <w:szCs w:val="20"/>
                      <w:lang w:eastAsia="en-GB"/>
                    </w:rPr>
                  </w:pPr>
                </w:p>
              </w:tc>
              <w:tc>
                <w:tcPr>
                  <w:tcW w:w="1701" w:type="dxa"/>
                  <w:tcBorders>
                    <w:top w:val="nil"/>
                    <w:left w:val="nil"/>
                    <w:bottom w:val="nil"/>
                    <w:right w:val="nil"/>
                  </w:tcBorders>
                  <w:shd w:val="clear" w:color="auto" w:fill="auto"/>
                  <w:noWrap/>
                  <w:vAlign w:val="center"/>
                  <w:hideMark/>
                </w:tcPr>
                <w:p w14:paraId="77BC1568" w14:textId="77777777" w:rsidR="0069798A" w:rsidRPr="00DA5F44" w:rsidRDefault="00A62445" w:rsidP="0069798A">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 xml:space="preserve">88.7 </w:t>
                  </w:r>
                  <w:r w:rsidR="008700DE">
                    <w:rPr>
                      <w:rFonts w:ascii="Arial" w:eastAsia="Times New Roman" w:hAnsi="Arial" w:cs="Arial"/>
                      <w:b/>
                      <w:bCs/>
                      <w:sz w:val="20"/>
                      <w:szCs w:val="20"/>
                      <w:lang w:eastAsia="en-GB"/>
                    </w:rPr>
                    <w:t>-</w:t>
                  </w:r>
                  <w:r>
                    <w:rPr>
                      <w:rFonts w:ascii="Arial" w:eastAsia="Times New Roman" w:hAnsi="Arial" w:cs="Arial"/>
                      <w:b/>
                      <w:bCs/>
                      <w:sz w:val="20"/>
                      <w:szCs w:val="20"/>
                      <w:lang w:eastAsia="en-GB"/>
                    </w:rPr>
                    <w:t xml:space="preserve"> </w:t>
                  </w:r>
                  <w:r w:rsidR="008700DE">
                    <w:rPr>
                      <w:rFonts w:ascii="Arial" w:eastAsia="Times New Roman" w:hAnsi="Arial" w:cs="Arial"/>
                      <w:b/>
                      <w:bCs/>
                      <w:sz w:val="20"/>
                      <w:szCs w:val="20"/>
                      <w:lang w:eastAsia="en-GB"/>
                    </w:rPr>
                    <w:t>89.4</w:t>
                  </w:r>
                </w:p>
              </w:tc>
              <w:tc>
                <w:tcPr>
                  <w:tcW w:w="1314" w:type="dxa"/>
                  <w:tcBorders>
                    <w:top w:val="nil"/>
                    <w:left w:val="nil"/>
                    <w:bottom w:val="nil"/>
                    <w:right w:val="nil"/>
                  </w:tcBorders>
                  <w:shd w:val="clear" w:color="auto" w:fill="auto"/>
                  <w:noWrap/>
                  <w:vAlign w:val="center"/>
                  <w:hideMark/>
                </w:tcPr>
                <w:p w14:paraId="058E2E85" w14:textId="77777777" w:rsidR="0069798A" w:rsidRPr="00416FDD" w:rsidRDefault="00960F23" w:rsidP="0069798A">
                  <w:pPr>
                    <w:spacing w:after="0" w:line="240" w:lineRule="auto"/>
                    <w:jc w:val="right"/>
                    <w:rPr>
                      <w:rFonts w:ascii="Arial" w:eastAsia="Times New Roman" w:hAnsi="Arial" w:cs="Arial"/>
                      <w:bCs/>
                      <w:sz w:val="20"/>
                      <w:szCs w:val="20"/>
                      <w:lang w:eastAsia="en-GB"/>
                    </w:rPr>
                  </w:pPr>
                  <w:r>
                    <w:rPr>
                      <w:rFonts w:ascii="Arial" w:eastAsia="Times New Roman" w:hAnsi="Arial" w:cs="Arial"/>
                      <w:bCs/>
                      <w:sz w:val="20"/>
                      <w:szCs w:val="20"/>
                      <w:lang w:eastAsia="en-GB"/>
                    </w:rPr>
                    <w:t>88.</w:t>
                  </w:r>
                  <w:r w:rsidR="008700DE">
                    <w:rPr>
                      <w:rFonts w:ascii="Arial" w:eastAsia="Times New Roman" w:hAnsi="Arial" w:cs="Arial"/>
                      <w:bCs/>
                      <w:sz w:val="20"/>
                      <w:szCs w:val="20"/>
                      <w:lang w:eastAsia="en-GB"/>
                    </w:rPr>
                    <w:t>6</w:t>
                  </w:r>
                  <w:r>
                    <w:rPr>
                      <w:rFonts w:ascii="Arial" w:eastAsia="Times New Roman" w:hAnsi="Arial" w:cs="Arial"/>
                      <w:bCs/>
                      <w:sz w:val="20"/>
                      <w:szCs w:val="20"/>
                      <w:lang w:eastAsia="en-GB"/>
                    </w:rPr>
                    <w:t xml:space="preserve"> - </w:t>
                  </w:r>
                  <w:r w:rsidR="008700DE">
                    <w:rPr>
                      <w:rFonts w:ascii="Arial" w:eastAsia="Times New Roman" w:hAnsi="Arial" w:cs="Arial"/>
                      <w:bCs/>
                      <w:sz w:val="20"/>
                      <w:szCs w:val="20"/>
                      <w:lang w:eastAsia="en-GB"/>
                    </w:rPr>
                    <w:t>8</w:t>
                  </w:r>
                  <w:r>
                    <w:rPr>
                      <w:rFonts w:ascii="Arial" w:eastAsia="Times New Roman" w:hAnsi="Arial" w:cs="Arial"/>
                      <w:bCs/>
                      <w:sz w:val="20"/>
                      <w:szCs w:val="20"/>
                      <w:lang w:eastAsia="en-GB"/>
                    </w:rPr>
                    <w:t>9.</w:t>
                  </w:r>
                  <w:r w:rsidR="008700DE">
                    <w:rPr>
                      <w:rFonts w:ascii="Arial" w:eastAsia="Times New Roman" w:hAnsi="Arial" w:cs="Arial"/>
                      <w:bCs/>
                      <w:sz w:val="20"/>
                      <w:szCs w:val="20"/>
                      <w:lang w:eastAsia="en-GB"/>
                    </w:rPr>
                    <w:t>6</w:t>
                  </w:r>
                </w:p>
              </w:tc>
            </w:tr>
            <w:tr w:rsidR="0069798A" w:rsidRPr="00DA5F44" w14:paraId="683ABAF8" w14:textId="77777777" w:rsidTr="005C5A16">
              <w:trPr>
                <w:trHeight w:val="261"/>
              </w:trPr>
              <w:tc>
                <w:tcPr>
                  <w:tcW w:w="4259" w:type="dxa"/>
                  <w:tcBorders>
                    <w:top w:val="nil"/>
                    <w:left w:val="nil"/>
                    <w:bottom w:val="nil"/>
                    <w:right w:val="nil"/>
                  </w:tcBorders>
                  <w:shd w:val="clear" w:color="auto" w:fill="auto"/>
                  <w:noWrap/>
                  <w:vAlign w:val="center"/>
                  <w:hideMark/>
                </w:tcPr>
                <w:p w14:paraId="760AC6D4" w14:textId="77777777" w:rsidR="0069798A" w:rsidRPr="00DA5F44" w:rsidRDefault="0069798A" w:rsidP="0069798A">
                  <w:pPr>
                    <w:spacing w:after="0" w:line="240" w:lineRule="auto"/>
                    <w:rPr>
                      <w:rFonts w:ascii="Arial" w:eastAsia="Times New Roman" w:hAnsi="Arial" w:cs="Arial"/>
                      <w:sz w:val="20"/>
                      <w:szCs w:val="20"/>
                      <w:lang w:eastAsia="en-GB"/>
                    </w:rPr>
                  </w:pPr>
                  <w:r w:rsidRPr="00DA5F44">
                    <w:rPr>
                      <w:rFonts w:ascii="Arial" w:eastAsia="Times New Roman" w:hAnsi="Arial" w:cs="Arial"/>
                      <w:sz w:val="20"/>
                      <w:szCs w:val="20"/>
                      <w:lang w:eastAsia="en-GB"/>
                    </w:rPr>
                    <w:t>Longevity at 65 for future pensioners:</w:t>
                  </w:r>
                </w:p>
              </w:tc>
              <w:tc>
                <w:tcPr>
                  <w:tcW w:w="279" w:type="dxa"/>
                  <w:tcBorders>
                    <w:top w:val="nil"/>
                    <w:left w:val="nil"/>
                    <w:bottom w:val="nil"/>
                    <w:right w:val="nil"/>
                  </w:tcBorders>
                  <w:shd w:val="clear" w:color="auto" w:fill="auto"/>
                  <w:noWrap/>
                  <w:vAlign w:val="bottom"/>
                  <w:hideMark/>
                </w:tcPr>
                <w:p w14:paraId="167A9B65" w14:textId="77777777" w:rsidR="0069798A" w:rsidRPr="00DA5F44" w:rsidRDefault="0069798A" w:rsidP="0069798A">
                  <w:pPr>
                    <w:spacing w:after="0" w:line="240" w:lineRule="auto"/>
                    <w:rPr>
                      <w:rFonts w:ascii="Arial" w:eastAsia="Times New Roman" w:hAnsi="Arial" w:cs="Arial"/>
                      <w:sz w:val="20"/>
                      <w:szCs w:val="20"/>
                      <w:lang w:eastAsia="en-GB"/>
                    </w:rPr>
                  </w:pPr>
                </w:p>
              </w:tc>
              <w:tc>
                <w:tcPr>
                  <w:tcW w:w="1232" w:type="dxa"/>
                  <w:tcBorders>
                    <w:top w:val="nil"/>
                    <w:left w:val="nil"/>
                    <w:bottom w:val="nil"/>
                    <w:right w:val="nil"/>
                  </w:tcBorders>
                  <w:shd w:val="clear" w:color="auto" w:fill="auto"/>
                  <w:noWrap/>
                  <w:vAlign w:val="bottom"/>
                  <w:hideMark/>
                </w:tcPr>
                <w:p w14:paraId="78A82637" w14:textId="77777777" w:rsidR="0069798A" w:rsidRPr="00DA5F44" w:rsidRDefault="0069798A" w:rsidP="0069798A">
                  <w:pPr>
                    <w:spacing w:after="0" w:line="240" w:lineRule="auto"/>
                    <w:rPr>
                      <w:rFonts w:ascii="Times New Roman" w:eastAsia="Times New Roman" w:hAnsi="Times New Roman" w:cs="Times New Roman"/>
                      <w:sz w:val="20"/>
                      <w:szCs w:val="20"/>
                      <w:lang w:eastAsia="en-GB"/>
                    </w:rPr>
                  </w:pPr>
                </w:p>
              </w:tc>
              <w:tc>
                <w:tcPr>
                  <w:tcW w:w="784" w:type="dxa"/>
                  <w:tcBorders>
                    <w:top w:val="nil"/>
                    <w:left w:val="nil"/>
                    <w:bottom w:val="nil"/>
                    <w:right w:val="nil"/>
                  </w:tcBorders>
                  <w:shd w:val="clear" w:color="auto" w:fill="auto"/>
                  <w:noWrap/>
                  <w:vAlign w:val="bottom"/>
                  <w:hideMark/>
                </w:tcPr>
                <w:p w14:paraId="65CEF27B" w14:textId="77777777" w:rsidR="0069798A" w:rsidRPr="00DA5F44" w:rsidRDefault="0069798A" w:rsidP="0069798A">
                  <w:pPr>
                    <w:spacing w:after="0" w:line="240" w:lineRule="auto"/>
                    <w:rPr>
                      <w:rFonts w:ascii="Times New Roman" w:eastAsia="Times New Roman" w:hAnsi="Times New Roman" w:cs="Times New Roman"/>
                      <w:sz w:val="20"/>
                      <w:szCs w:val="20"/>
                      <w:lang w:eastAsia="en-GB"/>
                    </w:rPr>
                  </w:pPr>
                </w:p>
              </w:tc>
              <w:tc>
                <w:tcPr>
                  <w:tcW w:w="1701" w:type="dxa"/>
                  <w:tcBorders>
                    <w:top w:val="nil"/>
                    <w:left w:val="nil"/>
                    <w:bottom w:val="nil"/>
                    <w:right w:val="nil"/>
                  </w:tcBorders>
                  <w:shd w:val="clear" w:color="auto" w:fill="auto"/>
                  <w:noWrap/>
                  <w:vAlign w:val="center"/>
                  <w:hideMark/>
                </w:tcPr>
                <w:p w14:paraId="4F39451B" w14:textId="77777777" w:rsidR="0069798A" w:rsidRPr="00DA5F44" w:rsidRDefault="0069798A" w:rsidP="0069798A">
                  <w:pPr>
                    <w:spacing w:after="0" w:line="240" w:lineRule="auto"/>
                    <w:jc w:val="right"/>
                    <w:rPr>
                      <w:rFonts w:ascii="Times New Roman" w:eastAsia="Times New Roman" w:hAnsi="Times New Roman" w:cs="Times New Roman"/>
                      <w:sz w:val="20"/>
                      <w:szCs w:val="20"/>
                      <w:lang w:eastAsia="en-GB"/>
                    </w:rPr>
                  </w:pPr>
                </w:p>
              </w:tc>
              <w:tc>
                <w:tcPr>
                  <w:tcW w:w="1314" w:type="dxa"/>
                  <w:tcBorders>
                    <w:top w:val="nil"/>
                    <w:left w:val="nil"/>
                    <w:bottom w:val="nil"/>
                    <w:right w:val="nil"/>
                  </w:tcBorders>
                  <w:shd w:val="clear" w:color="auto" w:fill="auto"/>
                  <w:noWrap/>
                  <w:vAlign w:val="center"/>
                  <w:hideMark/>
                </w:tcPr>
                <w:p w14:paraId="631CF047" w14:textId="77777777" w:rsidR="0069798A" w:rsidRPr="00416FDD" w:rsidRDefault="0069798A" w:rsidP="0069798A">
                  <w:pPr>
                    <w:spacing w:after="0" w:line="240" w:lineRule="auto"/>
                    <w:jc w:val="right"/>
                    <w:rPr>
                      <w:rFonts w:ascii="Times New Roman" w:eastAsia="Times New Roman" w:hAnsi="Times New Roman" w:cs="Times New Roman"/>
                      <w:sz w:val="20"/>
                      <w:szCs w:val="20"/>
                      <w:lang w:eastAsia="en-GB"/>
                    </w:rPr>
                  </w:pPr>
                </w:p>
              </w:tc>
            </w:tr>
            <w:tr w:rsidR="0069798A" w:rsidRPr="00DA5F44" w14:paraId="763BA614" w14:textId="77777777" w:rsidTr="005C5A16">
              <w:trPr>
                <w:trHeight w:val="80"/>
              </w:trPr>
              <w:tc>
                <w:tcPr>
                  <w:tcW w:w="4259" w:type="dxa"/>
                  <w:tcBorders>
                    <w:top w:val="nil"/>
                    <w:left w:val="nil"/>
                    <w:bottom w:val="nil"/>
                    <w:right w:val="nil"/>
                  </w:tcBorders>
                  <w:shd w:val="clear" w:color="auto" w:fill="auto"/>
                  <w:noWrap/>
                  <w:vAlign w:val="center"/>
                  <w:hideMark/>
                </w:tcPr>
                <w:p w14:paraId="30239A81" w14:textId="77777777" w:rsidR="0069798A" w:rsidRPr="00DA5F44" w:rsidRDefault="0069798A" w:rsidP="0069798A">
                  <w:pPr>
                    <w:spacing w:after="0" w:line="240" w:lineRule="auto"/>
                    <w:rPr>
                      <w:rFonts w:ascii="Arial" w:eastAsia="Times New Roman" w:hAnsi="Arial" w:cs="Arial"/>
                      <w:sz w:val="20"/>
                      <w:szCs w:val="20"/>
                      <w:lang w:eastAsia="en-GB"/>
                    </w:rPr>
                  </w:pPr>
                  <w:r w:rsidRPr="00DA5F44">
                    <w:rPr>
                      <w:rFonts w:ascii="Arial" w:eastAsia="Times New Roman" w:hAnsi="Arial" w:cs="Arial"/>
                      <w:sz w:val="20"/>
                      <w:szCs w:val="20"/>
                      <w:lang w:eastAsia="en-GB"/>
                    </w:rPr>
                    <w:t>- Men</w:t>
                  </w:r>
                </w:p>
              </w:tc>
              <w:tc>
                <w:tcPr>
                  <w:tcW w:w="279" w:type="dxa"/>
                  <w:tcBorders>
                    <w:top w:val="nil"/>
                    <w:left w:val="nil"/>
                    <w:bottom w:val="nil"/>
                    <w:right w:val="nil"/>
                  </w:tcBorders>
                  <w:shd w:val="clear" w:color="auto" w:fill="auto"/>
                  <w:noWrap/>
                  <w:vAlign w:val="bottom"/>
                  <w:hideMark/>
                </w:tcPr>
                <w:p w14:paraId="60EB1B9B" w14:textId="77777777" w:rsidR="0069798A" w:rsidRPr="00DA5F44" w:rsidRDefault="0069798A" w:rsidP="0069798A">
                  <w:pPr>
                    <w:spacing w:after="0" w:line="240" w:lineRule="auto"/>
                    <w:rPr>
                      <w:rFonts w:ascii="Arial" w:eastAsia="Times New Roman" w:hAnsi="Arial" w:cs="Arial"/>
                      <w:sz w:val="20"/>
                      <w:szCs w:val="20"/>
                      <w:lang w:eastAsia="en-GB"/>
                    </w:rPr>
                  </w:pPr>
                </w:p>
              </w:tc>
              <w:tc>
                <w:tcPr>
                  <w:tcW w:w="1232" w:type="dxa"/>
                  <w:tcBorders>
                    <w:top w:val="nil"/>
                    <w:left w:val="nil"/>
                    <w:bottom w:val="nil"/>
                    <w:right w:val="nil"/>
                  </w:tcBorders>
                  <w:shd w:val="clear" w:color="auto" w:fill="auto"/>
                  <w:noWrap/>
                  <w:vAlign w:val="bottom"/>
                  <w:hideMark/>
                </w:tcPr>
                <w:p w14:paraId="368EF3DC" w14:textId="77777777" w:rsidR="0069798A" w:rsidRPr="00DA5F44" w:rsidRDefault="0069798A" w:rsidP="0069798A">
                  <w:pPr>
                    <w:spacing w:after="0" w:line="240" w:lineRule="auto"/>
                    <w:rPr>
                      <w:rFonts w:ascii="Times New Roman" w:eastAsia="Times New Roman" w:hAnsi="Times New Roman" w:cs="Times New Roman"/>
                      <w:sz w:val="20"/>
                      <w:szCs w:val="20"/>
                      <w:lang w:eastAsia="en-GB"/>
                    </w:rPr>
                  </w:pPr>
                </w:p>
              </w:tc>
              <w:tc>
                <w:tcPr>
                  <w:tcW w:w="784" w:type="dxa"/>
                  <w:tcBorders>
                    <w:top w:val="nil"/>
                    <w:left w:val="nil"/>
                    <w:bottom w:val="nil"/>
                    <w:right w:val="nil"/>
                  </w:tcBorders>
                  <w:shd w:val="clear" w:color="auto" w:fill="auto"/>
                  <w:noWrap/>
                  <w:vAlign w:val="bottom"/>
                  <w:hideMark/>
                </w:tcPr>
                <w:p w14:paraId="252DFDA4" w14:textId="77777777" w:rsidR="0069798A" w:rsidRPr="00DA5F44" w:rsidRDefault="0069798A" w:rsidP="0069798A">
                  <w:pPr>
                    <w:spacing w:after="0" w:line="240" w:lineRule="auto"/>
                    <w:rPr>
                      <w:rFonts w:ascii="Times New Roman" w:eastAsia="Times New Roman" w:hAnsi="Times New Roman" w:cs="Times New Roman"/>
                      <w:sz w:val="20"/>
                      <w:szCs w:val="20"/>
                      <w:lang w:eastAsia="en-GB"/>
                    </w:rPr>
                  </w:pPr>
                </w:p>
              </w:tc>
              <w:tc>
                <w:tcPr>
                  <w:tcW w:w="1701" w:type="dxa"/>
                  <w:tcBorders>
                    <w:top w:val="nil"/>
                    <w:left w:val="nil"/>
                    <w:bottom w:val="nil"/>
                    <w:right w:val="nil"/>
                  </w:tcBorders>
                  <w:shd w:val="clear" w:color="auto" w:fill="auto"/>
                  <w:noWrap/>
                  <w:vAlign w:val="center"/>
                  <w:hideMark/>
                </w:tcPr>
                <w:p w14:paraId="70683153" w14:textId="77777777" w:rsidR="0069798A" w:rsidRPr="00DA5F44" w:rsidRDefault="0069798A" w:rsidP="0069798A">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8</w:t>
                  </w:r>
                  <w:r w:rsidR="00936814">
                    <w:rPr>
                      <w:rFonts w:ascii="Arial" w:eastAsia="Times New Roman" w:hAnsi="Arial" w:cs="Arial"/>
                      <w:b/>
                      <w:bCs/>
                      <w:sz w:val="20"/>
                      <w:szCs w:val="20"/>
                      <w:lang w:eastAsia="en-GB"/>
                    </w:rPr>
                    <w:t>7</w:t>
                  </w:r>
                  <w:r w:rsidR="00960F23">
                    <w:rPr>
                      <w:rFonts w:ascii="Arial" w:eastAsia="Times New Roman" w:hAnsi="Arial" w:cs="Arial"/>
                      <w:b/>
                      <w:bCs/>
                      <w:sz w:val="20"/>
                      <w:szCs w:val="20"/>
                      <w:lang w:eastAsia="en-GB"/>
                    </w:rPr>
                    <w:t>.3 - 88.</w:t>
                  </w:r>
                  <w:r w:rsidR="008700DE">
                    <w:rPr>
                      <w:rFonts w:ascii="Arial" w:eastAsia="Times New Roman" w:hAnsi="Arial" w:cs="Arial"/>
                      <w:b/>
                      <w:bCs/>
                      <w:sz w:val="20"/>
                      <w:szCs w:val="20"/>
                      <w:lang w:eastAsia="en-GB"/>
                    </w:rPr>
                    <w:t>7</w:t>
                  </w:r>
                </w:p>
              </w:tc>
              <w:tc>
                <w:tcPr>
                  <w:tcW w:w="1314" w:type="dxa"/>
                  <w:tcBorders>
                    <w:top w:val="nil"/>
                    <w:left w:val="nil"/>
                    <w:bottom w:val="nil"/>
                    <w:right w:val="nil"/>
                  </w:tcBorders>
                  <w:shd w:val="clear" w:color="auto" w:fill="auto"/>
                  <w:noWrap/>
                  <w:vAlign w:val="center"/>
                  <w:hideMark/>
                </w:tcPr>
                <w:p w14:paraId="6839388F" w14:textId="77777777" w:rsidR="0069798A" w:rsidRPr="00416FDD" w:rsidRDefault="00936814" w:rsidP="0069798A">
                  <w:pPr>
                    <w:spacing w:after="0" w:line="240" w:lineRule="auto"/>
                    <w:jc w:val="right"/>
                    <w:rPr>
                      <w:rFonts w:ascii="Arial" w:eastAsia="Times New Roman" w:hAnsi="Arial" w:cs="Arial"/>
                      <w:bCs/>
                      <w:sz w:val="20"/>
                      <w:szCs w:val="20"/>
                      <w:lang w:eastAsia="en-GB"/>
                    </w:rPr>
                  </w:pPr>
                  <w:r>
                    <w:rPr>
                      <w:rFonts w:ascii="Arial" w:eastAsia="Times New Roman" w:hAnsi="Arial" w:cs="Arial"/>
                      <w:bCs/>
                      <w:sz w:val="20"/>
                      <w:szCs w:val="20"/>
                      <w:lang w:eastAsia="en-GB"/>
                    </w:rPr>
                    <w:t>8</w:t>
                  </w:r>
                  <w:r w:rsidR="00960F23">
                    <w:rPr>
                      <w:rFonts w:ascii="Arial" w:eastAsia="Times New Roman" w:hAnsi="Arial" w:cs="Arial"/>
                      <w:bCs/>
                      <w:sz w:val="20"/>
                      <w:szCs w:val="20"/>
                      <w:lang w:eastAsia="en-GB"/>
                    </w:rPr>
                    <w:t>7</w:t>
                  </w:r>
                  <w:r>
                    <w:rPr>
                      <w:rFonts w:ascii="Arial" w:eastAsia="Times New Roman" w:hAnsi="Arial" w:cs="Arial"/>
                      <w:bCs/>
                      <w:sz w:val="20"/>
                      <w:szCs w:val="20"/>
                      <w:lang w:eastAsia="en-GB"/>
                    </w:rPr>
                    <w:t>.3</w:t>
                  </w:r>
                  <w:r w:rsidR="00960F23">
                    <w:rPr>
                      <w:rFonts w:ascii="Arial" w:eastAsia="Times New Roman" w:hAnsi="Arial" w:cs="Arial"/>
                      <w:bCs/>
                      <w:sz w:val="20"/>
                      <w:szCs w:val="20"/>
                      <w:lang w:eastAsia="en-GB"/>
                    </w:rPr>
                    <w:t xml:space="preserve"> </w:t>
                  </w:r>
                  <w:r w:rsidR="008700DE">
                    <w:rPr>
                      <w:rFonts w:ascii="Arial" w:eastAsia="Times New Roman" w:hAnsi="Arial" w:cs="Arial"/>
                      <w:bCs/>
                      <w:sz w:val="20"/>
                      <w:szCs w:val="20"/>
                      <w:lang w:eastAsia="en-GB"/>
                    </w:rPr>
                    <w:t>-</w:t>
                  </w:r>
                  <w:r w:rsidR="00960F23">
                    <w:rPr>
                      <w:rFonts w:ascii="Arial" w:eastAsia="Times New Roman" w:hAnsi="Arial" w:cs="Arial"/>
                      <w:bCs/>
                      <w:sz w:val="20"/>
                      <w:szCs w:val="20"/>
                      <w:lang w:eastAsia="en-GB"/>
                    </w:rPr>
                    <w:t xml:space="preserve"> </w:t>
                  </w:r>
                  <w:r w:rsidR="008700DE">
                    <w:rPr>
                      <w:rFonts w:ascii="Arial" w:eastAsia="Times New Roman" w:hAnsi="Arial" w:cs="Arial"/>
                      <w:bCs/>
                      <w:sz w:val="20"/>
                      <w:szCs w:val="20"/>
                      <w:lang w:eastAsia="en-GB"/>
                    </w:rPr>
                    <w:t>89.0</w:t>
                  </w:r>
                </w:p>
              </w:tc>
            </w:tr>
            <w:tr w:rsidR="0069798A" w:rsidRPr="00DA5F44" w14:paraId="525E2C17" w14:textId="77777777" w:rsidTr="005C5A16">
              <w:trPr>
                <w:trHeight w:val="261"/>
              </w:trPr>
              <w:tc>
                <w:tcPr>
                  <w:tcW w:w="4259" w:type="dxa"/>
                  <w:tcBorders>
                    <w:top w:val="nil"/>
                    <w:left w:val="nil"/>
                    <w:bottom w:val="single" w:sz="4" w:space="0" w:color="auto"/>
                    <w:right w:val="nil"/>
                  </w:tcBorders>
                  <w:shd w:val="clear" w:color="auto" w:fill="auto"/>
                  <w:noWrap/>
                  <w:vAlign w:val="center"/>
                  <w:hideMark/>
                </w:tcPr>
                <w:p w14:paraId="695F4F30" w14:textId="77777777" w:rsidR="0069798A" w:rsidRPr="00DA5F44" w:rsidRDefault="0069798A" w:rsidP="0069798A">
                  <w:pPr>
                    <w:spacing w:after="0" w:line="240" w:lineRule="auto"/>
                    <w:rPr>
                      <w:rFonts w:ascii="Arial" w:eastAsia="Times New Roman" w:hAnsi="Arial" w:cs="Arial"/>
                      <w:sz w:val="20"/>
                      <w:szCs w:val="20"/>
                      <w:lang w:eastAsia="en-GB"/>
                    </w:rPr>
                  </w:pPr>
                  <w:r w:rsidRPr="00DA5F44">
                    <w:rPr>
                      <w:rFonts w:ascii="Arial" w:eastAsia="Times New Roman" w:hAnsi="Arial" w:cs="Arial"/>
                      <w:sz w:val="20"/>
                      <w:szCs w:val="20"/>
                      <w:lang w:eastAsia="en-GB"/>
                    </w:rPr>
                    <w:t>- Women</w:t>
                  </w:r>
                </w:p>
              </w:tc>
              <w:tc>
                <w:tcPr>
                  <w:tcW w:w="279" w:type="dxa"/>
                  <w:tcBorders>
                    <w:top w:val="nil"/>
                    <w:left w:val="nil"/>
                    <w:bottom w:val="single" w:sz="4" w:space="0" w:color="auto"/>
                    <w:right w:val="nil"/>
                  </w:tcBorders>
                  <w:shd w:val="clear" w:color="auto" w:fill="auto"/>
                  <w:noWrap/>
                  <w:vAlign w:val="bottom"/>
                  <w:hideMark/>
                </w:tcPr>
                <w:p w14:paraId="086DE372" w14:textId="77777777" w:rsidR="0069798A" w:rsidRPr="00DA5F44" w:rsidRDefault="0069798A" w:rsidP="0069798A">
                  <w:pPr>
                    <w:spacing w:after="0" w:line="240" w:lineRule="auto"/>
                    <w:rPr>
                      <w:rFonts w:ascii="Arial" w:eastAsia="Times New Roman" w:hAnsi="Arial" w:cs="Arial"/>
                      <w:sz w:val="20"/>
                      <w:szCs w:val="20"/>
                      <w:lang w:eastAsia="en-GB"/>
                    </w:rPr>
                  </w:pPr>
                  <w:r w:rsidRPr="00DA5F44">
                    <w:rPr>
                      <w:rFonts w:ascii="Arial" w:eastAsia="Times New Roman" w:hAnsi="Arial" w:cs="Arial"/>
                      <w:sz w:val="20"/>
                      <w:szCs w:val="20"/>
                      <w:lang w:eastAsia="en-GB"/>
                    </w:rPr>
                    <w:t> </w:t>
                  </w:r>
                </w:p>
              </w:tc>
              <w:tc>
                <w:tcPr>
                  <w:tcW w:w="1232" w:type="dxa"/>
                  <w:tcBorders>
                    <w:top w:val="nil"/>
                    <w:left w:val="nil"/>
                    <w:bottom w:val="single" w:sz="4" w:space="0" w:color="auto"/>
                    <w:right w:val="nil"/>
                  </w:tcBorders>
                  <w:shd w:val="clear" w:color="auto" w:fill="auto"/>
                  <w:noWrap/>
                  <w:vAlign w:val="bottom"/>
                  <w:hideMark/>
                </w:tcPr>
                <w:p w14:paraId="7ABB3B51" w14:textId="77777777" w:rsidR="0069798A" w:rsidRPr="00DA5F44" w:rsidRDefault="0069798A" w:rsidP="0069798A">
                  <w:pPr>
                    <w:spacing w:after="0" w:line="240" w:lineRule="auto"/>
                    <w:rPr>
                      <w:rFonts w:ascii="Arial" w:eastAsia="Times New Roman" w:hAnsi="Arial" w:cs="Arial"/>
                      <w:sz w:val="20"/>
                      <w:szCs w:val="20"/>
                      <w:lang w:eastAsia="en-GB"/>
                    </w:rPr>
                  </w:pPr>
                  <w:r w:rsidRPr="00DA5F44">
                    <w:rPr>
                      <w:rFonts w:ascii="Arial" w:eastAsia="Times New Roman" w:hAnsi="Arial" w:cs="Arial"/>
                      <w:sz w:val="20"/>
                      <w:szCs w:val="20"/>
                      <w:lang w:eastAsia="en-GB"/>
                    </w:rPr>
                    <w:t> </w:t>
                  </w:r>
                </w:p>
              </w:tc>
              <w:tc>
                <w:tcPr>
                  <w:tcW w:w="784" w:type="dxa"/>
                  <w:tcBorders>
                    <w:top w:val="nil"/>
                    <w:left w:val="nil"/>
                    <w:bottom w:val="single" w:sz="4" w:space="0" w:color="auto"/>
                    <w:right w:val="nil"/>
                  </w:tcBorders>
                  <w:shd w:val="clear" w:color="auto" w:fill="auto"/>
                  <w:noWrap/>
                  <w:vAlign w:val="bottom"/>
                  <w:hideMark/>
                </w:tcPr>
                <w:p w14:paraId="7BDF8763" w14:textId="77777777" w:rsidR="0069798A" w:rsidRPr="00DA5F44" w:rsidRDefault="0069798A" w:rsidP="0069798A">
                  <w:pPr>
                    <w:spacing w:after="0" w:line="240" w:lineRule="auto"/>
                    <w:rPr>
                      <w:rFonts w:ascii="Arial" w:eastAsia="Times New Roman" w:hAnsi="Arial" w:cs="Arial"/>
                      <w:sz w:val="20"/>
                      <w:szCs w:val="20"/>
                      <w:lang w:eastAsia="en-GB"/>
                    </w:rPr>
                  </w:pPr>
                  <w:r w:rsidRPr="00DA5F44">
                    <w:rPr>
                      <w:rFonts w:ascii="Arial" w:eastAsia="Times New Roman" w:hAnsi="Arial" w:cs="Arial"/>
                      <w:sz w:val="20"/>
                      <w:szCs w:val="20"/>
                      <w:lang w:eastAsia="en-GB"/>
                    </w:rPr>
                    <w:t> </w:t>
                  </w:r>
                </w:p>
              </w:tc>
              <w:tc>
                <w:tcPr>
                  <w:tcW w:w="1701" w:type="dxa"/>
                  <w:tcBorders>
                    <w:top w:val="nil"/>
                    <w:left w:val="nil"/>
                    <w:bottom w:val="single" w:sz="4" w:space="0" w:color="auto"/>
                    <w:right w:val="nil"/>
                  </w:tcBorders>
                  <w:shd w:val="clear" w:color="auto" w:fill="auto"/>
                  <w:noWrap/>
                  <w:vAlign w:val="center"/>
                  <w:hideMark/>
                </w:tcPr>
                <w:p w14:paraId="4959CFA2" w14:textId="77777777" w:rsidR="0069798A" w:rsidRPr="00DA5F44" w:rsidRDefault="00960F23" w:rsidP="0069798A">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 xml:space="preserve">90.1 - </w:t>
                  </w:r>
                  <w:r w:rsidR="00936814">
                    <w:rPr>
                      <w:rFonts w:ascii="Arial" w:eastAsia="Times New Roman" w:hAnsi="Arial" w:cs="Arial"/>
                      <w:b/>
                      <w:bCs/>
                      <w:sz w:val="20"/>
                      <w:szCs w:val="20"/>
                      <w:lang w:eastAsia="en-GB"/>
                    </w:rPr>
                    <w:t>9</w:t>
                  </w:r>
                  <w:r w:rsidR="008700DE">
                    <w:rPr>
                      <w:rFonts w:ascii="Arial" w:eastAsia="Times New Roman" w:hAnsi="Arial" w:cs="Arial"/>
                      <w:b/>
                      <w:bCs/>
                      <w:sz w:val="20"/>
                      <w:szCs w:val="20"/>
                      <w:lang w:eastAsia="en-GB"/>
                    </w:rPr>
                    <w:t>1</w:t>
                  </w:r>
                  <w:r w:rsidR="00936814">
                    <w:rPr>
                      <w:rFonts w:ascii="Arial" w:eastAsia="Times New Roman" w:hAnsi="Arial" w:cs="Arial"/>
                      <w:b/>
                      <w:bCs/>
                      <w:sz w:val="20"/>
                      <w:szCs w:val="20"/>
                      <w:lang w:eastAsia="en-GB"/>
                    </w:rPr>
                    <w:t>.1</w:t>
                  </w:r>
                </w:p>
              </w:tc>
              <w:tc>
                <w:tcPr>
                  <w:tcW w:w="1314" w:type="dxa"/>
                  <w:tcBorders>
                    <w:top w:val="nil"/>
                    <w:left w:val="nil"/>
                    <w:bottom w:val="single" w:sz="4" w:space="0" w:color="auto"/>
                    <w:right w:val="nil"/>
                  </w:tcBorders>
                  <w:shd w:val="clear" w:color="auto" w:fill="auto"/>
                  <w:noWrap/>
                  <w:vAlign w:val="center"/>
                  <w:hideMark/>
                </w:tcPr>
                <w:p w14:paraId="157F5EA2" w14:textId="77777777" w:rsidR="0069798A" w:rsidRPr="00416FDD" w:rsidRDefault="00936814" w:rsidP="0069798A">
                  <w:pPr>
                    <w:spacing w:after="0" w:line="240" w:lineRule="auto"/>
                    <w:jc w:val="right"/>
                    <w:rPr>
                      <w:rFonts w:ascii="Arial" w:eastAsia="Times New Roman" w:hAnsi="Arial" w:cs="Arial"/>
                      <w:bCs/>
                      <w:sz w:val="20"/>
                      <w:szCs w:val="20"/>
                      <w:lang w:eastAsia="en-GB"/>
                    </w:rPr>
                  </w:pPr>
                  <w:r>
                    <w:rPr>
                      <w:rFonts w:ascii="Arial" w:eastAsia="Times New Roman" w:hAnsi="Arial" w:cs="Arial"/>
                      <w:bCs/>
                      <w:sz w:val="20"/>
                      <w:szCs w:val="20"/>
                      <w:lang w:eastAsia="en-GB"/>
                    </w:rPr>
                    <w:t>90.</w:t>
                  </w:r>
                  <w:r w:rsidR="008700DE">
                    <w:rPr>
                      <w:rFonts w:ascii="Arial" w:eastAsia="Times New Roman" w:hAnsi="Arial" w:cs="Arial"/>
                      <w:bCs/>
                      <w:sz w:val="20"/>
                      <w:szCs w:val="20"/>
                      <w:lang w:eastAsia="en-GB"/>
                    </w:rPr>
                    <w:t>5</w:t>
                  </w:r>
                  <w:r w:rsidR="00960F23">
                    <w:rPr>
                      <w:rFonts w:ascii="Arial" w:eastAsia="Times New Roman" w:hAnsi="Arial" w:cs="Arial"/>
                      <w:bCs/>
                      <w:sz w:val="20"/>
                      <w:szCs w:val="20"/>
                      <w:lang w:eastAsia="en-GB"/>
                    </w:rPr>
                    <w:t xml:space="preserve"> </w:t>
                  </w:r>
                  <w:r w:rsidR="008700DE">
                    <w:rPr>
                      <w:rFonts w:ascii="Arial" w:eastAsia="Times New Roman" w:hAnsi="Arial" w:cs="Arial"/>
                      <w:bCs/>
                      <w:sz w:val="20"/>
                      <w:szCs w:val="20"/>
                      <w:lang w:eastAsia="en-GB"/>
                    </w:rPr>
                    <w:t>-</w:t>
                  </w:r>
                  <w:r w:rsidR="00960F23">
                    <w:rPr>
                      <w:rFonts w:ascii="Arial" w:eastAsia="Times New Roman" w:hAnsi="Arial" w:cs="Arial"/>
                      <w:bCs/>
                      <w:sz w:val="20"/>
                      <w:szCs w:val="20"/>
                      <w:lang w:eastAsia="en-GB"/>
                    </w:rPr>
                    <w:t xml:space="preserve"> 9</w:t>
                  </w:r>
                  <w:r w:rsidR="008700DE">
                    <w:rPr>
                      <w:rFonts w:ascii="Arial" w:eastAsia="Times New Roman" w:hAnsi="Arial" w:cs="Arial"/>
                      <w:bCs/>
                      <w:sz w:val="20"/>
                      <w:szCs w:val="20"/>
                      <w:lang w:eastAsia="en-GB"/>
                    </w:rPr>
                    <w:t>1.4</w:t>
                  </w:r>
                </w:p>
              </w:tc>
            </w:tr>
          </w:tbl>
          <w:p w14:paraId="01CE53E3" w14:textId="77777777" w:rsidR="0069798A" w:rsidRPr="002B2F3F" w:rsidRDefault="0069798A" w:rsidP="006647C2">
            <w:pPr>
              <w:spacing w:after="240" w:line="240" w:lineRule="auto"/>
              <w:jc w:val="both"/>
              <w:rPr>
                <w:rFonts w:ascii="Arial" w:eastAsia="Times New Roman" w:hAnsi="Arial" w:cs="Arial"/>
                <w:sz w:val="24"/>
                <w:szCs w:val="24"/>
                <w:lang w:eastAsia="en-GB"/>
              </w:rPr>
            </w:pPr>
          </w:p>
        </w:tc>
      </w:tr>
      <w:tr w:rsidR="004B2BB5" w:rsidRPr="00A42EEB" w14:paraId="5E970A7F" w14:textId="77777777" w:rsidTr="00F362B3">
        <w:tblPrEx>
          <w:jc w:val="left"/>
        </w:tblPrEx>
        <w:trPr>
          <w:trHeight w:val="261"/>
        </w:trPr>
        <w:tc>
          <w:tcPr>
            <w:tcW w:w="5443" w:type="dxa"/>
            <w:gridSpan w:val="6"/>
            <w:tcBorders>
              <w:top w:val="nil"/>
              <w:left w:val="nil"/>
              <w:bottom w:val="nil"/>
              <w:right w:val="nil"/>
            </w:tcBorders>
            <w:shd w:val="clear" w:color="auto" w:fill="auto"/>
            <w:noWrap/>
            <w:vAlign w:val="bottom"/>
            <w:hideMark/>
          </w:tcPr>
          <w:p w14:paraId="164EAD15" w14:textId="77777777" w:rsidR="00E70CD3" w:rsidRPr="00A42EEB" w:rsidRDefault="00E70CD3" w:rsidP="007729E5">
            <w:pPr>
              <w:spacing w:after="0" w:line="240" w:lineRule="auto"/>
              <w:rPr>
                <w:rFonts w:ascii="Arial" w:eastAsia="Times New Roman" w:hAnsi="Arial" w:cs="Arial"/>
                <w:sz w:val="20"/>
                <w:szCs w:val="20"/>
                <w:lang w:eastAsia="en-GB"/>
              </w:rPr>
            </w:pPr>
          </w:p>
        </w:tc>
        <w:tc>
          <w:tcPr>
            <w:tcW w:w="605" w:type="dxa"/>
            <w:tcBorders>
              <w:top w:val="nil"/>
              <w:left w:val="nil"/>
              <w:bottom w:val="nil"/>
              <w:right w:val="nil"/>
            </w:tcBorders>
            <w:shd w:val="clear" w:color="auto" w:fill="auto"/>
            <w:noWrap/>
            <w:vAlign w:val="bottom"/>
            <w:hideMark/>
          </w:tcPr>
          <w:p w14:paraId="6352AB36" w14:textId="77777777" w:rsidR="00E70CD3" w:rsidRPr="00A42EEB" w:rsidRDefault="00E70CD3" w:rsidP="007729E5">
            <w:pPr>
              <w:spacing w:after="0" w:line="240" w:lineRule="auto"/>
              <w:rPr>
                <w:rFonts w:ascii="Times New Roman" w:eastAsia="Times New Roman" w:hAnsi="Times New Roman" w:cs="Times New Roman"/>
                <w:sz w:val="20"/>
                <w:szCs w:val="20"/>
                <w:lang w:eastAsia="en-GB"/>
              </w:rPr>
            </w:pPr>
          </w:p>
        </w:tc>
        <w:tc>
          <w:tcPr>
            <w:tcW w:w="1600" w:type="dxa"/>
            <w:gridSpan w:val="2"/>
            <w:tcBorders>
              <w:top w:val="nil"/>
              <w:left w:val="nil"/>
              <w:bottom w:val="nil"/>
              <w:right w:val="nil"/>
            </w:tcBorders>
            <w:shd w:val="clear" w:color="auto" w:fill="auto"/>
            <w:noWrap/>
            <w:vAlign w:val="bottom"/>
            <w:hideMark/>
          </w:tcPr>
          <w:p w14:paraId="757F1360" w14:textId="77777777" w:rsidR="00E70CD3" w:rsidRPr="00A42EEB" w:rsidRDefault="00E70CD3" w:rsidP="007729E5">
            <w:pPr>
              <w:spacing w:after="0" w:line="240" w:lineRule="auto"/>
              <w:rPr>
                <w:rFonts w:ascii="Times New Roman" w:eastAsia="Times New Roman" w:hAnsi="Times New Roman" w:cs="Times New Roman"/>
                <w:sz w:val="20"/>
                <w:szCs w:val="20"/>
                <w:lang w:eastAsia="en-GB"/>
              </w:rPr>
            </w:pPr>
          </w:p>
        </w:tc>
        <w:tc>
          <w:tcPr>
            <w:tcW w:w="441" w:type="dxa"/>
            <w:tcBorders>
              <w:top w:val="nil"/>
              <w:left w:val="nil"/>
              <w:bottom w:val="nil"/>
              <w:right w:val="nil"/>
            </w:tcBorders>
            <w:shd w:val="clear" w:color="auto" w:fill="auto"/>
            <w:noWrap/>
            <w:vAlign w:val="bottom"/>
            <w:hideMark/>
          </w:tcPr>
          <w:p w14:paraId="27174522" w14:textId="77777777" w:rsidR="00E70CD3" w:rsidRPr="00A42EEB" w:rsidRDefault="00E70CD3" w:rsidP="007729E5">
            <w:pPr>
              <w:spacing w:after="0" w:line="240" w:lineRule="auto"/>
              <w:rPr>
                <w:rFonts w:ascii="Times New Roman" w:eastAsia="Times New Roman" w:hAnsi="Times New Roman" w:cs="Times New Roman"/>
                <w:sz w:val="20"/>
                <w:szCs w:val="20"/>
                <w:lang w:eastAsia="en-GB"/>
              </w:rPr>
            </w:pPr>
          </w:p>
        </w:tc>
        <w:tc>
          <w:tcPr>
            <w:tcW w:w="1848" w:type="dxa"/>
            <w:gridSpan w:val="4"/>
            <w:tcBorders>
              <w:top w:val="nil"/>
              <w:left w:val="nil"/>
              <w:bottom w:val="nil"/>
              <w:right w:val="nil"/>
            </w:tcBorders>
            <w:shd w:val="clear" w:color="auto" w:fill="auto"/>
            <w:noWrap/>
            <w:vAlign w:val="bottom"/>
            <w:hideMark/>
          </w:tcPr>
          <w:p w14:paraId="42C3FB8C" w14:textId="77777777" w:rsidR="00E70CD3" w:rsidRPr="00A42EEB" w:rsidRDefault="00E70CD3" w:rsidP="007729E5">
            <w:pPr>
              <w:spacing w:after="0" w:line="240" w:lineRule="auto"/>
              <w:rPr>
                <w:rFonts w:ascii="Times New Roman" w:eastAsia="Times New Roman" w:hAnsi="Times New Roman" w:cs="Times New Roman"/>
                <w:sz w:val="20"/>
                <w:szCs w:val="20"/>
                <w:lang w:eastAsia="en-GB"/>
              </w:rPr>
            </w:pPr>
          </w:p>
        </w:tc>
        <w:tc>
          <w:tcPr>
            <w:tcW w:w="244" w:type="dxa"/>
            <w:gridSpan w:val="2"/>
            <w:tcBorders>
              <w:top w:val="nil"/>
              <w:left w:val="nil"/>
              <w:bottom w:val="nil"/>
              <w:right w:val="nil"/>
            </w:tcBorders>
            <w:shd w:val="clear" w:color="auto" w:fill="auto"/>
            <w:noWrap/>
            <w:vAlign w:val="bottom"/>
            <w:hideMark/>
          </w:tcPr>
          <w:p w14:paraId="73960DA9" w14:textId="77777777" w:rsidR="00E70CD3" w:rsidRPr="00A42EEB" w:rsidRDefault="00E70CD3" w:rsidP="007729E5">
            <w:pPr>
              <w:spacing w:after="0" w:line="240" w:lineRule="auto"/>
              <w:rPr>
                <w:rFonts w:ascii="Times New Roman" w:eastAsia="Times New Roman" w:hAnsi="Times New Roman" w:cs="Times New Roman"/>
                <w:sz w:val="20"/>
                <w:szCs w:val="20"/>
                <w:lang w:eastAsia="en-GB"/>
              </w:rPr>
            </w:pPr>
          </w:p>
        </w:tc>
      </w:tr>
      <w:tr w:rsidR="00422CF6" w:rsidRPr="00543D10" w14:paraId="5CCD8309" w14:textId="77777777" w:rsidTr="00F362B3">
        <w:tblPrEx>
          <w:jc w:val="left"/>
        </w:tblPrEx>
        <w:trPr>
          <w:gridAfter w:val="3"/>
          <w:wAfter w:w="447" w:type="dxa"/>
          <w:trHeight w:val="331"/>
        </w:trPr>
        <w:tc>
          <w:tcPr>
            <w:tcW w:w="6373" w:type="dxa"/>
            <w:gridSpan w:val="8"/>
            <w:tcBorders>
              <w:top w:val="nil"/>
              <w:left w:val="nil"/>
              <w:bottom w:val="nil"/>
              <w:right w:val="nil"/>
            </w:tcBorders>
            <w:shd w:val="clear" w:color="auto" w:fill="auto"/>
            <w:noWrap/>
            <w:vAlign w:val="center"/>
            <w:hideMark/>
          </w:tcPr>
          <w:p w14:paraId="637A9EF3" w14:textId="77777777" w:rsidR="00422CF6" w:rsidRPr="00543D10" w:rsidRDefault="00422CF6" w:rsidP="00AF1D07">
            <w:pPr>
              <w:spacing w:after="0" w:line="240" w:lineRule="auto"/>
              <w:rPr>
                <w:rFonts w:ascii="Arial" w:eastAsia="Times New Roman" w:hAnsi="Arial" w:cs="Arial"/>
                <w:b/>
                <w:bCs/>
                <w:sz w:val="20"/>
                <w:szCs w:val="20"/>
                <w:lang w:eastAsia="en-GB"/>
              </w:rPr>
            </w:pPr>
          </w:p>
          <w:p w14:paraId="7230B0EF" w14:textId="77777777" w:rsidR="002E0F29" w:rsidRPr="00E26815" w:rsidRDefault="00E26815" w:rsidP="006C07DD">
            <w:pPr>
              <w:spacing w:after="0" w:line="240" w:lineRule="auto"/>
              <w:rPr>
                <w:rFonts w:ascii="Arial" w:hAnsi="Arial" w:cs="Arial"/>
                <w:i/>
                <w:sz w:val="24"/>
                <w:szCs w:val="24"/>
              </w:rPr>
            </w:pPr>
            <w:r w:rsidRPr="00E26815">
              <w:rPr>
                <w:rFonts w:ascii="Arial" w:hAnsi="Arial" w:cs="Arial"/>
                <w:i/>
                <w:sz w:val="24"/>
                <w:szCs w:val="24"/>
              </w:rPr>
              <w:t xml:space="preserve">* </w:t>
            </w:r>
            <w:r w:rsidRPr="00E26815">
              <w:rPr>
                <w:rFonts w:ascii="Arial" w:eastAsia="Times New Roman" w:hAnsi="Arial" w:cs="Arial"/>
                <w:bCs/>
                <w:sz w:val="24"/>
                <w:szCs w:val="24"/>
                <w:lang w:eastAsia="en-GB"/>
              </w:rPr>
              <w:t>London Pensions Fund Authority and Platinum schemes are now closed to active members and therefore the rate on increase in salaries is zero</w:t>
            </w:r>
            <w:r>
              <w:rPr>
                <w:rFonts w:ascii="Arial" w:eastAsia="Times New Roman" w:hAnsi="Arial" w:cs="Arial"/>
                <w:bCs/>
                <w:sz w:val="24"/>
                <w:szCs w:val="24"/>
                <w:lang w:eastAsia="en-GB"/>
              </w:rPr>
              <w:t>.</w:t>
            </w:r>
          </w:p>
          <w:p w14:paraId="5100A6CD" w14:textId="77777777" w:rsidR="002E0F29" w:rsidRDefault="002E0F29" w:rsidP="006C07DD">
            <w:pPr>
              <w:spacing w:after="0" w:line="240" w:lineRule="auto"/>
              <w:rPr>
                <w:rFonts w:ascii="Arial" w:hAnsi="Arial" w:cs="Arial"/>
                <w:b/>
                <w:i/>
                <w:sz w:val="24"/>
                <w:szCs w:val="24"/>
              </w:rPr>
            </w:pPr>
          </w:p>
          <w:p w14:paraId="210BE88E" w14:textId="77777777" w:rsidR="00E26815" w:rsidRPr="00E26815" w:rsidRDefault="00E26815" w:rsidP="006C07DD">
            <w:pPr>
              <w:spacing w:after="0" w:line="240" w:lineRule="auto"/>
              <w:rPr>
                <w:rFonts w:ascii="Arial" w:hAnsi="Arial" w:cs="Arial"/>
                <w:sz w:val="24"/>
                <w:szCs w:val="24"/>
              </w:rPr>
            </w:pPr>
          </w:p>
          <w:p w14:paraId="60E56082" w14:textId="77777777" w:rsidR="00E26815" w:rsidRDefault="00E26815" w:rsidP="006C07DD">
            <w:pPr>
              <w:spacing w:after="0" w:line="240" w:lineRule="auto"/>
              <w:rPr>
                <w:rFonts w:ascii="Arial" w:hAnsi="Arial" w:cs="Arial"/>
                <w:b/>
                <w:i/>
                <w:sz w:val="24"/>
                <w:szCs w:val="24"/>
              </w:rPr>
            </w:pPr>
          </w:p>
          <w:p w14:paraId="5AB43BA8" w14:textId="77777777" w:rsidR="00E26815" w:rsidRDefault="00E26815" w:rsidP="006C07DD">
            <w:pPr>
              <w:spacing w:after="0" w:line="240" w:lineRule="auto"/>
              <w:rPr>
                <w:rFonts w:ascii="Arial" w:hAnsi="Arial" w:cs="Arial"/>
                <w:b/>
                <w:i/>
                <w:sz w:val="24"/>
                <w:szCs w:val="24"/>
              </w:rPr>
            </w:pPr>
          </w:p>
          <w:p w14:paraId="4F619377" w14:textId="77777777" w:rsidR="00E26815" w:rsidRDefault="00E26815" w:rsidP="006C07DD">
            <w:pPr>
              <w:spacing w:after="0" w:line="240" w:lineRule="auto"/>
              <w:rPr>
                <w:rFonts w:ascii="Arial" w:hAnsi="Arial" w:cs="Arial"/>
                <w:b/>
                <w:i/>
                <w:sz w:val="24"/>
                <w:szCs w:val="24"/>
              </w:rPr>
            </w:pPr>
          </w:p>
          <w:p w14:paraId="6D632A99" w14:textId="77777777" w:rsidR="00E26815" w:rsidRDefault="00E26815" w:rsidP="006C07DD">
            <w:pPr>
              <w:spacing w:after="0" w:line="240" w:lineRule="auto"/>
              <w:rPr>
                <w:rFonts w:ascii="Arial" w:hAnsi="Arial" w:cs="Arial"/>
                <w:b/>
                <w:i/>
                <w:sz w:val="24"/>
                <w:szCs w:val="24"/>
              </w:rPr>
            </w:pPr>
          </w:p>
          <w:p w14:paraId="10661EC7" w14:textId="77777777" w:rsidR="00E26815" w:rsidRDefault="00E26815" w:rsidP="006C07DD">
            <w:pPr>
              <w:spacing w:after="0" w:line="240" w:lineRule="auto"/>
              <w:rPr>
                <w:rFonts w:ascii="Arial" w:hAnsi="Arial" w:cs="Arial"/>
                <w:b/>
                <w:i/>
                <w:sz w:val="24"/>
                <w:szCs w:val="24"/>
              </w:rPr>
            </w:pPr>
          </w:p>
          <w:p w14:paraId="38B7810D" w14:textId="77777777" w:rsidR="00E26815" w:rsidRDefault="00E26815" w:rsidP="006C07DD">
            <w:pPr>
              <w:spacing w:after="0" w:line="240" w:lineRule="auto"/>
              <w:rPr>
                <w:rFonts w:ascii="Arial" w:hAnsi="Arial" w:cs="Arial"/>
                <w:b/>
                <w:i/>
                <w:sz w:val="24"/>
                <w:szCs w:val="24"/>
              </w:rPr>
            </w:pPr>
          </w:p>
          <w:p w14:paraId="72DE9182" w14:textId="77777777" w:rsidR="006C07DD" w:rsidRDefault="006C07DD" w:rsidP="006C07DD">
            <w:pPr>
              <w:spacing w:after="0" w:line="240" w:lineRule="auto"/>
              <w:rPr>
                <w:rFonts w:ascii="Arial" w:hAnsi="Arial" w:cs="Arial"/>
                <w:b/>
                <w:i/>
                <w:sz w:val="24"/>
                <w:szCs w:val="24"/>
              </w:rPr>
            </w:pPr>
            <w:r w:rsidRPr="0088736E">
              <w:rPr>
                <w:rFonts w:ascii="Arial" w:hAnsi="Arial" w:cs="Arial"/>
                <w:b/>
                <w:i/>
                <w:sz w:val="24"/>
                <w:szCs w:val="24"/>
              </w:rPr>
              <w:lastRenderedPageBreak/>
              <w:t xml:space="preserve">Notes to the financial </w:t>
            </w:r>
            <w:r>
              <w:rPr>
                <w:rFonts w:ascii="Arial" w:hAnsi="Arial" w:cs="Arial"/>
                <w:b/>
                <w:i/>
                <w:sz w:val="24"/>
                <w:szCs w:val="24"/>
              </w:rPr>
              <w:t>statements</w:t>
            </w:r>
            <w:r w:rsidRPr="0088736E">
              <w:rPr>
                <w:rFonts w:ascii="Arial" w:hAnsi="Arial" w:cs="Arial"/>
                <w:b/>
                <w:i/>
                <w:sz w:val="24"/>
                <w:szCs w:val="24"/>
              </w:rPr>
              <w:t xml:space="preserve"> (continued)</w:t>
            </w:r>
          </w:p>
          <w:p w14:paraId="5F81147F" w14:textId="77777777" w:rsidR="006C07DD" w:rsidRDefault="006C07DD" w:rsidP="001A34A2">
            <w:pPr>
              <w:autoSpaceDE w:val="0"/>
              <w:autoSpaceDN w:val="0"/>
              <w:adjustRightInd w:val="0"/>
              <w:spacing w:after="0" w:line="240" w:lineRule="auto"/>
              <w:rPr>
                <w:rFonts w:ascii="Arial" w:hAnsi="Arial" w:cs="Arial"/>
                <w:b/>
                <w:sz w:val="24"/>
                <w:szCs w:val="24"/>
              </w:rPr>
            </w:pPr>
          </w:p>
          <w:p w14:paraId="75FC381B" w14:textId="77777777" w:rsidR="001A34A2" w:rsidRDefault="001A34A2" w:rsidP="001A34A2">
            <w:pPr>
              <w:autoSpaceDE w:val="0"/>
              <w:autoSpaceDN w:val="0"/>
              <w:adjustRightInd w:val="0"/>
              <w:spacing w:after="0" w:line="240" w:lineRule="auto"/>
              <w:rPr>
                <w:rFonts w:ascii="Arial" w:hAnsi="Arial" w:cs="Arial"/>
                <w:b/>
                <w:sz w:val="24"/>
                <w:szCs w:val="24"/>
              </w:rPr>
            </w:pPr>
            <w:r w:rsidRPr="005076F2">
              <w:rPr>
                <w:rFonts w:ascii="Arial" w:hAnsi="Arial" w:cs="Arial"/>
                <w:b/>
                <w:sz w:val="24"/>
                <w:szCs w:val="24"/>
              </w:rPr>
              <w:t>24. Pension commitments (continued)</w:t>
            </w:r>
          </w:p>
          <w:p w14:paraId="68015A31" w14:textId="77777777" w:rsidR="001A34A2" w:rsidRDefault="001A34A2" w:rsidP="00AF1D07">
            <w:pPr>
              <w:spacing w:after="0" w:line="240" w:lineRule="auto"/>
              <w:rPr>
                <w:rFonts w:ascii="Arial" w:eastAsia="Times New Roman" w:hAnsi="Arial" w:cs="Arial"/>
                <w:b/>
                <w:bCs/>
                <w:sz w:val="20"/>
                <w:szCs w:val="20"/>
                <w:lang w:eastAsia="en-GB"/>
              </w:rPr>
            </w:pPr>
          </w:p>
          <w:p w14:paraId="16EE09B5" w14:textId="77777777" w:rsidR="00422CF6" w:rsidRPr="00543D10" w:rsidRDefault="00422CF6" w:rsidP="00AF1D07">
            <w:pPr>
              <w:spacing w:after="0" w:line="240" w:lineRule="auto"/>
              <w:rPr>
                <w:rFonts w:ascii="Arial" w:eastAsia="Times New Roman" w:hAnsi="Arial" w:cs="Arial"/>
                <w:b/>
                <w:bCs/>
                <w:sz w:val="20"/>
                <w:szCs w:val="20"/>
                <w:lang w:eastAsia="en-GB"/>
              </w:rPr>
            </w:pPr>
            <w:r w:rsidRPr="00543D10">
              <w:rPr>
                <w:rFonts w:ascii="Arial" w:eastAsia="Times New Roman" w:hAnsi="Arial" w:cs="Arial"/>
                <w:b/>
                <w:bCs/>
                <w:sz w:val="20"/>
                <w:szCs w:val="20"/>
                <w:lang w:eastAsia="en-GB"/>
              </w:rPr>
              <w:t>Reconciliation of scheme assets and liabilities:</w:t>
            </w:r>
          </w:p>
        </w:tc>
        <w:tc>
          <w:tcPr>
            <w:tcW w:w="1275" w:type="dxa"/>
            <w:tcBorders>
              <w:top w:val="nil"/>
              <w:left w:val="nil"/>
              <w:bottom w:val="nil"/>
              <w:right w:val="nil"/>
            </w:tcBorders>
            <w:shd w:val="clear" w:color="auto" w:fill="auto"/>
            <w:noWrap/>
            <w:vAlign w:val="center"/>
            <w:hideMark/>
          </w:tcPr>
          <w:p w14:paraId="44F71A8D" w14:textId="77777777" w:rsidR="00422CF6" w:rsidRPr="00543D10" w:rsidRDefault="00422CF6" w:rsidP="00AF1D07">
            <w:pPr>
              <w:spacing w:after="0" w:line="240" w:lineRule="auto"/>
              <w:rPr>
                <w:rFonts w:ascii="Arial" w:eastAsia="Times New Roman" w:hAnsi="Arial" w:cs="Arial"/>
                <w:b/>
                <w:bCs/>
                <w:sz w:val="20"/>
                <w:szCs w:val="20"/>
                <w:lang w:eastAsia="en-GB"/>
              </w:rPr>
            </w:pPr>
          </w:p>
        </w:tc>
        <w:tc>
          <w:tcPr>
            <w:tcW w:w="1089" w:type="dxa"/>
            <w:gridSpan w:val="3"/>
            <w:tcBorders>
              <w:top w:val="nil"/>
              <w:left w:val="nil"/>
              <w:bottom w:val="nil"/>
              <w:right w:val="nil"/>
            </w:tcBorders>
            <w:shd w:val="clear" w:color="auto" w:fill="auto"/>
            <w:noWrap/>
            <w:vAlign w:val="center"/>
            <w:hideMark/>
          </w:tcPr>
          <w:p w14:paraId="56C27D18" w14:textId="77777777" w:rsidR="00422CF6" w:rsidRPr="00543D10" w:rsidRDefault="00422CF6" w:rsidP="00AF1D07">
            <w:pPr>
              <w:spacing w:after="0" w:line="240" w:lineRule="auto"/>
              <w:rPr>
                <w:rFonts w:ascii="Times New Roman" w:eastAsia="Times New Roman" w:hAnsi="Times New Roman" w:cs="Times New Roman"/>
                <w:sz w:val="20"/>
                <w:szCs w:val="20"/>
                <w:lang w:eastAsia="en-GB"/>
              </w:rPr>
            </w:pPr>
          </w:p>
        </w:tc>
        <w:tc>
          <w:tcPr>
            <w:tcW w:w="997" w:type="dxa"/>
            <w:tcBorders>
              <w:top w:val="nil"/>
              <w:left w:val="nil"/>
              <w:bottom w:val="nil"/>
              <w:right w:val="nil"/>
            </w:tcBorders>
            <w:shd w:val="clear" w:color="auto" w:fill="auto"/>
            <w:noWrap/>
            <w:vAlign w:val="center"/>
            <w:hideMark/>
          </w:tcPr>
          <w:p w14:paraId="7E45F4CE" w14:textId="77777777" w:rsidR="00422CF6" w:rsidRPr="00543D10" w:rsidRDefault="00422CF6" w:rsidP="00AF1D07">
            <w:pPr>
              <w:spacing w:after="0" w:line="240" w:lineRule="auto"/>
              <w:rPr>
                <w:rFonts w:ascii="Times New Roman" w:eastAsia="Times New Roman" w:hAnsi="Times New Roman" w:cs="Times New Roman"/>
                <w:sz w:val="20"/>
                <w:szCs w:val="20"/>
                <w:lang w:eastAsia="en-GB"/>
              </w:rPr>
            </w:pPr>
          </w:p>
        </w:tc>
      </w:tr>
      <w:tr w:rsidR="00422CF6" w:rsidRPr="00543D10" w14:paraId="7C53A33F" w14:textId="77777777" w:rsidTr="00D85D6F">
        <w:tblPrEx>
          <w:jc w:val="left"/>
        </w:tblPrEx>
        <w:trPr>
          <w:gridAfter w:val="3"/>
          <w:wAfter w:w="447" w:type="dxa"/>
          <w:trHeight w:val="331"/>
        </w:trPr>
        <w:tc>
          <w:tcPr>
            <w:tcW w:w="4266" w:type="dxa"/>
            <w:gridSpan w:val="3"/>
            <w:tcBorders>
              <w:top w:val="nil"/>
              <w:left w:val="nil"/>
              <w:bottom w:val="nil"/>
              <w:right w:val="nil"/>
            </w:tcBorders>
            <w:shd w:val="clear" w:color="auto" w:fill="auto"/>
            <w:noWrap/>
            <w:vAlign w:val="center"/>
            <w:hideMark/>
          </w:tcPr>
          <w:p w14:paraId="5328E861" w14:textId="77777777" w:rsidR="00422CF6" w:rsidRPr="00543D10" w:rsidRDefault="00422CF6" w:rsidP="00422CF6">
            <w:pPr>
              <w:spacing w:after="0" w:line="240" w:lineRule="auto"/>
              <w:ind w:left="-463"/>
              <w:rPr>
                <w:rFonts w:ascii="Times New Roman" w:eastAsia="Times New Roman" w:hAnsi="Times New Roman" w:cs="Times New Roman"/>
                <w:sz w:val="20"/>
                <w:szCs w:val="20"/>
                <w:lang w:eastAsia="en-GB"/>
              </w:rPr>
            </w:pPr>
          </w:p>
        </w:tc>
        <w:tc>
          <w:tcPr>
            <w:tcW w:w="762" w:type="dxa"/>
            <w:tcBorders>
              <w:top w:val="nil"/>
              <w:left w:val="nil"/>
              <w:bottom w:val="nil"/>
              <w:right w:val="nil"/>
            </w:tcBorders>
            <w:shd w:val="clear" w:color="auto" w:fill="auto"/>
            <w:noWrap/>
            <w:vAlign w:val="bottom"/>
            <w:hideMark/>
          </w:tcPr>
          <w:p w14:paraId="6367B198" w14:textId="77777777" w:rsidR="00422CF6" w:rsidRPr="00543D10" w:rsidRDefault="00422CF6" w:rsidP="00422CF6">
            <w:pPr>
              <w:spacing w:after="0" w:line="240" w:lineRule="auto"/>
              <w:ind w:left="-129" w:firstLine="129"/>
              <w:rPr>
                <w:rFonts w:ascii="Times New Roman" w:eastAsia="Times New Roman" w:hAnsi="Times New Roman" w:cs="Times New Roman"/>
                <w:sz w:val="20"/>
                <w:szCs w:val="20"/>
                <w:lang w:eastAsia="en-GB"/>
              </w:rPr>
            </w:pPr>
          </w:p>
        </w:tc>
        <w:tc>
          <w:tcPr>
            <w:tcW w:w="1345" w:type="dxa"/>
            <w:gridSpan w:val="4"/>
            <w:tcBorders>
              <w:top w:val="nil"/>
              <w:left w:val="nil"/>
              <w:right w:val="nil"/>
            </w:tcBorders>
            <w:shd w:val="clear" w:color="auto" w:fill="auto"/>
            <w:noWrap/>
            <w:vAlign w:val="center"/>
            <w:hideMark/>
          </w:tcPr>
          <w:p w14:paraId="1C1504B0" w14:textId="77777777" w:rsidR="00422CF6" w:rsidRPr="00543D10" w:rsidRDefault="00422CF6" w:rsidP="00AF1D07">
            <w:pPr>
              <w:spacing w:after="0" w:line="240" w:lineRule="auto"/>
              <w:jc w:val="right"/>
              <w:rPr>
                <w:rFonts w:ascii="Arial" w:eastAsia="Times New Roman" w:hAnsi="Arial" w:cs="Arial"/>
                <w:b/>
                <w:bCs/>
                <w:sz w:val="20"/>
                <w:szCs w:val="20"/>
                <w:lang w:eastAsia="en-GB"/>
              </w:rPr>
            </w:pPr>
            <w:r w:rsidRPr="00543D10">
              <w:rPr>
                <w:rFonts w:ascii="Arial" w:eastAsia="Times New Roman" w:hAnsi="Arial" w:cs="Arial"/>
                <w:b/>
                <w:bCs/>
                <w:sz w:val="20"/>
                <w:szCs w:val="20"/>
                <w:lang w:eastAsia="en-GB"/>
              </w:rPr>
              <w:t>Assets</w:t>
            </w:r>
          </w:p>
        </w:tc>
        <w:tc>
          <w:tcPr>
            <w:tcW w:w="1275" w:type="dxa"/>
            <w:tcBorders>
              <w:top w:val="nil"/>
              <w:left w:val="nil"/>
              <w:right w:val="nil"/>
            </w:tcBorders>
            <w:shd w:val="clear" w:color="auto" w:fill="auto"/>
            <w:noWrap/>
            <w:vAlign w:val="center"/>
            <w:hideMark/>
          </w:tcPr>
          <w:p w14:paraId="6D61A010" w14:textId="77777777" w:rsidR="00422CF6" w:rsidRPr="00543D10" w:rsidRDefault="00422CF6" w:rsidP="00AF1D07">
            <w:pPr>
              <w:spacing w:after="0" w:line="240" w:lineRule="auto"/>
              <w:jc w:val="right"/>
              <w:rPr>
                <w:rFonts w:ascii="Arial" w:eastAsia="Times New Roman" w:hAnsi="Arial" w:cs="Arial"/>
                <w:b/>
                <w:bCs/>
                <w:sz w:val="20"/>
                <w:szCs w:val="20"/>
                <w:lang w:eastAsia="en-GB"/>
              </w:rPr>
            </w:pPr>
            <w:r w:rsidRPr="00543D10">
              <w:rPr>
                <w:rFonts w:ascii="Arial" w:eastAsia="Times New Roman" w:hAnsi="Arial" w:cs="Arial"/>
                <w:b/>
                <w:bCs/>
                <w:sz w:val="20"/>
                <w:szCs w:val="20"/>
                <w:lang w:eastAsia="en-GB"/>
              </w:rPr>
              <w:t>Liabilities</w:t>
            </w:r>
          </w:p>
        </w:tc>
        <w:tc>
          <w:tcPr>
            <w:tcW w:w="1089" w:type="dxa"/>
            <w:gridSpan w:val="3"/>
            <w:tcBorders>
              <w:top w:val="nil"/>
              <w:left w:val="nil"/>
              <w:right w:val="nil"/>
            </w:tcBorders>
            <w:shd w:val="clear" w:color="auto" w:fill="auto"/>
            <w:noWrap/>
            <w:vAlign w:val="center"/>
            <w:hideMark/>
          </w:tcPr>
          <w:p w14:paraId="554674A1" w14:textId="77777777" w:rsidR="00422CF6" w:rsidRPr="00543D10" w:rsidRDefault="00422CF6" w:rsidP="00AF1D07">
            <w:pPr>
              <w:spacing w:after="0" w:line="240" w:lineRule="auto"/>
              <w:jc w:val="right"/>
              <w:rPr>
                <w:rFonts w:ascii="Arial" w:eastAsia="Times New Roman" w:hAnsi="Arial" w:cs="Arial"/>
                <w:b/>
                <w:bCs/>
                <w:sz w:val="20"/>
                <w:szCs w:val="20"/>
                <w:lang w:eastAsia="en-GB"/>
              </w:rPr>
            </w:pPr>
            <w:r w:rsidRPr="00543D10">
              <w:rPr>
                <w:rFonts w:ascii="Arial" w:eastAsia="Times New Roman" w:hAnsi="Arial" w:cs="Arial"/>
                <w:b/>
                <w:bCs/>
                <w:sz w:val="20"/>
                <w:szCs w:val="20"/>
                <w:lang w:eastAsia="en-GB"/>
              </w:rPr>
              <w:t>Total</w:t>
            </w:r>
          </w:p>
        </w:tc>
        <w:tc>
          <w:tcPr>
            <w:tcW w:w="997" w:type="dxa"/>
            <w:tcBorders>
              <w:top w:val="nil"/>
              <w:left w:val="nil"/>
              <w:right w:val="nil"/>
            </w:tcBorders>
            <w:shd w:val="clear" w:color="auto" w:fill="auto"/>
            <w:noWrap/>
            <w:vAlign w:val="center"/>
            <w:hideMark/>
          </w:tcPr>
          <w:p w14:paraId="0AF53735" w14:textId="77777777" w:rsidR="00422CF6" w:rsidRPr="00543D10" w:rsidRDefault="00422CF6" w:rsidP="00AF1D07">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2019</w:t>
            </w:r>
          </w:p>
        </w:tc>
      </w:tr>
      <w:tr w:rsidR="00422CF6" w:rsidRPr="00543D10" w14:paraId="3BDDFF0A" w14:textId="77777777" w:rsidTr="00D85D6F">
        <w:tblPrEx>
          <w:jc w:val="left"/>
        </w:tblPrEx>
        <w:trPr>
          <w:gridAfter w:val="3"/>
          <w:wAfter w:w="447" w:type="dxa"/>
          <w:trHeight w:val="331"/>
        </w:trPr>
        <w:tc>
          <w:tcPr>
            <w:tcW w:w="4266" w:type="dxa"/>
            <w:gridSpan w:val="3"/>
            <w:tcBorders>
              <w:top w:val="nil"/>
              <w:left w:val="nil"/>
              <w:bottom w:val="single" w:sz="4" w:space="0" w:color="auto"/>
              <w:right w:val="nil"/>
            </w:tcBorders>
            <w:shd w:val="clear" w:color="auto" w:fill="auto"/>
            <w:noWrap/>
            <w:vAlign w:val="center"/>
            <w:hideMark/>
          </w:tcPr>
          <w:p w14:paraId="2FAAB487" w14:textId="77777777" w:rsidR="00422CF6" w:rsidRPr="00543D10" w:rsidRDefault="00422CF6" w:rsidP="00AF1D07">
            <w:pPr>
              <w:spacing w:after="0" w:line="240" w:lineRule="auto"/>
              <w:rPr>
                <w:rFonts w:ascii="Arial" w:eastAsia="Times New Roman" w:hAnsi="Arial" w:cs="Arial"/>
                <w:sz w:val="20"/>
                <w:szCs w:val="20"/>
                <w:lang w:eastAsia="en-GB"/>
              </w:rPr>
            </w:pPr>
            <w:r w:rsidRPr="00543D10">
              <w:rPr>
                <w:rFonts w:ascii="Arial" w:eastAsia="Times New Roman" w:hAnsi="Arial" w:cs="Arial"/>
                <w:sz w:val="20"/>
                <w:szCs w:val="20"/>
                <w:lang w:eastAsia="en-GB"/>
              </w:rPr>
              <w:t> </w:t>
            </w:r>
          </w:p>
        </w:tc>
        <w:tc>
          <w:tcPr>
            <w:tcW w:w="762" w:type="dxa"/>
            <w:tcBorders>
              <w:top w:val="nil"/>
              <w:left w:val="nil"/>
              <w:bottom w:val="single" w:sz="4" w:space="0" w:color="auto"/>
              <w:right w:val="nil"/>
            </w:tcBorders>
            <w:shd w:val="clear" w:color="auto" w:fill="auto"/>
            <w:noWrap/>
            <w:vAlign w:val="bottom"/>
            <w:hideMark/>
          </w:tcPr>
          <w:p w14:paraId="42DC76A2" w14:textId="77777777" w:rsidR="00422CF6" w:rsidRPr="00543D10" w:rsidRDefault="00422CF6" w:rsidP="00AF1D07">
            <w:pPr>
              <w:spacing w:after="0" w:line="240" w:lineRule="auto"/>
              <w:rPr>
                <w:rFonts w:ascii="Arial" w:eastAsia="Times New Roman" w:hAnsi="Arial" w:cs="Arial"/>
                <w:sz w:val="20"/>
                <w:szCs w:val="20"/>
                <w:lang w:eastAsia="en-GB"/>
              </w:rPr>
            </w:pPr>
            <w:r w:rsidRPr="00543D10">
              <w:rPr>
                <w:rFonts w:ascii="Arial" w:eastAsia="Times New Roman" w:hAnsi="Arial" w:cs="Arial"/>
                <w:sz w:val="20"/>
                <w:szCs w:val="20"/>
                <w:lang w:eastAsia="en-GB"/>
              </w:rPr>
              <w:t> </w:t>
            </w:r>
          </w:p>
        </w:tc>
        <w:tc>
          <w:tcPr>
            <w:tcW w:w="1345" w:type="dxa"/>
            <w:gridSpan w:val="4"/>
            <w:tcBorders>
              <w:top w:val="nil"/>
              <w:left w:val="nil"/>
              <w:bottom w:val="single" w:sz="4" w:space="0" w:color="auto"/>
              <w:right w:val="nil"/>
            </w:tcBorders>
            <w:shd w:val="clear" w:color="auto" w:fill="auto"/>
            <w:noWrap/>
            <w:vAlign w:val="center"/>
            <w:hideMark/>
          </w:tcPr>
          <w:p w14:paraId="1EC00BA8" w14:textId="77777777" w:rsidR="00422CF6" w:rsidRPr="00543D10" w:rsidRDefault="00422CF6" w:rsidP="00AF1D07">
            <w:pPr>
              <w:spacing w:after="0" w:line="240" w:lineRule="auto"/>
              <w:jc w:val="right"/>
              <w:rPr>
                <w:rFonts w:ascii="Arial" w:eastAsia="Times New Roman" w:hAnsi="Arial" w:cs="Arial"/>
                <w:b/>
                <w:bCs/>
                <w:sz w:val="20"/>
                <w:szCs w:val="20"/>
                <w:lang w:eastAsia="en-GB"/>
              </w:rPr>
            </w:pPr>
            <w:r w:rsidRPr="00543D10">
              <w:rPr>
                <w:rFonts w:ascii="Arial" w:eastAsia="Times New Roman" w:hAnsi="Arial" w:cs="Arial"/>
                <w:b/>
                <w:bCs/>
                <w:sz w:val="20"/>
                <w:szCs w:val="20"/>
                <w:lang w:eastAsia="en-GB"/>
              </w:rPr>
              <w:t>£000</w:t>
            </w:r>
          </w:p>
        </w:tc>
        <w:tc>
          <w:tcPr>
            <w:tcW w:w="1275" w:type="dxa"/>
            <w:tcBorders>
              <w:top w:val="nil"/>
              <w:left w:val="nil"/>
              <w:bottom w:val="single" w:sz="4" w:space="0" w:color="auto"/>
              <w:right w:val="nil"/>
            </w:tcBorders>
            <w:shd w:val="clear" w:color="auto" w:fill="auto"/>
            <w:noWrap/>
            <w:vAlign w:val="center"/>
            <w:hideMark/>
          </w:tcPr>
          <w:p w14:paraId="488BE799" w14:textId="77777777" w:rsidR="00422CF6" w:rsidRPr="00543D10" w:rsidRDefault="00422CF6" w:rsidP="00AF1D07">
            <w:pPr>
              <w:spacing w:after="0" w:line="240" w:lineRule="auto"/>
              <w:jc w:val="right"/>
              <w:rPr>
                <w:rFonts w:ascii="Arial" w:eastAsia="Times New Roman" w:hAnsi="Arial" w:cs="Arial"/>
                <w:b/>
                <w:bCs/>
                <w:sz w:val="20"/>
                <w:szCs w:val="20"/>
                <w:lang w:eastAsia="en-GB"/>
              </w:rPr>
            </w:pPr>
            <w:r w:rsidRPr="00543D10">
              <w:rPr>
                <w:rFonts w:ascii="Arial" w:eastAsia="Times New Roman" w:hAnsi="Arial" w:cs="Arial"/>
                <w:b/>
                <w:bCs/>
                <w:sz w:val="20"/>
                <w:szCs w:val="20"/>
                <w:lang w:eastAsia="en-GB"/>
              </w:rPr>
              <w:t>£000</w:t>
            </w:r>
          </w:p>
        </w:tc>
        <w:tc>
          <w:tcPr>
            <w:tcW w:w="1089" w:type="dxa"/>
            <w:gridSpan w:val="3"/>
            <w:tcBorders>
              <w:top w:val="nil"/>
              <w:left w:val="nil"/>
              <w:bottom w:val="single" w:sz="4" w:space="0" w:color="auto"/>
              <w:right w:val="nil"/>
            </w:tcBorders>
            <w:shd w:val="clear" w:color="auto" w:fill="auto"/>
            <w:noWrap/>
            <w:vAlign w:val="center"/>
            <w:hideMark/>
          </w:tcPr>
          <w:p w14:paraId="3A40C1EF" w14:textId="77777777" w:rsidR="00422CF6" w:rsidRPr="00543D10" w:rsidRDefault="00422CF6" w:rsidP="00AF1D07">
            <w:pPr>
              <w:spacing w:after="0" w:line="240" w:lineRule="auto"/>
              <w:jc w:val="right"/>
              <w:rPr>
                <w:rFonts w:ascii="Arial" w:eastAsia="Times New Roman" w:hAnsi="Arial" w:cs="Arial"/>
                <w:b/>
                <w:bCs/>
                <w:sz w:val="20"/>
                <w:szCs w:val="20"/>
                <w:lang w:eastAsia="en-GB"/>
              </w:rPr>
            </w:pPr>
            <w:r w:rsidRPr="00543D10">
              <w:rPr>
                <w:rFonts w:ascii="Arial" w:eastAsia="Times New Roman" w:hAnsi="Arial" w:cs="Arial"/>
                <w:b/>
                <w:bCs/>
                <w:sz w:val="20"/>
                <w:szCs w:val="20"/>
                <w:lang w:eastAsia="en-GB"/>
              </w:rPr>
              <w:t>£000</w:t>
            </w:r>
          </w:p>
        </w:tc>
        <w:tc>
          <w:tcPr>
            <w:tcW w:w="997" w:type="dxa"/>
            <w:tcBorders>
              <w:top w:val="nil"/>
              <w:left w:val="nil"/>
              <w:bottom w:val="single" w:sz="4" w:space="0" w:color="auto"/>
              <w:right w:val="nil"/>
            </w:tcBorders>
            <w:shd w:val="clear" w:color="auto" w:fill="auto"/>
            <w:noWrap/>
            <w:vAlign w:val="center"/>
            <w:hideMark/>
          </w:tcPr>
          <w:p w14:paraId="615CB022" w14:textId="77777777" w:rsidR="00422CF6" w:rsidRPr="00543D10" w:rsidRDefault="00422CF6" w:rsidP="00AF1D07">
            <w:pPr>
              <w:spacing w:after="0" w:line="240" w:lineRule="auto"/>
              <w:jc w:val="right"/>
              <w:rPr>
                <w:rFonts w:ascii="Arial" w:eastAsia="Times New Roman" w:hAnsi="Arial" w:cs="Arial"/>
                <w:sz w:val="20"/>
                <w:szCs w:val="20"/>
                <w:lang w:eastAsia="en-GB"/>
              </w:rPr>
            </w:pPr>
            <w:r w:rsidRPr="00543D10">
              <w:rPr>
                <w:rFonts w:ascii="Arial" w:eastAsia="Times New Roman" w:hAnsi="Arial" w:cs="Arial"/>
                <w:sz w:val="20"/>
                <w:szCs w:val="20"/>
                <w:lang w:eastAsia="en-GB"/>
              </w:rPr>
              <w:t>£'000</w:t>
            </w:r>
          </w:p>
        </w:tc>
      </w:tr>
      <w:tr w:rsidR="00422CF6" w:rsidRPr="00416FDD" w14:paraId="1003E9D3" w14:textId="77777777" w:rsidTr="00D85D6F">
        <w:tblPrEx>
          <w:jc w:val="left"/>
        </w:tblPrEx>
        <w:trPr>
          <w:gridAfter w:val="3"/>
          <w:wAfter w:w="447" w:type="dxa"/>
          <w:trHeight w:val="331"/>
        </w:trPr>
        <w:tc>
          <w:tcPr>
            <w:tcW w:w="4266" w:type="dxa"/>
            <w:gridSpan w:val="3"/>
            <w:tcBorders>
              <w:top w:val="nil"/>
              <w:left w:val="nil"/>
              <w:bottom w:val="nil"/>
              <w:right w:val="nil"/>
            </w:tcBorders>
            <w:shd w:val="clear" w:color="auto" w:fill="auto"/>
            <w:noWrap/>
            <w:vAlign w:val="center"/>
            <w:hideMark/>
          </w:tcPr>
          <w:p w14:paraId="4E8DF1AE" w14:textId="77777777" w:rsidR="00422CF6" w:rsidRPr="00543D10" w:rsidRDefault="00422CF6" w:rsidP="00AF1D07">
            <w:pPr>
              <w:spacing w:after="0" w:line="240" w:lineRule="auto"/>
              <w:rPr>
                <w:rFonts w:ascii="Arial" w:eastAsia="Times New Roman" w:hAnsi="Arial" w:cs="Arial"/>
                <w:sz w:val="20"/>
                <w:szCs w:val="20"/>
                <w:lang w:eastAsia="en-GB"/>
              </w:rPr>
            </w:pPr>
            <w:r w:rsidRPr="00543D10">
              <w:rPr>
                <w:rFonts w:ascii="Arial" w:eastAsia="Times New Roman" w:hAnsi="Arial" w:cs="Arial"/>
                <w:sz w:val="20"/>
                <w:szCs w:val="20"/>
                <w:lang w:eastAsia="en-GB"/>
              </w:rPr>
              <w:t xml:space="preserve">Deficit in the scheme as at 1 September </w:t>
            </w:r>
            <w:r>
              <w:rPr>
                <w:rFonts w:ascii="Arial" w:eastAsia="Times New Roman" w:hAnsi="Arial" w:cs="Arial"/>
                <w:sz w:val="20"/>
                <w:szCs w:val="20"/>
                <w:lang w:eastAsia="en-GB"/>
              </w:rPr>
              <w:t>2019</w:t>
            </w:r>
          </w:p>
        </w:tc>
        <w:tc>
          <w:tcPr>
            <w:tcW w:w="762" w:type="dxa"/>
            <w:tcBorders>
              <w:top w:val="nil"/>
              <w:left w:val="nil"/>
              <w:bottom w:val="nil"/>
              <w:right w:val="nil"/>
            </w:tcBorders>
            <w:shd w:val="clear" w:color="auto" w:fill="auto"/>
            <w:noWrap/>
            <w:vAlign w:val="bottom"/>
            <w:hideMark/>
          </w:tcPr>
          <w:p w14:paraId="367D9241" w14:textId="77777777" w:rsidR="00422CF6" w:rsidRPr="00543D10" w:rsidRDefault="00422CF6" w:rsidP="00AF1D07">
            <w:pPr>
              <w:spacing w:after="0" w:line="240" w:lineRule="auto"/>
              <w:rPr>
                <w:rFonts w:ascii="Arial" w:eastAsia="Times New Roman" w:hAnsi="Arial" w:cs="Arial"/>
                <w:sz w:val="20"/>
                <w:szCs w:val="20"/>
                <w:lang w:eastAsia="en-GB"/>
              </w:rPr>
            </w:pPr>
          </w:p>
        </w:tc>
        <w:tc>
          <w:tcPr>
            <w:tcW w:w="1345" w:type="dxa"/>
            <w:gridSpan w:val="4"/>
            <w:tcBorders>
              <w:top w:val="single" w:sz="4" w:space="0" w:color="auto"/>
              <w:left w:val="nil"/>
              <w:right w:val="nil"/>
            </w:tcBorders>
            <w:shd w:val="clear" w:color="auto" w:fill="auto"/>
            <w:noWrap/>
            <w:vAlign w:val="center"/>
            <w:hideMark/>
          </w:tcPr>
          <w:p w14:paraId="0A608CA0" w14:textId="77777777" w:rsidR="00422CF6" w:rsidRPr="00416FDD" w:rsidRDefault="00422CF6" w:rsidP="00AF1D07">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130,612</w:t>
            </w:r>
          </w:p>
        </w:tc>
        <w:tc>
          <w:tcPr>
            <w:tcW w:w="1275" w:type="dxa"/>
            <w:tcBorders>
              <w:top w:val="single" w:sz="4" w:space="0" w:color="auto"/>
              <w:left w:val="nil"/>
              <w:right w:val="nil"/>
            </w:tcBorders>
            <w:shd w:val="clear" w:color="auto" w:fill="auto"/>
            <w:noWrap/>
            <w:vAlign w:val="center"/>
            <w:hideMark/>
          </w:tcPr>
          <w:p w14:paraId="34FF94C4" w14:textId="77777777" w:rsidR="00422CF6" w:rsidRPr="00416FDD" w:rsidRDefault="00724F15" w:rsidP="00AF1D07">
            <w:pPr>
              <w:spacing w:after="0" w:line="240" w:lineRule="auto"/>
              <w:jc w:val="right"/>
              <w:rPr>
                <w:rFonts w:ascii="Arial" w:eastAsia="Times New Roman" w:hAnsi="Arial" w:cs="Arial"/>
                <w:sz w:val="20"/>
                <w:szCs w:val="20"/>
                <w:lang w:eastAsia="en-GB"/>
              </w:rPr>
            </w:pPr>
            <w:r>
              <w:rPr>
                <w:rFonts w:ascii="Arial" w:eastAsia="Times New Roman" w:hAnsi="Arial" w:cs="Arial"/>
                <w:bCs/>
                <w:sz w:val="20"/>
                <w:szCs w:val="20"/>
                <w:lang w:eastAsia="en-GB"/>
              </w:rPr>
              <w:t>(191,163</w:t>
            </w:r>
            <w:r w:rsidR="00422CF6" w:rsidRPr="00416FDD">
              <w:rPr>
                <w:rFonts w:ascii="Arial" w:eastAsia="Times New Roman" w:hAnsi="Arial" w:cs="Arial"/>
                <w:bCs/>
                <w:sz w:val="20"/>
                <w:szCs w:val="20"/>
                <w:lang w:eastAsia="en-GB"/>
              </w:rPr>
              <w:t>)</w:t>
            </w:r>
          </w:p>
        </w:tc>
        <w:tc>
          <w:tcPr>
            <w:tcW w:w="1089" w:type="dxa"/>
            <w:gridSpan w:val="3"/>
            <w:tcBorders>
              <w:top w:val="single" w:sz="4" w:space="0" w:color="auto"/>
              <w:left w:val="nil"/>
              <w:right w:val="nil"/>
            </w:tcBorders>
            <w:shd w:val="clear" w:color="auto" w:fill="auto"/>
            <w:noWrap/>
            <w:vAlign w:val="center"/>
            <w:hideMark/>
          </w:tcPr>
          <w:p w14:paraId="4BFAF759" w14:textId="77777777" w:rsidR="00422CF6" w:rsidRPr="00416FDD" w:rsidRDefault="00724F15" w:rsidP="00AF1D07">
            <w:pPr>
              <w:spacing w:after="0" w:line="240" w:lineRule="auto"/>
              <w:jc w:val="right"/>
              <w:rPr>
                <w:rFonts w:ascii="Arial" w:eastAsia="Times New Roman" w:hAnsi="Arial" w:cs="Arial"/>
                <w:bCs/>
                <w:sz w:val="20"/>
                <w:szCs w:val="20"/>
                <w:lang w:eastAsia="en-GB"/>
              </w:rPr>
            </w:pPr>
            <w:r>
              <w:rPr>
                <w:rFonts w:ascii="Arial" w:eastAsia="Times New Roman" w:hAnsi="Arial" w:cs="Arial"/>
                <w:bCs/>
                <w:sz w:val="20"/>
                <w:szCs w:val="20"/>
                <w:lang w:eastAsia="en-GB"/>
              </w:rPr>
              <w:t>(60,551)</w:t>
            </w:r>
          </w:p>
        </w:tc>
        <w:tc>
          <w:tcPr>
            <w:tcW w:w="997" w:type="dxa"/>
            <w:tcBorders>
              <w:top w:val="single" w:sz="4" w:space="0" w:color="auto"/>
              <w:left w:val="nil"/>
              <w:right w:val="nil"/>
            </w:tcBorders>
            <w:shd w:val="clear" w:color="auto" w:fill="auto"/>
            <w:noWrap/>
            <w:vAlign w:val="center"/>
            <w:hideMark/>
          </w:tcPr>
          <w:p w14:paraId="75EFEA7E" w14:textId="77777777" w:rsidR="00422CF6" w:rsidRPr="00416FDD" w:rsidRDefault="002F6778" w:rsidP="00AF1D07">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(42,539)</w:t>
            </w:r>
          </w:p>
        </w:tc>
      </w:tr>
      <w:tr w:rsidR="00422CF6" w:rsidRPr="00543D10" w14:paraId="37136618" w14:textId="77777777" w:rsidTr="00D85D6F">
        <w:tblPrEx>
          <w:jc w:val="left"/>
        </w:tblPrEx>
        <w:trPr>
          <w:gridAfter w:val="3"/>
          <w:wAfter w:w="447" w:type="dxa"/>
          <w:trHeight w:val="331"/>
        </w:trPr>
        <w:tc>
          <w:tcPr>
            <w:tcW w:w="4266" w:type="dxa"/>
            <w:gridSpan w:val="3"/>
            <w:tcBorders>
              <w:top w:val="nil"/>
              <w:left w:val="nil"/>
              <w:bottom w:val="nil"/>
              <w:right w:val="nil"/>
            </w:tcBorders>
            <w:shd w:val="clear" w:color="auto" w:fill="auto"/>
            <w:noWrap/>
            <w:vAlign w:val="center"/>
            <w:hideMark/>
          </w:tcPr>
          <w:p w14:paraId="012DF57C" w14:textId="77777777" w:rsidR="00422CF6" w:rsidRPr="00543D10" w:rsidRDefault="00422CF6" w:rsidP="00AF1D07">
            <w:pPr>
              <w:spacing w:after="0" w:line="240" w:lineRule="auto"/>
              <w:rPr>
                <w:rFonts w:ascii="Arial" w:eastAsia="Times New Roman" w:hAnsi="Arial" w:cs="Arial"/>
                <w:sz w:val="20"/>
                <w:szCs w:val="20"/>
                <w:lang w:eastAsia="en-GB"/>
              </w:rPr>
            </w:pPr>
            <w:r w:rsidRPr="00543D10">
              <w:rPr>
                <w:rFonts w:ascii="Arial" w:eastAsia="Times New Roman" w:hAnsi="Arial" w:cs="Arial"/>
                <w:sz w:val="20"/>
                <w:szCs w:val="20"/>
                <w:lang w:eastAsia="en-GB"/>
              </w:rPr>
              <w:t>Benefits paid</w:t>
            </w:r>
          </w:p>
        </w:tc>
        <w:tc>
          <w:tcPr>
            <w:tcW w:w="762" w:type="dxa"/>
            <w:tcBorders>
              <w:top w:val="nil"/>
              <w:left w:val="nil"/>
              <w:bottom w:val="nil"/>
              <w:right w:val="nil"/>
            </w:tcBorders>
            <w:shd w:val="clear" w:color="auto" w:fill="auto"/>
            <w:noWrap/>
            <w:vAlign w:val="bottom"/>
            <w:hideMark/>
          </w:tcPr>
          <w:p w14:paraId="5B2F4181" w14:textId="77777777" w:rsidR="00422CF6" w:rsidRPr="00543D10" w:rsidRDefault="00422CF6" w:rsidP="00AF1D07">
            <w:pPr>
              <w:spacing w:after="0" w:line="240" w:lineRule="auto"/>
              <w:rPr>
                <w:rFonts w:ascii="Arial" w:eastAsia="Times New Roman" w:hAnsi="Arial" w:cs="Arial"/>
                <w:sz w:val="20"/>
                <w:szCs w:val="20"/>
                <w:lang w:eastAsia="en-GB"/>
              </w:rPr>
            </w:pPr>
          </w:p>
        </w:tc>
        <w:tc>
          <w:tcPr>
            <w:tcW w:w="1345" w:type="dxa"/>
            <w:gridSpan w:val="4"/>
            <w:tcBorders>
              <w:left w:val="nil"/>
              <w:bottom w:val="nil"/>
              <w:right w:val="nil"/>
            </w:tcBorders>
            <w:shd w:val="clear" w:color="auto" w:fill="auto"/>
            <w:noWrap/>
            <w:vAlign w:val="bottom"/>
          </w:tcPr>
          <w:p w14:paraId="3EF0D931" w14:textId="77777777" w:rsidR="00422CF6" w:rsidRPr="00543D10" w:rsidRDefault="00724F15" w:rsidP="00AF1D07">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(4,277)</w:t>
            </w:r>
          </w:p>
        </w:tc>
        <w:tc>
          <w:tcPr>
            <w:tcW w:w="1275" w:type="dxa"/>
            <w:tcBorders>
              <w:left w:val="nil"/>
              <w:bottom w:val="nil"/>
              <w:right w:val="nil"/>
            </w:tcBorders>
            <w:shd w:val="clear" w:color="auto" w:fill="auto"/>
            <w:noWrap/>
            <w:vAlign w:val="bottom"/>
          </w:tcPr>
          <w:p w14:paraId="38C8FE40" w14:textId="77777777" w:rsidR="00422CF6" w:rsidRPr="00543D10" w:rsidRDefault="00724F15" w:rsidP="0078452D">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4,277</w:t>
            </w:r>
          </w:p>
        </w:tc>
        <w:tc>
          <w:tcPr>
            <w:tcW w:w="1089" w:type="dxa"/>
            <w:gridSpan w:val="3"/>
            <w:tcBorders>
              <w:left w:val="nil"/>
              <w:bottom w:val="nil"/>
              <w:right w:val="nil"/>
            </w:tcBorders>
            <w:shd w:val="clear" w:color="auto" w:fill="auto"/>
            <w:noWrap/>
            <w:vAlign w:val="bottom"/>
          </w:tcPr>
          <w:p w14:paraId="11CEA1BD" w14:textId="77777777" w:rsidR="00422CF6" w:rsidRPr="00543D10" w:rsidRDefault="00422CF6" w:rsidP="00AF1D07">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w:t>
            </w:r>
          </w:p>
        </w:tc>
        <w:tc>
          <w:tcPr>
            <w:tcW w:w="997" w:type="dxa"/>
            <w:tcBorders>
              <w:left w:val="nil"/>
              <w:bottom w:val="nil"/>
              <w:right w:val="nil"/>
            </w:tcBorders>
            <w:shd w:val="clear" w:color="auto" w:fill="auto"/>
            <w:noWrap/>
            <w:vAlign w:val="bottom"/>
          </w:tcPr>
          <w:p w14:paraId="3F1F83E3" w14:textId="77777777" w:rsidR="00422CF6" w:rsidRPr="00543D10" w:rsidRDefault="002F6778" w:rsidP="00AF1D07">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w:t>
            </w:r>
          </w:p>
        </w:tc>
      </w:tr>
      <w:tr w:rsidR="00422CF6" w:rsidRPr="00543D10" w14:paraId="0C8F6E28" w14:textId="77777777" w:rsidTr="00D85D6F">
        <w:tblPrEx>
          <w:jc w:val="left"/>
        </w:tblPrEx>
        <w:trPr>
          <w:gridAfter w:val="3"/>
          <w:wAfter w:w="447" w:type="dxa"/>
          <w:trHeight w:val="331"/>
        </w:trPr>
        <w:tc>
          <w:tcPr>
            <w:tcW w:w="4266" w:type="dxa"/>
            <w:gridSpan w:val="3"/>
            <w:tcBorders>
              <w:top w:val="nil"/>
              <w:left w:val="nil"/>
              <w:bottom w:val="nil"/>
              <w:right w:val="nil"/>
            </w:tcBorders>
            <w:shd w:val="clear" w:color="auto" w:fill="auto"/>
            <w:noWrap/>
            <w:vAlign w:val="center"/>
            <w:hideMark/>
          </w:tcPr>
          <w:p w14:paraId="7E407D42" w14:textId="77777777" w:rsidR="00422CF6" w:rsidRPr="00543D10" w:rsidRDefault="00422CF6" w:rsidP="00AF1D07">
            <w:pPr>
              <w:spacing w:after="0" w:line="240" w:lineRule="auto"/>
              <w:rPr>
                <w:rFonts w:ascii="Arial" w:eastAsia="Times New Roman" w:hAnsi="Arial" w:cs="Arial"/>
                <w:sz w:val="20"/>
                <w:szCs w:val="20"/>
                <w:lang w:eastAsia="en-GB"/>
              </w:rPr>
            </w:pPr>
            <w:r w:rsidRPr="00543D10">
              <w:rPr>
                <w:rFonts w:ascii="Arial" w:eastAsia="Times New Roman" w:hAnsi="Arial" w:cs="Arial"/>
                <w:sz w:val="20"/>
                <w:szCs w:val="20"/>
                <w:lang w:eastAsia="en-GB"/>
              </w:rPr>
              <w:t>Employer contributions</w:t>
            </w:r>
          </w:p>
        </w:tc>
        <w:tc>
          <w:tcPr>
            <w:tcW w:w="762" w:type="dxa"/>
            <w:tcBorders>
              <w:top w:val="nil"/>
              <w:left w:val="nil"/>
              <w:bottom w:val="nil"/>
              <w:right w:val="nil"/>
            </w:tcBorders>
            <w:shd w:val="clear" w:color="auto" w:fill="auto"/>
            <w:noWrap/>
            <w:vAlign w:val="bottom"/>
            <w:hideMark/>
          </w:tcPr>
          <w:p w14:paraId="0B124551" w14:textId="77777777" w:rsidR="00422CF6" w:rsidRPr="00543D10" w:rsidRDefault="00422CF6" w:rsidP="00AF1D07">
            <w:pPr>
              <w:spacing w:after="0" w:line="240" w:lineRule="auto"/>
              <w:rPr>
                <w:rFonts w:ascii="Arial" w:eastAsia="Times New Roman" w:hAnsi="Arial" w:cs="Arial"/>
                <w:sz w:val="20"/>
                <w:szCs w:val="20"/>
                <w:lang w:eastAsia="en-GB"/>
              </w:rPr>
            </w:pPr>
          </w:p>
        </w:tc>
        <w:tc>
          <w:tcPr>
            <w:tcW w:w="1345" w:type="dxa"/>
            <w:gridSpan w:val="4"/>
            <w:tcBorders>
              <w:top w:val="nil"/>
              <w:left w:val="nil"/>
              <w:bottom w:val="nil"/>
              <w:right w:val="nil"/>
            </w:tcBorders>
            <w:shd w:val="clear" w:color="auto" w:fill="auto"/>
            <w:noWrap/>
            <w:vAlign w:val="bottom"/>
          </w:tcPr>
          <w:p w14:paraId="56F9DD1C" w14:textId="77777777" w:rsidR="00422CF6" w:rsidRPr="00543D10" w:rsidRDefault="00724F15" w:rsidP="00AF1D07">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1,485</w:t>
            </w:r>
          </w:p>
        </w:tc>
        <w:tc>
          <w:tcPr>
            <w:tcW w:w="1275" w:type="dxa"/>
            <w:tcBorders>
              <w:top w:val="nil"/>
              <w:left w:val="nil"/>
              <w:bottom w:val="nil"/>
              <w:right w:val="nil"/>
            </w:tcBorders>
            <w:shd w:val="clear" w:color="auto" w:fill="auto"/>
            <w:noWrap/>
            <w:vAlign w:val="bottom"/>
          </w:tcPr>
          <w:p w14:paraId="4AA46D36" w14:textId="77777777" w:rsidR="00422CF6" w:rsidRPr="00543D10" w:rsidRDefault="00422CF6" w:rsidP="00AF1D07">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w:t>
            </w:r>
          </w:p>
        </w:tc>
        <w:tc>
          <w:tcPr>
            <w:tcW w:w="1089" w:type="dxa"/>
            <w:gridSpan w:val="3"/>
            <w:tcBorders>
              <w:top w:val="nil"/>
              <w:left w:val="nil"/>
              <w:bottom w:val="nil"/>
              <w:right w:val="nil"/>
            </w:tcBorders>
            <w:shd w:val="clear" w:color="auto" w:fill="auto"/>
            <w:noWrap/>
            <w:vAlign w:val="bottom"/>
          </w:tcPr>
          <w:p w14:paraId="20FE9BFE" w14:textId="77777777" w:rsidR="00422CF6" w:rsidRPr="00543D10" w:rsidRDefault="002F6778" w:rsidP="00AF1D07">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1,485</w:t>
            </w:r>
          </w:p>
        </w:tc>
        <w:tc>
          <w:tcPr>
            <w:tcW w:w="997" w:type="dxa"/>
            <w:tcBorders>
              <w:top w:val="nil"/>
              <w:left w:val="nil"/>
              <w:bottom w:val="nil"/>
              <w:right w:val="nil"/>
            </w:tcBorders>
            <w:shd w:val="clear" w:color="auto" w:fill="auto"/>
            <w:noWrap/>
            <w:vAlign w:val="bottom"/>
          </w:tcPr>
          <w:p w14:paraId="62B31DE9" w14:textId="77777777" w:rsidR="00422CF6" w:rsidRPr="00543D10" w:rsidRDefault="002F6778" w:rsidP="00AF1D07">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1,655</w:t>
            </w:r>
          </w:p>
        </w:tc>
      </w:tr>
      <w:tr w:rsidR="00422CF6" w:rsidRPr="00543D10" w14:paraId="11EE266C" w14:textId="77777777" w:rsidTr="00D85D6F">
        <w:tblPrEx>
          <w:jc w:val="left"/>
        </w:tblPrEx>
        <w:trPr>
          <w:gridAfter w:val="3"/>
          <w:wAfter w:w="447" w:type="dxa"/>
          <w:trHeight w:val="331"/>
        </w:trPr>
        <w:tc>
          <w:tcPr>
            <w:tcW w:w="4266" w:type="dxa"/>
            <w:gridSpan w:val="3"/>
            <w:tcBorders>
              <w:top w:val="nil"/>
              <w:left w:val="nil"/>
              <w:bottom w:val="nil"/>
              <w:right w:val="nil"/>
            </w:tcBorders>
            <w:shd w:val="clear" w:color="auto" w:fill="auto"/>
            <w:noWrap/>
            <w:vAlign w:val="center"/>
            <w:hideMark/>
          </w:tcPr>
          <w:p w14:paraId="7581A754" w14:textId="77777777" w:rsidR="00422CF6" w:rsidRPr="00543D10" w:rsidRDefault="00422CF6" w:rsidP="00AF1D07">
            <w:pPr>
              <w:spacing w:after="0" w:line="240" w:lineRule="auto"/>
              <w:rPr>
                <w:rFonts w:ascii="Arial" w:eastAsia="Times New Roman" w:hAnsi="Arial" w:cs="Arial"/>
                <w:sz w:val="20"/>
                <w:szCs w:val="20"/>
                <w:lang w:eastAsia="en-GB"/>
              </w:rPr>
            </w:pPr>
            <w:r w:rsidRPr="00543D10">
              <w:rPr>
                <w:rFonts w:ascii="Arial" w:eastAsia="Times New Roman" w:hAnsi="Arial" w:cs="Arial"/>
                <w:sz w:val="20"/>
                <w:szCs w:val="20"/>
                <w:lang w:eastAsia="en-GB"/>
              </w:rPr>
              <w:t>Contribution from employees</w:t>
            </w:r>
          </w:p>
        </w:tc>
        <w:tc>
          <w:tcPr>
            <w:tcW w:w="762" w:type="dxa"/>
            <w:tcBorders>
              <w:top w:val="nil"/>
              <w:left w:val="nil"/>
              <w:bottom w:val="nil"/>
              <w:right w:val="nil"/>
            </w:tcBorders>
            <w:shd w:val="clear" w:color="auto" w:fill="auto"/>
            <w:noWrap/>
            <w:vAlign w:val="bottom"/>
            <w:hideMark/>
          </w:tcPr>
          <w:p w14:paraId="09FD4791" w14:textId="77777777" w:rsidR="00422CF6" w:rsidRPr="00543D10" w:rsidRDefault="00422CF6" w:rsidP="00AF1D07">
            <w:pPr>
              <w:spacing w:after="0" w:line="240" w:lineRule="auto"/>
              <w:rPr>
                <w:rFonts w:ascii="Arial" w:eastAsia="Times New Roman" w:hAnsi="Arial" w:cs="Arial"/>
                <w:sz w:val="20"/>
                <w:szCs w:val="20"/>
                <w:lang w:eastAsia="en-GB"/>
              </w:rPr>
            </w:pPr>
          </w:p>
        </w:tc>
        <w:tc>
          <w:tcPr>
            <w:tcW w:w="1345" w:type="dxa"/>
            <w:gridSpan w:val="4"/>
            <w:tcBorders>
              <w:top w:val="nil"/>
              <w:left w:val="nil"/>
              <w:bottom w:val="nil"/>
              <w:right w:val="nil"/>
            </w:tcBorders>
            <w:shd w:val="clear" w:color="auto" w:fill="auto"/>
            <w:noWrap/>
            <w:vAlign w:val="bottom"/>
          </w:tcPr>
          <w:p w14:paraId="54AF3781" w14:textId="77777777" w:rsidR="00422CF6" w:rsidRPr="00543D10" w:rsidRDefault="00724F15" w:rsidP="00AF1D07">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264</w:t>
            </w:r>
          </w:p>
        </w:tc>
        <w:tc>
          <w:tcPr>
            <w:tcW w:w="1275" w:type="dxa"/>
            <w:tcBorders>
              <w:top w:val="nil"/>
              <w:left w:val="nil"/>
              <w:bottom w:val="nil"/>
              <w:right w:val="nil"/>
            </w:tcBorders>
            <w:shd w:val="clear" w:color="auto" w:fill="auto"/>
            <w:noWrap/>
            <w:vAlign w:val="bottom"/>
          </w:tcPr>
          <w:p w14:paraId="60F121AF" w14:textId="77777777" w:rsidR="00422CF6" w:rsidRPr="00543D10" w:rsidRDefault="00724F15" w:rsidP="00AF1D07">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(264)</w:t>
            </w:r>
          </w:p>
        </w:tc>
        <w:tc>
          <w:tcPr>
            <w:tcW w:w="1089" w:type="dxa"/>
            <w:gridSpan w:val="3"/>
            <w:tcBorders>
              <w:top w:val="nil"/>
              <w:left w:val="nil"/>
              <w:bottom w:val="nil"/>
              <w:right w:val="nil"/>
            </w:tcBorders>
            <w:shd w:val="clear" w:color="auto" w:fill="auto"/>
            <w:noWrap/>
            <w:vAlign w:val="bottom"/>
          </w:tcPr>
          <w:p w14:paraId="1DA61DE7" w14:textId="77777777" w:rsidR="00422CF6" w:rsidRPr="00543D10" w:rsidRDefault="00422CF6" w:rsidP="00AF1D07">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w:t>
            </w:r>
          </w:p>
        </w:tc>
        <w:tc>
          <w:tcPr>
            <w:tcW w:w="997" w:type="dxa"/>
            <w:tcBorders>
              <w:top w:val="nil"/>
              <w:left w:val="nil"/>
              <w:bottom w:val="nil"/>
              <w:right w:val="nil"/>
            </w:tcBorders>
            <w:shd w:val="clear" w:color="auto" w:fill="auto"/>
            <w:noWrap/>
            <w:vAlign w:val="bottom"/>
          </w:tcPr>
          <w:p w14:paraId="08D5ECE8" w14:textId="77777777" w:rsidR="00422CF6" w:rsidRPr="00543D10" w:rsidRDefault="002F6778" w:rsidP="00AF1D07">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1</w:t>
            </w:r>
          </w:p>
        </w:tc>
      </w:tr>
      <w:tr w:rsidR="00422CF6" w:rsidRPr="00543D10" w14:paraId="05432EBA" w14:textId="77777777" w:rsidTr="00D85D6F">
        <w:tblPrEx>
          <w:jc w:val="left"/>
        </w:tblPrEx>
        <w:trPr>
          <w:gridAfter w:val="3"/>
          <w:wAfter w:w="447" w:type="dxa"/>
          <w:trHeight w:val="331"/>
        </w:trPr>
        <w:tc>
          <w:tcPr>
            <w:tcW w:w="4266" w:type="dxa"/>
            <w:gridSpan w:val="3"/>
            <w:tcBorders>
              <w:top w:val="nil"/>
              <w:left w:val="nil"/>
              <w:bottom w:val="nil"/>
              <w:right w:val="nil"/>
            </w:tcBorders>
            <w:shd w:val="clear" w:color="auto" w:fill="auto"/>
            <w:noWrap/>
            <w:vAlign w:val="center"/>
            <w:hideMark/>
          </w:tcPr>
          <w:p w14:paraId="7844C22A" w14:textId="77777777" w:rsidR="00422CF6" w:rsidRPr="00543D10" w:rsidRDefault="00422CF6" w:rsidP="00AF1D07">
            <w:pPr>
              <w:spacing w:after="0" w:line="240" w:lineRule="auto"/>
              <w:rPr>
                <w:rFonts w:ascii="Arial" w:eastAsia="Times New Roman" w:hAnsi="Arial" w:cs="Arial"/>
                <w:sz w:val="20"/>
                <w:szCs w:val="20"/>
                <w:lang w:eastAsia="en-GB"/>
              </w:rPr>
            </w:pPr>
            <w:r w:rsidRPr="00543D10">
              <w:rPr>
                <w:rFonts w:ascii="Arial" w:eastAsia="Times New Roman" w:hAnsi="Arial" w:cs="Arial"/>
                <w:sz w:val="20"/>
                <w:szCs w:val="20"/>
                <w:lang w:eastAsia="en-GB"/>
              </w:rPr>
              <w:t>Administration expenses</w:t>
            </w:r>
          </w:p>
        </w:tc>
        <w:tc>
          <w:tcPr>
            <w:tcW w:w="762" w:type="dxa"/>
            <w:tcBorders>
              <w:top w:val="nil"/>
              <w:left w:val="nil"/>
              <w:bottom w:val="nil"/>
              <w:right w:val="nil"/>
            </w:tcBorders>
            <w:shd w:val="clear" w:color="auto" w:fill="auto"/>
            <w:noWrap/>
            <w:vAlign w:val="bottom"/>
            <w:hideMark/>
          </w:tcPr>
          <w:p w14:paraId="00D9C9A9" w14:textId="77777777" w:rsidR="00422CF6" w:rsidRPr="00543D10" w:rsidRDefault="00422CF6" w:rsidP="00AF1D07">
            <w:pPr>
              <w:spacing w:after="0" w:line="240" w:lineRule="auto"/>
              <w:rPr>
                <w:rFonts w:ascii="Arial" w:eastAsia="Times New Roman" w:hAnsi="Arial" w:cs="Arial"/>
                <w:sz w:val="20"/>
                <w:szCs w:val="20"/>
                <w:lang w:eastAsia="en-GB"/>
              </w:rPr>
            </w:pPr>
          </w:p>
        </w:tc>
        <w:tc>
          <w:tcPr>
            <w:tcW w:w="1345" w:type="dxa"/>
            <w:gridSpan w:val="4"/>
            <w:tcBorders>
              <w:top w:val="nil"/>
              <w:left w:val="nil"/>
              <w:bottom w:val="nil"/>
              <w:right w:val="nil"/>
            </w:tcBorders>
            <w:shd w:val="clear" w:color="auto" w:fill="auto"/>
            <w:noWrap/>
            <w:vAlign w:val="bottom"/>
          </w:tcPr>
          <w:p w14:paraId="3E1A0A5F" w14:textId="77777777" w:rsidR="00422CF6" w:rsidRPr="00543D10" w:rsidRDefault="00724F15" w:rsidP="00AF1D07">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(153</w:t>
            </w:r>
            <w:r w:rsidR="00422CF6">
              <w:rPr>
                <w:rFonts w:ascii="Arial" w:eastAsia="Times New Roman" w:hAnsi="Arial" w:cs="Arial"/>
                <w:sz w:val="20"/>
                <w:szCs w:val="20"/>
                <w:lang w:eastAsia="en-GB"/>
              </w:rPr>
              <w:t>)</w:t>
            </w:r>
          </w:p>
        </w:tc>
        <w:tc>
          <w:tcPr>
            <w:tcW w:w="1275" w:type="dxa"/>
            <w:tcBorders>
              <w:top w:val="nil"/>
              <w:left w:val="nil"/>
              <w:bottom w:val="nil"/>
              <w:right w:val="nil"/>
            </w:tcBorders>
            <w:shd w:val="clear" w:color="auto" w:fill="auto"/>
            <w:noWrap/>
            <w:vAlign w:val="bottom"/>
          </w:tcPr>
          <w:p w14:paraId="080CBE46" w14:textId="77777777" w:rsidR="00422CF6" w:rsidRPr="00543D10" w:rsidRDefault="00422CF6" w:rsidP="00AF1D07">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w:t>
            </w:r>
          </w:p>
        </w:tc>
        <w:tc>
          <w:tcPr>
            <w:tcW w:w="1089" w:type="dxa"/>
            <w:gridSpan w:val="3"/>
            <w:tcBorders>
              <w:top w:val="nil"/>
              <w:left w:val="nil"/>
              <w:bottom w:val="nil"/>
              <w:right w:val="nil"/>
            </w:tcBorders>
            <w:shd w:val="clear" w:color="auto" w:fill="auto"/>
            <w:noWrap/>
            <w:vAlign w:val="bottom"/>
          </w:tcPr>
          <w:p w14:paraId="6BEC479D" w14:textId="77777777" w:rsidR="00422CF6" w:rsidRPr="00543D10" w:rsidRDefault="002F6778" w:rsidP="00AF1D07">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(153</w:t>
            </w:r>
            <w:r w:rsidR="00422CF6">
              <w:rPr>
                <w:rFonts w:ascii="Arial" w:eastAsia="Times New Roman" w:hAnsi="Arial" w:cs="Arial"/>
                <w:b/>
                <w:bCs/>
                <w:sz w:val="20"/>
                <w:szCs w:val="20"/>
                <w:lang w:eastAsia="en-GB"/>
              </w:rPr>
              <w:t>)</w:t>
            </w:r>
          </w:p>
        </w:tc>
        <w:tc>
          <w:tcPr>
            <w:tcW w:w="997" w:type="dxa"/>
            <w:tcBorders>
              <w:top w:val="nil"/>
              <w:left w:val="nil"/>
              <w:bottom w:val="nil"/>
              <w:right w:val="nil"/>
            </w:tcBorders>
            <w:shd w:val="clear" w:color="auto" w:fill="auto"/>
            <w:noWrap/>
            <w:vAlign w:val="bottom"/>
          </w:tcPr>
          <w:p w14:paraId="6284371D" w14:textId="77777777" w:rsidR="00422CF6" w:rsidRPr="00543D10" w:rsidRDefault="002F6778" w:rsidP="00AF1D07">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(137</w:t>
            </w:r>
            <w:r w:rsidR="00422CF6">
              <w:rPr>
                <w:rFonts w:ascii="Arial" w:eastAsia="Times New Roman" w:hAnsi="Arial" w:cs="Arial"/>
                <w:sz w:val="20"/>
                <w:szCs w:val="20"/>
                <w:lang w:eastAsia="en-GB"/>
              </w:rPr>
              <w:t>)</w:t>
            </w:r>
          </w:p>
        </w:tc>
      </w:tr>
      <w:tr w:rsidR="00422CF6" w:rsidRPr="00543D10" w14:paraId="612E8644" w14:textId="77777777" w:rsidTr="00D85D6F">
        <w:tblPrEx>
          <w:jc w:val="left"/>
        </w:tblPrEx>
        <w:trPr>
          <w:gridAfter w:val="3"/>
          <w:wAfter w:w="447" w:type="dxa"/>
          <w:trHeight w:val="331"/>
        </w:trPr>
        <w:tc>
          <w:tcPr>
            <w:tcW w:w="4266" w:type="dxa"/>
            <w:gridSpan w:val="3"/>
            <w:tcBorders>
              <w:top w:val="nil"/>
              <w:left w:val="nil"/>
              <w:bottom w:val="nil"/>
              <w:right w:val="nil"/>
            </w:tcBorders>
            <w:shd w:val="clear" w:color="auto" w:fill="auto"/>
            <w:noWrap/>
            <w:vAlign w:val="center"/>
            <w:hideMark/>
          </w:tcPr>
          <w:p w14:paraId="7D644B37" w14:textId="77777777" w:rsidR="00422CF6" w:rsidRPr="00543D10" w:rsidRDefault="00422CF6" w:rsidP="00AF1D07">
            <w:pPr>
              <w:spacing w:after="0" w:line="240" w:lineRule="auto"/>
              <w:rPr>
                <w:rFonts w:ascii="Arial" w:eastAsia="Times New Roman" w:hAnsi="Arial" w:cs="Arial"/>
                <w:sz w:val="20"/>
                <w:szCs w:val="20"/>
                <w:lang w:eastAsia="en-GB"/>
              </w:rPr>
            </w:pPr>
            <w:r w:rsidRPr="00543D10">
              <w:rPr>
                <w:rFonts w:ascii="Arial" w:eastAsia="Times New Roman" w:hAnsi="Arial" w:cs="Arial"/>
                <w:sz w:val="20"/>
                <w:szCs w:val="20"/>
                <w:lang w:eastAsia="en-GB"/>
              </w:rPr>
              <w:t>Current service cost</w:t>
            </w:r>
          </w:p>
        </w:tc>
        <w:tc>
          <w:tcPr>
            <w:tcW w:w="762" w:type="dxa"/>
            <w:tcBorders>
              <w:top w:val="nil"/>
              <w:left w:val="nil"/>
              <w:bottom w:val="nil"/>
              <w:right w:val="nil"/>
            </w:tcBorders>
            <w:shd w:val="clear" w:color="auto" w:fill="auto"/>
            <w:noWrap/>
            <w:vAlign w:val="bottom"/>
            <w:hideMark/>
          </w:tcPr>
          <w:p w14:paraId="0BA67F49" w14:textId="77777777" w:rsidR="00422CF6" w:rsidRPr="00543D10" w:rsidRDefault="00422CF6" w:rsidP="00AF1D07">
            <w:pPr>
              <w:spacing w:after="0" w:line="240" w:lineRule="auto"/>
              <w:rPr>
                <w:rFonts w:ascii="Arial" w:eastAsia="Times New Roman" w:hAnsi="Arial" w:cs="Arial"/>
                <w:sz w:val="20"/>
                <w:szCs w:val="20"/>
                <w:lang w:eastAsia="en-GB"/>
              </w:rPr>
            </w:pPr>
          </w:p>
        </w:tc>
        <w:tc>
          <w:tcPr>
            <w:tcW w:w="1345" w:type="dxa"/>
            <w:gridSpan w:val="4"/>
            <w:tcBorders>
              <w:top w:val="nil"/>
              <w:left w:val="nil"/>
              <w:bottom w:val="nil"/>
              <w:right w:val="nil"/>
            </w:tcBorders>
            <w:shd w:val="clear" w:color="auto" w:fill="auto"/>
            <w:noWrap/>
            <w:vAlign w:val="bottom"/>
          </w:tcPr>
          <w:p w14:paraId="0D6DC234" w14:textId="77777777" w:rsidR="00422CF6" w:rsidRPr="00543D10" w:rsidRDefault="00BD465F" w:rsidP="00AF1D07">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w:t>
            </w:r>
          </w:p>
        </w:tc>
        <w:tc>
          <w:tcPr>
            <w:tcW w:w="1275" w:type="dxa"/>
            <w:tcBorders>
              <w:top w:val="nil"/>
              <w:left w:val="nil"/>
              <w:bottom w:val="nil"/>
              <w:right w:val="nil"/>
            </w:tcBorders>
            <w:shd w:val="clear" w:color="auto" w:fill="auto"/>
            <w:noWrap/>
            <w:vAlign w:val="bottom"/>
          </w:tcPr>
          <w:p w14:paraId="46BFFE96" w14:textId="77777777" w:rsidR="00422CF6" w:rsidRPr="00543D10" w:rsidRDefault="00724F15" w:rsidP="00AF1D07">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(1,668)</w:t>
            </w:r>
          </w:p>
        </w:tc>
        <w:tc>
          <w:tcPr>
            <w:tcW w:w="1089" w:type="dxa"/>
            <w:gridSpan w:val="3"/>
            <w:tcBorders>
              <w:top w:val="nil"/>
              <w:left w:val="nil"/>
              <w:bottom w:val="nil"/>
              <w:right w:val="nil"/>
            </w:tcBorders>
            <w:shd w:val="clear" w:color="auto" w:fill="auto"/>
            <w:noWrap/>
            <w:vAlign w:val="bottom"/>
          </w:tcPr>
          <w:p w14:paraId="4E969516" w14:textId="77777777" w:rsidR="00422CF6" w:rsidRPr="00543D10" w:rsidRDefault="002F6778" w:rsidP="00AF1D07">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(1,668)</w:t>
            </w:r>
          </w:p>
        </w:tc>
        <w:tc>
          <w:tcPr>
            <w:tcW w:w="997" w:type="dxa"/>
            <w:tcBorders>
              <w:top w:val="nil"/>
              <w:left w:val="nil"/>
              <w:bottom w:val="nil"/>
              <w:right w:val="nil"/>
            </w:tcBorders>
            <w:shd w:val="clear" w:color="auto" w:fill="auto"/>
            <w:noWrap/>
            <w:vAlign w:val="bottom"/>
          </w:tcPr>
          <w:p w14:paraId="01E2499C" w14:textId="77777777" w:rsidR="00422CF6" w:rsidRPr="00543D10" w:rsidRDefault="002F6778" w:rsidP="00AF1D07">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(1,674</w:t>
            </w:r>
            <w:r w:rsidR="00422CF6">
              <w:rPr>
                <w:rFonts w:ascii="Arial" w:eastAsia="Times New Roman" w:hAnsi="Arial" w:cs="Arial"/>
                <w:sz w:val="20"/>
                <w:szCs w:val="20"/>
                <w:lang w:eastAsia="en-GB"/>
              </w:rPr>
              <w:t>)</w:t>
            </w:r>
          </w:p>
        </w:tc>
      </w:tr>
      <w:tr w:rsidR="00724F15" w:rsidRPr="00543D10" w14:paraId="4F85CB75" w14:textId="77777777" w:rsidTr="00D85D6F">
        <w:tblPrEx>
          <w:jc w:val="left"/>
        </w:tblPrEx>
        <w:trPr>
          <w:gridAfter w:val="3"/>
          <w:wAfter w:w="447" w:type="dxa"/>
          <w:trHeight w:val="331"/>
        </w:trPr>
        <w:tc>
          <w:tcPr>
            <w:tcW w:w="4266" w:type="dxa"/>
            <w:gridSpan w:val="3"/>
            <w:tcBorders>
              <w:top w:val="nil"/>
              <w:left w:val="nil"/>
              <w:bottom w:val="nil"/>
              <w:right w:val="nil"/>
            </w:tcBorders>
            <w:shd w:val="clear" w:color="auto" w:fill="auto"/>
            <w:noWrap/>
            <w:vAlign w:val="center"/>
          </w:tcPr>
          <w:p w14:paraId="50E1B911" w14:textId="77777777" w:rsidR="00724F15" w:rsidRPr="00543D10" w:rsidRDefault="00724F15" w:rsidP="0078452D">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 xml:space="preserve">Past </w:t>
            </w:r>
            <w:r w:rsidRPr="00543D10">
              <w:rPr>
                <w:rFonts w:ascii="Arial" w:eastAsia="Times New Roman" w:hAnsi="Arial" w:cs="Arial"/>
                <w:sz w:val="20"/>
                <w:szCs w:val="20"/>
                <w:lang w:eastAsia="en-GB"/>
              </w:rPr>
              <w:t>service cost</w:t>
            </w:r>
          </w:p>
        </w:tc>
        <w:tc>
          <w:tcPr>
            <w:tcW w:w="762" w:type="dxa"/>
            <w:tcBorders>
              <w:top w:val="nil"/>
              <w:left w:val="nil"/>
              <w:bottom w:val="nil"/>
              <w:right w:val="nil"/>
            </w:tcBorders>
            <w:shd w:val="clear" w:color="auto" w:fill="auto"/>
            <w:noWrap/>
            <w:vAlign w:val="bottom"/>
          </w:tcPr>
          <w:p w14:paraId="7E85B443" w14:textId="77777777" w:rsidR="00724F15" w:rsidRPr="00543D10" w:rsidRDefault="00724F15" w:rsidP="00AF1D07">
            <w:pPr>
              <w:spacing w:after="0" w:line="240" w:lineRule="auto"/>
              <w:rPr>
                <w:rFonts w:ascii="Arial" w:eastAsia="Times New Roman" w:hAnsi="Arial" w:cs="Arial"/>
                <w:sz w:val="20"/>
                <w:szCs w:val="20"/>
                <w:lang w:eastAsia="en-GB"/>
              </w:rPr>
            </w:pPr>
          </w:p>
        </w:tc>
        <w:tc>
          <w:tcPr>
            <w:tcW w:w="1345" w:type="dxa"/>
            <w:gridSpan w:val="4"/>
            <w:tcBorders>
              <w:top w:val="nil"/>
              <w:left w:val="nil"/>
              <w:bottom w:val="nil"/>
              <w:right w:val="nil"/>
            </w:tcBorders>
            <w:shd w:val="clear" w:color="auto" w:fill="auto"/>
            <w:noWrap/>
            <w:vAlign w:val="bottom"/>
          </w:tcPr>
          <w:p w14:paraId="6A616E8A" w14:textId="77777777" w:rsidR="00724F15" w:rsidRDefault="00724F15" w:rsidP="00AF1D07">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w:t>
            </w:r>
          </w:p>
        </w:tc>
        <w:tc>
          <w:tcPr>
            <w:tcW w:w="1275" w:type="dxa"/>
            <w:tcBorders>
              <w:top w:val="nil"/>
              <w:left w:val="nil"/>
              <w:bottom w:val="nil"/>
              <w:right w:val="nil"/>
            </w:tcBorders>
            <w:shd w:val="clear" w:color="auto" w:fill="auto"/>
            <w:noWrap/>
            <w:vAlign w:val="bottom"/>
          </w:tcPr>
          <w:p w14:paraId="36DA9C3E" w14:textId="77777777" w:rsidR="00724F15" w:rsidRDefault="00724F15" w:rsidP="00AF1D07">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(1)</w:t>
            </w:r>
          </w:p>
        </w:tc>
        <w:tc>
          <w:tcPr>
            <w:tcW w:w="1089" w:type="dxa"/>
            <w:gridSpan w:val="3"/>
            <w:tcBorders>
              <w:top w:val="nil"/>
              <w:left w:val="nil"/>
              <w:bottom w:val="nil"/>
              <w:right w:val="nil"/>
            </w:tcBorders>
            <w:shd w:val="clear" w:color="auto" w:fill="auto"/>
            <w:noWrap/>
            <w:vAlign w:val="bottom"/>
          </w:tcPr>
          <w:p w14:paraId="7BA8D6E1" w14:textId="77777777" w:rsidR="00724F15" w:rsidRDefault="002F6778" w:rsidP="00AF1D07">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(1)</w:t>
            </w:r>
          </w:p>
        </w:tc>
        <w:tc>
          <w:tcPr>
            <w:tcW w:w="997" w:type="dxa"/>
            <w:tcBorders>
              <w:top w:val="nil"/>
              <w:left w:val="nil"/>
              <w:bottom w:val="nil"/>
              <w:right w:val="nil"/>
            </w:tcBorders>
            <w:shd w:val="clear" w:color="auto" w:fill="auto"/>
            <w:noWrap/>
            <w:vAlign w:val="bottom"/>
          </w:tcPr>
          <w:p w14:paraId="17486635" w14:textId="77777777" w:rsidR="00724F15" w:rsidRDefault="002F6778" w:rsidP="00AF1D07">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(571)</w:t>
            </w:r>
          </w:p>
        </w:tc>
      </w:tr>
      <w:tr w:rsidR="00422CF6" w:rsidRPr="00543D10" w14:paraId="34C47472" w14:textId="77777777" w:rsidTr="00D85D6F">
        <w:tblPrEx>
          <w:jc w:val="left"/>
        </w:tblPrEx>
        <w:trPr>
          <w:gridAfter w:val="3"/>
          <w:wAfter w:w="447" w:type="dxa"/>
          <w:trHeight w:val="331"/>
        </w:trPr>
        <w:tc>
          <w:tcPr>
            <w:tcW w:w="4266" w:type="dxa"/>
            <w:gridSpan w:val="3"/>
            <w:tcBorders>
              <w:top w:val="nil"/>
              <w:left w:val="nil"/>
              <w:bottom w:val="nil"/>
              <w:right w:val="nil"/>
            </w:tcBorders>
            <w:shd w:val="clear" w:color="auto" w:fill="auto"/>
            <w:noWrap/>
            <w:vAlign w:val="center"/>
            <w:hideMark/>
          </w:tcPr>
          <w:p w14:paraId="5ADB16ED" w14:textId="77777777" w:rsidR="00422CF6" w:rsidRPr="00543D10" w:rsidRDefault="00422CF6" w:rsidP="00AF1D07">
            <w:pPr>
              <w:spacing w:after="0" w:line="240" w:lineRule="auto"/>
              <w:rPr>
                <w:rFonts w:ascii="Arial" w:eastAsia="Times New Roman" w:hAnsi="Arial" w:cs="Arial"/>
                <w:sz w:val="20"/>
                <w:szCs w:val="20"/>
                <w:lang w:eastAsia="en-GB"/>
              </w:rPr>
            </w:pPr>
            <w:r w:rsidRPr="00543D10">
              <w:rPr>
                <w:rFonts w:ascii="Arial" w:eastAsia="Times New Roman" w:hAnsi="Arial" w:cs="Arial"/>
                <w:sz w:val="20"/>
                <w:szCs w:val="20"/>
                <w:lang w:eastAsia="en-GB"/>
              </w:rPr>
              <w:t>Interest income / (expense)</w:t>
            </w:r>
          </w:p>
        </w:tc>
        <w:tc>
          <w:tcPr>
            <w:tcW w:w="762" w:type="dxa"/>
            <w:tcBorders>
              <w:top w:val="nil"/>
              <w:left w:val="nil"/>
              <w:bottom w:val="nil"/>
              <w:right w:val="nil"/>
            </w:tcBorders>
            <w:shd w:val="clear" w:color="auto" w:fill="auto"/>
            <w:noWrap/>
            <w:vAlign w:val="bottom"/>
            <w:hideMark/>
          </w:tcPr>
          <w:p w14:paraId="220B709E" w14:textId="77777777" w:rsidR="00422CF6" w:rsidRPr="00543D10" w:rsidRDefault="00422CF6" w:rsidP="00AF1D07">
            <w:pPr>
              <w:spacing w:after="0" w:line="240" w:lineRule="auto"/>
              <w:rPr>
                <w:rFonts w:ascii="Arial" w:eastAsia="Times New Roman" w:hAnsi="Arial" w:cs="Arial"/>
                <w:sz w:val="20"/>
                <w:szCs w:val="20"/>
                <w:lang w:eastAsia="en-GB"/>
              </w:rPr>
            </w:pPr>
          </w:p>
        </w:tc>
        <w:tc>
          <w:tcPr>
            <w:tcW w:w="1345" w:type="dxa"/>
            <w:gridSpan w:val="4"/>
            <w:tcBorders>
              <w:top w:val="nil"/>
              <w:left w:val="nil"/>
              <w:bottom w:val="nil"/>
              <w:right w:val="nil"/>
            </w:tcBorders>
            <w:shd w:val="clear" w:color="auto" w:fill="auto"/>
            <w:noWrap/>
            <w:vAlign w:val="bottom"/>
          </w:tcPr>
          <w:p w14:paraId="2BEC342B" w14:textId="77777777" w:rsidR="00422CF6" w:rsidRPr="00543D10" w:rsidRDefault="00724F15" w:rsidP="00AF1D07">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2,329</w:t>
            </w:r>
          </w:p>
        </w:tc>
        <w:tc>
          <w:tcPr>
            <w:tcW w:w="1275" w:type="dxa"/>
            <w:tcBorders>
              <w:top w:val="nil"/>
              <w:left w:val="nil"/>
              <w:bottom w:val="nil"/>
              <w:right w:val="nil"/>
            </w:tcBorders>
            <w:shd w:val="clear" w:color="auto" w:fill="auto"/>
            <w:noWrap/>
            <w:vAlign w:val="bottom"/>
          </w:tcPr>
          <w:p w14:paraId="1F9A1623" w14:textId="77777777" w:rsidR="00422CF6" w:rsidRPr="00543D10" w:rsidRDefault="00724F15" w:rsidP="00AF1D07">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(3,415</w:t>
            </w:r>
            <w:r w:rsidR="00422CF6">
              <w:rPr>
                <w:rFonts w:ascii="Arial" w:eastAsia="Times New Roman" w:hAnsi="Arial" w:cs="Arial"/>
                <w:sz w:val="20"/>
                <w:szCs w:val="20"/>
                <w:lang w:eastAsia="en-GB"/>
              </w:rPr>
              <w:t>)</w:t>
            </w:r>
          </w:p>
        </w:tc>
        <w:tc>
          <w:tcPr>
            <w:tcW w:w="1089" w:type="dxa"/>
            <w:gridSpan w:val="3"/>
            <w:tcBorders>
              <w:top w:val="nil"/>
              <w:left w:val="nil"/>
              <w:bottom w:val="nil"/>
              <w:right w:val="nil"/>
            </w:tcBorders>
            <w:shd w:val="clear" w:color="auto" w:fill="auto"/>
            <w:noWrap/>
            <w:vAlign w:val="bottom"/>
          </w:tcPr>
          <w:p w14:paraId="754FFF40" w14:textId="77777777" w:rsidR="00422CF6" w:rsidRPr="00543D10" w:rsidRDefault="002F6778" w:rsidP="00AF1D07">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(1,086)</w:t>
            </w:r>
          </w:p>
        </w:tc>
        <w:tc>
          <w:tcPr>
            <w:tcW w:w="997" w:type="dxa"/>
            <w:tcBorders>
              <w:top w:val="nil"/>
              <w:left w:val="nil"/>
              <w:bottom w:val="nil"/>
              <w:right w:val="nil"/>
            </w:tcBorders>
            <w:shd w:val="clear" w:color="auto" w:fill="auto"/>
            <w:noWrap/>
            <w:vAlign w:val="bottom"/>
          </w:tcPr>
          <w:p w14:paraId="19001F7B" w14:textId="77777777" w:rsidR="00422CF6" w:rsidRPr="00543D10" w:rsidRDefault="002F6778" w:rsidP="00AF1D07">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(1,107)</w:t>
            </w:r>
          </w:p>
        </w:tc>
      </w:tr>
      <w:tr w:rsidR="00422CF6" w:rsidRPr="00543D10" w14:paraId="45E2C473" w14:textId="77777777" w:rsidTr="00D85D6F">
        <w:tblPrEx>
          <w:jc w:val="left"/>
        </w:tblPrEx>
        <w:trPr>
          <w:gridAfter w:val="3"/>
          <w:wAfter w:w="447" w:type="dxa"/>
          <w:trHeight w:val="331"/>
        </w:trPr>
        <w:tc>
          <w:tcPr>
            <w:tcW w:w="4266" w:type="dxa"/>
            <w:gridSpan w:val="3"/>
            <w:tcBorders>
              <w:top w:val="nil"/>
              <w:left w:val="nil"/>
              <w:bottom w:val="nil"/>
              <w:right w:val="nil"/>
            </w:tcBorders>
            <w:shd w:val="clear" w:color="auto" w:fill="auto"/>
            <w:noWrap/>
            <w:vAlign w:val="center"/>
            <w:hideMark/>
          </w:tcPr>
          <w:p w14:paraId="6FB40D2E" w14:textId="77777777" w:rsidR="00422CF6" w:rsidRPr="00543D10" w:rsidRDefault="00422CF6" w:rsidP="00AF1D07">
            <w:pPr>
              <w:spacing w:after="0" w:line="240" w:lineRule="auto"/>
              <w:rPr>
                <w:rFonts w:ascii="Arial" w:eastAsia="Times New Roman" w:hAnsi="Arial" w:cs="Arial"/>
                <w:sz w:val="20"/>
                <w:szCs w:val="20"/>
                <w:lang w:eastAsia="en-GB"/>
              </w:rPr>
            </w:pPr>
            <w:r w:rsidRPr="00543D10">
              <w:rPr>
                <w:rFonts w:ascii="Arial" w:eastAsia="Times New Roman" w:hAnsi="Arial" w:cs="Arial"/>
                <w:sz w:val="20"/>
                <w:szCs w:val="20"/>
                <w:lang w:eastAsia="en-GB"/>
              </w:rPr>
              <w:t>Re-measurement gains / losses</w:t>
            </w:r>
          </w:p>
        </w:tc>
        <w:tc>
          <w:tcPr>
            <w:tcW w:w="762" w:type="dxa"/>
            <w:tcBorders>
              <w:top w:val="nil"/>
              <w:left w:val="nil"/>
              <w:bottom w:val="nil"/>
              <w:right w:val="nil"/>
            </w:tcBorders>
            <w:shd w:val="clear" w:color="auto" w:fill="auto"/>
            <w:noWrap/>
            <w:vAlign w:val="bottom"/>
            <w:hideMark/>
          </w:tcPr>
          <w:p w14:paraId="696AA0C2" w14:textId="77777777" w:rsidR="00422CF6" w:rsidRPr="00543D10" w:rsidRDefault="00422CF6" w:rsidP="00AF1D07">
            <w:pPr>
              <w:spacing w:after="0" w:line="240" w:lineRule="auto"/>
              <w:rPr>
                <w:rFonts w:ascii="Arial" w:eastAsia="Times New Roman" w:hAnsi="Arial" w:cs="Arial"/>
                <w:sz w:val="20"/>
                <w:szCs w:val="20"/>
                <w:lang w:eastAsia="en-GB"/>
              </w:rPr>
            </w:pPr>
          </w:p>
        </w:tc>
        <w:tc>
          <w:tcPr>
            <w:tcW w:w="1345" w:type="dxa"/>
            <w:gridSpan w:val="4"/>
            <w:tcBorders>
              <w:top w:val="nil"/>
              <w:left w:val="nil"/>
              <w:bottom w:val="nil"/>
              <w:right w:val="nil"/>
            </w:tcBorders>
            <w:shd w:val="clear" w:color="auto" w:fill="auto"/>
            <w:noWrap/>
            <w:vAlign w:val="bottom"/>
          </w:tcPr>
          <w:p w14:paraId="3AA626D7" w14:textId="77777777" w:rsidR="00422CF6" w:rsidRPr="00543D10" w:rsidRDefault="00422CF6" w:rsidP="00AF1D07">
            <w:pPr>
              <w:spacing w:after="0" w:line="240" w:lineRule="auto"/>
              <w:jc w:val="right"/>
              <w:rPr>
                <w:rFonts w:ascii="Times New Roman" w:eastAsia="Times New Roman" w:hAnsi="Times New Roman" w:cs="Times New Roman"/>
                <w:sz w:val="20"/>
                <w:szCs w:val="20"/>
                <w:lang w:eastAsia="en-GB"/>
              </w:rPr>
            </w:pPr>
          </w:p>
        </w:tc>
        <w:tc>
          <w:tcPr>
            <w:tcW w:w="1275" w:type="dxa"/>
            <w:tcBorders>
              <w:top w:val="nil"/>
              <w:left w:val="nil"/>
              <w:bottom w:val="nil"/>
              <w:right w:val="nil"/>
            </w:tcBorders>
            <w:shd w:val="clear" w:color="auto" w:fill="auto"/>
            <w:noWrap/>
            <w:vAlign w:val="bottom"/>
          </w:tcPr>
          <w:p w14:paraId="132CE352" w14:textId="77777777" w:rsidR="00422CF6" w:rsidRPr="00543D10" w:rsidRDefault="00422CF6" w:rsidP="00AF1D07">
            <w:pPr>
              <w:spacing w:after="0" w:line="240" w:lineRule="auto"/>
              <w:jc w:val="right"/>
              <w:rPr>
                <w:rFonts w:ascii="Times New Roman" w:eastAsia="Times New Roman" w:hAnsi="Times New Roman" w:cs="Times New Roman"/>
                <w:sz w:val="20"/>
                <w:szCs w:val="20"/>
                <w:lang w:eastAsia="en-GB"/>
              </w:rPr>
            </w:pPr>
          </w:p>
        </w:tc>
        <w:tc>
          <w:tcPr>
            <w:tcW w:w="1089" w:type="dxa"/>
            <w:gridSpan w:val="3"/>
            <w:tcBorders>
              <w:top w:val="nil"/>
              <w:left w:val="nil"/>
              <w:bottom w:val="nil"/>
              <w:right w:val="nil"/>
            </w:tcBorders>
            <w:shd w:val="clear" w:color="auto" w:fill="auto"/>
            <w:noWrap/>
            <w:vAlign w:val="bottom"/>
          </w:tcPr>
          <w:p w14:paraId="3C1972C4" w14:textId="77777777" w:rsidR="00422CF6" w:rsidRPr="00543D10" w:rsidRDefault="00422CF6" w:rsidP="00AF1D07">
            <w:pPr>
              <w:spacing w:after="0" w:line="240" w:lineRule="auto"/>
              <w:jc w:val="right"/>
              <w:rPr>
                <w:rFonts w:ascii="Times New Roman" w:eastAsia="Times New Roman" w:hAnsi="Times New Roman" w:cs="Times New Roman"/>
                <w:sz w:val="20"/>
                <w:szCs w:val="20"/>
                <w:lang w:eastAsia="en-GB"/>
              </w:rPr>
            </w:pPr>
          </w:p>
        </w:tc>
        <w:tc>
          <w:tcPr>
            <w:tcW w:w="997" w:type="dxa"/>
            <w:tcBorders>
              <w:top w:val="nil"/>
              <w:left w:val="nil"/>
              <w:bottom w:val="nil"/>
              <w:right w:val="nil"/>
            </w:tcBorders>
            <w:shd w:val="clear" w:color="auto" w:fill="auto"/>
            <w:noWrap/>
            <w:vAlign w:val="bottom"/>
          </w:tcPr>
          <w:p w14:paraId="3754A8F6" w14:textId="77777777" w:rsidR="00422CF6" w:rsidRPr="00543D10" w:rsidRDefault="00422CF6" w:rsidP="00AF1D07">
            <w:pPr>
              <w:spacing w:after="0" w:line="240" w:lineRule="auto"/>
              <w:jc w:val="right"/>
              <w:rPr>
                <w:rFonts w:ascii="Times New Roman" w:eastAsia="Times New Roman" w:hAnsi="Times New Roman" w:cs="Times New Roman"/>
                <w:sz w:val="20"/>
                <w:szCs w:val="20"/>
                <w:lang w:eastAsia="en-GB"/>
              </w:rPr>
            </w:pPr>
          </w:p>
        </w:tc>
      </w:tr>
      <w:tr w:rsidR="00422CF6" w:rsidRPr="00543D10" w14:paraId="32ED20C7" w14:textId="77777777" w:rsidTr="00D85D6F">
        <w:tblPrEx>
          <w:jc w:val="left"/>
        </w:tblPrEx>
        <w:trPr>
          <w:gridAfter w:val="3"/>
          <w:wAfter w:w="447" w:type="dxa"/>
          <w:trHeight w:val="331"/>
        </w:trPr>
        <w:tc>
          <w:tcPr>
            <w:tcW w:w="4266" w:type="dxa"/>
            <w:gridSpan w:val="3"/>
            <w:tcBorders>
              <w:top w:val="nil"/>
              <w:left w:val="nil"/>
              <w:bottom w:val="nil"/>
              <w:right w:val="nil"/>
            </w:tcBorders>
            <w:shd w:val="clear" w:color="auto" w:fill="auto"/>
            <w:noWrap/>
            <w:vAlign w:val="center"/>
            <w:hideMark/>
          </w:tcPr>
          <w:p w14:paraId="27975CE0" w14:textId="77777777" w:rsidR="00422CF6" w:rsidRPr="00543D10" w:rsidRDefault="00422CF6" w:rsidP="00BD465F">
            <w:pPr>
              <w:spacing w:after="0" w:line="240" w:lineRule="auto"/>
              <w:rPr>
                <w:rFonts w:ascii="Arial" w:eastAsia="Times New Roman" w:hAnsi="Arial" w:cs="Arial"/>
                <w:sz w:val="20"/>
                <w:szCs w:val="20"/>
                <w:lang w:eastAsia="en-GB"/>
              </w:rPr>
            </w:pPr>
            <w:r w:rsidRPr="00543D10">
              <w:rPr>
                <w:rFonts w:ascii="Arial" w:eastAsia="Times New Roman" w:hAnsi="Arial" w:cs="Arial"/>
                <w:sz w:val="20"/>
                <w:szCs w:val="20"/>
                <w:lang w:eastAsia="en-GB"/>
              </w:rPr>
              <w:t xml:space="preserve">- Actuarial </w:t>
            </w:r>
            <w:r w:rsidR="00BD465F">
              <w:rPr>
                <w:rFonts w:ascii="Arial" w:eastAsia="Times New Roman" w:hAnsi="Arial" w:cs="Arial"/>
                <w:sz w:val="20"/>
                <w:szCs w:val="20"/>
                <w:lang w:eastAsia="en-GB"/>
              </w:rPr>
              <w:t>gain / (loss)</w:t>
            </w:r>
          </w:p>
        </w:tc>
        <w:tc>
          <w:tcPr>
            <w:tcW w:w="762" w:type="dxa"/>
            <w:tcBorders>
              <w:top w:val="nil"/>
              <w:left w:val="nil"/>
              <w:bottom w:val="nil"/>
              <w:right w:val="nil"/>
            </w:tcBorders>
            <w:shd w:val="clear" w:color="auto" w:fill="auto"/>
            <w:noWrap/>
            <w:vAlign w:val="bottom"/>
            <w:hideMark/>
          </w:tcPr>
          <w:p w14:paraId="74D2C2D5" w14:textId="77777777" w:rsidR="00422CF6" w:rsidRPr="00543D10" w:rsidRDefault="00422CF6" w:rsidP="00AF1D07">
            <w:pPr>
              <w:spacing w:after="0" w:line="240" w:lineRule="auto"/>
              <w:rPr>
                <w:rFonts w:ascii="Arial" w:eastAsia="Times New Roman" w:hAnsi="Arial" w:cs="Arial"/>
                <w:sz w:val="20"/>
                <w:szCs w:val="20"/>
                <w:lang w:eastAsia="en-GB"/>
              </w:rPr>
            </w:pPr>
          </w:p>
        </w:tc>
        <w:tc>
          <w:tcPr>
            <w:tcW w:w="1345" w:type="dxa"/>
            <w:gridSpan w:val="4"/>
            <w:tcBorders>
              <w:top w:val="nil"/>
              <w:left w:val="nil"/>
              <w:bottom w:val="nil"/>
              <w:right w:val="nil"/>
            </w:tcBorders>
            <w:shd w:val="clear" w:color="auto" w:fill="auto"/>
            <w:noWrap/>
            <w:vAlign w:val="bottom"/>
          </w:tcPr>
          <w:p w14:paraId="54894DD4" w14:textId="77777777" w:rsidR="00422CF6" w:rsidRPr="00543D10" w:rsidRDefault="00724F15" w:rsidP="00AF1D07">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283</w:t>
            </w:r>
          </w:p>
        </w:tc>
        <w:tc>
          <w:tcPr>
            <w:tcW w:w="1275" w:type="dxa"/>
            <w:tcBorders>
              <w:top w:val="nil"/>
              <w:left w:val="nil"/>
              <w:bottom w:val="nil"/>
              <w:right w:val="nil"/>
            </w:tcBorders>
            <w:shd w:val="clear" w:color="auto" w:fill="auto"/>
            <w:noWrap/>
            <w:vAlign w:val="bottom"/>
          </w:tcPr>
          <w:p w14:paraId="327B9FF3" w14:textId="77777777" w:rsidR="00422CF6" w:rsidRPr="00543D10" w:rsidRDefault="00724F15" w:rsidP="00AF1D07">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(8,142)</w:t>
            </w:r>
          </w:p>
        </w:tc>
        <w:tc>
          <w:tcPr>
            <w:tcW w:w="1089" w:type="dxa"/>
            <w:gridSpan w:val="3"/>
            <w:tcBorders>
              <w:top w:val="nil"/>
              <w:left w:val="nil"/>
              <w:bottom w:val="nil"/>
              <w:right w:val="nil"/>
            </w:tcBorders>
            <w:shd w:val="clear" w:color="auto" w:fill="auto"/>
            <w:noWrap/>
            <w:vAlign w:val="bottom"/>
          </w:tcPr>
          <w:p w14:paraId="4BB3F043" w14:textId="77777777" w:rsidR="00422CF6" w:rsidRPr="00543D10" w:rsidRDefault="002F6778" w:rsidP="00AF1D07">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(7,859)</w:t>
            </w:r>
          </w:p>
        </w:tc>
        <w:tc>
          <w:tcPr>
            <w:tcW w:w="997" w:type="dxa"/>
            <w:tcBorders>
              <w:top w:val="nil"/>
              <w:left w:val="nil"/>
              <w:bottom w:val="nil"/>
              <w:right w:val="nil"/>
            </w:tcBorders>
            <w:shd w:val="clear" w:color="auto" w:fill="auto"/>
            <w:noWrap/>
            <w:vAlign w:val="bottom"/>
          </w:tcPr>
          <w:p w14:paraId="51152304" w14:textId="77777777" w:rsidR="00422CF6" w:rsidRPr="00543D10" w:rsidRDefault="002F6778" w:rsidP="00AF1D07">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(29,700</w:t>
            </w:r>
            <w:r w:rsidR="00422CF6">
              <w:rPr>
                <w:rFonts w:ascii="Arial" w:eastAsia="Times New Roman" w:hAnsi="Arial" w:cs="Arial"/>
                <w:sz w:val="20"/>
                <w:szCs w:val="20"/>
                <w:lang w:eastAsia="en-GB"/>
              </w:rPr>
              <w:t>)</w:t>
            </w:r>
          </w:p>
        </w:tc>
      </w:tr>
      <w:tr w:rsidR="00724F15" w:rsidRPr="00543D10" w14:paraId="0504C5F5" w14:textId="77777777" w:rsidTr="00F362B3">
        <w:tblPrEx>
          <w:jc w:val="left"/>
        </w:tblPrEx>
        <w:trPr>
          <w:gridAfter w:val="3"/>
          <w:wAfter w:w="447" w:type="dxa"/>
          <w:trHeight w:val="331"/>
        </w:trPr>
        <w:tc>
          <w:tcPr>
            <w:tcW w:w="5028" w:type="dxa"/>
            <w:gridSpan w:val="4"/>
            <w:tcBorders>
              <w:top w:val="nil"/>
              <w:left w:val="nil"/>
              <w:bottom w:val="nil"/>
              <w:right w:val="nil"/>
            </w:tcBorders>
            <w:shd w:val="clear" w:color="auto" w:fill="auto"/>
            <w:noWrap/>
            <w:vAlign w:val="center"/>
          </w:tcPr>
          <w:p w14:paraId="4E0F4157" w14:textId="77777777" w:rsidR="00724F15" w:rsidRPr="00543D10" w:rsidRDefault="00724F15" w:rsidP="00724F15">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 Other assumption</w:t>
            </w:r>
          </w:p>
        </w:tc>
        <w:tc>
          <w:tcPr>
            <w:tcW w:w="1345" w:type="dxa"/>
            <w:gridSpan w:val="4"/>
            <w:tcBorders>
              <w:top w:val="nil"/>
              <w:left w:val="nil"/>
              <w:bottom w:val="nil"/>
              <w:right w:val="nil"/>
            </w:tcBorders>
            <w:shd w:val="clear" w:color="auto" w:fill="auto"/>
            <w:noWrap/>
            <w:vAlign w:val="bottom"/>
          </w:tcPr>
          <w:p w14:paraId="3A4A98A6" w14:textId="77777777" w:rsidR="00724F15" w:rsidRDefault="00724F15" w:rsidP="00724F15">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w:t>
            </w:r>
          </w:p>
        </w:tc>
        <w:tc>
          <w:tcPr>
            <w:tcW w:w="1275" w:type="dxa"/>
            <w:tcBorders>
              <w:top w:val="nil"/>
              <w:left w:val="nil"/>
              <w:bottom w:val="nil"/>
              <w:right w:val="nil"/>
            </w:tcBorders>
            <w:shd w:val="clear" w:color="auto" w:fill="auto"/>
            <w:noWrap/>
            <w:vAlign w:val="bottom"/>
          </w:tcPr>
          <w:p w14:paraId="5ACEDD50" w14:textId="77777777" w:rsidR="00724F15" w:rsidRPr="00543D10" w:rsidRDefault="00724F15" w:rsidP="00724F15">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(1,344)</w:t>
            </w:r>
          </w:p>
        </w:tc>
        <w:tc>
          <w:tcPr>
            <w:tcW w:w="1089" w:type="dxa"/>
            <w:gridSpan w:val="3"/>
            <w:tcBorders>
              <w:top w:val="nil"/>
              <w:left w:val="nil"/>
              <w:bottom w:val="nil"/>
              <w:right w:val="nil"/>
            </w:tcBorders>
            <w:shd w:val="clear" w:color="auto" w:fill="auto"/>
            <w:noWrap/>
            <w:vAlign w:val="bottom"/>
          </w:tcPr>
          <w:p w14:paraId="4D0D2B11" w14:textId="77777777" w:rsidR="00724F15" w:rsidRDefault="002F6778" w:rsidP="00724F15">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(1,344)</w:t>
            </w:r>
          </w:p>
        </w:tc>
        <w:tc>
          <w:tcPr>
            <w:tcW w:w="997" w:type="dxa"/>
            <w:tcBorders>
              <w:top w:val="nil"/>
              <w:left w:val="nil"/>
              <w:bottom w:val="nil"/>
              <w:right w:val="nil"/>
            </w:tcBorders>
            <w:shd w:val="clear" w:color="auto" w:fill="auto"/>
            <w:noWrap/>
            <w:vAlign w:val="bottom"/>
          </w:tcPr>
          <w:p w14:paraId="0D39FF53" w14:textId="77777777" w:rsidR="00724F15" w:rsidRDefault="002F6778" w:rsidP="00724F15">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6,247</w:t>
            </w:r>
          </w:p>
        </w:tc>
      </w:tr>
      <w:tr w:rsidR="00724F15" w:rsidRPr="00543D10" w14:paraId="34977C94" w14:textId="77777777" w:rsidTr="00F362B3">
        <w:tblPrEx>
          <w:jc w:val="left"/>
        </w:tblPrEx>
        <w:trPr>
          <w:gridAfter w:val="3"/>
          <w:wAfter w:w="447" w:type="dxa"/>
          <w:trHeight w:val="331"/>
        </w:trPr>
        <w:tc>
          <w:tcPr>
            <w:tcW w:w="5028" w:type="dxa"/>
            <w:gridSpan w:val="4"/>
            <w:tcBorders>
              <w:top w:val="nil"/>
              <w:left w:val="nil"/>
              <w:bottom w:val="nil"/>
              <w:right w:val="nil"/>
            </w:tcBorders>
            <w:shd w:val="clear" w:color="auto" w:fill="auto"/>
            <w:noWrap/>
            <w:vAlign w:val="center"/>
            <w:hideMark/>
          </w:tcPr>
          <w:p w14:paraId="232B0153" w14:textId="77777777" w:rsidR="00724F15" w:rsidRPr="00543D10" w:rsidRDefault="00724F15" w:rsidP="00724F15">
            <w:pPr>
              <w:spacing w:after="0" w:line="240" w:lineRule="auto"/>
              <w:rPr>
                <w:rFonts w:ascii="Arial" w:eastAsia="Times New Roman" w:hAnsi="Arial" w:cs="Arial"/>
                <w:sz w:val="20"/>
                <w:szCs w:val="20"/>
                <w:lang w:eastAsia="en-GB"/>
              </w:rPr>
            </w:pPr>
            <w:r w:rsidRPr="00543D10">
              <w:rPr>
                <w:rFonts w:ascii="Arial" w:eastAsia="Times New Roman" w:hAnsi="Arial" w:cs="Arial"/>
                <w:sz w:val="20"/>
                <w:szCs w:val="20"/>
                <w:lang w:eastAsia="en-GB"/>
              </w:rPr>
              <w:t>- Return on plan assets excluding interest income</w:t>
            </w:r>
          </w:p>
        </w:tc>
        <w:tc>
          <w:tcPr>
            <w:tcW w:w="1345" w:type="dxa"/>
            <w:gridSpan w:val="4"/>
            <w:tcBorders>
              <w:top w:val="nil"/>
              <w:left w:val="nil"/>
              <w:bottom w:val="nil"/>
              <w:right w:val="nil"/>
            </w:tcBorders>
            <w:shd w:val="clear" w:color="auto" w:fill="auto"/>
            <w:noWrap/>
            <w:vAlign w:val="bottom"/>
          </w:tcPr>
          <w:p w14:paraId="43DEA545" w14:textId="77777777" w:rsidR="00724F15" w:rsidRPr="00543D10" w:rsidRDefault="00724F15" w:rsidP="00724F15">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5,384</w:t>
            </w:r>
          </w:p>
        </w:tc>
        <w:tc>
          <w:tcPr>
            <w:tcW w:w="1275" w:type="dxa"/>
            <w:tcBorders>
              <w:top w:val="nil"/>
              <w:left w:val="nil"/>
              <w:bottom w:val="nil"/>
              <w:right w:val="nil"/>
            </w:tcBorders>
            <w:shd w:val="clear" w:color="auto" w:fill="auto"/>
            <w:noWrap/>
            <w:vAlign w:val="bottom"/>
          </w:tcPr>
          <w:p w14:paraId="4F7712EB" w14:textId="77777777" w:rsidR="00724F15" w:rsidRPr="00543D10" w:rsidRDefault="00724F15" w:rsidP="00724F15">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1,153</w:t>
            </w:r>
          </w:p>
        </w:tc>
        <w:tc>
          <w:tcPr>
            <w:tcW w:w="1089" w:type="dxa"/>
            <w:gridSpan w:val="3"/>
            <w:tcBorders>
              <w:top w:val="nil"/>
              <w:left w:val="nil"/>
              <w:bottom w:val="nil"/>
              <w:right w:val="nil"/>
            </w:tcBorders>
            <w:shd w:val="clear" w:color="auto" w:fill="auto"/>
            <w:noWrap/>
            <w:vAlign w:val="bottom"/>
          </w:tcPr>
          <w:p w14:paraId="261DACD2" w14:textId="77777777" w:rsidR="00724F15" w:rsidRPr="00543D10" w:rsidRDefault="002F6778" w:rsidP="00724F15">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6,537</w:t>
            </w:r>
          </w:p>
        </w:tc>
        <w:tc>
          <w:tcPr>
            <w:tcW w:w="997" w:type="dxa"/>
            <w:tcBorders>
              <w:top w:val="nil"/>
              <w:left w:val="nil"/>
              <w:bottom w:val="nil"/>
              <w:right w:val="nil"/>
            </w:tcBorders>
            <w:shd w:val="clear" w:color="auto" w:fill="auto"/>
            <w:noWrap/>
            <w:vAlign w:val="bottom"/>
          </w:tcPr>
          <w:p w14:paraId="5B7BB9E5" w14:textId="77777777" w:rsidR="00724F15" w:rsidRPr="00543D10" w:rsidRDefault="002F6778" w:rsidP="00724F15">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7,274</w:t>
            </w:r>
          </w:p>
        </w:tc>
      </w:tr>
      <w:tr w:rsidR="00724F15" w:rsidRPr="00543D10" w14:paraId="3EABE3E0" w14:textId="77777777" w:rsidTr="00F362B3">
        <w:tblPrEx>
          <w:jc w:val="left"/>
        </w:tblPrEx>
        <w:trPr>
          <w:gridAfter w:val="3"/>
          <w:wAfter w:w="447" w:type="dxa"/>
          <w:trHeight w:val="331"/>
        </w:trPr>
        <w:tc>
          <w:tcPr>
            <w:tcW w:w="5028" w:type="dxa"/>
            <w:gridSpan w:val="4"/>
            <w:tcBorders>
              <w:top w:val="single" w:sz="4" w:space="0" w:color="auto"/>
              <w:left w:val="nil"/>
              <w:bottom w:val="single" w:sz="4" w:space="0" w:color="auto"/>
              <w:right w:val="nil"/>
            </w:tcBorders>
            <w:shd w:val="clear" w:color="auto" w:fill="auto"/>
            <w:noWrap/>
            <w:vAlign w:val="center"/>
            <w:hideMark/>
          </w:tcPr>
          <w:p w14:paraId="3293134E" w14:textId="77777777" w:rsidR="00724F15" w:rsidRPr="00543D10" w:rsidRDefault="00724F15" w:rsidP="00724F15">
            <w:pPr>
              <w:spacing w:after="0" w:line="240" w:lineRule="auto"/>
              <w:rPr>
                <w:rFonts w:ascii="Arial" w:eastAsia="Times New Roman" w:hAnsi="Arial" w:cs="Arial"/>
                <w:sz w:val="20"/>
                <w:szCs w:val="20"/>
                <w:lang w:eastAsia="en-GB"/>
              </w:rPr>
            </w:pPr>
            <w:r w:rsidRPr="00543D10">
              <w:rPr>
                <w:rFonts w:ascii="Arial" w:eastAsia="Times New Roman" w:hAnsi="Arial" w:cs="Arial"/>
                <w:sz w:val="20"/>
                <w:szCs w:val="20"/>
                <w:lang w:eastAsia="en-GB"/>
              </w:rPr>
              <w:t xml:space="preserve">Surplus in the scheme as at 31 August </w:t>
            </w:r>
            <w:r>
              <w:rPr>
                <w:rFonts w:ascii="Arial" w:eastAsia="Times New Roman" w:hAnsi="Arial" w:cs="Arial"/>
                <w:sz w:val="20"/>
                <w:szCs w:val="20"/>
                <w:lang w:eastAsia="en-GB"/>
              </w:rPr>
              <w:t>2020</w:t>
            </w:r>
          </w:p>
        </w:tc>
        <w:tc>
          <w:tcPr>
            <w:tcW w:w="1345" w:type="dxa"/>
            <w:gridSpan w:val="4"/>
            <w:tcBorders>
              <w:top w:val="single" w:sz="4" w:space="0" w:color="auto"/>
              <w:left w:val="nil"/>
              <w:bottom w:val="single" w:sz="4" w:space="0" w:color="auto"/>
              <w:right w:val="nil"/>
            </w:tcBorders>
            <w:shd w:val="clear" w:color="auto" w:fill="auto"/>
            <w:noWrap/>
            <w:vAlign w:val="center"/>
          </w:tcPr>
          <w:p w14:paraId="4F58737F" w14:textId="77777777" w:rsidR="00724F15" w:rsidRPr="00543D10" w:rsidRDefault="00724F15" w:rsidP="00724F15">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135,927</w:t>
            </w:r>
          </w:p>
        </w:tc>
        <w:tc>
          <w:tcPr>
            <w:tcW w:w="1275" w:type="dxa"/>
            <w:tcBorders>
              <w:top w:val="single" w:sz="4" w:space="0" w:color="auto"/>
              <w:left w:val="nil"/>
              <w:bottom w:val="single" w:sz="4" w:space="0" w:color="auto"/>
              <w:right w:val="nil"/>
            </w:tcBorders>
            <w:shd w:val="clear" w:color="auto" w:fill="auto"/>
            <w:noWrap/>
            <w:vAlign w:val="center"/>
          </w:tcPr>
          <w:p w14:paraId="0F53B904" w14:textId="77777777" w:rsidR="00724F15" w:rsidRPr="00543D10" w:rsidRDefault="00724F15" w:rsidP="00724F15">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(200,567)</w:t>
            </w:r>
          </w:p>
        </w:tc>
        <w:tc>
          <w:tcPr>
            <w:tcW w:w="1089" w:type="dxa"/>
            <w:gridSpan w:val="3"/>
            <w:tcBorders>
              <w:top w:val="single" w:sz="4" w:space="0" w:color="auto"/>
              <w:left w:val="nil"/>
              <w:bottom w:val="single" w:sz="4" w:space="0" w:color="auto"/>
              <w:right w:val="nil"/>
            </w:tcBorders>
            <w:shd w:val="clear" w:color="auto" w:fill="auto"/>
            <w:noWrap/>
            <w:vAlign w:val="center"/>
          </w:tcPr>
          <w:p w14:paraId="19ED74D2" w14:textId="77777777" w:rsidR="00724F15" w:rsidRPr="00543D10" w:rsidRDefault="002F6778" w:rsidP="00724F15">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(64,640)</w:t>
            </w:r>
          </w:p>
        </w:tc>
        <w:tc>
          <w:tcPr>
            <w:tcW w:w="997" w:type="dxa"/>
            <w:tcBorders>
              <w:top w:val="single" w:sz="4" w:space="0" w:color="auto"/>
              <w:left w:val="nil"/>
              <w:bottom w:val="single" w:sz="4" w:space="0" w:color="auto"/>
              <w:right w:val="nil"/>
            </w:tcBorders>
            <w:shd w:val="clear" w:color="auto" w:fill="auto"/>
            <w:noWrap/>
            <w:vAlign w:val="center"/>
          </w:tcPr>
          <w:p w14:paraId="45A74FC4" w14:textId="77777777" w:rsidR="00724F15" w:rsidRPr="00543D10" w:rsidRDefault="002F6778" w:rsidP="00724F15">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(60,551)</w:t>
            </w:r>
          </w:p>
        </w:tc>
      </w:tr>
    </w:tbl>
    <w:p w14:paraId="6351E1C3" w14:textId="77777777" w:rsidR="00936814" w:rsidRDefault="00936814"/>
    <w:tbl>
      <w:tblPr>
        <w:tblW w:w="9618" w:type="dxa"/>
        <w:tblInd w:w="-426" w:type="dxa"/>
        <w:tblLook w:val="04A0" w:firstRow="1" w:lastRow="0" w:firstColumn="1" w:lastColumn="0" w:noHBand="0" w:noVBand="1"/>
      </w:tblPr>
      <w:tblGrid>
        <w:gridCol w:w="9618"/>
      </w:tblGrid>
      <w:tr w:rsidR="00DD1FE0" w:rsidRPr="00F507D0" w14:paraId="098449B8" w14:textId="77777777" w:rsidTr="006647C2">
        <w:trPr>
          <w:trHeight w:val="450"/>
        </w:trPr>
        <w:tc>
          <w:tcPr>
            <w:tcW w:w="9618" w:type="dxa"/>
            <w:tcBorders>
              <w:top w:val="nil"/>
              <w:left w:val="nil"/>
              <w:bottom w:val="nil"/>
              <w:right w:val="nil"/>
            </w:tcBorders>
            <w:shd w:val="clear" w:color="auto" w:fill="auto"/>
            <w:hideMark/>
          </w:tcPr>
          <w:p w14:paraId="574EEA6D" w14:textId="77777777" w:rsidR="00DD1FE0" w:rsidRPr="00801199" w:rsidRDefault="00DD1FE0" w:rsidP="007E75AA">
            <w:pPr>
              <w:spacing w:after="240" w:line="240" w:lineRule="auto"/>
              <w:jc w:val="both"/>
              <w:rPr>
                <w:rFonts w:ascii="Arial" w:eastAsia="Times New Roman" w:hAnsi="Arial" w:cs="Arial"/>
                <w:sz w:val="24"/>
                <w:szCs w:val="24"/>
                <w:lang w:eastAsia="en-GB"/>
              </w:rPr>
            </w:pPr>
            <w:r w:rsidRPr="00801199">
              <w:rPr>
                <w:rFonts w:ascii="Arial" w:eastAsia="Times New Roman" w:hAnsi="Arial" w:cs="Arial"/>
                <w:sz w:val="24"/>
                <w:szCs w:val="24"/>
                <w:lang w:eastAsia="en-GB"/>
              </w:rPr>
              <w:t xml:space="preserve">The actual return on plan assets over the period ending 31 August </w:t>
            </w:r>
            <w:r>
              <w:rPr>
                <w:rFonts w:ascii="Arial" w:eastAsia="Times New Roman" w:hAnsi="Arial" w:cs="Arial"/>
                <w:sz w:val="24"/>
                <w:szCs w:val="24"/>
                <w:lang w:eastAsia="en-GB"/>
              </w:rPr>
              <w:t>2020</w:t>
            </w:r>
            <w:r w:rsidRPr="00801199">
              <w:rPr>
                <w:rFonts w:ascii="Arial" w:eastAsia="Times New Roman" w:hAnsi="Arial" w:cs="Arial"/>
                <w:sz w:val="24"/>
                <w:szCs w:val="24"/>
                <w:lang w:eastAsia="en-GB"/>
              </w:rPr>
              <w:t xml:space="preserve"> was £</w:t>
            </w:r>
            <w:r w:rsidR="007E75AA">
              <w:rPr>
                <w:rFonts w:ascii="Arial" w:eastAsia="Times New Roman" w:hAnsi="Arial" w:cs="Arial"/>
                <w:sz w:val="24"/>
                <w:szCs w:val="24"/>
                <w:lang w:eastAsia="en-GB"/>
              </w:rPr>
              <w:t>5,484,000</w:t>
            </w:r>
            <w:r w:rsidR="00417336" w:rsidRPr="00801199">
              <w:rPr>
                <w:rFonts w:ascii="Arial" w:eastAsia="Times New Roman" w:hAnsi="Arial" w:cs="Arial"/>
                <w:sz w:val="24"/>
                <w:szCs w:val="24"/>
                <w:lang w:eastAsia="en-GB"/>
              </w:rPr>
              <w:t xml:space="preserve"> </w:t>
            </w:r>
            <w:r w:rsidR="00417336">
              <w:rPr>
                <w:rFonts w:ascii="Arial" w:eastAsia="Times New Roman" w:hAnsi="Arial" w:cs="Arial"/>
                <w:sz w:val="24"/>
                <w:szCs w:val="24"/>
                <w:lang w:eastAsia="en-GB"/>
              </w:rPr>
              <w:t xml:space="preserve">(2019: </w:t>
            </w:r>
            <w:r w:rsidR="00417336" w:rsidRPr="00801199">
              <w:rPr>
                <w:rFonts w:ascii="Arial" w:eastAsia="Times New Roman" w:hAnsi="Arial" w:cs="Arial"/>
                <w:sz w:val="24"/>
                <w:szCs w:val="24"/>
                <w:lang w:eastAsia="en-GB"/>
              </w:rPr>
              <w:t>£8,672,000</w:t>
            </w:r>
            <w:r w:rsidR="00417336">
              <w:rPr>
                <w:rFonts w:ascii="Arial" w:eastAsia="Times New Roman" w:hAnsi="Arial" w:cs="Arial"/>
                <w:sz w:val="24"/>
                <w:szCs w:val="24"/>
                <w:lang w:eastAsia="en-GB"/>
              </w:rPr>
              <w:t>)</w:t>
            </w:r>
            <w:r w:rsidR="00417336" w:rsidRPr="00801199">
              <w:rPr>
                <w:rFonts w:ascii="Arial" w:eastAsia="Times New Roman" w:hAnsi="Arial" w:cs="Arial"/>
                <w:sz w:val="24"/>
                <w:szCs w:val="24"/>
                <w:lang w:eastAsia="en-GB"/>
              </w:rPr>
              <w:t>.</w:t>
            </w:r>
          </w:p>
        </w:tc>
      </w:tr>
    </w:tbl>
    <w:p w14:paraId="330CBD75" w14:textId="77777777" w:rsidR="00A021C9" w:rsidRDefault="00A021C9" w:rsidP="00E70CD3">
      <w:pPr>
        <w:autoSpaceDE w:val="0"/>
        <w:autoSpaceDN w:val="0"/>
        <w:adjustRightInd w:val="0"/>
        <w:spacing w:after="0" w:line="240" w:lineRule="auto"/>
        <w:rPr>
          <w:rFonts w:ascii="Arial" w:hAnsi="Arial" w:cs="Arial"/>
          <w:b/>
          <w:sz w:val="24"/>
          <w:szCs w:val="24"/>
        </w:rPr>
      </w:pPr>
    </w:p>
    <w:p w14:paraId="0ACD1264" w14:textId="77777777" w:rsidR="00E70CD3" w:rsidRPr="009042F8" w:rsidRDefault="00C62275" w:rsidP="00DD1FE0">
      <w:pPr>
        <w:autoSpaceDE w:val="0"/>
        <w:autoSpaceDN w:val="0"/>
        <w:adjustRightInd w:val="0"/>
        <w:spacing w:after="0" w:line="240" w:lineRule="auto"/>
        <w:ind w:left="-284"/>
        <w:rPr>
          <w:rFonts w:ascii="Arial" w:hAnsi="Arial" w:cs="Arial"/>
          <w:b/>
          <w:sz w:val="24"/>
          <w:szCs w:val="24"/>
        </w:rPr>
      </w:pPr>
      <w:r>
        <w:rPr>
          <w:rFonts w:ascii="Arial" w:hAnsi="Arial" w:cs="Arial"/>
          <w:b/>
          <w:sz w:val="24"/>
          <w:szCs w:val="24"/>
        </w:rPr>
        <w:t>25</w:t>
      </w:r>
      <w:r w:rsidR="00E70CD3" w:rsidRPr="004F6D0B">
        <w:rPr>
          <w:rFonts w:ascii="Arial" w:hAnsi="Arial" w:cs="Arial"/>
          <w:b/>
          <w:sz w:val="24"/>
          <w:szCs w:val="24"/>
        </w:rPr>
        <w:t>. Business combinations</w:t>
      </w:r>
    </w:p>
    <w:p w14:paraId="7847347B" w14:textId="77777777" w:rsidR="00E70CD3" w:rsidRDefault="00E70CD3" w:rsidP="00DD1FE0">
      <w:pPr>
        <w:autoSpaceDE w:val="0"/>
        <w:autoSpaceDN w:val="0"/>
        <w:adjustRightInd w:val="0"/>
        <w:spacing w:after="0" w:line="240" w:lineRule="auto"/>
        <w:ind w:left="-284"/>
        <w:rPr>
          <w:rFonts w:ascii="Arial" w:hAnsi="Arial" w:cs="Arial"/>
          <w:b/>
          <w:sz w:val="24"/>
          <w:szCs w:val="24"/>
        </w:rPr>
      </w:pPr>
    </w:p>
    <w:p w14:paraId="5EB54EB0" w14:textId="77777777" w:rsidR="00E70CD3" w:rsidRPr="002B2F3F" w:rsidRDefault="00E70CD3" w:rsidP="006647C2">
      <w:pPr>
        <w:autoSpaceDE w:val="0"/>
        <w:autoSpaceDN w:val="0"/>
        <w:adjustRightInd w:val="0"/>
        <w:spacing w:after="240" w:line="240" w:lineRule="auto"/>
        <w:ind w:left="-284"/>
        <w:jc w:val="both"/>
        <w:rPr>
          <w:rFonts w:ascii="Arial" w:hAnsi="Arial" w:cs="Arial"/>
          <w:b/>
          <w:sz w:val="24"/>
          <w:szCs w:val="24"/>
        </w:rPr>
      </w:pPr>
      <w:r w:rsidRPr="006647C2">
        <w:rPr>
          <w:rFonts w:ascii="Arial" w:hAnsi="Arial" w:cs="Arial"/>
          <w:b/>
          <w:sz w:val="24"/>
          <w:szCs w:val="24"/>
        </w:rPr>
        <w:t>Academy conversions: Shaw Education Trust (SET)</w:t>
      </w:r>
    </w:p>
    <w:p w14:paraId="6C98A774" w14:textId="77777777" w:rsidR="007A5B95" w:rsidRPr="002B2F3F" w:rsidRDefault="007A5B95" w:rsidP="007A5B95">
      <w:pPr>
        <w:autoSpaceDE w:val="0"/>
        <w:autoSpaceDN w:val="0"/>
        <w:adjustRightInd w:val="0"/>
        <w:spacing w:after="240" w:line="240" w:lineRule="auto"/>
        <w:ind w:left="-284"/>
        <w:jc w:val="both"/>
        <w:rPr>
          <w:rFonts w:ascii="Arial" w:hAnsi="Arial" w:cs="Arial"/>
          <w:sz w:val="24"/>
          <w:szCs w:val="24"/>
        </w:rPr>
      </w:pPr>
      <w:r w:rsidRPr="002B2F3F">
        <w:rPr>
          <w:rFonts w:ascii="Arial" w:hAnsi="Arial" w:cs="Arial"/>
          <w:sz w:val="24"/>
          <w:szCs w:val="24"/>
        </w:rPr>
        <w:t>SET was incorporated as a wholly owned subsidiary on 2 June 2014 as a multi-academy Trust to effect the sponsorship of three special schools/academies in Staffordshire.</w:t>
      </w:r>
    </w:p>
    <w:p w14:paraId="375CEE19" w14:textId="77777777" w:rsidR="007A5B95" w:rsidRPr="002B2F3F" w:rsidRDefault="007A5B95" w:rsidP="007A5B95">
      <w:pPr>
        <w:autoSpaceDE w:val="0"/>
        <w:autoSpaceDN w:val="0"/>
        <w:adjustRightInd w:val="0"/>
        <w:spacing w:after="240" w:line="240" w:lineRule="auto"/>
        <w:ind w:left="-284"/>
        <w:jc w:val="both"/>
        <w:rPr>
          <w:rFonts w:ascii="Arial" w:hAnsi="Arial" w:cs="Arial"/>
          <w:sz w:val="24"/>
          <w:szCs w:val="24"/>
        </w:rPr>
      </w:pPr>
      <w:r>
        <w:rPr>
          <w:rFonts w:ascii="Arial" w:hAnsi="Arial" w:cs="Arial"/>
          <w:sz w:val="24"/>
          <w:szCs w:val="24"/>
        </w:rPr>
        <w:t>During the year a</w:t>
      </w:r>
      <w:r w:rsidRPr="00FA708A">
        <w:rPr>
          <w:rFonts w:ascii="Arial" w:hAnsi="Arial" w:cs="Arial"/>
          <w:sz w:val="24"/>
          <w:szCs w:val="24"/>
        </w:rPr>
        <w:t xml:space="preserve"> further four schools were con</w:t>
      </w:r>
      <w:r>
        <w:rPr>
          <w:rFonts w:ascii="Arial" w:hAnsi="Arial" w:cs="Arial"/>
          <w:sz w:val="24"/>
          <w:szCs w:val="24"/>
        </w:rPr>
        <w:t>verted to SET</w:t>
      </w:r>
      <w:r w:rsidRPr="00FA708A">
        <w:rPr>
          <w:rFonts w:ascii="Arial" w:hAnsi="Arial" w:cs="Arial"/>
          <w:sz w:val="24"/>
          <w:szCs w:val="24"/>
        </w:rPr>
        <w:t xml:space="preserve"> (2018–19: four)</w:t>
      </w:r>
      <w:r>
        <w:rPr>
          <w:rFonts w:ascii="Arial" w:hAnsi="Arial" w:cs="Arial"/>
          <w:sz w:val="24"/>
          <w:szCs w:val="24"/>
        </w:rPr>
        <w:t xml:space="preserve"> and another existing academy transferred</w:t>
      </w:r>
      <w:r w:rsidRPr="00FA708A">
        <w:rPr>
          <w:rFonts w:ascii="Arial" w:hAnsi="Arial" w:cs="Arial"/>
          <w:sz w:val="24"/>
          <w:szCs w:val="24"/>
        </w:rPr>
        <w:t xml:space="preserve">. The figures are shown in the </w:t>
      </w:r>
      <w:r>
        <w:rPr>
          <w:rFonts w:ascii="Arial" w:hAnsi="Arial" w:cs="Arial"/>
          <w:sz w:val="24"/>
          <w:szCs w:val="24"/>
        </w:rPr>
        <w:t>following table</w:t>
      </w:r>
      <w:r w:rsidRPr="00FA708A">
        <w:rPr>
          <w:rFonts w:ascii="Arial" w:hAnsi="Arial" w:cs="Arial"/>
          <w:sz w:val="24"/>
          <w:szCs w:val="24"/>
        </w:rPr>
        <w:t>.</w:t>
      </w:r>
    </w:p>
    <w:p w14:paraId="032710B9" w14:textId="77777777" w:rsidR="007A5B95" w:rsidRPr="002B2F3F" w:rsidRDefault="007A5B95" w:rsidP="007A5B95">
      <w:pPr>
        <w:pStyle w:val="ListParagraph"/>
        <w:numPr>
          <w:ilvl w:val="0"/>
          <w:numId w:val="10"/>
        </w:numPr>
        <w:autoSpaceDE w:val="0"/>
        <w:autoSpaceDN w:val="0"/>
        <w:adjustRightInd w:val="0"/>
        <w:spacing w:after="240" w:line="240" w:lineRule="auto"/>
        <w:ind w:left="-284" w:firstLine="0"/>
        <w:jc w:val="both"/>
        <w:rPr>
          <w:rFonts w:ascii="Arial" w:hAnsi="Arial" w:cs="Arial"/>
          <w:sz w:val="24"/>
          <w:szCs w:val="24"/>
        </w:rPr>
      </w:pPr>
      <w:r>
        <w:rPr>
          <w:rFonts w:ascii="Arial" w:hAnsi="Arial" w:cs="Arial"/>
          <w:sz w:val="24"/>
          <w:szCs w:val="24"/>
        </w:rPr>
        <w:t>St Andrews Academy</w:t>
      </w:r>
      <w:r w:rsidRPr="002B2F3F">
        <w:rPr>
          <w:rFonts w:ascii="Arial" w:hAnsi="Arial" w:cs="Arial"/>
          <w:sz w:val="24"/>
          <w:szCs w:val="24"/>
        </w:rPr>
        <w:t xml:space="preserve"> – transferred 1</w:t>
      </w:r>
      <w:r w:rsidRPr="00FA708A">
        <w:rPr>
          <w:rFonts w:ascii="Arial" w:hAnsi="Arial" w:cs="Arial"/>
          <w:sz w:val="24"/>
          <w:szCs w:val="24"/>
          <w:vertAlign w:val="superscript"/>
        </w:rPr>
        <w:t>st</w:t>
      </w:r>
      <w:r>
        <w:rPr>
          <w:rFonts w:ascii="Arial" w:hAnsi="Arial" w:cs="Arial"/>
          <w:sz w:val="24"/>
          <w:szCs w:val="24"/>
        </w:rPr>
        <w:t xml:space="preserve"> September 2019</w:t>
      </w:r>
      <w:r w:rsidRPr="002B2F3F">
        <w:rPr>
          <w:rFonts w:ascii="Arial" w:hAnsi="Arial" w:cs="Arial"/>
          <w:sz w:val="24"/>
          <w:szCs w:val="24"/>
        </w:rPr>
        <w:t>;</w:t>
      </w:r>
    </w:p>
    <w:p w14:paraId="0CB9424E" w14:textId="77777777" w:rsidR="007A5B95" w:rsidRPr="002B2F3F" w:rsidRDefault="007A5B95" w:rsidP="007A5B95">
      <w:pPr>
        <w:pStyle w:val="ListParagraph"/>
        <w:numPr>
          <w:ilvl w:val="0"/>
          <w:numId w:val="10"/>
        </w:numPr>
        <w:autoSpaceDE w:val="0"/>
        <w:autoSpaceDN w:val="0"/>
        <w:adjustRightInd w:val="0"/>
        <w:spacing w:after="240" w:line="240" w:lineRule="auto"/>
        <w:ind w:left="-284" w:firstLine="0"/>
        <w:jc w:val="both"/>
        <w:rPr>
          <w:rFonts w:ascii="Arial" w:hAnsi="Arial" w:cs="Arial"/>
          <w:sz w:val="24"/>
          <w:szCs w:val="24"/>
        </w:rPr>
      </w:pPr>
      <w:r>
        <w:rPr>
          <w:rFonts w:ascii="Arial" w:hAnsi="Arial" w:cs="Arial"/>
          <w:sz w:val="24"/>
          <w:szCs w:val="24"/>
        </w:rPr>
        <w:t>Ivy House School – transferred 1st October 2019</w:t>
      </w:r>
      <w:r w:rsidRPr="002B2F3F">
        <w:rPr>
          <w:rFonts w:ascii="Arial" w:hAnsi="Arial" w:cs="Arial"/>
          <w:sz w:val="24"/>
          <w:szCs w:val="24"/>
        </w:rPr>
        <w:t xml:space="preserve">; </w:t>
      </w:r>
    </w:p>
    <w:p w14:paraId="3A316D8D" w14:textId="77777777" w:rsidR="007A5B95" w:rsidRPr="002B2F3F" w:rsidRDefault="007A5B95" w:rsidP="007A5B95">
      <w:pPr>
        <w:pStyle w:val="ListParagraph"/>
        <w:numPr>
          <w:ilvl w:val="0"/>
          <w:numId w:val="10"/>
        </w:numPr>
        <w:autoSpaceDE w:val="0"/>
        <w:autoSpaceDN w:val="0"/>
        <w:adjustRightInd w:val="0"/>
        <w:spacing w:after="240" w:line="240" w:lineRule="auto"/>
        <w:ind w:left="-284" w:firstLine="0"/>
        <w:jc w:val="both"/>
        <w:rPr>
          <w:rFonts w:ascii="Arial" w:hAnsi="Arial" w:cs="Arial"/>
          <w:sz w:val="24"/>
          <w:szCs w:val="24"/>
        </w:rPr>
      </w:pPr>
      <w:r>
        <w:rPr>
          <w:rFonts w:ascii="Arial" w:hAnsi="Arial" w:cs="Arial"/>
          <w:sz w:val="24"/>
          <w:szCs w:val="24"/>
        </w:rPr>
        <w:t>Meadows Primary Academy</w:t>
      </w:r>
      <w:r w:rsidRPr="002B2F3F">
        <w:rPr>
          <w:rFonts w:ascii="Arial" w:hAnsi="Arial" w:cs="Arial"/>
          <w:sz w:val="24"/>
          <w:szCs w:val="24"/>
        </w:rPr>
        <w:t xml:space="preserve"> – transferred 1</w:t>
      </w:r>
      <w:r w:rsidRPr="00FA708A">
        <w:rPr>
          <w:rFonts w:ascii="Arial" w:hAnsi="Arial" w:cs="Arial"/>
          <w:sz w:val="24"/>
          <w:szCs w:val="24"/>
          <w:vertAlign w:val="superscript"/>
        </w:rPr>
        <w:t>st</w:t>
      </w:r>
      <w:r>
        <w:rPr>
          <w:rFonts w:ascii="Arial" w:hAnsi="Arial" w:cs="Arial"/>
          <w:sz w:val="24"/>
          <w:szCs w:val="24"/>
        </w:rPr>
        <w:t xml:space="preserve"> January 2020</w:t>
      </w:r>
      <w:r w:rsidRPr="002B2F3F">
        <w:rPr>
          <w:rFonts w:ascii="Arial" w:hAnsi="Arial" w:cs="Arial"/>
          <w:sz w:val="24"/>
          <w:szCs w:val="24"/>
        </w:rPr>
        <w:t>; and</w:t>
      </w:r>
    </w:p>
    <w:p w14:paraId="15448213" w14:textId="77777777" w:rsidR="007A5B95" w:rsidRDefault="007A5B95" w:rsidP="007A5B95">
      <w:pPr>
        <w:pStyle w:val="ListParagraph"/>
        <w:numPr>
          <w:ilvl w:val="0"/>
          <w:numId w:val="10"/>
        </w:numPr>
        <w:autoSpaceDE w:val="0"/>
        <w:autoSpaceDN w:val="0"/>
        <w:adjustRightInd w:val="0"/>
        <w:spacing w:after="240" w:line="240" w:lineRule="auto"/>
        <w:ind w:left="-284" w:firstLine="0"/>
        <w:jc w:val="both"/>
        <w:rPr>
          <w:rFonts w:ascii="Arial" w:hAnsi="Arial" w:cs="Arial"/>
          <w:sz w:val="24"/>
          <w:szCs w:val="24"/>
        </w:rPr>
      </w:pPr>
      <w:r>
        <w:rPr>
          <w:rFonts w:ascii="Arial" w:hAnsi="Arial" w:cs="Arial"/>
          <w:sz w:val="24"/>
          <w:szCs w:val="24"/>
        </w:rPr>
        <w:t>St Martins School</w:t>
      </w:r>
      <w:r w:rsidRPr="002B2F3F">
        <w:rPr>
          <w:rFonts w:ascii="Arial" w:hAnsi="Arial" w:cs="Arial"/>
          <w:sz w:val="24"/>
          <w:szCs w:val="24"/>
        </w:rPr>
        <w:t xml:space="preserve"> – transferred 1</w:t>
      </w:r>
      <w:r w:rsidRPr="00FA708A">
        <w:rPr>
          <w:rFonts w:ascii="Arial" w:hAnsi="Arial" w:cs="Arial"/>
          <w:sz w:val="24"/>
          <w:szCs w:val="24"/>
          <w:vertAlign w:val="superscript"/>
        </w:rPr>
        <w:t>st</w:t>
      </w:r>
      <w:r>
        <w:rPr>
          <w:rFonts w:ascii="Arial" w:hAnsi="Arial" w:cs="Arial"/>
          <w:sz w:val="24"/>
          <w:szCs w:val="24"/>
        </w:rPr>
        <w:t xml:space="preserve"> May 2020</w:t>
      </w:r>
      <w:r w:rsidRPr="002B2F3F">
        <w:rPr>
          <w:rFonts w:ascii="Arial" w:hAnsi="Arial" w:cs="Arial"/>
          <w:sz w:val="24"/>
          <w:szCs w:val="24"/>
        </w:rPr>
        <w:t>.</w:t>
      </w:r>
    </w:p>
    <w:p w14:paraId="003EBE84" w14:textId="77777777" w:rsidR="007A5B95" w:rsidRPr="00FA708A" w:rsidRDefault="007A5B95" w:rsidP="007A5B95">
      <w:pPr>
        <w:autoSpaceDE w:val="0"/>
        <w:autoSpaceDN w:val="0"/>
        <w:adjustRightInd w:val="0"/>
        <w:spacing w:after="240" w:line="240" w:lineRule="auto"/>
        <w:jc w:val="both"/>
        <w:rPr>
          <w:rFonts w:ascii="Arial" w:hAnsi="Arial" w:cs="Arial"/>
          <w:sz w:val="24"/>
          <w:szCs w:val="24"/>
        </w:rPr>
      </w:pPr>
      <w:r>
        <w:rPr>
          <w:rFonts w:ascii="Arial" w:hAnsi="Arial" w:cs="Arial"/>
          <w:sz w:val="24"/>
          <w:szCs w:val="24"/>
        </w:rPr>
        <w:t xml:space="preserve">In addition, an existing academy; the Valley Park School and the connecting Valley Park </w:t>
      </w:r>
      <w:proofErr w:type="spellStart"/>
      <w:r>
        <w:rPr>
          <w:rFonts w:ascii="Arial" w:hAnsi="Arial" w:cs="Arial"/>
          <w:sz w:val="24"/>
          <w:szCs w:val="24"/>
        </w:rPr>
        <w:t>Pru</w:t>
      </w:r>
      <w:proofErr w:type="spellEnd"/>
      <w:r>
        <w:rPr>
          <w:rFonts w:ascii="Arial" w:hAnsi="Arial" w:cs="Arial"/>
          <w:sz w:val="24"/>
          <w:szCs w:val="24"/>
        </w:rPr>
        <w:t xml:space="preserve"> were transferred into Shaw Education Trust on 1</w:t>
      </w:r>
      <w:r w:rsidRPr="00FA708A">
        <w:rPr>
          <w:rFonts w:ascii="Arial" w:hAnsi="Arial" w:cs="Arial"/>
          <w:sz w:val="24"/>
          <w:szCs w:val="24"/>
        </w:rPr>
        <w:t>st</w:t>
      </w:r>
      <w:r>
        <w:rPr>
          <w:rFonts w:ascii="Arial" w:hAnsi="Arial" w:cs="Arial"/>
          <w:sz w:val="24"/>
          <w:szCs w:val="24"/>
        </w:rPr>
        <w:t xml:space="preserve"> March 2020.</w:t>
      </w:r>
    </w:p>
    <w:p w14:paraId="021F767E" w14:textId="77777777" w:rsidR="001A34A2" w:rsidRDefault="007A5B95" w:rsidP="001A34A2">
      <w:pPr>
        <w:autoSpaceDE w:val="0"/>
        <w:autoSpaceDN w:val="0"/>
        <w:adjustRightInd w:val="0"/>
        <w:spacing w:after="240" w:line="240" w:lineRule="auto"/>
        <w:ind w:left="-284"/>
        <w:jc w:val="both"/>
        <w:rPr>
          <w:rFonts w:ascii="Arial" w:hAnsi="Arial" w:cs="Arial"/>
          <w:sz w:val="24"/>
          <w:szCs w:val="24"/>
        </w:rPr>
      </w:pPr>
      <w:r w:rsidRPr="002B2F3F">
        <w:rPr>
          <w:rFonts w:ascii="Arial" w:hAnsi="Arial" w:cs="Arial"/>
          <w:sz w:val="24"/>
          <w:szCs w:val="24"/>
        </w:rPr>
        <w:t>No cash consideration has been paid to the academies, and so no goodwill adjustments are required. The book values of the assets and liabilities were judged to be at fair value and had been treated in accordance with the group’s accounting principles, therefore no adjustments were required a</w:t>
      </w:r>
      <w:r w:rsidR="0037463D">
        <w:rPr>
          <w:rFonts w:ascii="Arial" w:hAnsi="Arial" w:cs="Arial"/>
          <w:sz w:val="24"/>
          <w:szCs w:val="24"/>
        </w:rPr>
        <w:t>nd the financial activity of</w:t>
      </w:r>
      <w:r w:rsidRPr="002B2F3F">
        <w:rPr>
          <w:rFonts w:ascii="Arial" w:hAnsi="Arial" w:cs="Arial"/>
          <w:sz w:val="24"/>
          <w:szCs w:val="24"/>
        </w:rPr>
        <w:t xml:space="preserve"> SET has been fully consolidated into the Group </w:t>
      </w:r>
      <w:r w:rsidR="006C07DD">
        <w:rPr>
          <w:rFonts w:ascii="Arial" w:hAnsi="Arial" w:cs="Arial"/>
          <w:sz w:val="24"/>
          <w:szCs w:val="24"/>
        </w:rPr>
        <w:t xml:space="preserve">financial statements </w:t>
      </w:r>
      <w:r w:rsidRPr="002B2F3F">
        <w:rPr>
          <w:rFonts w:ascii="Arial" w:hAnsi="Arial" w:cs="Arial"/>
          <w:sz w:val="24"/>
          <w:szCs w:val="24"/>
        </w:rPr>
        <w:t xml:space="preserve">from </w:t>
      </w:r>
      <w:r w:rsidR="0037463D">
        <w:rPr>
          <w:rFonts w:ascii="Arial" w:hAnsi="Arial" w:cs="Arial"/>
          <w:sz w:val="24"/>
          <w:szCs w:val="24"/>
        </w:rPr>
        <w:t>their date of transfer</w:t>
      </w:r>
      <w:r w:rsidRPr="002B2F3F">
        <w:rPr>
          <w:rFonts w:ascii="Arial" w:hAnsi="Arial" w:cs="Arial"/>
          <w:sz w:val="24"/>
          <w:szCs w:val="24"/>
        </w:rPr>
        <w:t>.</w:t>
      </w:r>
      <w:r>
        <w:rPr>
          <w:rFonts w:ascii="Arial" w:hAnsi="Arial" w:cs="Arial"/>
          <w:sz w:val="24"/>
          <w:szCs w:val="24"/>
        </w:rPr>
        <w:t xml:space="preserve"> </w:t>
      </w:r>
    </w:p>
    <w:p w14:paraId="0C117D85" w14:textId="75E5BCDD" w:rsidR="006C07DD" w:rsidRDefault="006C07DD" w:rsidP="004B3D0E">
      <w:pPr>
        <w:spacing w:after="0" w:line="240" w:lineRule="auto"/>
        <w:rPr>
          <w:rFonts w:ascii="Arial" w:hAnsi="Arial" w:cs="Arial"/>
          <w:b/>
          <w:i/>
          <w:sz w:val="24"/>
          <w:szCs w:val="24"/>
        </w:rPr>
      </w:pPr>
      <w:r w:rsidRPr="0088736E">
        <w:rPr>
          <w:rFonts w:ascii="Arial" w:hAnsi="Arial" w:cs="Arial"/>
          <w:b/>
          <w:i/>
          <w:sz w:val="24"/>
          <w:szCs w:val="24"/>
        </w:rPr>
        <w:lastRenderedPageBreak/>
        <w:t xml:space="preserve">Notes to the financial </w:t>
      </w:r>
      <w:r>
        <w:rPr>
          <w:rFonts w:ascii="Arial" w:hAnsi="Arial" w:cs="Arial"/>
          <w:b/>
          <w:i/>
          <w:sz w:val="24"/>
          <w:szCs w:val="24"/>
        </w:rPr>
        <w:t>statements</w:t>
      </w:r>
      <w:r w:rsidRPr="0088736E">
        <w:rPr>
          <w:rFonts w:ascii="Arial" w:hAnsi="Arial" w:cs="Arial"/>
          <w:b/>
          <w:i/>
          <w:sz w:val="24"/>
          <w:szCs w:val="24"/>
        </w:rPr>
        <w:t xml:space="preserve"> (continued)</w:t>
      </w:r>
    </w:p>
    <w:p w14:paraId="098B6BFD" w14:textId="77777777" w:rsidR="004B3D0E" w:rsidRDefault="004B3D0E" w:rsidP="004B3D0E">
      <w:pPr>
        <w:spacing w:after="0" w:line="240" w:lineRule="auto"/>
        <w:rPr>
          <w:rFonts w:ascii="Arial" w:hAnsi="Arial" w:cs="Arial"/>
          <w:b/>
          <w:i/>
          <w:sz w:val="24"/>
          <w:szCs w:val="24"/>
        </w:rPr>
      </w:pPr>
    </w:p>
    <w:p w14:paraId="74346955" w14:textId="44BA8C92" w:rsidR="001A34A2" w:rsidRDefault="001A34A2" w:rsidP="004B3D0E">
      <w:pPr>
        <w:autoSpaceDE w:val="0"/>
        <w:autoSpaceDN w:val="0"/>
        <w:adjustRightInd w:val="0"/>
        <w:spacing w:after="0" w:line="240" w:lineRule="auto"/>
        <w:rPr>
          <w:rFonts w:ascii="Arial" w:hAnsi="Arial" w:cs="Arial"/>
          <w:b/>
          <w:sz w:val="24"/>
          <w:szCs w:val="24"/>
        </w:rPr>
      </w:pPr>
      <w:r w:rsidRPr="005076F2">
        <w:rPr>
          <w:rFonts w:ascii="Arial" w:hAnsi="Arial" w:cs="Arial"/>
          <w:b/>
          <w:sz w:val="24"/>
          <w:szCs w:val="24"/>
        </w:rPr>
        <w:t>25. Business combinations (continued)</w:t>
      </w:r>
    </w:p>
    <w:p w14:paraId="43AF97B4" w14:textId="77777777" w:rsidR="004B3D0E" w:rsidRPr="005076F2" w:rsidRDefault="004B3D0E" w:rsidP="004B3D0E">
      <w:pPr>
        <w:autoSpaceDE w:val="0"/>
        <w:autoSpaceDN w:val="0"/>
        <w:adjustRightInd w:val="0"/>
        <w:spacing w:after="0" w:line="240" w:lineRule="auto"/>
        <w:rPr>
          <w:rFonts w:ascii="Arial" w:hAnsi="Arial" w:cs="Arial"/>
          <w:b/>
          <w:sz w:val="24"/>
          <w:szCs w:val="24"/>
        </w:rPr>
      </w:pPr>
    </w:p>
    <w:p w14:paraId="19B9E917" w14:textId="77777777" w:rsidR="001A34A2" w:rsidRPr="002B2F3F" w:rsidRDefault="001A34A2" w:rsidP="008006B6">
      <w:pPr>
        <w:autoSpaceDE w:val="0"/>
        <w:autoSpaceDN w:val="0"/>
        <w:adjustRightInd w:val="0"/>
        <w:spacing w:after="240" w:line="240" w:lineRule="auto"/>
        <w:jc w:val="both"/>
        <w:rPr>
          <w:rFonts w:ascii="Arial" w:hAnsi="Arial" w:cs="Arial"/>
          <w:sz w:val="24"/>
          <w:szCs w:val="24"/>
        </w:rPr>
      </w:pPr>
      <w:r>
        <w:rPr>
          <w:rFonts w:ascii="Arial" w:hAnsi="Arial" w:cs="Arial"/>
          <w:sz w:val="24"/>
          <w:szCs w:val="24"/>
        </w:rPr>
        <w:t>The tangible fixed assets relate to property which was valued at the point of transfer and recorded as a donation received in the group statement of financial activities.</w:t>
      </w:r>
    </w:p>
    <w:p w14:paraId="0C2FD553" w14:textId="77777777" w:rsidR="00E70CD3" w:rsidRPr="002B2F3F" w:rsidRDefault="00E70CD3" w:rsidP="008006B6">
      <w:pPr>
        <w:autoSpaceDE w:val="0"/>
        <w:autoSpaceDN w:val="0"/>
        <w:adjustRightInd w:val="0"/>
        <w:spacing w:after="240" w:line="240" w:lineRule="auto"/>
        <w:jc w:val="both"/>
        <w:rPr>
          <w:rFonts w:ascii="Arial" w:hAnsi="Arial" w:cs="Arial"/>
          <w:sz w:val="24"/>
          <w:szCs w:val="24"/>
        </w:rPr>
      </w:pPr>
      <w:r w:rsidRPr="002B2F3F">
        <w:rPr>
          <w:rFonts w:ascii="Arial" w:hAnsi="Arial" w:cs="Arial"/>
          <w:sz w:val="24"/>
          <w:szCs w:val="24"/>
        </w:rPr>
        <w:t>The net assets acquired have been recorded as a donation received in the group statement of financial activities.</w:t>
      </w:r>
      <w:r w:rsidR="000449F6">
        <w:rPr>
          <w:rFonts w:ascii="Arial" w:hAnsi="Arial" w:cs="Arial"/>
          <w:sz w:val="24"/>
          <w:szCs w:val="24"/>
        </w:rPr>
        <w:t xml:space="preserve"> This relates to Shaw Education Trust (SET)</w:t>
      </w:r>
    </w:p>
    <w:tbl>
      <w:tblPr>
        <w:tblW w:w="9110" w:type="dxa"/>
        <w:tblLook w:val="04A0" w:firstRow="1" w:lastRow="0" w:firstColumn="1" w:lastColumn="0" w:noHBand="0" w:noVBand="1"/>
      </w:tblPr>
      <w:tblGrid>
        <w:gridCol w:w="5812"/>
        <w:gridCol w:w="272"/>
        <w:gridCol w:w="1513"/>
        <w:gridCol w:w="1513"/>
      </w:tblGrid>
      <w:tr w:rsidR="00BB6D9B" w:rsidRPr="00A81079" w14:paraId="4841BF19" w14:textId="77777777" w:rsidTr="00454D0E">
        <w:trPr>
          <w:trHeight w:val="377"/>
        </w:trPr>
        <w:tc>
          <w:tcPr>
            <w:tcW w:w="5812" w:type="dxa"/>
            <w:tcBorders>
              <w:top w:val="nil"/>
              <w:left w:val="nil"/>
              <w:right w:val="nil"/>
            </w:tcBorders>
            <w:shd w:val="clear" w:color="auto" w:fill="auto"/>
            <w:noWrap/>
            <w:vAlign w:val="center"/>
          </w:tcPr>
          <w:p w14:paraId="22178CF3" w14:textId="77777777" w:rsidR="00BB6D9B" w:rsidRPr="00A81079" w:rsidRDefault="00BB6D9B" w:rsidP="00BB6D9B">
            <w:pPr>
              <w:spacing w:after="0" w:line="240" w:lineRule="auto"/>
              <w:rPr>
                <w:rFonts w:ascii="Arial" w:eastAsia="Times New Roman" w:hAnsi="Arial" w:cs="Arial"/>
                <w:sz w:val="20"/>
                <w:szCs w:val="20"/>
                <w:lang w:eastAsia="en-GB"/>
              </w:rPr>
            </w:pPr>
          </w:p>
        </w:tc>
        <w:tc>
          <w:tcPr>
            <w:tcW w:w="272" w:type="dxa"/>
            <w:tcBorders>
              <w:top w:val="nil"/>
              <w:left w:val="nil"/>
              <w:right w:val="nil"/>
            </w:tcBorders>
            <w:shd w:val="clear" w:color="auto" w:fill="auto"/>
            <w:noWrap/>
            <w:vAlign w:val="center"/>
          </w:tcPr>
          <w:p w14:paraId="7C86F7CD" w14:textId="77777777" w:rsidR="00BB6D9B" w:rsidRPr="00A81079" w:rsidRDefault="00BB6D9B" w:rsidP="00BB6D9B">
            <w:pPr>
              <w:spacing w:after="0" w:line="240" w:lineRule="auto"/>
              <w:rPr>
                <w:rFonts w:ascii="Arial" w:eastAsia="Times New Roman" w:hAnsi="Arial" w:cs="Arial"/>
                <w:sz w:val="20"/>
                <w:szCs w:val="20"/>
                <w:lang w:eastAsia="en-GB"/>
              </w:rPr>
            </w:pPr>
          </w:p>
        </w:tc>
        <w:tc>
          <w:tcPr>
            <w:tcW w:w="1513" w:type="dxa"/>
            <w:tcBorders>
              <w:top w:val="nil"/>
              <w:left w:val="nil"/>
              <w:right w:val="nil"/>
            </w:tcBorders>
            <w:shd w:val="clear" w:color="auto" w:fill="auto"/>
            <w:noWrap/>
            <w:vAlign w:val="center"/>
          </w:tcPr>
          <w:p w14:paraId="60DD7625" w14:textId="77777777" w:rsidR="00BB6D9B" w:rsidRPr="00875462" w:rsidRDefault="00BB6D9B" w:rsidP="00BB6D9B">
            <w:pPr>
              <w:spacing w:after="0" w:line="240" w:lineRule="auto"/>
              <w:jc w:val="right"/>
              <w:rPr>
                <w:rFonts w:ascii="Arial" w:eastAsia="Times New Roman" w:hAnsi="Arial" w:cs="Arial"/>
                <w:b/>
                <w:sz w:val="20"/>
                <w:szCs w:val="20"/>
                <w:lang w:eastAsia="en-GB"/>
              </w:rPr>
            </w:pPr>
            <w:r>
              <w:rPr>
                <w:rFonts w:ascii="Arial" w:eastAsia="Times New Roman" w:hAnsi="Arial" w:cs="Arial"/>
                <w:b/>
                <w:sz w:val="20"/>
                <w:szCs w:val="20"/>
                <w:lang w:eastAsia="en-GB"/>
              </w:rPr>
              <w:t>2020 Total</w:t>
            </w:r>
          </w:p>
        </w:tc>
        <w:tc>
          <w:tcPr>
            <w:tcW w:w="1513" w:type="dxa"/>
            <w:tcBorders>
              <w:top w:val="nil"/>
              <w:left w:val="nil"/>
              <w:right w:val="nil"/>
            </w:tcBorders>
            <w:vAlign w:val="center"/>
          </w:tcPr>
          <w:p w14:paraId="2B0A6141" w14:textId="77777777" w:rsidR="00BB6D9B" w:rsidRDefault="00BB6D9B" w:rsidP="00BB6D9B">
            <w:pPr>
              <w:spacing w:after="0" w:line="240" w:lineRule="auto"/>
              <w:jc w:val="right"/>
              <w:rPr>
                <w:rFonts w:ascii="Arial" w:eastAsia="Times New Roman" w:hAnsi="Arial" w:cs="Arial"/>
                <w:b/>
                <w:sz w:val="20"/>
                <w:szCs w:val="20"/>
                <w:lang w:eastAsia="en-GB"/>
              </w:rPr>
            </w:pPr>
            <w:r>
              <w:rPr>
                <w:rFonts w:ascii="Arial" w:eastAsia="Times New Roman" w:hAnsi="Arial" w:cs="Arial"/>
                <w:sz w:val="20"/>
                <w:szCs w:val="20"/>
                <w:lang w:eastAsia="en-GB"/>
              </w:rPr>
              <w:t xml:space="preserve">2019 </w:t>
            </w:r>
            <w:r w:rsidRPr="005969AF">
              <w:rPr>
                <w:rFonts w:ascii="Arial" w:eastAsia="Times New Roman" w:hAnsi="Arial" w:cs="Arial"/>
                <w:sz w:val="20"/>
                <w:szCs w:val="20"/>
                <w:lang w:eastAsia="en-GB"/>
              </w:rPr>
              <w:t>Total</w:t>
            </w:r>
          </w:p>
        </w:tc>
      </w:tr>
      <w:tr w:rsidR="00BB6D9B" w:rsidRPr="00A81079" w14:paraId="5B52580F" w14:textId="77777777" w:rsidTr="00454D0E">
        <w:trPr>
          <w:trHeight w:val="377"/>
        </w:trPr>
        <w:tc>
          <w:tcPr>
            <w:tcW w:w="5812" w:type="dxa"/>
            <w:tcBorders>
              <w:left w:val="nil"/>
              <w:bottom w:val="single" w:sz="4" w:space="0" w:color="auto"/>
              <w:right w:val="nil"/>
            </w:tcBorders>
            <w:shd w:val="clear" w:color="auto" w:fill="auto"/>
            <w:noWrap/>
            <w:vAlign w:val="center"/>
            <w:hideMark/>
          </w:tcPr>
          <w:p w14:paraId="1D4CFCAC" w14:textId="77777777" w:rsidR="00BB6D9B" w:rsidRPr="00A81079" w:rsidRDefault="00BB6D9B" w:rsidP="00BB6D9B">
            <w:pPr>
              <w:spacing w:after="0" w:line="240" w:lineRule="auto"/>
              <w:rPr>
                <w:rFonts w:ascii="Arial" w:eastAsia="Times New Roman" w:hAnsi="Arial" w:cs="Arial"/>
                <w:sz w:val="20"/>
                <w:szCs w:val="20"/>
                <w:lang w:eastAsia="en-GB"/>
              </w:rPr>
            </w:pPr>
            <w:r w:rsidRPr="00A81079">
              <w:rPr>
                <w:rFonts w:ascii="Arial" w:eastAsia="Times New Roman" w:hAnsi="Arial" w:cs="Arial"/>
                <w:sz w:val="20"/>
                <w:szCs w:val="20"/>
                <w:lang w:eastAsia="en-GB"/>
              </w:rPr>
              <w:t> </w:t>
            </w:r>
          </w:p>
        </w:tc>
        <w:tc>
          <w:tcPr>
            <w:tcW w:w="272" w:type="dxa"/>
            <w:tcBorders>
              <w:left w:val="nil"/>
              <w:bottom w:val="single" w:sz="4" w:space="0" w:color="auto"/>
              <w:right w:val="nil"/>
            </w:tcBorders>
            <w:shd w:val="clear" w:color="auto" w:fill="auto"/>
            <w:noWrap/>
            <w:vAlign w:val="center"/>
            <w:hideMark/>
          </w:tcPr>
          <w:p w14:paraId="2D861D1D" w14:textId="77777777" w:rsidR="00BB6D9B" w:rsidRPr="00A81079" w:rsidRDefault="00BB6D9B" w:rsidP="00BB6D9B">
            <w:pPr>
              <w:spacing w:after="0" w:line="240" w:lineRule="auto"/>
              <w:rPr>
                <w:rFonts w:ascii="Arial" w:eastAsia="Times New Roman" w:hAnsi="Arial" w:cs="Arial"/>
                <w:sz w:val="20"/>
                <w:szCs w:val="20"/>
                <w:lang w:eastAsia="en-GB"/>
              </w:rPr>
            </w:pPr>
            <w:r w:rsidRPr="00A81079">
              <w:rPr>
                <w:rFonts w:ascii="Arial" w:eastAsia="Times New Roman" w:hAnsi="Arial" w:cs="Arial"/>
                <w:sz w:val="20"/>
                <w:szCs w:val="20"/>
                <w:lang w:eastAsia="en-GB"/>
              </w:rPr>
              <w:t> </w:t>
            </w:r>
          </w:p>
        </w:tc>
        <w:tc>
          <w:tcPr>
            <w:tcW w:w="1513" w:type="dxa"/>
            <w:tcBorders>
              <w:left w:val="nil"/>
              <w:bottom w:val="single" w:sz="4" w:space="0" w:color="auto"/>
              <w:right w:val="nil"/>
            </w:tcBorders>
            <w:shd w:val="clear" w:color="auto" w:fill="auto"/>
            <w:noWrap/>
            <w:vAlign w:val="center"/>
            <w:hideMark/>
          </w:tcPr>
          <w:p w14:paraId="0D17B815" w14:textId="77777777" w:rsidR="00BB6D9B" w:rsidRPr="00875462" w:rsidRDefault="00BB6D9B" w:rsidP="00BB6D9B">
            <w:pPr>
              <w:spacing w:after="0" w:line="240" w:lineRule="auto"/>
              <w:jc w:val="right"/>
              <w:rPr>
                <w:rFonts w:ascii="Arial" w:eastAsia="Times New Roman" w:hAnsi="Arial" w:cs="Arial"/>
                <w:b/>
                <w:sz w:val="20"/>
                <w:szCs w:val="20"/>
                <w:lang w:eastAsia="en-GB"/>
              </w:rPr>
            </w:pPr>
            <w:r w:rsidRPr="00875462">
              <w:rPr>
                <w:rFonts w:ascii="Arial" w:eastAsia="Times New Roman" w:hAnsi="Arial" w:cs="Arial"/>
                <w:b/>
                <w:sz w:val="20"/>
                <w:szCs w:val="20"/>
                <w:lang w:eastAsia="en-GB"/>
              </w:rPr>
              <w:t>£'000</w:t>
            </w:r>
          </w:p>
        </w:tc>
        <w:tc>
          <w:tcPr>
            <w:tcW w:w="1513" w:type="dxa"/>
            <w:tcBorders>
              <w:left w:val="nil"/>
              <w:bottom w:val="single" w:sz="4" w:space="0" w:color="auto"/>
              <w:right w:val="nil"/>
            </w:tcBorders>
            <w:vAlign w:val="center"/>
          </w:tcPr>
          <w:p w14:paraId="61FDA93C" w14:textId="77777777" w:rsidR="00BB6D9B" w:rsidRPr="00875462" w:rsidRDefault="00BB6D9B" w:rsidP="00BB6D9B">
            <w:pPr>
              <w:spacing w:after="0" w:line="240" w:lineRule="auto"/>
              <w:jc w:val="right"/>
              <w:rPr>
                <w:rFonts w:ascii="Arial" w:eastAsia="Times New Roman" w:hAnsi="Arial" w:cs="Arial"/>
                <w:b/>
                <w:sz w:val="20"/>
                <w:szCs w:val="20"/>
                <w:lang w:eastAsia="en-GB"/>
              </w:rPr>
            </w:pPr>
            <w:r w:rsidRPr="00BF110B">
              <w:rPr>
                <w:rFonts w:ascii="Arial" w:eastAsia="Times New Roman" w:hAnsi="Arial" w:cs="Arial"/>
                <w:sz w:val="20"/>
                <w:szCs w:val="20"/>
                <w:lang w:eastAsia="en-GB"/>
              </w:rPr>
              <w:t>£'000</w:t>
            </w:r>
          </w:p>
        </w:tc>
      </w:tr>
      <w:tr w:rsidR="00BB6D9B" w:rsidRPr="00A81079" w14:paraId="6ABB3FE0" w14:textId="77777777" w:rsidTr="00454D0E">
        <w:trPr>
          <w:trHeight w:val="377"/>
        </w:trPr>
        <w:tc>
          <w:tcPr>
            <w:tcW w:w="5812" w:type="dxa"/>
            <w:tcBorders>
              <w:top w:val="nil"/>
              <w:left w:val="nil"/>
              <w:bottom w:val="nil"/>
              <w:right w:val="nil"/>
            </w:tcBorders>
            <w:shd w:val="clear" w:color="auto" w:fill="auto"/>
            <w:noWrap/>
            <w:vAlign w:val="center"/>
            <w:hideMark/>
          </w:tcPr>
          <w:p w14:paraId="01091B8F" w14:textId="77777777" w:rsidR="00BB6D9B" w:rsidRPr="00A81079" w:rsidRDefault="00BB6D9B" w:rsidP="00BB6D9B">
            <w:pPr>
              <w:spacing w:after="0" w:line="240" w:lineRule="auto"/>
              <w:rPr>
                <w:rFonts w:ascii="Arial" w:eastAsia="Times New Roman" w:hAnsi="Arial" w:cs="Arial"/>
                <w:sz w:val="20"/>
                <w:szCs w:val="20"/>
                <w:lang w:eastAsia="en-GB"/>
              </w:rPr>
            </w:pPr>
            <w:r w:rsidRPr="00A81079">
              <w:rPr>
                <w:rFonts w:ascii="Arial" w:eastAsia="Times New Roman" w:hAnsi="Arial" w:cs="Arial"/>
                <w:sz w:val="20"/>
                <w:szCs w:val="20"/>
                <w:lang w:eastAsia="en-GB"/>
              </w:rPr>
              <w:t>Fixed assets - tangible fixed assets</w:t>
            </w:r>
          </w:p>
        </w:tc>
        <w:tc>
          <w:tcPr>
            <w:tcW w:w="272" w:type="dxa"/>
            <w:tcBorders>
              <w:top w:val="nil"/>
              <w:left w:val="nil"/>
              <w:bottom w:val="nil"/>
              <w:right w:val="nil"/>
            </w:tcBorders>
            <w:shd w:val="clear" w:color="auto" w:fill="auto"/>
            <w:noWrap/>
            <w:vAlign w:val="center"/>
            <w:hideMark/>
          </w:tcPr>
          <w:p w14:paraId="5572E3D6" w14:textId="77777777" w:rsidR="00BB6D9B" w:rsidRPr="00A81079" w:rsidRDefault="00BB6D9B" w:rsidP="00BB6D9B">
            <w:pPr>
              <w:spacing w:after="0" w:line="240" w:lineRule="auto"/>
              <w:rPr>
                <w:rFonts w:ascii="Arial" w:eastAsia="Times New Roman" w:hAnsi="Arial" w:cs="Arial"/>
                <w:sz w:val="20"/>
                <w:szCs w:val="20"/>
                <w:lang w:eastAsia="en-GB"/>
              </w:rPr>
            </w:pPr>
          </w:p>
        </w:tc>
        <w:tc>
          <w:tcPr>
            <w:tcW w:w="1513" w:type="dxa"/>
            <w:tcBorders>
              <w:top w:val="nil"/>
              <w:left w:val="nil"/>
              <w:bottom w:val="nil"/>
              <w:right w:val="nil"/>
            </w:tcBorders>
            <w:shd w:val="clear" w:color="auto" w:fill="auto"/>
            <w:noWrap/>
            <w:vAlign w:val="center"/>
          </w:tcPr>
          <w:p w14:paraId="339B6D00" w14:textId="77777777" w:rsidR="00BB6D9B" w:rsidRPr="00314A3A" w:rsidRDefault="00BB6D9B" w:rsidP="00BB6D9B">
            <w:pPr>
              <w:spacing w:after="0" w:line="240" w:lineRule="auto"/>
              <w:jc w:val="right"/>
              <w:rPr>
                <w:rFonts w:ascii="Arial" w:eastAsia="Times New Roman" w:hAnsi="Arial" w:cs="Arial"/>
                <w:b/>
                <w:bCs/>
                <w:sz w:val="20"/>
                <w:szCs w:val="20"/>
                <w:lang w:eastAsia="en-GB"/>
              </w:rPr>
            </w:pPr>
            <w:r w:rsidRPr="00314A3A">
              <w:rPr>
                <w:rFonts w:ascii="Arial" w:eastAsia="Times New Roman" w:hAnsi="Arial" w:cs="Arial"/>
                <w:b/>
                <w:bCs/>
                <w:sz w:val="20"/>
                <w:szCs w:val="20"/>
                <w:lang w:eastAsia="en-GB"/>
              </w:rPr>
              <w:t>20,716</w:t>
            </w:r>
          </w:p>
        </w:tc>
        <w:tc>
          <w:tcPr>
            <w:tcW w:w="1513" w:type="dxa"/>
            <w:tcBorders>
              <w:top w:val="nil"/>
              <w:left w:val="nil"/>
              <w:bottom w:val="nil"/>
              <w:right w:val="nil"/>
            </w:tcBorders>
            <w:vAlign w:val="center"/>
          </w:tcPr>
          <w:p w14:paraId="6CB15949" w14:textId="77777777" w:rsidR="00BB6D9B" w:rsidRDefault="00BB6D9B" w:rsidP="00BB6D9B">
            <w:pPr>
              <w:spacing w:after="0" w:line="240" w:lineRule="auto"/>
              <w:jc w:val="right"/>
              <w:rPr>
                <w:rFonts w:ascii="Arial" w:eastAsia="Times New Roman" w:hAnsi="Arial" w:cs="Arial"/>
                <w:bCs/>
                <w:sz w:val="20"/>
                <w:szCs w:val="20"/>
                <w:lang w:eastAsia="en-GB"/>
              </w:rPr>
            </w:pPr>
            <w:r>
              <w:rPr>
                <w:rFonts w:ascii="Arial" w:eastAsia="Times New Roman" w:hAnsi="Arial" w:cs="Arial"/>
                <w:bCs/>
                <w:sz w:val="20"/>
                <w:szCs w:val="20"/>
                <w:lang w:eastAsia="en-GB"/>
              </w:rPr>
              <w:t>24,961</w:t>
            </w:r>
          </w:p>
        </w:tc>
      </w:tr>
      <w:tr w:rsidR="00BB6D9B" w:rsidRPr="00A81079" w14:paraId="0828B1D1" w14:textId="77777777" w:rsidTr="00454D0E">
        <w:trPr>
          <w:trHeight w:val="377"/>
        </w:trPr>
        <w:tc>
          <w:tcPr>
            <w:tcW w:w="5812" w:type="dxa"/>
            <w:tcBorders>
              <w:top w:val="nil"/>
              <w:left w:val="nil"/>
              <w:bottom w:val="nil"/>
              <w:right w:val="nil"/>
            </w:tcBorders>
            <w:shd w:val="clear" w:color="auto" w:fill="auto"/>
            <w:noWrap/>
            <w:vAlign w:val="center"/>
            <w:hideMark/>
          </w:tcPr>
          <w:p w14:paraId="2C8E660B" w14:textId="77777777" w:rsidR="00BB6D9B" w:rsidRPr="00A81079" w:rsidRDefault="00BB6D9B" w:rsidP="00BB6D9B">
            <w:pPr>
              <w:spacing w:after="0" w:line="240" w:lineRule="auto"/>
              <w:rPr>
                <w:rFonts w:ascii="Arial" w:eastAsia="Times New Roman" w:hAnsi="Arial" w:cs="Arial"/>
                <w:sz w:val="20"/>
                <w:szCs w:val="20"/>
                <w:lang w:eastAsia="en-GB"/>
              </w:rPr>
            </w:pPr>
            <w:r w:rsidRPr="00A81079">
              <w:rPr>
                <w:rFonts w:ascii="Arial" w:eastAsia="Times New Roman" w:hAnsi="Arial" w:cs="Arial"/>
                <w:sz w:val="20"/>
                <w:szCs w:val="20"/>
                <w:lang w:eastAsia="en-GB"/>
              </w:rPr>
              <w:t>Cash at bank</w:t>
            </w:r>
          </w:p>
        </w:tc>
        <w:tc>
          <w:tcPr>
            <w:tcW w:w="272" w:type="dxa"/>
            <w:tcBorders>
              <w:top w:val="nil"/>
              <w:left w:val="nil"/>
              <w:bottom w:val="nil"/>
              <w:right w:val="nil"/>
            </w:tcBorders>
            <w:shd w:val="clear" w:color="auto" w:fill="auto"/>
            <w:noWrap/>
            <w:vAlign w:val="center"/>
            <w:hideMark/>
          </w:tcPr>
          <w:p w14:paraId="6DED7C86" w14:textId="77777777" w:rsidR="00BB6D9B" w:rsidRPr="00A81079" w:rsidRDefault="00BB6D9B" w:rsidP="00BB6D9B">
            <w:pPr>
              <w:spacing w:after="0" w:line="240" w:lineRule="auto"/>
              <w:rPr>
                <w:rFonts w:ascii="Arial" w:eastAsia="Times New Roman" w:hAnsi="Arial" w:cs="Arial"/>
                <w:sz w:val="20"/>
                <w:szCs w:val="20"/>
                <w:lang w:eastAsia="en-GB"/>
              </w:rPr>
            </w:pPr>
          </w:p>
        </w:tc>
        <w:tc>
          <w:tcPr>
            <w:tcW w:w="1513" w:type="dxa"/>
            <w:tcBorders>
              <w:top w:val="nil"/>
              <w:left w:val="nil"/>
              <w:bottom w:val="nil"/>
              <w:right w:val="nil"/>
            </w:tcBorders>
            <w:shd w:val="clear" w:color="auto" w:fill="auto"/>
            <w:noWrap/>
            <w:vAlign w:val="center"/>
          </w:tcPr>
          <w:p w14:paraId="4ACF1A4A" w14:textId="77777777" w:rsidR="00BB6D9B" w:rsidRPr="00314A3A" w:rsidRDefault="00BB6D9B" w:rsidP="00BB6D9B">
            <w:pPr>
              <w:spacing w:after="0" w:line="240" w:lineRule="auto"/>
              <w:jc w:val="right"/>
              <w:rPr>
                <w:rFonts w:ascii="Arial" w:eastAsia="Times New Roman" w:hAnsi="Arial" w:cs="Arial"/>
                <w:b/>
                <w:bCs/>
                <w:sz w:val="20"/>
                <w:szCs w:val="20"/>
                <w:lang w:eastAsia="en-GB"/>
              </w:rPr>
            </w:pPr>
            <w:r w:rsidRPr="00314A3A">
              <w:rPr>
                <w:rFonts w:ascii="Arial" w:eastAsia="Times New Roman" w:hAnsi="Arial" w:cs="Arial"/>
                <w:b/>
                <w:bCs/>
                <w:sz w:val="20"/>
                <w:szCs w:val="20"/>
                <w:lang w:eastAsia="en-GB"/>
              </w:rPr>
              <w:t>1,239</w:t>
            </w:r>
          </w:p>
        </w:tc>
        <w:tc>
          <w:tcPr>
            <w:tcW w:w="1513" w:type="dxa"/>
            <w:tcBorders>
              <w:top w:val="nil"/>
              <w:left w:val="nil"/>
              <w:bottom w:val="nil"/>
              <w:right w:val="nil"/>
            </w:tcBorders>
            <w:vAlign w:val="center"/>
          </w:tcPr>
          <w:p w14:paraId="06305B3C" w14:textId="77777777" w:rsidR="00BB6D9B" w:rsidRDefault="00BB6D9B" w:rsidP="00BB6D9B">
            <w:pPr>
              <w:spacing w:after="0" w:line="240" w:lineRule="auto"/>
              <w:jc w:val="right"/>
              <w:rPr>
                <w:rFonts w:ascii="Arial" w:eastAsia="Times New Roman" w:hAnsi="Arial" w:cs="Arial"/>
                <w:bCs/>
                <w:sz w:val="20"/>
                <w:szCs w:val="20"/>
                <w:lang w:eastAsia="en-GB"/>
              </w:rPr>
            </w:pPr>
            <w:r>
              <w:rPr>
                <w:rFonts w:ascii="Arial" w:eastAsia="Times New Roman" w:hAnsi="Arial" w:cs="Arial"/>
                <w:bCs/>
                <w:sz w:val="20"/>
                <w:szCs w:val="20"/>
                <w:lang w:eastAsia="en-GB"/>
              </w:rPr>
              <w:t>262</w:t>
            </w:r>
          </w:p>
        </w:tc>
      </w:tr>
      <w:tr w:rsidR="00BB6D9B" w:rsidRPr="00543D10" w14:paraId="38C503DF" w14:textId="77777777" w:rsidTr="00454D0E">
        <w:trPr>
          <w:trHeight w:val="377"/>
        </w:trPr>
        <w:tc>
          <w:tcPr>
            <w:tcW w:w="5812" w:type="dxa"/>
            <w:tcBorders>
              <w:top w:val="nil"/>
              <w:left w:val="nil"/>
              <w:bottom w:val="nil"/>
              <w:right w:val="nil"/>
            </w:tcBorders>
            <w:shd w:val="clear" w:color="auto" w:fill="auto"/>
            <w:noWrap/>
            <w:vAlign w:val="center"/>
          </w:tcPr>
          <w:p w14:paraId="1C3A4810" w14:textId="77777777" w:rsidR="00BB6D9B" w:rsidRPr="00A81079" w:rsidRDefault="00BB6D9B" w:rsidP="00BB6D9B">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Liabilities &lt; 1 year</w:t>
            </w:r>
          </w:p>
        </w:tc>
        <w:tc>
          <w:tcPr>
            <w:tcW w:w="272" w:type="dxa"/>
            <w:tcBorders>
              <w:top w:val="nil"/>
              <w:left w:val="nil"/>
              <w:bottom w:val="nil"/>
              <w:right w:val="nil"/>
            </w:tcBorders>
            <w:shd w:val="clear" w:color="auto" w:fill="auto"/>
            <w:noWrap/>
            <w:vAlign w:val="center"/>
          </w:tcPr>
          <w:p w14:paraId="02EB5CF1" w14:textId="77777777" w:rsidR="00BB6D9B" w:rsidRPr="00A81079" w:rsidRDefault="00BB6D9B" w:rsidP="00BB6D9B">
            <w:pPr>
              <w:spacing w:after="0" w:line="240" w:lineRule="auto"/>
              <w:rPr>
                <w:rFonts w:ascii="Arial" w:eastAsia="Times New Roman" w:hAnsi="Arial" w:cs="Arial"/>
                <w:sz w:val="20"/>
                <w:szCs w:val="20"/>
                <w:lang w:eastAsia="en-GB"/>
              </w:rPr>
            </w:pPr>
          </w:p>
        </w:tc>
        <w:tc>
          <w:tcPr>
            <w:tcW w:w="1513" w:type="dxa"/>
            <w:tcBorders>
              <w:top w:val="nil"/>
              <w:left w:val="nil"/>
              <w:bottom w:val="nil"/>
              <w:right w:val="nil"/>
            </w:tcBorders>
            <w:shd w:val="clear" w:color="auto" w:fill="auto"/>
            <w:noWrap/>
            <w:vAlign w:val="center"/>
          </w:tcPr>
          <w:p w14:paraId="1A5935D6" w14:textId="77777777" w:rsidR="00BB6D9B" w:rsidRPr="00314A3A" w:rsidRDefault="00BB6D9B" w:rsidP="00BB6D9B">
            <w:pPr>
              <w:spacing w:after="0" w:line="240" w:lineRule="auto"/>
              <w:jc w:val="right"/>
              <w:rPr>
                <w:rFonts w:ascii="Arial" w:eastAsia="Times New Roman" w:hAnsi="Arial" w:cs="Arial"/>
                <w:b/>
                <w:bCs/>
                <w:sz w:val="20"/>
                <w:szCs w:val="20"/>
                <w:lang w:eastAsia="en-GB"/>
              </w:rPr>
            </w:pPr>
            <w:r w:rsidRPr="00314A3A">
              <w:rPr>
                <w:rFonts w:ascii="Arial" w:eastAsia="Times New Roman" w:hAnsi="Arial" w:cs="Arial"/>
                <w:b/>
                <w:bCs/>
                <w:sz w:val="20"/>
                <w:szCs w:val="20"/>
                <w:lang w:eastAsia="en-GB"/>
              </w:rPr>
              <w:t>(57)</w:t>
            </w:r>
          </w:p>
        </w:tc>
        <w:tc>
          <w:tcPr>
            <w:tcW w:w="1513" w:type="dxa"/>
            <w:tcBorders>
              <w:top w:val="nil"/>
              <w:left w:val="nil"/>
              <w:bottom w:val="nil"/>
              <w:right w:val="nil"/>
            </w:tcBorders>
            <w:vAlign w:val="center"/>
          </w:tcPr>
          <w:p w14:paraId="6B7313A1" w14:textId="77777777" w:rsidR="00BB6D9B" w:rsidRDefault="00BB6D9B" w:rsidP="00BB6D9B">
            <w:pPr>
              <w:spacing w:after="0" w:line="240" w:lineRule="auto"/>
              <w:jc w:val="right"/>
              <w:rPr>
                <w:rFonts w:ascii="Arial" w:eastAsia="Times New Roman" w:hAnsi="Arial" w:cs="Arial"/>
                <w:bCs/>
                <w:sz w:val="20"/>
                <w:szCs w:val="20"/>
                <w:lang w:eastAsia="en-GB"/>
              </w:rPr>
            </w:pPr>
            <w:r>
              <w:rPr>
                <w:rFonts w:ascii="Arial" w:eastAsia="Times New Roman" w:hAnsi="Arial" w:cs="Arial"/>
                <w:bCs/>
                <w:sz w:val="20"/>
                <w:szCs w:val="20"/>
                <w:lang w:eastAsia="en-GB"/>
              </w:rPr>
              <w:t>-</w:t>
            </w:r>
          </w:p>
        </w:tc>
      </w:tr>
      <w:tr w:rsidR="00BB6D9B" w:rsidRPr="00543D10" w14:paraId="38E58F6C" w14:textId="77777777" w:rsidTr="00454D0E">
        <w:trPr>
          <w:trHeight w:val="377"/>
        </w:trPr>
        <w:tc>
          <w:tcPr>
            <w:tcW w:w="5812" w:type="dxa"/>
            <w:tcBorders>
              <w:top w:val="nil"/>
              <w:left w:val="nil"/>
              <w:bottom w:val="nil"/>
              <w:right w:val="nil"/>
            </w:tcBorders>
            <w:shd w:val="clear" w:color="auto" w:fill="auto"/>
            <w:noWrap/>
            <w:vAlign w:val="center"/>
            <w:hideMark/>
          </w:tcPr>
          <w:p w14:paraId="79324991" w14:textId="77777777" w:rsidR="00BB6D9B" w:rsidRPr="00A81079" w:rsidRDefault="00BB6D9B" w:rsidP="00BB6D9B">
            <w:pPr>
              <w:spacing w:after="0" w:line="240" w:lineRule="auto"/>
              <w:rPr>
                <w:rFonts w:ascii="Arial" w:eastAsia="Times New Roman" w:hAnsi="Arial" w:cs="Arial"/>
                <w:sz w:val="20"/>
                <w:szCs w:val="20"/>
                <w:lang w:eastAsia="en-GB"/>
              </w:rPr>
            </w:pPr>
            <w:r w:rsidRPr="00A81079">
              <w:rPr>
                <w:rFonts w:ascii="Arial" w:eastAsia="Times New Roman" w:hAnsi="Arial" w:cs="Arial"/>
                <w:sz w:val="20"/>
                <w:szCs w:val="20"/>
                <w:lang w:eastAsia="en-GB"/>
              </w:rPr>
              <w:t>Pension liability</w:t>
            </w:r>
          </w:p>
        </w:tc>
        <w:tc>
          <w:tcPr>
            <w:tcW w:w="272" w:type="dxa"/>
            <w:tcBorders>
              <w:top w:val="nil"/>
              <w:left w:val="nil"/>
              <w:bottom w:val="nil"/>
              <w:right w:val="nil"/>
            </w:tcBorders>
            <w:shd w:val="clear" w:color="auto" w:fill="auto"/>
            <w:noWrap/>
            <w:vAlign w:val="center"/>
            <w:hideMark/>
          </w:tcPr>
          <w:p w14:paraId="193D2B6D" w14:textId="77777777" w:rsidR="00BB6D9B" w:rsidRPr="00A81079" w:rsidRDefault="00BB6D9B" w:rsidP="00BB6D9B">
            <w:pPr>
              <w:spacing w:after="0" w:line="240" w:lineRule="auto"/>
              <w:rPr>
                <w:rFonts w:ascii="Arial" w:eastAsia="Times New Roman" w:hAnsi="Arial" w:cs="Arial"/>
                <w:sz w:val="20"/>
                <w:szCs w:val="20"/>
                <w:lang w:eastAsia="en-GB"/>
              </w:rPr>
            </w:pPr>
          </w:p>
        </w:tc>
        <w:tc>
          <w:tcPr>
            <w:tcW w:w="1513" w:type="dxa"/>
            <w:tcBorders>
              <w:top w:val="nil"/>
              <w:left w:val="nil"/>
              <w:bottom w:val="nil"/>
              <w:right w:val="nil"/>
            </w:tcBorders>
            <w:shd w:val="clear" w:color="auto" w:fill="auto"/>
            <w:noWrap/>
            <w:vAlign w:val="center"/>
          </w:tcPr>
          <w:p w14:paraId="5AB7AFDD" w14:textId="77777777" w:rsidR="00BB6D9B" w:rsidRPr="00314A3A" w:rsidRDefault="00BB6D9B" w:rsidP="00BB6D9B">
            <w:pPr>
              <w:spacing w:after="0" w:line="240" w:lineRule="auto"/>
              <w:jc w:val="right"/>
              <w:rPr>
                <w:rFonts w:ascii="Arial" w:eastAsia="Times New Roman" w:hAnsi="Arial" w:cs="Arial"/>
                <w:b/>
                <w:bCs/>
                <w:sz w:val="20"/>
                <w:szCs w:val="20"/>
                <w:lang w:eastAsia="en-GB"/>
              </w:rPr>
            </w:pPr>
            <w:r w:rsidRPr="00314A3A">
              <w:rPr>
                <w:rFonts w:ascii="Arial" w:eastAsia="Times New Roman" w:hAnsi="Arial" w:cs="Arial"/>
                <w:b/>
                <w:bCs/>
                <w:sz w:val="20"/>
                <w:szCs w:val="20"/>
                <w:lang w:eastAsia="en-GB"/>
              </w:rPr>
              <w:t>(8,224)</w:t>
            </w:r>
          </w:p>
        </w:tc>
        <w:tc>
          <w:tcPr>
            <w:tcW w:w="1513" w:type="dxa"/>
            <w:tcBorders>
              <w:top w:val="nil"/>
              <w:left w:val="nil"/>
              <w:bottom w:val="nil"/>
              <w:right w:val="nil"/>
            </w:tcBorders>
            <w:vAlign w:val="center"/>
          </w:tcPr>
          <w:p w14:paraId="53E2A520" w14:textId="77777777" w:rsidR="00BB6D9B" w:rsidRDefault="00BB6D9B" w:rsidP="00BB6D9B">
            <w:pPr>
              <w:spacing w:after="0" w:line="240" w:lineRule="auto"/>
              <w:jc w:val="right"/>
              <w:rPr>
                <w:rFonts w:ascii="Arial" w:eastAsia="Times New Roman" w:hAnsi="Arial" w:cs="Arial"/>
                <w:bCs/>
                <w:sz w:val="20"/>
                <w:szCs w:val="20"/>
                <w:lang w:eastAsia="en-GB"/>
              </w:rPr>
            </w:pPr>
            <w:r w:rsidRPr="00543D10">
              <w:rPr>
                <w:rFonts w:ascii="Arial" w:eastAsia="Times New Roman" w:hAnsi="Arial" w:cs="Arial"/>
                <w:bCs/>
                <w:sz w:val="20"/>
                <w:szCs w:val="20"/>
                <w:lang w:eastAsia="en-GB"/>
              </w:rPr>
              <w:t>(3,874)</w:t>
            </w:r>
          </w:p>
        </w:tc>
      </w:tr>
      <w:tr w:rsidR="00BB6D9B" w:rsidRPr="00543D10" w14:paraId="0ABD13F9" w14:textId="77777777" w:rsidTr="00454D0E">
        <w:trPr>
          <w:trHeight w:val="377"/>
        </w:trPr>
        <w:tc>
          <w:tcPr>
            <w:tcW w:w="5812" w:type="dxa"/>
            <w:tcBorders>
              <w:top w:val="single" w:sz="4" w:space="0" w:color="auto"/>
              <w:left w:val="nil"/>
              <w:bottom w:val="single" w:sz="4" w:space="0" w:color="auto"/>
              <w:right w:val="nil"/>
            </w:tcBorders>
            <w:shd w:val="clear" w:color="auto" w:fill="auto"/>
            <w:noWrap/>
            <w:vAlign w:val="center"/>
            <w:hideMark/>
          </w:tcPr>
          <w:p w14:paraId="59BBF10F" w14:textId="77777777" w:rsidR="00BB6D9B" w:rsidRPr="00A81079" w:rsidRDefault="00BB6D9B" w:rsidP="00BB6D9B">
            <w:pPr>
              <w:spacing w:after="0" w:line="240" w:lineRule="auto"/>
              <w:rPr>
                <w:rFonts w:ascii="Arial" w:eastAsia="Times New Roman" w:hAnsi="Arial" w:cs="Arial"/>
                <w:sz w:val="20"/>
                <w:szCs w:val="20"/>
                <w:lang w:eastAsia="en-GB"/>
              </w:rPr>
            </w:pPr>
            <w:r w:rsidRPr="00A81079">
              <w:rPr>
                <w:rFonts w:ascii="Arial" w:eastAsia="Times New Roman" w:hAnsi="Arial" w:cs="Arial"/>
                <w:sz w:val="20"/>
                <w:szCs w:val="20"/>
                <w:lang w:eastAsia="en-GB"/>
              </w:rPr>
              <w:t>Net assets acquired</w:t>
            </w:r>
          </w:p>
        </w:tc>
        <w:tc>
          <w:tcPr>
            <w:tcW w:w="272" w:type="dxa"/>
            <w:tcBorders>
              <w:top w:val="single" w:sz="4" w:space="0" w:color="auto"/>
              <w:left w:val="nil"/>
              <w:bottom w:val="single" w:sz="4" w:space="0" w:color="auto"/>
              <w:right w:val="nil"/>
            </w:tcBorders>
            <w:shd w:val="clear" w:color="auto" w:fill="auto"/>
            <w:noWrap/>
            <w:vAlign w:val="center"/>
            <w:hideMark/>
          </w:tcPr>
          <w:p w14:paraId="1A1BA996" w14:textId="77777777" w:rsidR="00BB6D9B" w:rsidRPr="00A81079" w:rsidRDefault="00BB6D9B" w:rsidP="00BB6D9B">
            <w:pPr>
              <w:spacing w:after="0" w:line="240" w:lineRule="auto"/>
              <w:rPr>
                <w:rFonts w:ascii="Arial" w:eastAsia="Times New Roman" w:hAnsi="Arial" w:cs="Arial"/>
                <w:sz w:val="20"/>
                <w:szCs w:val="20"/>
                <w:lang w:eastAsia="en-GB"/>
              </w:rPr>
            </w:pPr>
            <w:r w:rsidRPr="00A81079">
              <w:rPr>
                <w:rFonts w:ascii="Arial" w:eastAsia="Times New Roman" w:hAnsi="Arial" w:cs="Arial"/>
                <w:sz w:val="20"/>
                <w:szCs w:val="20"/>
                <w:lang w:eastAsia="en-GB"/>
              </w:rPr>
              <w:t> </w:t>
            </w:r>
          </w:p>
        </w:tc>
        <w:tc>
          <w:tcPr>
            <w:tcW w:w="1513" w:type="dxa"/>
            <w:tcBorders>
              <w:top w:val="single" w:sz="4" w:space="0" w:color="auto"/>
              <w:left w:val="nil"/>
              <w:bottom w:val="single" w:sz="4" w:space="0" w:color="auto"/>
              <w:right w:val="nil"/>
            </w:tcBorders>
            <w:shd w:val="clear" w:color="auto" w:fill="auto"/>
            <w:noWrap/>
            <w:vAlign w:val="center"/>
          </w:tcPr>
          <w:p w14:paraId="3245B0DE" w14:textId="77777777" w:rsidR="00BB6D9B" w:rsidRPr="00314A3A" w:rsidRDefault="00BB6D9B" w:rsidP="00BB6D9B">
            <w:pPr>
              <w:spacing w:after="0" w:line="240" w:lineRule="auto"/>
              <w:jc w:val="right"/>
              <w:rPr>
                <w:rFonts w:ascii="Arial" w:eastAsia="Times New Roman" w:hAnsi="Arial" w:cs="Arial"/>
                <w:b/>
                <w:bCs/>
                <w:sz w:val="20"/>
                <w:szCs w:val="20"/>
                <w:lang w:eastAsia="en-GB"/>
              </w:rPr>
            </w:pPr>
            <w:r w:rsidRPr="00314A3A">
              <w:rPr>
                <w:rFonts w:ascii="Arial" w:eastAsia="Times New Roman" w:hAnsi="Arial" w:cs="Arial"/>
                <w:b/>
                <w:bCs/>
                <w:sz w:val="20"/>
                <w:szCs w:val="20"/>
                <w:lang w:eastAsia="en-GB"/>
              </w:rPr>
              <w:t>13,674</w:t>
            </w:r>
          </w:p>
        </w:tc>
        <w:tc>
          <w:tcPr>
            <w:tcW w:w="1513" w:type="dxa"/>
            <w:tcBorders>
              <w:top w:val="single" w:sz="4" w:space="0" w:color="auto"/>
              <w:left w:val="nil"/>
              <w:bottom w:val="single" w:sz="4" w:space="0" w:color="auto"/>
              <w:right w:val="nil"/>
            </w:tcBorders>
            <w:vAlign w:val="center"/>
          </w:tcPr>
          <w:p w14:paraId="369EF22A" w14:textId="77777777" w:rsidR="00BB6D9B" w:rsidRDefault="00BB6D9B" w:rsidP="00BB6D9B">
            <w:pPr>
              <w:spacing w:after="0" w:line="240" w:lineRule="auto"/>
              <w:jc w:val="right"/>
              <w:rPr>
                <w:rFonts w:ascii="Arial" w:eastAsia="Times New Roman" w:hAnsi="Arial" w:cs="Arial"/>
                <w:bCs/>
                <w:sz w:val="20"/>
                <w:szCs w:val="20"/>
                <w:lang w:eastAsia="en-GB"/>
              </w:rPr>
            </w:pPr>
            <w:r w:rsidRPr="006D76FA">
              <w:rPr>
                <w:rFonts w:ascii="Arial" w:eastAsia="Times New Roman" w:hAnsi="Arial" w:cs="Arial"/>
                <w:bCs/>
                <w:sz w:val="20"/>
                <w:szCs w:val="20"/>
                <w:lang w:eastAsia="en-GB"/>
              </w:rPr>
              <w:t>21,349</w:t>
            </w:r>
          </w:p>
        </w:tc>
      </w:tr>
      <w:tr w:rsidR="00BB6D9B" w:rsidRPr="00543D10" w14:paraId="236E4812" w14:textId="77777777" w:rsidTr="00454D0E">
        <w:trPr>
          <w:trHeight w:val="377"/>
        </w:trPr>
        <w:tc>
          <w:tcPr>
            <w:tcW w:w="5812" w:type="dxa"/>
            <w:tcBorders>
              <w:top w:val="nil"/>
              <w:left w:val="nil"/>
              <w:bottom w:val="single" w:sz="4" w:space="0" w:color="auto"/>
              <w:right w:val="nil"/>
            </w:tcBorders>
            <w:shd w:val="clear" w:color="auto" w:fill="auto"/>
            <w:noWrap/>
            <w:vAlign w:val="center"/>
            <w:hideMark/>
          </w:tcPr>
          <w:p w14:paraId="12B3DB5A" w14:textId="77777777" w:rsidR="00BB6D9B" w:rsidRPr="00A81079" w:rsidRDefault="00BB6D9B" w:rsidP="00BB6D9B">
            <w:pPr>
              <w:spacing w:after="0" w:line="240" w:lineRule="auto"/>
              <w:rPr>
                <w:rFonts w:ascii="Arial" w:eastAsia="Times New Roman" w:hAnsi="Arial" w:cs="Arial"/>
                <w:sz w:val="20"/>
                <w:szCs w:val="20"/>
                <w:lang w:eastAsia="en-GB"/>
              </w:rPr>
            </w:pPr>
            <w:r w:rsidRPr="00A81079">
              <w:rPr>
                <w:rFonts w:ascii="Arial" w:eastAsia="Times New Roman" w:hAnsi="Arial" w:cs="Arial"/>
                <w:sz w:val="20"/>
                <w:szCs w:val="20"/>
                <w:lang w:eastAsia="en-GB"/>
              </w:rPr>
              <w:t>Acquisition Cost</w:t>
            </w:r>
          </w:p>
        </w:tc>
        <w:tc>
          <w:tcPr>
            <w:tcW w:w="272" w:type="dxa"/>
            <w:tcBorders>
              <w:top w:val="nil"/>
              <w:left w:val="nil"/>
              <w:bottom w:val="single" w:sz="4" w:space="0" w:color="auto"/>
              <w:right w:val="nil"/>
            </w:tcBorders>
            <w:shd w:val="clear" w:color="auto" w:fill="auto"/>
            <w:noWrap/>
            <w:vAlign w:val="center"/>
            <w:hideMark/>
          </w:tcPr>
          <w:p w14:paraId="18F2BF66" w14:textId="77777777" w:rsidR="00BB6D9B" w:rsidRPr="00A81079" w:rsidRDefault="00BB6D9B" w:rsidP="00BB6D9B">
            <w:pPr>
              <w:spacing w:after="0" w:line="240" w:lineRule="auto"/>
              <w:rPr>
                <w:rFonts w:ascii="Arial" w:eastAsia="Times New Roman" w:hAnsi="Arial" w:cs="Arial"/>
                <w:sz w:val="20"/>
                <w:szCs w:val="20"/>
                <w:lang w:eastAsia="en-GB"/>
              </w:rPr>
            </w:pPr>
            <w:r w:rsidRPr="00A81079">
              <w:rPr>
                <w:rFonts w:ascii="Arial" w:eastAsia="Times New Roman" w:hAnsi="Arial" w:cs="Arial"/>
                <w:sz w:val="20"/>
                <w:szCs w:val="20"/>
                <w:lang w:eastAsia="en-GB"/>
              </w:rPr>
              <w:t> </w:t>
            </w:r>
          </w:p>
        </w:tc>
        <w:tc>
          <w:tcPr>
            <w:tcW w:w="1513" w:type="dxa"/>
            <w:tcBorders>
              <w:top w:val="nil"/>
              <w:left w:val="nil"/>
              <w:bottom w:val="single" w:sz="4" w:space="0" w:color="auto"/>
              <w:right w:val="nil"/>
            </w:tcBorders>
            <w:shd w:val="clear" w:color="auto" w:fill="auto"/>
            <w:noWrap/>
            <w:vAlign w:val="center"/>
            <w:hideMark/>
          </w:tcPr>
          <w:p w14:paraId="33A56C45" w14:textId="77777777" w:rsidR="00BB6D9B" w:rsidRPr="00543D10" w:rsidRDefault="00BB6D9B" w:rsidP="00BB6D9B">
            <w:pPr>
              <w:spacing w:after="0" w:line="240" w:lineRule="auto"/>
              <w:jc w:val="right"/>
              <w:rPr>
                <w:rFonts w:ascii="Arial" w:eastAsia="Times New Roman" w:hAnsi="Arial" w:cs="Arial"/>
                <w:b/>
                <w:sz w:val="20"/>
                <w:szCs w:val="20"/>
                <w:lang w:eastAsia="en-GB"/>
              </w:rPr>
            </w:pPr>
            <w:r w:rsidRPr="00543D10">
              <w:rPr>
                <w:rFonts w:ascii="Arial" w:eastAsia="Times New Roman" w:hAnsi="Arial" w:cs="Arial"/>
                <w:b/>
                <w:sz w:val="20"/>
                <w:szCs w:val="20"/>
                <w:lang w:eastAsia="en-GB"/>
              </w:rPr>
              <w:t>-</w:t>
            </w:r>
          </w:p>
        </w:tc>
        <w:tc>
          <w:tcPr>
            <w:tcW w:w="1513" w:type="dxa"/>
            <w:tcBorders>
              <w:top w:val="nil"/>
              <w:left w:val="nil"/>
              <w:bottom w:val="single" w:sz="4" w:space="0" w:color="auto"/>
              <w:right w:val="nil"/>
            </w:tcBorders>
            <w:vAlign w:val="center"/>
          </w:tcPr>
          <w:p w14:paraId="6C376017" w14:textId="77777777" w:rsidR="00BB6D9B" w:rsidRPr="00543D10" w:rsidRDefault="00BB6D9B" w:rsidP="00BB6D9B">
            <w:pPr>
              <w:spacing w:after="0" w:line="240" w:lineRule="auto"/>
              <w:jc w:val="right"/>
              <w:rPr>
                <w:rFonts w:ascii="Arial" w:eastAsia="Times New Roman" w:hAnsi="Arial" w:cs="Arial"/>
                <w:b/>
                <w:bCs/>
                <w:sz w:val="20"/>
                <w:szCs w:val="20"/>
                <w:lang w:eastAsia="en-GB"/>
              </w:rPr>
            </w:pPr>
            <w:r>
              <w:rPr>
                <w:rFonts w:ascii="Arial" w:eastAsia="Times New Roman" w:hAnsi="Arial" w:cs="Arial"/>
                <w:bCs/>
                <w:sz w:val="20"/>
                <w:szCs w:val="20"/>
                <w:lang w:eastAsia="en-GB"/>
              </w:rPr>
              <w:t>-</w:t>
            </w:r>
          </w:p>
        </w:tc>
      </w:tr>
      <w:tr w:rsidR="00BB6D9B" w:rsidRPr="00543D10" w14:paraId="0A05A7DD" w14:textId="77777777" w:rsidTr="00454D0E">
        <w:trPr>
          <w:trHeight w:val="377"/>
        </w:trPr>
        <w:tc>
          <w:tcPr>
            <w:tcW w:w="5812" w:type="dxa"/>
            <w:tcBorders>
              <w:top w:val="nil"/>
              <w:left w:val="nil"/>
              <w:bottom w:val="single" w:sz="4" w:space="0" w:color="auto"/>
              <w:right w:val="nil"/>
            </w:tcBorders>
            <w:shd w:val="clear" w:color="auto" w:fill="auto"/>
            <w:noWrap/>
            <w:vAlign w:val="center"/>
            <w:hideMark/>
          </w:tcPr>
          <w:p w14:paraId="58CF9BCD" w14:textId="77777777" w:rsidR="00BB6D9B" w:rsidRPr="00A81079" w:rsidRDefault="00BB6D9B" w:rsidP="00BB6D9B">
            <w:pPr>
              <w:spacing w:after="0" w:line="240" w:lineRule="auto"/>
              <w:rPr>
                <w:rFonts w:ascii="Arial" w:eastAsia="Times New Roman" w:hAnsi="Arial" w:cs="Arial"/>
                <w:sz w:val="20"/>
                <w:szCs w:val="20"/>
                <w:lang w:eastAsia="en-GB"/>
              </w:rPr>
            </w:pPr>
            <w:r w:rsidRPr="00A81079">
              <w:rPr>
                <w:rFonts w:ascii="Arial" w:eastAsia="Times New Roman" w:hAnsi="Arial" w:cs="Arial"/>
                <w:sz w:val="20"/>
                <w:szCs w:val="20"/>
                <w:lang w:eastAsia="en-GB"/>
              </w:rPr>
              <w:t>Goodwill arising from acquisition</w:t>
            </w:r>
          </w:p>
        </w:tc>
        <w:tc>
          <w:tcPr>
            <w:tcW w:w="272" w:type="dxa"/>
            <w:tcBorders>
              <w:top w:val="nil"/>
              <w:left w:val="nil"/>
              <w:bottom w:val="single" w:sz="4" w:space="0" w:color="auto"/>
              <w:right w:val="nil"/>
            </w:tcBorders>
            <w:shd w:val="clear" w:color="auto" w:fill="auto"/>
            <w:noWrap/>
            <w:vAlign w:val="center"/>
            <w:hideMark/>
          </w:tcPr>
          <w:p w14:paraId="2F98E955" w14:textId="77777777" w:rsidR="00BB6D9B" w:rsidRPr="00A81079" w:rsidRDefault="00BB6D9B" w:rsidP="00BB6D9B">
            <w:pPr>
              <w:spacing w:after="0" w:line="240" w:lineRule="auto"/>
              <w:rPr>
                <w:rFonts w:ascii="Arial" w:eastAsia="Times New Roman" w:hAnsi="Arial" w:cs="Arial"/>
                <w:sz w:val="20"/>
                <w:szCs w:val="20"/>
                <w:lang w:eastAsia="en-GB"/>
              </w:rPr>
            </w:pPr>
            <w:r w:rsidRPr="00A81079">
              <w:rPr>
                <w:rFonts w:ascii="Arial" w:eastAsia="Times New Roman" w:hAnsi="Arial" w:cs="Arial"/>
                <w:sz w:val="20"/>
                <w:szCs w:val="20"/>
                <w:lang w:eastAsia="en-GB"/>
              </w:rPr>
              <w:t> </w:t>
            </w:r>
          </w:p>
        </w:tc>
        <w:tc>
          <w:tcPr>
            <w:tcW w:w="1513" w:type="dxa"/>
            <w:tcBorders>
              <w:top w:val="nil"/>
              <w:left w:val="nil"/>
              <w:bottom w:val="single" w:sz="4" w:space="0" w:color="auto"/>
              <w:right w:val="nil"/>
            </w:tcBorders>
            <w:shd w:val="clear" w:color="auto" w:fill="auto"/>
            <w:noWrap/>
            <w:vAlign w:val="center"/>
            <w:hideMark/>
          </w:tcPr>
          <w:p w14:paraId="183C1DE6" w14:textId="77777777" w:rsidR="00BB6D9B" w:rsidRPr="00543D10" w:rsidRDefault="00BB6D9B" w:rsidP="00BB6D9B">
            <w:pPr>
              <w:spacing w:after="0" w:line="240" w:lineRule="auto"/>
              <w:jc w:val="right"/>
              <w:rPr>
                <w:rFonts w:ascii="Arial" w:eastAsia="Times New Roman" w:hAnsi="Arial" w:cs="Arial"/>
                <w:b/>
                <w:sz w:val="20"/>
                <w:szCs w:val="20"/>
                <w:lang w:eastAsia="en-GB"/>
              </w:rPr>
            </w:pPr>
            <w:r w:rsidRPr="00543D10">
              <w:rPr>
                <w:rFonts w:ascii="Arial" w:eastAsia="Times New Roman" w:hAnsi="Arial" w:cs="Arial"/>
                <w:b/>
                <w:sz w:val="20"/>
                <w:szCs w:val="20"/>
                <w:lang w:eastAsia="en-GB"/>
              </w:rPr>
              <w:t>-</w:t>
            </w:r>
          </w:p>
        </w:tc>
        <w:tc>
          <w:tcPr>
            <w:tcW w:w="1513" w:type="dxa"/>
            <w:tcBorders>
              <w:top w:val="nil"/>
              <w:left w:val="nil"/>
              <w:bottom w:val="single" w:sz="4" w:space="0" w:color="auto"/>
              <w:right w:val="nil"/>
            </w:tcBorders>
          </w:tcPr>
          <w:p w14:paraId="5553C6FC" w14:textId="77777777" w:rsidR="00BB6D9B" w:rsidRPr="00543D10" w:rsidRDefault="00BB6D9B" w:rsidP="00BB6D9B">
            <w:pPr>
              <w:spacing w:after="0" w:line="240" w:lineRule="auto"/>
              <w:jc w:val="right"/>
              <w:rPr>
                <w:rFonts w:ascii="Arial" w:eastAsia="Times New Roman" w:hAnsi="Arial" w:cs="Arial"/>
                <w:b/>
                <w:bCs/>
                <w:sz w:val="20"/>
                <w:szCs w:val="20"/>
                <w:lang w:eastAsia="en-GB"/>
              </w:rPr>
            </w:pPr>
          </w:p>
        </w:tc>
      </w:tr>
    </w:tbl>
    <w:p w14:paraId="1605757F" w14:textId="77777777" w:rsidR="00E70CD3" w:rsidRDefault="00E70CD3" w:rsidP="00E70CD3">
      <w:pPr>
        <w:autoSpaceDE w:val="0"/>
        <w:autoSpaceDN w:val="0"/>
        <w:adjustRightInd w:val="0"/>
        <w:spacing w:after="0" w:line="240" w:lineRule="auto"/>
        <w:rPr>
          <w:rFonts w:ascii="Arial" w:hAnsi="Arial" w:cs="Arial"/>
          <w:sz w:val="20"/>
          <w:szCs w:val="20"/>
        </w:rPr>
      </w:pPr>
    </w:p>
    <w:p w14:paraId="6A79430E" w14:textId="77777777" w:rsidR="00A235B1" w:rsidRDefault="00A235B1" w:rsidP="00E70CD3">
      <w:pPr>
        <w:autoSpaceDE w:val="0"/>
        <w:autoSpaceDN w:val="0"/>
        <w:adjustRightInd w:val="0"/>
        <w:spacing w:after="0" w:line="240" w:lineRule="auto"/>
        <w:rPr>
          <w:rFonts w:ascii="Arial" w:hAnsi="Arial" w:cs="Arial"/>
          <w:sz w:val="20"/>
          <w:szCs w:val="20"/>
        </w:rPr>
      </w:pPr>
    </w:p>
    <w:p w14:paraId="490E5996" w14:textId="77777777" w:rsidR="00A235B1" w:rsidRDefault="00A235B1" w:rsidP="00E70CD3">
      <w:pPr>
        <w:autoSpaceDE w:val="0"/>
        <w:autoSpaceDN w:val="0"/>
        <w:adjustRightInd w:val="0"/>
        <w:spacing w:after="0" w:line="240" w:lineRule="auto"/>
        <w:rPr>
          <w:rFonts w:ascii="Arial" w:hAnsi="Arial" w:cs="Arial"/>
          <w:sz w:val="20"/>
          <w:szCs w:val="20"/>
        </w:rPr>
      </w:pPr>
    </w:p>
    <w:p w14:paraId="468F9FBE" w14:textId="77777777" w:rsidR="00875462" w:rsidRDefault="00875462" w:rsidP="00E70CD3">
      <w:pPr>
        <w:spacing w:after="0" w:line="240" w:lineRule="auto"/>
        <w:rPr>
          <w:rFonts w:ascii="Arial" w:eastAsia="Times New Roman" w:hAnsi="Arial" w:cs="Arial"/>
          <w:sz w:val="24"/>
          <w:szCs w:val="24"/>
          <w:lang w:eastAsia="en-GB"/>
        </w:rPr>
      </w:pPr>
    </w:p>
    <w:p w14:paraId="0EF0041C" w14:textId="77777777" w:rsidR="00E70CD3" w:rsidRPr="0069799E" w:rsidRDefault="00E70CD3" w:rsidP="006647C2">
      <w:pPr>
        <w:spacing w:after="0" w:line="240" w:lineRule="auto"/>
        <w:jc w:val="both"/>
        <w:rPr>
          <w:rFonts w:ascii="Arial" w:eastAsia="Times New Roman" w:hAnsi="Arial" w:cs="Arial"/>
          <w:sz w:val="24"/>
          <w:szCs w:val="24"/>
          <w:lang w:eastAsia="en-GB"/>
        </w:rPr>
      </w:pPr>
      <w:r w:rsidRPr="0069799E">
        <w:rPr>
          <w:rFonts w:ascii="Arial" w:eastAsia="Times New Roman" w:hAnsi="Arial" w:cs="Arial"/>
          <w:sz w:val="24"/>
          <w:szCs w:val="24"/>
          <w:lang w:eastAsia="en-GB"/>
        </w:rPr>
        <w:t>From the date of acquisition, the contribution to the results of the group was as follows:</w:t>
      </w:r>
    </w:p>
    <w:p w14:paraId="28DA4F9C" w14:textId="77777777" w:rsidR="00E70CD3" w:rsidRDefault="00E70CD3" w:rsidP="00E70CD3">
      <w:pPr>
        <w:autoSpaceDE w:val="0"/>
        <w:autoSpaceDN w:val="0"/>
        <w:adjustRightInd w:val="0"/>
        <w:spacing w:after="0" w:line="240" w:lineRule="auto"/>
        <w:rPr>
          <w:rFonts w:ascii="Arial" w:hAnsi="Arial" w:cs="Arial"/>
          <w:sz w:val="20"/>
          <w:szCs w:val="20"/>
        </w:rPr>
      </w:pPr>
    </w:p>
    <w:tbl>
      <w:tblPr>
        <w:tblW w:w="9103" w:type="dxa"/>
        <w:tblLook w:val="04A0" w:firstRow="1" w:lastRow="0" w:firstColumn="1" w:lastColumn="0" w:noHBand="0" w:noVBand="1"/>
      </w:tblPr>
      <w:tblGrid>
        <w:gridCol w:w="5812"/>
        <w:gridCol w:w="1731"/>
        <w:gridCol w:w="1560"/>
      </w:tblGrid>
      <w:tr w:rsidR="001B38E3" w:rsidRPr="00A81079" w14:paraId="74388DC6" w14:textId="77777777" w:rsidTr="00454D0E">
        <w:trPr>
          <w:trHeight w:val="469"/>
        </w:trPr>
        <w:tc>
          <w:tcPr>
            <w:tcW w:w="5812" w:type="dxa"/>
            <w:tcBorders>
              <w:top w:val="nil"/>
              <w:left w:val="nil"/>
              <w:bottom w:val="nil"/>
              <w:right w:val="nil"/>
            </w:tcBorders>
            <w:shd w:val="clear" w:color="auto" w:fill="auto"/>
            <w:noWrap/>
            <w:vAlign w:val="center"/>
            <w:hideMark/>
          </w:tcPr>
          <w:p w14:paraId="5A2CD84E" w14:textId="77777777" w:rsidR="001B38E3" w:rsidRPr="00A81079" w:rsidRDefault="001B38E3" w:rsidP="007729E5">
            <w:pPr>
              <w:spacing w:after="0" w:line="240" w:lineRule="auto"/>
              <w:rPr>
                <w:rFonts w:ascii="Times New Roman" w:eastAsia="Times New Roman" w:hAnsi="Times New Roman" w:cs="Times New Roman"/>
                <w:sz w:val="24"/>
                <w:szCs w:val="24"/>
                <w:lang w:eastAsia="en-GB"/>
              </w:rPr>
            </w:pPr>
          </w:p>
        </w:tc>
        <w:tc>
          <w:tcPr>
            <w:tcW w:w="1731" w:type="dxa"/>
            <w:tcBorders>
              <w:top w:val="nil"/>
              <w:left w:val="nil"/>
              <w:bottom w:val="nil"/>
              <w:right w:val="nil"/>
            </w:tcBorders>
            <w:shd w:val="clear" w:color="auto" w:fill="auto"/>
            <w:noWrap/>
            <w:vAlign w:val="center"/>
            <w:hideMark/>
          </w:tcPr>
          <w:p w14:paraId="057310DD" w14:textId="77777777" w:rsidR="001B38E3" w:rsidRPr="00A81079" w:rsidRDefault="0037645F" w:rsidP="005229F1">
            <w:pPr>
              <w:spacing w:after="0" w:line="240" w:lineRule="auto"/>
              <w:ind w:left="31" w:hanging="31"/>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2020</w:t>
            </w:r>
          </w:p>
        </w:tc>
        <w:tc>
          <w:tcPr>
            <w:tcW w:w="1560" w:type="dxa"/>
            <w:tcBorders>
              <w:top w:val="nil"/>
              <w:left w:val="nil"/>
              <w:bottom w:val="nil"/>
              <w:right w:val="nil"/>
            </w:tcBorders>
            <w:shd w:val="clear" w:color="auto" w:fill="auto"/>
            <w:noWrap/>
            <w:vAlign w:val="center"/>
            <w:hideMark/>
          </w:tcPr>
          <w:p w14:paraId="2A5AB0AC" w14:textId="77777777" w:rsidR="001B38E3" w:rsidRPr="00A81079" w:rsidRDefault="0037645F" w:rsidP="005229F1">
            <w:pPr>
              <w:spacing w:after="0" w:line="240" w:lineRule="auto"/>
              <w:ind w:left="31" w:hanging="31"/>
              <w:jc w:val="right"/>
              <w:rPr>
                <w:rFonts w:ascii="Arial" w:eastAsia="Times New Roman" w:hAnsi="Arial" w:cs="Arial"/>
                <w:sz w:val="20"/>
                <w:szCs w:val="20"/>
                <w:lang w:eastAsia="en-GB"/>
              </w:rPr>
            </w:pPr>
            <w:r>
              <w:rPr>
                <w:rFonts w:ascii="Arial" w:eastAsia="Times New Roman" w:hAnsi="Arial" w:cs="Arial"/>
                <w:sz w:val="20"/>
                <w:szCs w:val="20"/>
                <w:lang w:eastAsia="en-GB"/>
              </w:rPr>
              <w:t>2019</w:t>
            </w:r>
          </w:p>
        </w:tc>
      </w:tr>
      <w:tr w:rsidR="001B38E3" w:rsidRPr="00A81079" w14:paraId="5F16ECEA" w14:textId="77777777" w:rsidTr="00454D0E">
        <w:trPr>
          <w:trHeight w:val="469"/>
        </w:trPr>
        <w:tc>
          <w:tcPr>
            <w:tcW w:w="5812" w:type="dxa"/>
            <w:tcBorders>
              <w:top w:val="nil"/>
              <w:left w:val="nil"/>
              <w:bottom w:val="nil"/>
              <w:right w:val="nil"/>
            </w:tcBorders>
            <w:shd w:val="clear" w:color="auto" w:fill="auto"/>
            <w:noWrap/>
            <w:vAlign w:val="center"/>
            <w:hideMark/>
          </w:tcPr>
          <w:p w14:paraId="38A3D639" w14:textId="77777777" w:rsidR="001B38E3" w:rsidRPr="00A81079" w:rsidRDefault="001B38E3" w:rsidP="007729E5">
            <w:pPr>
              <w:spacing w:after="0" w:line="240" w:lineRule="auto"/>
              <w:rPr>
                <w:rFonts w:ascii="Arial" w:eastAsia="Times New Roman" w:hAnsi="Arial" w:cs="Arial"/>
                <w:sz w:val="20"/>
                <w:szCs w:val="20"/>
                <w:lang w:eastAsia="en-GB"/>
              </w:rPr>
            </w:pPr>
          </w:p>
        </w:tc>
        <w:tc>
          <w:tcPr>
            <w:tcW w:w="1731" w:type="dxa"/>
            <w:tcBorders>
              <w:top w:val="nil"/>
              <w:left w:val="nil"/>
              <w:bottom w:val="nil"/>
              <w:right w:val="nil"/>
            </w:tcBorders>
            <w:shd w:val="clear" w:color="auto" w:fill="auto"/>
            <w:noWrap/>
            <w:vAlign w:val="center"/>
            <w:hideMark/>
          </w:tcPr>
          <w:p w14:paraId="005E14C3" w14:textId="77777777" w:rsidR="001B38E3" w:rsidRPr="00A81079" w:rsidRDefault="001B38E3" w:rsidP="005229F1">
            <w:pPr>
              <w:spacing w:after="0" w:line="240" w:lineRule="auto"/>
              <w:ind w:left="31" w:hanging="31"/>
              <w:jc w:val="right"/>
              <w:rPr>
                <w:rFonts w:ascii="Arial" w:eastAsia="Times New Roman" w:hAnsi="Arial" w:cs="Arial"/>
                <w:b/>
                <w:bCs/>
                <w:sz w:val="20"/>
                <w:szCs w:val="20"/>
                <w:lang w:eastAsia="en-GB"/>
              </w:rPr>
            </w:pPr>
            <w:r w:rsidRPr="00A81079">
              <w:rPr>
                <w:rFonts w:ascii="Arial" w:eastAsia="Times New Roman" w:hAnsi="Arial" w:cs="Arial"/>
                <w:b/>
                <w:bCs/>
                <w:sz w:val="20"/>
                <w:szCs w:val="20"/>
                <w:lang w:eastAsia="en-GB"/>
              </w:rPr>
              <w:t>Total</w:t>
            </w:r>
          </w:p>
        </w:tc>
        <w:tc>
          <w:tcPr>
            <w:tcW w:w="1560" w:type="dxa"/>
            <w:tcBorders>
              <w:top w:val="nil"/>
              <w:left w:val="nil"/>
              <w:bottom w:val="nil"/>
              <w:right w:val="nil"/>
            </w:tcBorders>
            <w:shd w:val="clear" w:color="auto" w:fill="auto"/>
            <w:noWrap/>
            <w:vAlign w:val="center"/>
            <w:hideMark/>
          </w:tcPr>
          <w:p w14:paraId="344F3E54" w14:textId="77777777" w:rsidR="001B38E3" w:rsidRPr="005969AF" w:rsidRDefault="001B38E3" w:rsidP="005229F1">
            <w:pPr>
              <w:spacing w:after="0" w:line="240" w:lineRule="auto"/>
              <w:ind w:left="31" w:hanging="31"/>
              <w:jc w:val="right"/>
              <w:rPr>
                <w:rFonts w:ascii="Arial" w:eastAsia="Times New Roman" w:hAnsi="Arial" w:cs="Arial"/>
                <w:bCs/>
                <w:sz w:val="20"/>
                <w:szCs w:val="20"/>
                <w:lang w:eastAsia="en-GB"/>
              </w:rPr>
            </w:pPr>
            <w:r w:rsidRPr="005969AF">
              <w:rPr>
                <w:rFonts w:ascii="Arial" w:eastAsia="Times New Roman" w:hAnsi="Arial" w:cs="Arial"/>
                <w:bCs/>
                <w:sz w:val="20"/>
                <w:szCs w:val="20"/>
                <w:lang w:eastAsia="en-GB"/>
              </w:rPr>
              <w:t>Total</w:t>
            </w:r>
          </w:p>
        </w:tc>
      </w:tr>
      <w:tr w:rsidR="001B38E3" w:rsidRPr="00A81079" w14:paraId="3624326E" w14:textId="77777777" w:rsidTr="00454D0E">
        <w:trPr>
          <w:trHeight w:val="469"/>
        </w:trPr>
        <w:tc>
          <w:tcPr>
            <w:tcW w:w="5812" w:type="dxa"/>
            <w:tcBorders>
              <w:top w:val="nil"/>
              <w:left w:val="nil"/>
              <w:bottom w:val="single" w:sz="4" w:space="0" w:color="auto"/>
              <w:right w:val="nil"/>
            </w:tcBorders>
            <w:shd w:val="clear" w:color="auto" w:fill="auto"/>
            <w:noWrap/>
            <w:vAlign w:val="center"/>
            <w:hideMark/>
          </w:tcPr>
          <w:p w14:paraId="0D8BB16A" w14:textId="77777777" w:rsidR="001B38E3" w:rsidRPr="00A81079" w:rsidRDefault="001B38E3" w:rsidP="007729E5">
            <w:pPr>
              <w:spacing w:after="0" w:line="240" w:lineRule="auto"/>
              <w:rPr>
                <w:rFonts w:ascii="Arial" w:eastAsia="Times New Roman" w:hAnsi="Arial" w:cs="Arial"/>
                <w:sz w:val="20"/>
                <w:szCs w:val="20"/>
                <w:lang w:eastAsia="en-GB"/>
              </w:rPr>
            </w:pPr>
            <w:r w:rsidRPr="00A81079">
              <w:rPr>
                <w:rFonts w:ascii="Arial" w:eastAsia="Times New Roman" w:hAnsi="Arial" w:cs="Arial"/>
                <w:sz w:val="20"/>
                <w:szCs w:val="20"/>
                <w:lang w:eastAsia="en-GB"/>
              </w:rPr>
              <w:t> </w:t>
            </w:r>
          </w:p>
        </w:tc>
        <w:tc>
          <w:tcPr>
            <w:tcW w:w="1731" w:type="dxa"/>
            <w:tcBorders>
              <w:top w:val="nil"/>
              <w:left w:val="nil"/>
              <w:bottom w:val="single" w:sz="4" w:space="0" w:color="auto"/>
              <w:right w:val="nil"/>
            </w:tcBorders>
            <w:shd w:val="clear" w:color="auto" w:fill="auto"/>
            <w:noWrap/>
            <w:vAlign w:val="center"/>
            <w:hideMark/>
          </w:tcPr>
          <w:p w14:paraId="4321F245" w14:textId="77777777" w:rsidR="001B38E3" w:rsidRPr="00A81079" w:rsidRDefault="001B38E3" w:rsidP="005229F1">
            <w:pPr>
              <w:spacing w:after="0" w:line="240" w:lineRule="auto"/>
              <w:ind w:left="31" w:hanging="31"/>
              <w:jc w:val="right"/>
              <w:rPr>
                <w:rFonts w:ascii="Arial" w:eastAsia="Times New Roman" w:hAnsi="Arial" w:cs="Arial"/>
                <w:b/>
                <w:bCs/>
                <w:sz w:val="20"/>
                <w:szCs w:val="20"/>
                <w:lang w:eastAsia="en-GB"/>
              </w:rPr>
            </w:pPr>
            <w:r w:rsidRPr="00A81079">
              <w:rPr>
                <w:rFonts w:ascii="Arial" w:eastAsia="Times New Roman" w:hAnsi="Arial" w:cs="Arial"/>
                <w:b/>
                <w:bCs/>
                <w:sz w:val="20"/>
                <w:szCs w:val="20"/>
                <w:lang w:eastAsia="en-GB"/>
              </w:rPr>
              <w:t>£'000</w:t>
            </w:r>
          </w:p>
        </w:tc>
        <w:tc>
          <w:tcPr>
            <w:tcW w:w="1560" w:type="dxa"/>
            <w:tcBorders>
              <w:top w:val="nil"/>
              <w:left w:val="nil"/>
              <w:bottom w:val="single" w:sz="4" w:space="0" w:color="auto"/>
              <w:right w:val="nil"/>
            </w:tcBorders>
            <w:shd w:val="clear" w:color="auto" w:fill="auto"/>
            <w:noWrap/>
            <w:vAlign w:val="center"/>
            <w:hideMark/>
          </w:tcPr>
          <w:p w14:paraId="085814D7" w14:textId="77777777" w:rsidR="001B38E3" w:rsidRPr="00BF110B" w:rsidRDefault="001B38E3" w:rsidP="005229F1">
            <w:pPr>
              <w:spacing w:after="0" w:line="240" w:lineRule="auto"/>
              <w:ind w:left="31" w:hanging="31"/>
              <w:jc w:val="right"/>
              <w:rPr>
                <w:rFonts w:ascii="Arial" w:eastAsia="Times New Roman" w:hAnsi="Arial" w:cs="Arial"/>
                <w:sz w:val="20"/>
                <w:szCs w:val="20"/>
                <w:lang w:eastAsia="en-GB"/>
              </w:rPr>
            </w:pPr>
            <w:r w:rsidRPr="00BF110B">
              <w:rPr>
                <w:rFonts w:ascii="Arial" w:eastAsia="Times New Roman" w:hAnsi="Arial" w:cs="Arial"/>
                <w:sz w:val="20"/>
                <w:szCs w:val="20"/>
                <w:lang w:eastAsia="en-GB"/>
              </w:rPr>
              <w:t>£'000</w:t>
            </w:r>
          </w:p>
        </w:tc>
      </w:tr>
      <w:tr w:rsidR="006D76FA" w:rsidRPr="00A81079" w14:paraId="1404125E" w14:textId="77777777" w:rsidTr="00454D0E">
        <w:trPr>
          <w:trHeight w:val="469"/>
        </w:trPr>
        <w:tc>
          <w:tcPr>
            <w:tcW w:w="5812" w:type="dxa"/>
            <w:tcBorders>
              <w:top w:val="nil"/>
              <w:left w:val="nil"/>
              <w:bottom w:val="nil"/>
              <w:right w:val="nil"/>
            </w:tcBorders>
            <w:shd w:val="clear" w:color="auto" w:fill="auto"/>
            <w:noWrap/>
            <w:vAlign w:val="center"/>
            <w:hideMark/>
          </w:tcPr>
          <w:p w14:paraId="25AF73E3" w14:textId="77777777" w:rsidR="006D76FA" w:rsidRPr="00A81079" w:rsidRDefault="006D76FA" w:rsidP="006D76FA">
            <w:pPr>
              <w:spacing w:after="0" w:line="240" w:lineRule="auto"/>
              <w:rPr>
                <w:rFonts w:ascii="Arial" w:eastAsia="Times New Roman" w:hAnsi="Arial" w:cs="Arial"/>
                <w:sz w:val="20"/>
                <w:szCs w:val="20"/>
                <w:lang w:eastAsia="en-GB"/>
              </w:rPr>
            </w:pPr>
            <w:r w:rsidRPr="00A81079">
              <w:rPr>
                <w:rFonts w:ascii="Arial" w:eastAsia="Times New Roman" w:hAnsi="Arial" w:cs="Arial"/>
                <w:sz w:val="20"/>
                <w:szCs w:val="20"/>
                <w:lang w:eastAsia="en-GB"/>
              </w:rPr>
              <w:t>Total incoming resources</w:t>
            </w:r>
          </w:p>
        </w:tc>
        <w:tc>
          <w:tcPr>
            <w:tcW w:w="1731" w:type="dxa"/>
            <w:tcBorders>
              <w:top w:val="nil"/>
              <w:left w:val="nil"/>
              <w:bottom w:val="nil"/>
              <w:right w:val="nil"/>
            </w:tcBorders>
            <w:shd w:val="clear" w:color="auto" w:fill="auto"/>
            <w:noWrap/>
            <w:vAlign w:val="center"/>
          </w:tcPr>
          <w:p w14:paraId="56FDA1B5" w14:textId="77777777" w:rsidR="006D76FA" w:rsidRPr="00BF110B" w:rsidRDefault="00336D6B" w:rsidP="006D76FA">
            <w:pPr>
              <w:spacing w:after="0" w:line="240" w:lineRule="auto"/>
              <w:ind w:left="31" w:hanging="31"/>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10,132</w:t>
            </w:r>
          </w:p>
        </w:tc>
        <w:tc>
          <w:tcPr>
            <w:tcW w:w="1560" w:type="dxa"/>
            <w:tcBorders>
              <w:top w:val="nil"/>
              <w:left w:val="nil"/>
              <w:bottom w:val="nil"/>
              <w:right w:val="nil"/>
            </w:tcBorders>
            <w:shd w:val="clear" w:color="auto" w:fill="auto"/>
            <w:noWrap/>
            <w:vAlign w:val="center"/>
            <w:hideMark/>
          </w:tcPr>
          <w:p w14:paraId="5B317937" w14:textId="77777777" w:rsidR="006D76FA" w:rsidRPr="006D76FA" w:rsidRDefault="006D76FA" w:rsidP="006D76FA">
            <w:pPr>
              <w:spacing w:after="0" w:line="240" w:lineRule="auto"/>
              <w:ind w:left="31" w:hanging="31"/>
              <w:jc w:val="right"/>
              <w:rPr>
                <w:rFonts w:ascii="Arial" w:eastAsia="Times New Roman" w:hAnsi="Arial" w:cs="Arial"/>
                <w:bCs/>
                <w:sz w:val="20"/>
                <w:szCs w:val="20"/>
                <w:lang w:eastAsia="en-GB"/>
              </w:rPr>
            </w:pPr>
            <w:r w:rsidRPr="006D76FA">
              <w:rPr>
                <w:rFonts w:ascii="Arial" w:eastAsia="Times New Roman" w:hAnsi="Arial" w:cs="Arial"/>
                <w:sz w:val="20"/>
                <w:szCs w:val="20"/>
                <w:lang w:eastAsia="en-GB"/>
              </w:rPr>
              <w:t>8,768</w:t>
            </w:r>
          </w:p>
        </w:tc>
      </w:tr>
      <w:tr w:rsidR="006D76FA" w:rsidRPr="00A81079" w14:paraId="368C6552" w14:textId="77777777" w:rsidTr="00454D0E">
        <w:trPr>
          <w:trHeight w:val="469"/>
        </w:trPr>
        <w:tc>
          <w:tcPr>
            <w:tcW w:w="5812" w:type="dxa"/>
            <w:tcBorders>
              <w:top w:val="nil"/>
              <w:left w:val="nil"/>
              <w:bottom w:val="single" w:sz="4" w:space="0" w:color="auto"/>
              <w:right w:val="nil"/>
            </w:tcBorders>
            <w:shd w:val="clear" w:color="auto" w:fill="auto"/>
            <w:noWrap/>
            <w:vAlign w:val="center"/>
            <w:hideMark/>
          </w:tcPr>
          <w:p w14:paraId="7B415C63" w14:textId="77777777" w:rsidR="006D76FA" w:rsidRPr="00A81079" w:rsidRDefault="006D76FA" w:rsidP="006D76FA">
            <w:pPr>
              <w:spacing w:after="0" w:line="240" w:lineRule="auto"/>
              <w:rPr>
                <w:rFonts w:ascii="Arial" w:eastAsia="Times New Roman" w:hAnsi="Arial" w:cs="Arial"/>
                <w:sz w:val="20"/>
                <w:szCs w:val="20"/>
                <w:lang w:eastAsia="en-GB"/>
              </w:rPr>
            </w:pPr>
            <w:r w:rsidRPr="00A81079">
              <w:rPr>
                <w:rFonts w:ascii="Arial" w:eastAsia="Times New Roman" w:hAnsi="Arial" w:cs="Arial"/>
                <w:sz w:val="20"/>
                <w:szCs w:val="20"/>
                <w:lang w:eastAsia="en-GB"/>
              </w:rPr>
              <w:t>Outgoing resources</w:t>
            </w:r>
          </w:p>
        </w:tc>
        <w:tc>
          <w:tcPr>
            <w:tcW w:w="1731" w:type="dxa"/>
            <w:tcBorders>
              <w:top w:val="nil"/>
              <w:left w:val="nil"/>
              <w:bottom w:val="single" w:sz="4" w:space="0" w:color="auto"/>
              <w:right w:val="nil"/>
            </w:tcBorders>
            <w:shd w:val="clear" w:color="auto" w:fill="auto"/>
            <w:noWrap/>
            <w:vAlign w:val="center"/>
          </w:tcPr>
          <w:p w14:paraId="158243AB" w14:textId="77777777" w:rsidR="006D76FA" w:rsidRPr="00543D10" w:rsidRDefault="00336D6B" w:rsidP="006D76FA">
            <w:pPr>
              <w:spacing w:after="0" w:line="240" w:lineRule="auto"/>
              <w:ind w:left="31" w:hanging="31"/>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(8,802)</w:t>
            </w:r>
          </w:p>
        </w:tc>
        <w:tc>
          <w:tcPr>
            <w:tcW w:w="1560" w:type="dxa"/>
            <w:tcBorders>
              <w:top w:val="nil"/>
              <w:left w:val="nil"/>
              <w:bottom w:val="single" w:sz="4" w:space="0" w:color="auto"/>
              <w:right w:val="nil"/>
            </w:tcBorders>
            <w:shd w:val="clear" w:color="auto" w:fill="auto"/>
            <w:noWrap/>
            <w:vAlign w:val="center"/>
            <w:hideMark/>
          </w:tcPr>
          <w:p w14:paraId="416ABAC8" w14:textId="77777777" w:rsidR="006D76FA" w:rsidRPr="006D76FA" w:rsidRDefault="006D76FA" w:rsidP="006D76FA">
            <w:pPr>
              <w:spacing w:after="0" w:line="240" w:lineRule="auto"/>
              <w:ind w:left="31" w:hanging="31"/>
              <w:jc w:val="right"/>
              <w:rPr>
                <w:rFonts w:ascii="Arial" w:eastAsia="Times New Roman" w:hAnsi="Arial" w:cs="Arial"/>
                <w:bCs/>
                <w:sz w:val="20"/>
                <w:szCs w:val="20"/>
                <w:lang w:eastAsia="en-GB"/>
              </w:rPr>
            </w:pPr>
            <w:r w:rsidRPr="006D76FA">
              <w:rPr>
                <w:rFonts w:ascii="Arial" w:eastAsia="Times New Roman" w:hAnsi="Arial" w:cs="Arial"/>
                <w:sz w:val="20"/>
                <w:szCs w:val="20"/>
                <w:lang w:eastAsia="en-GB"/>
              </w:rPr>
              <w:t>(8,401)</w:t>
            </w:r>
          </w:p>
        </w:tc>
      </w:tr>
      <w:tr w:rsidR="006D76FA" w:rsidRPr="00A81079" w14:paraId="25AAB472" w14:textId="77777777" w:rsidTr="00454D0E">
        <w:trPr>
          <w:trHeight w:val="469"/>
        </w:trPr>
        <w:tc>
          <w:tcPr>
            <w:tcW w:w="5812" w:type="dxa"/>
            <w:tcBorders>
              <w:top w:val="nil"/>
              <w:left w:val="nil"/>
              <w:bottom w:val="nil"/>
              <w:right w:val="nil"/>
            </w:tcBorders>
            <w:shd w:val="clear" w:color="auto" w:fill="auto"/>
            <w:noWrap/>
            <w:vAlign w:val="center"/>
            <w:hideMark/>
          </w:tcPr>
          <w:p w14:paraId="4317CC63" w14:textId="77777777" w:rsidR="006D76FA" w:rsidRPr="00A81079" w:rsidRDefault="006D76FA" w:rsidP="006D76FA">
            <w:pPr>
              <w:spacing w:after="0" w:line="240" w:lineRule="auto"/>
              <w:rPr>
                <w:rFonts w:ascii="Arial" w:eastAsia="Times New Roman" w:hAnsi="Arial" w:cs="Arial"/>
                <w:sz w:val="20"/>
                <w:szCs w:val="20"/>
                <w:lang w:eastAsia="en-GB"/>
              </w:rPr>
            </w:pPr>
            <w:r w:rsidRPr="00A81079">
              <w:rPr>
                <w:rFonts w:ascii="Arial" w:eastAsia="Times New Roman" w:hAnsi="Arial" w:cs="Arial"/>
                <w:sz w:val="20"/>
                <w:szCs w:val="20"/>
                <w:lang w:eastAsia="en-GB"/>
              </w:rPr>
              <w:t>Net incoming resources for the period</w:t>
            </w:r>
          </w:p>
        </w:tc>
        <w:tc>
          <w:tcPr>
            <w:tcW w:w="1731" w:type="dxa"/>
            <w:tcBorders>
              <w:top w:val="nil"/>
              <w:left w:val="nil"/>
              <w:bottom w:val="nil"/>
              <w:right w:val="nil"/>
            </w:tcBorders>
            <w:shd w:val="clear" w:color="auto" w:fill="auto"/>
            <w:noWrap/>
            <w:vAlign w:val="center"/>
          </w:tcPr>
          <w:p w14:paraId="0308C464" w14:textId="77777777" w:rsidR="006D76FA" w:rsidRPr="00A81079" w:rsidRDefault="00336D6B" w:rsidP="006D76FA">
            <w:pPr>
              <w:spacing w:after="0" w:line="240" w:lineRule="auto"/>
              <w:ind w:left="31" w:hanging="31"/>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1,330</w:t>
            </w:r>
          </w:p>
        </w:tc>
        <w:tc>
          <w:tcPr>
            <w:tcW w:w="1560" w:type="dxa"/>
            <w:tcBorders>
              <w:top w:val="nil"/>
              <w:left w:val="nil"/>
              <w:bottom w:val="nil"/>
              <w:right w:val="nil"/>
            </w:tcBorders>
            <w:shd w:val="clear" w:color="auto" w:fill="auto"/>
            <w:noWrap/>
            <w:vAlign w:val="center"/>
            <w:hideMark/>
          </w:tcPr>
          <w:p w14:paraId="0262DC51" w14:textId="77777777" w:rsidR="006D76FA" w:rsidRPr="006D76FA" w:rsidRDefault="006D76FA" w:rsidP="006D76FA">
            <w:pPr>
              <w:spacing w:after="0" w:line="240" w:lineRule="auto"/>
              <w:ind w:left="31" w:hanging="31"/>
              <w:jc w:val="right"/>
              <w:rPr>
                <w:rFonts w:ascii="Arial" w:eastAsia="Times New Roman" w:hAnsi="Arial" w:cs="Arial"/>
                <w:bCs/>
                <w:sz w:val="20"/>
                <w:szCs w:val="20"/>
                <w:lang w:eastAsia="en-GB"/>
              </w:rPr>
            </w:pPr>
            <w:r w:rsidRPr="006D76FA">
              <w:rPr>
                <w:rFonts w:ascii="Arial" w:eastAsia="Times New Roman" w:hAnsi="Arial" w:cs="Arial"/>
                <w:bCs/>
                <w:sz w:val="20"/>
                <w:szCs w:val="20"/>
                <w:lang w:eastAsia="en-GB"/>
              </w:rPr>
              <w:t>367</w:t>
            </w:r>
          </w:p>
        </w:tc>
      </w:tr>
      <w:tr w:rsidR="006D76FA" w:rsidRPr="00A81079" w14:paraId="05E83575" w14:textId="77777777" w:rsidTr="00454D0E">
        <w:trPr>
          <w:trHeight w:val="469"/>
        </w:trPr>
        <w:tc>
          <w:tcPr>
            <w:tcW w:w="5812" w:type="dxa"/>
            <w:tcBorders>
              <w:top w:val="nil"/>
              <w:left w:val="nil"/>
              <w:bottom w:val="nil"/>
              <w:right w:val="nil"/>
            </w:tcBorders>
            <w:shd w:val="clear" w:color="auto" w:fill="auto"/>
            <w:noWrap/>
            <w:vAlign w:val="center"/>
            <w:hideMark/>
          </w:tcPr>
          <w:p w14:paraId="20D9398D" w14:textId="77777777" w:rsidR="006D76FA" w:rsidRPr="00A81079" w:rsidRDefault="006D76FA" w:rsidP="006D76FA">
            <w:pPr>
              <w:spacing w:after="0" w:line="240" w:lineRule="auto"/>
              <w:rPr>
                <w:rFonts w:ascii="Arial" w:eastAsia="Times New Roman" w:hAnsi="Arial" w:cs="Arial"/>
                <w:sz w:val="20"/>
                <w:szCs w:val="20"/>
                <w:lang w:eastAsia="en-GB"/>
              </w:rPr>
            </w:pPr>
            <w:r w:rsidRPr="00A81079">
              <w:rPr>
                <w:rFonts w:ascii="Arial" w:eastAsia="Times New Roman" w:hAnsi="Arial" w:cs="Arial"/>
                <w:sz w:val="20"/>
                <w:szCs w:val="20"/>
                <w:lang w:eastAsia="en-GB"/>
              </w:rPr>
              <w:t>Donation of net assets</w:t>
            </w:r>
          </w:p>
        </w:tc>
        <w:tc>
          <w:tcPr>
            <w:tcW w:w="1731" w:type="dxa"/>
            <w:tcBorders>
              <w:top w:val="nil"/>
              <w:left w:val="nil"/>
              <w:bottom w:val="single" w:sz="4" w:space="0" w:color="auto"/>
              <w:right w:val="nil"/>
            </w:tcBorders>
            <w:shd w:val="clear" w:color="auto" w:fill="auto"/>
            <w:noWrap/>
            <w:vAlign w:val="center"/>
          </w:tcPr>
          <w:p w14:paraId="488194A3" w14:textId="77777777" w:rsidR="006D76FA" w:rsidRPr="00BF110B" w:rsidRDefault="00336D6B" w:rsidP="006D76FA">
            <w:pPr>
              <w:spacing w:after="0" w:line="240" w:lineRule="auto"/>
              <w:ind w:left="31" w:hanging="31"/>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1</w:t>
            </w:r>
            <w:r w:rsidR="00DE0457">
              <w:rPr>
                <w:rFonts w:ascii="Arial" w:eastAsia="Times New Roman" w:hAnsi="Arial" w:cs="Arial"/>
                <w:b/>
                <w:bCs/>
                <w:sz w:val="20"/>
                <w:szCs w:val="20"/>
                <w:lang w:eastAsia="en-GB"/>
              </w:rPr>
              <w:t>3,674</w:t>
            </w:r>
          </w:p>
        </w:tc>
        <w:tc>
          <w:tcPr>
            <w:tcW w:w="1560" w:type="dxa"/>
            <w:tcBorders>
              <w:top w:val="nil"/>
              <w:left w:val="nil"/>
              <w:bottom w:val="single" w:sz="4" w:space="0" w:color="auto"/>
              <w:right w:val="nil"/>
            </w:tcBorders>
            <w:shd w:val="clear" w:color="auto" w:fill="auto"/>
            <w:noWrap/>
            <w:vAlign w:val="center"/>
            <w:hideMark/>
          </w:tcPr>
          <w:p w14:paraId="2E3016D2" w14:textId="77777777" w:rsidR="006D76FA" w:rsidRPr="006D76FA" w:rsidRDefault="006D76FA" w:rsidP="006D76FA">
            <w:pPr>
              <w:spacing w:after="0" w:line="240" w:lineRule="auto"/>
              <w:ind w:left="31" w:hanging="31"/>
              <w:jc w:val="right"/>
              <w:rPr>
                <w:rFonts w:ascii="Arial" w:eastAsia="Times New Roman" w:hAnsi="Arial" w:cs="Arial"/>
                <w:bCs/>
                <w:sz w:val="20"/>
                <w:szCs w:val="20"/>
                <w:lang w:eastAsia="en-GB"/>
              </w:rPr>
            </w:pPr>
            <w:r w:rsidRPr="006D76FA">
              <w:rPr>
                <w:rFonts w:ascii="Arial" w:eastAsia="Times New Roman" w:hAnsi="Arial" w:cs="Arial"/>
                <w:sz w:val="20"/>
                <w:szCs w:val="20"/>
                <w:lang w:eastAsia="en-GB"/>
              </w:rPr>
              <w:t>21,349</w:t>
            </w:r>
          </w:p>
        </w:tc>
      </w:tr>
      <w:tr w:rsidR="006D76FA" w:rsidRPr="00A81079" w14:paraId="602F8146" w14:textId="77777777" w:rsidTr="00454D0E">
        <w:trPr>
          <w:trHeight w:val="469"/>
        </w:trPr>
        <w:tc>
          <w:tcPr>
            <w:tcW w:w="5812" w:type="dxa"/>
            <w:tcBorders>
              <w:top w:val="single" w:sz="4" w:space="0" w:color="auto"/>
              <w:left w:val="nil"/>
              <w:bottom w:val="single" w:sz="4" w:space="0" w:color="auto"/>
              <w:right w:val="nil"/>
            </w:tcBorders>
            <w:shd w:val="clear" w:color="auto" w:fill="auto"/>
            <w:noWrap/>
            <w:vAlign w:val="center"/>
            <w:hideMark/>
          </w:tcPr>
          <w:p w14:paraId="385781B3" w14:textId="77777777" w:rsidR="006D76FA" w:rsidRPr="00A81079" w:rsidRDefault="006D76FA" w:rsidP="006D76FA">
            <w:pPr>
              <w:spacing w:after="0" w:line="240" w:lineRule="auto"/>
              <w:rPr>
                <w:rFonts w:ascii="Arial" w:eastAsia="Times New Roman" w:hAnsi="Arial" w:cs="Arial"/>
                <w:sz w:val="20"/>
                <w:szCs w:val="20"/>
                <w:lang w:eastAsia="en-GB"/>
              </w:rPr>
            </w:pPr>
            <w:r w:rsidRPr="00A81079">
              <w:rPr>
                <w:rFonts w:ascii="Arial" w:eastAsia="Times New Roman" w:hAnsi="Arial" w:cs="Arial"/>
                <w:sz w:val="20"/>
                <w:szCs w:val="20"/>
                <w:lang w:eastAsia="en-GB"/>
              </w:rPr>
              <w:t>Group net incoming resources derived from acquired activities</w:t>
            </w:r>
          </w:p>
        </w:tc>
        <w:tc>
          <w:tcPr>
            <w:tcW w:w="1731" w:type="dxa"/>
            <w:tcBorders>
              <w:top w:val="single" w:sz="4" w:space="0" w:color="auto"/>
              <w:left w:val="nil"/>
              <w:bottom w:val="single" w:sz="4" w:space="0" w:color="auto"/>
              <w:right w:val="nil"/>
            </w:tcBorders>
            <w:shd w:val="clear" w:color="auto" w:fill="auto"/>
            <w:noWrap/>
            <w:vAlign w:val="center"/>
          </w:tcPr>
          <w:p w14:paraId="101792B6" w14:textId="77777777" w:rsidR="006D76FA" w:rsidRPr="00A81079" w:rsidRDefault="00DE0457" w:rsidP="006D76FA">
            <w:pPr>
              <w:spacing w:after="0" w:line="240" w:lineRule="auto"/>
              <w:ind w:left="31" w:hanging="31"/>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15,004</w:t>
            </w:r>
          </w:p>
        </w:tc>
        <w:tc>
          <w:tcPr>
            <w:tcW w:w="1560" w:type="dxa"/>
            <w:tcBorders>
              <w:top w:val="single" w:sz="4" w:space="0" w:color="auto"/>
              <w:left w:val="nil"/>
              <w:bottom w:val="single" w:sz="4" w:space="0" w:color="auto"/>
              <w:right w:val="nil"/>
            </w:tcBorders>
            <w:shd w:val="clear" w:color="auto" w:fill="auto"/>
            <w:noWrap/>
            <w:vAlign w:val="center"/>
            <w:hideMark/>
          </w:tcPr>
          <w:p w14:paraId="73640C0F" w14:textId="77777777" w:rsidR="006D76FA" w:rsidRPr="006D76FA" w:rsidRDefault="006D76FA" w:rsidP="006D76FA">
            <w:pPr>
              <w:spacing w:after="0" w:line="240" w:lineRule="auto"/>
              <w:ind w:left="31" w:hanging="31"/>
              <w:jc w:val="right"/>
              <w:rPr>
                <w:rFonts w:ascii="Arial" w:eastAsia="Times New Roman" w:hAnsi="Arial" w:cs="Arial"/>
                <w:bCs/>
                <w:sz w:val="20"/>
                <w:szCs w:val="20"/>
                <w:lang w:eastAsia="en-GB"/>
              </w:rPr>
            </w:pPr>
            <w:r w:rsidRPr="006D76FA">
              <w:rPr>
                <w:rFonts w:ascii="Arial" w:eastAsia="Times New Roman" w:hAnsi="Arial" w:cs="Arial"/>
                <w:bCs/>
                <w:sz w:val="20"/>
                <w:szCs w:val="20"/>
                <w:lang w:eastAsia="en-GB"/>
              </w:rPr>
              <w:t>21,716</w:t>
            </w:r>
          </w:p>
        </w:tc>
      </w:tr>
    </w:tbl>
    <w:p w14:paraId="197F54F1" w14:textId="77777777" w:rsidR="00E70CD3" w:rsidRDefault="00E70CD3" w:rsidP="00E70CD3">
      <w:pPr>
        <w:autoSpaceDE w:val="0"/>
        <w:autoSpaceDN w:val="0"/>
        <w:adjustRightInd w:val="0"/>
        <w:spacing w:after="0" w:line="240" w:lineRule="auto"/>
        <w:rPr>
          <w:rFonts w:ascii="Arial" w:hAnsi="Arial" w:cs="Arial"/>
          <w:sz w:val="20"/>
          <w:szCs w:val="20"/>
        </w:rPr>
      </w:pPr>
    </w:p>
    <w:p w14:paraId="44EA545A" w14:textId="77777777" w:rsidR="00E70CD3" w:rsidRDefault="00E70CD3" w:rsidP="00E70CD3">
      <w:pPr>
        <w:autoSpaceDE w:val="0"/>
        <w:autoSpaceDN w:val="0"/>
        <w:adjustRightInd w:val="0"/>
        <w:spacing w:after="0" w:line="240" w:lineRule="auto"/>
        <w:rPr>
          <w:rFonts w:ascii="Arial" w:hAnsi="Arial" w:cs="Arial"/>
          <w:sz w:val="20"/>
          <w:szCs w:val="20"/>
        </w:rPr>
      </w:pPr>
    </w:p>
    <w:p w14:paraId="6CB2E060" w14:textId="77777777" w:rsidR="009C7255" w:rsidRDefault="009C7255" w:rsidP="00E70CD3">
      <w:pPr>
        <w:spacing w:after="0" w:line="240" w:lineRule="auto"/>
        <w:rPr>
          <w:rFonts w:ascii="Arial" w:eastAsia="Times New Roman" w:hAnsi="Arial" w:cs="Arial"/>
          <w:b/>
          <w:bCs/>
          <w:sz w:val="24"/>
          <w:szCs w:val="24"/>
          <w:lang w:eastAsia="en-GB"/>
        </w:rPr>
      </w:pPr>
    </w:p>
    <w:p w14:paraId="2556C15B" w14:textId="77777777" w:rsidR="00BB6D9B" w:rsidRDefault="00BB6D9B" w:rsidP="00BB6D9B">
      <w:pPr>
        <w:tabs>
          <w:tab w:val="left" w:pos="567"/>
        </w:tabs>
        <w:ind w:left="567" w:hanging="567"/>
        <w:rPr>
          <w:rFonts w:ascii="Arial" w:hAnsi="Arial" w:cs="Arial"/>
          <w:b/>
          <w:i/>
          <w:sz w:val="24"/>
          <w:szCs w:val="24"/>
        </w:rPr>
      </w:pPr>
    </w:p>
    <w:p w14:paraId="0C448AEA" w14:textId="77777777" w:rsidR="00BB6D9B" w:rsidRDefault="00BB6D9B" w:rsidP="00BB6D9B">
      <w:pPr>
        <w:tabs>
          <w:tab w:val="left" w:pos="567"/>
        </w:tabs>
        <w:ind w:left="567" w:hanging="567"/>
        <w:rPr>
          <w:rFonts w:ascii="Arial" w:hAnsi="Arial" w:cs="Arial"/>
          <w:b/>
          <w:i/>
          <w:sz w:val="24"/>
          <w:szCs w:val="24"/>
        </w:rPr>
      </w:pPr>
    </w:p>
    <w:p w14:paraId="3C91F818" w14:textId="77777777" w:rsidR="00BB6D9B" w:rsidRDefault="00BB6D9B" w:rsidP="00BB6D9B">
      <w:pPr>
        <w:tabs>
          <w:tab w:val="left" w:pos="567"/>
        </w:tabs>
        <w:ind w:left="567" w:hanging="567"/>
        <w:rPr>
          <w:rFonts w:ascii="Arial" w:hAnsi="Arial" w:cs="Arial"/>
          <w:b/>
          <w:i/>
          <w:sz w:val="24"/>
          <w:szCs w:val="24"/>
        </w:rPr>
      </w:pPr>
    </w:p>
    <w:p w14:paraId="46E77654" w14:textId="77777777" w:rsidR="00BB6D9B" w:rsidRDefault="00BB6D9B" w:rsidP="00BB6D9B">
      <w:pPr>
        <w:tabs>
          <w:tab w:val="left" w:pos="567"/>
        </w:tabs>
        <w:ind w:left="567" w:hanging="567"/>
        <w:rPr>
          <w:rFonts w:ascii="Arial" w:hAnsi="Arial" w:cs="Arial"/>
          <w:b/>
          <w:i/>
          <w:sz w:val="24"/>
          <w:szCs w:val="24"/>
        </w:rPr>
      </w:pPr>
    </w:p>
    <w:p w14:paraId="38B3448A" w14:textId="77777777" w:rsidR="006C07DD" w:rsidRDefault="006C07DD" w:rsidP="006C07DD">
      <w:pPr>
        <w:spacing w:after="0" w:line="240" w:lineRule="auto"/>
        <w:rPr>
          <w:rFonts w:ascii="Arial" w:hAnsi="Arial" w:cs="Arial"/>
          <w:b/>
          <w:i/>
          <w:sz w:val="24"/>
          <w:szCs w:val="24"/>
        </w:rPr>
      </w:pPr>
      <w:r w:rsidRPr="0088736E">
        <w:rPr>
          <w:rFonts w:ascii="Arial" w:hAnsi="Arial" w:cs="Arial"/>
          <w:b/>
          <w:i/>
          <w:sz w:val="24"/>
          <w:szCs w:val="24"/>
        </w:rPr>
        <w:lastRenderedPageBreak/>
        <w:t xml:space="preserve">Notes to the financial </w:t>
      </w:r>
      <w:r>
        <w:rPr>
          <w:rFonts w:ascii="Arial" w:hAnsi="Arial" w:cs="Arial"/>
          <w:b/>
          <w:i/>
          <w:sz w:val="24"/>
          <w:szCs w:val="24"/>
        </w:rPr>
        <w:t>statements</w:t>
      </w:r>
      <w:r w:rsidRPr="0088736E">
        <w:rPr>
          <w:rFonts w:ascii="Arial" w:hAnsi="Arial" w:cs="Arial"/>
          <w:b/>
          <w:i/>
          <w:sz w:val="24"/>
          <w:szCs w:val="24"/>
        </w:rPr>
        <w:t xml:space="preserve"> (continued)</w:t>
      </w:r>
    </w:p>
    <w:p w14:paraId="50593BAC" w14:textId="77777777" w:rsidR="006C07DD" w:rsidRDefault="006C07DD" w:rsidP="00E70CD3">
      <w:pPr>
        <w:spacing w:after="0" w:line="240" w:lineRule="auto"/>
        <w:rPr>
          <w:rFonts w:ascii="Arial" w:hAnsi="Arial" w:cs="Arial"/>
          <w:b/>
          <w:i/>
          <w:sz w:val="24"/>
          <w:szCs w:val="24"/>
        </w:rPr>
      </w:pPr>
    </w:p>
    <w:p w14:paraId="0A5311A6" w14:textId="77777777" w:rsidR="00E70CD3" w:rsidRPr="0069799E" w:rsidRDefault="00E70CD3" w:rsidP="00E70CD3">
      <w:pPr>
        <w:spacing w:after="0" w:line="240" w:lineRule="auto"/>
        <w:rPr>
          <w:rFonts w:ascii="Arial" w:eastAsia="Times New Roman" w:hAnsi="Arial" w:cs="Arial"/>
          <w:b/>
          <w:bCs/>
          <w:sz w:val="24"/>
          <w:szCs w:val="24"/>
          <w:lang w:eastAsia="en-GB"/>
        </w:rPr>
      </w:pPr>
      <w:r w:rsidRPr="0069799E">
        <w:rPr>
          <w:rFonts w:ascii="Arial" w:eastAsia="Times New Roman" w:hAnsi="Arial" w:cs="Arial"/>
          <w:b/>
          <w:bCs/>
          <w:sz w:val="24"/>
          <w:szCs w:val="24"/>
          <w:lang w:eastAsia="en-GB"/>
        </w:rPr>
        <w:t>2</w:t>
      </w:r>
      <w:r w:rsidR="00C62275">
        <w:rPr>
          <w:rFonts w:ascii="Arial" w:eastAsia="Times New Roman" w:hAnsi="Arial" w:cs="Arial"/>
          <w:b/>
          <w:bCs/>
          <w:sz w:val="24"/>
          <w:szCs w:val="24"/>
          <w:lang w:eastAsia="en-GB"/>
        </w:rPr>
        <w:t>6</w:t>
      </w:r>
      <w:r w:rsidRPr="0069799E">
        <w:rPr>
          <w:rFonts w:ascii="Arial" w:eastAsia="Times New Roman" w:hAnsi="Arial" w:cs="Arial"/>
          <w:b/>
          <w:bCs/>
          <w:sz w:val="24"/>
          <w:szCs w:val="24"/>
          <w:lang w:eastAsia="en-GB"/>
        </w:rPr>
        <w:t>. Related Party Transactions</w:t>
      </w:r>
    </w:p>
    <w:p w14:paraId="2FD8D0D1" w14:textId="77777777" w:rsidR="00E70CD3" w:rsidRPr="0069799E" w:rsidRDefault="005D62D2" w:rsidP="005D62D2">
      <w:pPr>
        <w:tabs>
          <w:tab w:val="left" w:pos="2609"/>
        </w:tabs>
        <w:autoSpaceDE w:val="0"/>
        <w:autoSpaceDN w:val="0"/>
        <w:adjustRightInd w:val="0"/>
        <w:spacing w:after="0" w:line="240" w:lineRule="auto"/>
        <w:rPr>
          <w:rFonts w:ascii="Arial" w:hAnsi="Arial" w:cs="Arial"/>
          <w:sz w:val="24"/>
          <w:szCs w:val="24"/>
        </w:rPr>
      </w:pPr>
      <w:r>
        <w:rPr>
          <w:rFonts w:ascii="Arial" w:hAnsi="Arial" w:cs="Arial"/>
          <w:sz w:val="24"/>
          <w:szCs w:val="24"/>
        </w:rPr>
        <w:tab/>
      </w:r>
    </w:p>
    <w:p w14:paraId="2BCFAEA7" w14:textId="77777777" w:rsidR="00E70CD3" w:rsidRPr="0069799E" w:rsidRDefault="00E70CD3" w:rsidP="00536131">
      <w:pPr>
        <w:autoSpaceDE w:val="0"/>
        <w:autoSpaceDN w:val="0"/>
        <w:adjustRightInd w:val="0"/>
        <w:spacing w:after="0" w:line="240" w:lineRule="auto"/>
        <w:jc w:val="both"/>
        <w:rPr>
          <w:rFonts w:ascii="Arial" w:hAnsi="Arial" w:cs="Arial"/>
          <w:sz w:val="24"/>
          <w:szCs w:val="24"/>
        </w:rPr>
      </w:pPr>
      <w:r w:rsidRPr="0069799E">
        <w:rPr>
          <w:rFonts w:ascii="Arial" w:hAnsi="Arial" w:cs="Arial"/>
          <w:sz w:val="24"/>
          <w:szCs w:val="24"/>
        </w:rPr>
        <w:t>The company has taken advantage of the exemption within FRS 102 and have not disclosed transactions between group companies where Trustees are Directors.</w:t>
      </w:r>
    </w:p>
    <w:p w14:paraId="596C1681" w14:textId="77777777" w:rsidR="00E70CD3" w:rsidRPr="0069799E" w:rsidRDefault="00E70CD3" w:rsidP="00536131">
      <w:pPr>
        <w:autoSpaceDE w:val="0"/>
        <w:autoSpaceDN w:val="0"/>
        <w:adjustRightInd w:val="0"/>
        <w:spacing w:after="0" w:line="240" w:lineRule="auto"/>
        <w:jc w:val="both"/>
        <w:rPr>
          <w:rFonts w:ascii="Arial" w:hAnsi="Arial" w:cs="Arial"/>
          <w:sz w:val="24"/>
          <w:szCs w:val="24"/>
        </w:rPr>
      </w:pPr>
    </w:p>
    <w:p w14:paraId="22A84AE7" w14:textId="77777777" w:rsidR="00E70CD3" w:rsidRPr="0069799E" w:rsidRDefault="00E70CD3" w:rsidP="00536131">
      <w:pPr>
        <w:autoSpaceDE w:val="0"/>
        <w:autoSpaceDN w:val="0"/>
        <w:adjustRightInd w:val="0"/>
        <w:spacing w:after="0" w:line="240" w:lineRule="auto"/>
        <w:jc w:val="both"/>
        <w:rPr>
          <w:rFonts w:ascii="Arial" w:hAnsi="Arial" w:cs="Arial"/>
          <w:sz w:val="24"/>
          <w:szCs w:val="24"/>
        </w:rPr>
      </w:pPr>
      <w:r w:rsidRPr="0069799E">
        <w:rPr>
          <w:rFonts w:ascii="Arial" w:hAnsi="Arial" w:cs="Arial"/>
          <w:sz w:val="24"/>
          <w:szCs w:val="24"/>
        </w:rPr>
        <w:t xml:space="preserve">The Trust requires all Trustees to complete a declaration of interests. The table below shows all the related parties that have been disclosed and the value of both income and expenditure that the Trust has incurred with these bodies during the period ended 31 August </w:t>
      </w:r>
      <w:r w:rsidR="0037645F">
        <w:rPr>
          <w:rFonts w:ascii="Arial" w:hAnsi="Arial" w:cs="Arial"/>
          <w:sz w:val="24"/>
          <w:szCs w:val="24"/>
        </w:rPr>
        <w:t>2020</w:t>
      </w:r>
      <w:r w:rsidRPr="0069799E">
        <w:rPr>
          <w:rFonts w:ascii="Arial" w:hAnsi="Arial" w:cs="Arial"/>
          <w:sz w:val="24"/>
          <w:szCs w:val="24"/>
        </w:rPr>
        <w:t xml:space="preserve">. </w:t>
      </w:r>
      <w:r w:rsidRPr="00C23311">
        <w:rPr>
          <w:rFonts w:ascii="Arial" w:hAnsi="Arial" w:cs="Arial"/>
          <w:sz w:val="24"/>
          <w:szCs w:val="24"/>
        </w:rPr>
        <w:t>These transactions were as a res</w:t>
      </w:r>
      <w:r w:rsidR="00CE5729">
        <w:rPr>
          <w:rFonts w:ascii="Arial" w:hAnsi="Arial" w:cs="Arial"/>
          <w:sz w:val="24"/>
          <w:szCs w:val="24"/>
        </w:rPr>
        <w:t>ult of normal business activity.</w:t>
      </w:r>
      <w:r w:rsidRPr="0069799E">
        <w:rPr>
          <w:rFonts w:ascii="Arial" w:hAnsi="Arial" w:cs="Arial"/>
          <w:sz w:val="24"/>
          <w:szCs w:val="24"/>
        </w:rPr>
        <w:t xml:space="preserve"> </w:t>
      </w:r>
    </w:p>
    <w:p w14:paraId="2D4E32F2" w14:textId="77777777" w:rsidR="00FE3D11" w:rsidRDefault="00FE3D11" w:rsidP="00536131">
      <w:pPr>
        <w:tabs>
          <w:tab w:val="left" w:pos="567"/>
        </w:tabs>
        <w:ind w:left="567" w:hanging="567"/>
        <w:jc w:val="both"/>
        <w:rPr>
          <w:rFonts w:ascii="Arial" w:hAnsi="Arial" w:cs="Arial"/>
          <w:b/>
          <w:i/>
          <w:sz w:val="24"/>
          <w:szCs w:val="24"/>
        </w:rPr>
      </w:pPr>
    </w:p>
    <w:p w14:paraId="2C053C24" w14:textId="77777777" w:rsidR="00803986" w:rsidRDefault="00803986" w:rsidP="00803986">
      <w:pPr>
        <w:autoSpaceDE w:val="0"/>
        <w:autoSpaceDN w:val="0"/>
        <w:adjustRightInd w:val="0"/>
        <w:spacing w:after="0" w:line="240" w:lineRule="auto"/>
        <w:rPr>
          <w:rFonts w:ascii="OpenSans-Light" w:hAnsi="OpenSans-Light" w:cs="OpenSans-Light"/>
          <w:sz w:val="19"/>
          <w:szCs w:val="19"/>
        </w:rPr>
      </w:pPr>
    </w:p>
    <w:tbl>
      <w:tblPr>
        <w:tblW w:w="9455" w:type="dxa"/>
        <w:tblLook w:val="04A0" w:firstRow="1" w:lastRow="0" w:firstColumn="1" w:lastColumn="0" w:noHBand="0" w:noVBand="1"/>
      </w:tblPr>
      <w:tblGrid>
        <w:gridCol w:w="2636"/>
        <w:gridCol w:w="1843"/>
        <w:gridCol w:w="1464"/>
        <w:gridCol w:w="1756"/>
        <w:gridCol w:w="1756"/>
      </w:tblGrid>
      <w:tr w:rsidR="00803986" w:rsidRPr="00713871" w14:paraId="50589928" w14:textId="77777777" w:rsidTr="00161381">
        <w:trPr>
          <w:trHeight w:val="1553"/>
        </w:trPr>
        <w:tc>
          <w:tcPr>
            <w:tcW w:w="2636" w:type="dxa"/>
            <w:tcBorders>
              <w:top w:val="nil"/>
              <w:left w:val="nil"/>
              <w:bottom w:val="nil"/>
              <w:right w:val="nil"/>
            </w:tcBorders>
            <w:shd w:val="clear" w:color="auto" w:fill="auto"/>
            <w:vAlign w:val="center"/>
            <w:hideMark/>
          </w:tcPr>
          <w:p w14:paraId="5FE0FCD4" w14:textId="77777777" w:rsidR="00803986" w:rsidRPr="00713871" w:rsidRDefault="00803986" w:rsidP="001F44A2">
            <w:pPr>
              <w:spacing w:after="0" w:line="240" w:lineRule="auto"/>
              <w:rPr>
                <w:rFonts w:ascii="Arial" w:eastAsia="Times New Roman" w:hAnsi="Arial" w:cs="Arial"/>
                <w:b/>
                <w:bCs/>
                <w:sz w:val="20"/>
                <w:szCs w:val="20"/>
                <w:lang w:eastAsia="en-GB"/>
              </w:rPr>
            </w:pPr>
            <w:r w:rsidRPr="00713871">
              <w:rPr>
                <w:rFonts w:ascii="Arial" w:eastAsia="Times New Roman" w:hAnsi="Arial" w:cs="Arial"/>
                <w:b/>
                <w:bCs/>
                <w:sz w:val="20"/>
                <w:szCs w:val="20"/>
                <w:lang w:eastAsia="en-GB"/>
              </w:rPr>
              <w:t>Related Party</w:t>
            </w:r>
          </w:p>
        </w:tc>
        <w:tc>
          <w:tcPr>
            <w:tcW w:w="1843" w:type="dxa"/>
            <w:tcBorders>
              <w:top w:val="nil"/>
              <w:left w:val="nil"/>
              <w:bottom w:val="nil"/>
              <w:right w:val="nil"/>
            </w:tcBorders>
            <w:shd w:val="clear" w:color="auto" w:fill="auto"/>
            <w:vAlign w:val="center"/>
            <w:hideMark/>
          </w:tcPr>
          <w:p w14:paraId="5550435B" w14:textId="77777777" w:rsidR="00803986" w:rsidRPr="00713871" w:rsidRDefault="00803986" w:rsidP="001F44A2">
            <w:pPr>
              <w:spacing w:after="0" w:line="240" w:lineRule="auto"/>
              <w:jc w:val="right"/>
              <w:rPr>
                <w:rFonts w:ascii="Arial" w:eastAsia="Times New Roman" w:hAnsi="Arial" w:cs="Arial"/>
                <w:b/>
                <w:bCs/>
                <w:sz w:val="20"/>
                <w:szCs w:val="20"/>
                <w:lang w:eastAsia="en-GB"/>
              </w:rPr>
            </w:pPr>
            <w:r w:rsidRPr="00713871">
              <w:rPr>
                <w:rFonts w:ascii="Arial" w:eastAsia="Times New Roman" w:hAnsi="Arial" w:cs="Arial"/>
                <w:b/>
                <w:bCs/>
                <w:sz w:val="20"/>
                <w:szCs w:val="20"/>
                <w:lang w:eastAsia="en-GB"/>
              </w:rPr>
              <w:t>Value of revenue received from Related Pa</w:t>
            </w:r>
            <w:r>
              <w:rPr>
                <w:rFonts w:ascii="Arial" w:eastAsia="Times New Roman" w:hAnsi="Arial" w:cs="Arial"/>
                <w:b/>
                <w:bCs/>
                <w:sz w:val="20"/>
                <w:szCs w:val="20"/>
                <w:lang w:eastAsia="en-GB"/>
              </w:rPr>
              <w:t>rty</w:t>
            </w:r>
          </w:p>
        </w:tc>
        <w:tc>
          <w:tcPr>
            <w:tcW w:w="1464" w:type="dxa"/>
            <w:tcBorders>
              <w:top w:val="nil"/>
              <w:left w:val="nil"/>
              <w:bottom w:val="nil"/>
              <w:right w:val="nil"/>
            </w:tcBorders>
            <w:shd w:val="clear" w:color="auto" w:fill="auto"/>
            <w:vAlign w:val="center"/>
            <w:hideMark/>
          </w:tcPr>
          <w:p w14:paraId="0334DAF2" w14:textId="77777777" w:rsidR="00803986" w:rsidRPr="00713871" w:rsidRDefault="00803986" w:rsidP="001F44A2">
            <w:pPr>
              <w:spacing w:after="0" w:line="240" w:lineRule="auto"/>
              <w:jc w:val="right"/>
              <w:rPr>
                <w:rFonts w:ascii="Arial" w:eastAsia="Times New Roman" w:hAnsi="Arial" w:cs="Arial"/>
                <w:b/>
                <w:bCs/>
                <w:sz w:val="20"/>
                <w:szCs w:val="20"/>
                <w:lang w:eastAsia="en-GB"/>
              </w:rPr>
            </w:pPr>
            <w:r w:rsidRPr="00713871">
              <w:rPr>
                <w:rFonts w:ascii="Arial" w:eastAsia="Times New Roman" w:hAnsi="Arial" w:cs="Arial"/>
                <w:b/>
                <w:bCs/>
                <w:sz w:val="20"/>
                <w:szCs w:val="20"/>
                <w:lang w:eastAsia="en-GB"/>
              </w:rPr>
              <w:t>Outstanding rev</w:t>
            </w:r>
            <w:r>
              <w:rPr>
                <w:rFonts w:ascii="Arial" w:eastAsia="Times New Roman" w:hAnsi="Arial" w:cs="Arial"/>
                <w:b/>
                <w:bCs/>
                <w:sz w:val="20"/>
                <w:szCs w:val="20"/>
                <w:lang w:eastAsia="en-GB"/>
              </w:rPr>
              <w:t>enue balance at 31 August 2020</w:t>
            </w:r>
          </w:p>
        </w:tc>
        <w:tc>
          <w:tcPr>
            <w:tcW w:w="1756" w:type="dxa"/>
            <w:tcBorders>
              <w:top w:val="nil"/>
              <w:left w:val="nil"/>
              <w:bottom w:val="nil"/>
              <w:right w:val="nil"/>
            </w:tcBorders>
            <w:shd w:val="clear" w:color="auto" w:fill="auto"/>
            <w:vAlign w:val="center"/>
            <w:hideMark/>
          </w:tcPr>
          <w:p w14:paraId="1DC02413" w14:textId="77777777" w:rsidR="00803986" w:rsidRPr="00713871" w:rsidRDefault="00803986" w:rsidP="001F44A2">
            <w:pPr>
              <w:spacing w:after="0" w:line="240" w:lineRule="auto"/>
              <w:jc w:val="right"/>
              <w:rPr>
                <w:rFonts w:ascii="Arial" w:eastAsia="Times New Roman" w:hAnsi="Arial" w:cs="Arial"/>
                <w:b/>
                <w:bCs/>
                <w:sz w:val="20"/>
                <w:szCs w:val="20"/>
                <w:lang w:eastAsia="en-GB"/>
              </w:rPr>
            </w:pPr>
            <w:r w:rsidRPr="00713871">
              <w:rPr>
                <w:rFonts w:ascii="Arial" w:eastAsia="Times New Roman" w:hAnsi="Arial" w:cs="Arial"/>
                <w:b/>
                <w:bCs/>
                <w:sz w:val="20"/>
                <w:szCs w:val="20"/>
                <w:lang w:eastAsia="en-GB"/>
              </w:rPr>
              <w:t>Value of exp</w:t>
            </w:r>
            <w:r>
              <w:rPr>
                <w:rFonts w:ascii="Arial" w:eastAsia="Times New Roman" w:hAnsi="Arial" w:cs="Arial"/>
                <w:b/>
                <w:bCs/>
                <w:sz w:val="20"/>
                <w:szCs w:val="20"/>
                <w:lang w:eastAsia="en-GB"/>
              </w:rPr>
              <w:t>enditure made to Related Party</w:t>
            </w:r>
          </w:p>
        </w:tc>
        <w:tc>
          <w:tcPr>
            <w:tcW w:w="1756" w:type="dxa"/>
            <w:tcBorders>
              <w:top w:val="nil"/>
              <w:left w:val="nil"/>
              <w:bottom w:val="nil"/>
              <w:right w:val="nil"/>
            </w:tcBorders>
            <w:shd w:val="clear" w:color="auto" w:fill="auto"/>
            <w:vAlign w:val="center"/>
            <w:hideMark/>
          </w:tcPr>
          <w:p w14:paraId="6F349C2F" w14:textId="77777777" w:rsidR="00803986" w:rsidRPr="00713871" w:rsidRDefault="00803986" w:rsidP="001F44A2">
            <w:pPr>
              <w:spacing w:after="0" w:line="240" w:lineRule="auto"/>
              <w:jc w:val="right"/>
              <w:rPr>
                <w:rFonts w:ascii="Arial" w:eastAsia="Times New Roman" w:hAnsi="Arial" w:cs="Arial"/>
                <w:b/>
                <w:bCs/>
                <w:sz w:val="20"/>
                <w:szCs w:val="20"/>
                <w:lang w:eastAsia="en-GB"/>
              </w:rPr>
            </w:pPr>
            <w:r w:rsidRPr="00713871">
              <w:rPr>
                <w:rFonts w:ascii="Arial" w:eastAsia="Times New Roman" w:hAnsi="Arial" w:cs="Arial"/>
                <w:b/>
                <w:bCs/>
                <w:sz w:val="20"/>
                <w:szCs w:val="20"/>
                <w:lang w:eastAsia="en-GB"/>
              </w:rPr>
              <w:t>Outstanding expendi</w:t>
            </w:r>
            <w:r>
              <w:rPr>
                <w:rFonts w:ascii="Arial" w:eastAsia="Times New Roman" w:hAnsi="Arial" w:cs="Arial"/>
                <w:b/>
                <w:bCs/>
                <w:sz w:val="20"/>
                <w:szCs w:val="20"/>
                <w:lang w:eastAsia="en-GB"/>
              </w:rPr>
              <w:t>ture balance at 31 August 2020</w:t>
            </w:r>
          </w:p>
        </w:tc>
      </w:tr>
      <w:tr w:rsidR="00803986" w:rsidRPr="00713871" w14:paraId="671A22FE" w14:textId="77777777" w:rsidTr="00161381">
        <w:trPr>
          <w:trHeight w:val="309"/>
        </w:trPr>
        <w:tc>
          <w:tcPr>
            <w:tcW w:w="2636" w:type="dxa"/>
            <w:tcBorders>
              <w:top w:val="nil"/>
              <w:left w:val="nil"/>
              <w:bottom w:val="nil"/>
              <w:right w:val="nil"/>
            </w:tcBorders>
            <w:shd w:val="clear" w:color="auto" w:fill="auto"/>
            <w:vAlign w:val="center"/>
            <w:hideMark/>
          </w:tcPr>
          <w:p w14:paraId="71F86487" w14:textId="77777777" w:rsidR="00803986" w:rsidRPr="00713871" w:rsidRDefault="00803986" w:rsidP="001F44A2">
            <w:pPr>
              <w:spacing w:after="0" w:line="240" w:lineRule="auto"/>
              <w:rPr>
                <w:rFonts w:ascii="Arial" w:eastAsia="Times New Roman" w:hAnsi="Arial" w:cs="Arial"/>
                <w:b/>
                <w:bCs/>
                <w:sz w:val="20"/>
                <w:szCs w:val="20"/>
                <w:lang w:eastAsia="en-GB"/>
              </w:rPr>
            </w:pPr>
          </w:p>
        </w:tc>
        <w:tc>
          <w:tcPr>
            <w:tcW w:w="1843" w:type="dxa"/>
            <w:tcBorders>
              <w:top w:val="nil"/>
              <w:left w:val="nil"/>
              <w:bottom w:val="nil"/>
              <w:right w:val="nil"/>
            </w:tcBorders>
            <w:shd w:val="clear" w:color="auto" w:fill="auto"/>
            <w:vAlign w:val="center"/>
            <w:hideMark/>
          </w:tcPr>
          <w:p w14:paraId="61357671" w14:textId="77777777" w:rsidR="00803986" w:rsidRPr="00713871" w:rsidRDefault="00803986" w:rsidP="001F44A2">
            <w:pPr>
              <w:spacing w:after="0" w:line="240" w:lineRule="auto"/>
              <w:jc w:val="right"/>
              <w:rPr>
                <w:rFonts w:ascii="Arial" w:eastAsia="Times New Roman" w:hAnsi="Arial" w:cs="Arial"/>
                <w:b/>
                <w:bCs/>
                <w:sz w:val="20"/>
                <w:szCs w:val="20"/>
                <w:lang w:eastAsia="en-GB"/>
              </w:rPr>
            </w:pPr>
            <w:r w:rsidRPr="00713871">
              <w:rPr>
                <w:rFonts w:ascii="Arial" w:eastAsia="Times New Roman" w:hAnsi="Arial" w:cs="Arial"/>
                <w:b/>
                <w:bCs/>
                <w:sz w:val="20"/>
                <w:szCs w:val="20"/>
                <w:lang w:eastAsia="en-GB"/>
              </w:rPr>
              <w:t>£'000</w:t>
            </w:r>
          </w:p>
        </w:tc>
        <w:tc>
          <w:tcPr>
            <w:tcW w:w="1464" w:type="dxa"/>
            <w:tcBorders>
              <w:top w:val="nil"/>
              <w:left w:val="nil"/>
              <w:bottom w:val="nil"/>
              <w:right w:val="nil"/>
            </w:tcBorders>
            <w:shd w:val="clear" w:color="auto" w:fill="auto"/>
            <w:vAlign w:val="center"/>
            <w:hideMark/>
          </w:tcPr>
          <w:p w14:paraId="5B0DC05D" w14:textId="77777777" w:rsidR="00803986" w:rsidRPr="00713871" w:rsidRDefault="00803986" w:rsidP="001F44A2">
            <w:pPr>
              <w:spacing w:after="0" w:line="240" w:lineRule="auto"/>
              <w:jc w:val="right"/>
              <w:rPr>
                <w:rFonts w:ascii="Arial" w:eastAsia="Times New Roman" w:hAnsi="Arial" w:cs="Arial"/>
                <w:b/>
                <w:bCs/>
                <w:sz w:val="20"/>
                <w:szCs w:val="20"/>
                <w:lang w:eastAsia="en-GB"/>
              </w:rPr>
            </w:pPr>
            <w:r w:rsidRPr="00713871">
              <w:rPr>
                <w:rFonts w:ascii="Arial" w:eastAsia="Times New Roman" w:hAnsi="Arial" w:cs="Arial"/>
                <w:b/>
                <w:bCs/>
                <w:sz w:val="20"/>
                <w:szCs w:val="20"/>
                <w:lang w:eastAsia="en-GB"/>
              </w:rPr>
              <w:t>£'000</w:t>
            </w:r>
          </w:p>
        </w:tc>
        <w:tc>
          <w:tcPr>
            <w:tcW w:w="1756" w:type="dxa"/>
            <w:tcBorders>
              <w:top w:val="nil"/>
              <w:left w:val="nil"/>
              <w:bottom w:val="nil"/>
              <w:right w:val="nil"/>
            </w:tcBorders>
            <w:shd w:val="clear" w:color="auto" w:fill="auto"/>
            <w:vAlign w:val="center"/>
            <w:hideMark/>
          </w:tcPr>
          <w:p w14:paraId="39999E88" w14:textId="77777777" w:rsidR="00803986" w:rsidRPr="00713871" w:rsidRDefault="00803986" w:rsidP="001F44A2">
            <w:pPr>
              <w:spacing w:after="0" w:line="240" w:lineRule="auto"/>
              <w:jc w:val="right"/>
              <w:rPr>
                <w:rFonts w:ascii="Arial" w:eastAsia="Times New Roman" w:hAnsi="Arial" w:cs="Arial"/>
                <w:b/>
                <w:bCs/>
                <w:sz w:val="20"/>
                <w:szCs w:val="20"/>
                <w:lang w:eastAsia="en-GB"/>
              </w:rPr>
            </w:pPr>
            <w:r w:rsidRPr="00713871">
              <w:rPr>
                <w:rFonts w:ascii="Arial" w:eastAsia="Times New Roman" w:hAnsi="Arial" w:cs="Arial"/>
                <w:b/>
                <w:bCs/>
                <w:sz w:val="20"/>
                <w:szCs w:val="20"/>
                <w:lang w:eastAsia="en-GB"/>
              </w:rPr>
              <w:t>£'000</w:t>
            </w:r>
          </w:p>
        </w:tc>
        <w:tc>
          <w:tcPr>
            <w:tcW w:w="1756" w:type="dxa"/>
            <w:tcBorders>
              <w:top w:val="nil"/>
              <w:left w:val="nil"/>
              <w:bottom w:val="nil"/>
              <w:right w:val="nil"/>
            </w:tcBorders>
            <w:shd w:val="clear" w:color="auto" w:fill="auto"/>
            <w:vAlign w:val="center"/>
            <w:hideMark/>
          </w:tcPr>
          <w:p w14:paraId="55638CB7" w14:textId="77777777" w:rsidR="00803986" w:rsidRPr="00713871" w:rsidRDefault="00803986" w:rsidP="001F44A2">
            <w:pPr>
              <w:spacing w:after="0" w:line="240" w:lineRule="auto"/>
              <w:jc w:val="right"/>
              <w:rPr>
                <w:rFonts w:ascii="Arial" w:eastAsia="Times New Roman" w:hAnsi="Arial" w:cs="Arial"/>
                <w:b/>
                <w:bCs/>
                <w:sz w:val="20"/>
                <w:szCs w:val="20"/>
                <w:lang w:eastAsia="en-GB"/>
              </w:rPr>
            </w:pPr>
            <w:r w:rsidRPr="00713871">
              <w:rPr>
                <w:rFonts w:ascii="Arial" w:eastAsia="Times New Roman" w:hAnsi="Arial" w:cs="Arial"/>
                <w:b/>
                <w:bCs/>
                <w:sz w:val="20"/>
                <w:szCs w:val="20"/>
                <w:lang w:eastAsia="en-GB"/>
              </w:rPr>
              <w:t>£'000</w:t>
            </w:r>
          </w:p>
        </w:tc>
      </w:tr>
      <w:tr w:rsidR="00803986" w:rsidRPr="00713871" w14:paraId="0030640E" w14:textId="77777777" w:rsidTr="00161381">
        <w:trPr>
          <w:trHeight w:val="309"/>
        </w:trPr>
        <w:tc>
          <w:tcPr>
            <w:tcW w:w="2636" w:type="dxa"/>
            <w:tcBorders>
              <w:top w:val="single" w:sz="4" w:space="0" w:color="auto"/>
              <w:left w:val="nil"/>
              <w:bottom w:val="single" w:sz="4" w:space="0" w:color="auto"/>
              <w:right w:val="nil"/>
            </w:tcBorders>
            <w:shd w:val="clear" w:color="auto" w:fill="auto"/>
            <w:noWrap/>
            <w:vAlign w:val="bottom"/>
            <w:hideMark/>
          </w:tcPr>
          <w:p w14:paraId="70BD544B" w14:textId="77777777" w:rsidR="00803986" w:rsidRPr="00713871" w:rsidRDefault="00803986" w:rsidP="001F44A2">
            <w:pPr>
              <w:spacing w:after="0" w:line="240" w:lineRule="auto"/>
              <w:rPr>
                <w:rFonts w:ascii="Arial" w:eastAsia="Times New Roman" w:hAnsi="Arial" w:cs="Arial"/>
                <w:sz w:val="20"/>
                <w:szCs w:val="20"/>
                <w:lang w:eastAsia="en-GB"/>
              </w:rPr>
            </w:pPr>
            <w:r w:rsidRPr="00713871">
              <w:rPr>
                <w:rFonts w:ascii="Arial" w:eastAsia="Times New Roman" w:hAnsi="Arial" w:cs="Arial"/>
                <w:sz w:val="20"/>
                <w:szCs w:val="20"/>
                <w:lang w:eastAsia="en-GB"/>
              </w:rPr>
              <w:t>RNIB</w:t>
            </w:r>
          </w:p>
        </w:tc>
        <w:tc>
          <w:tcPr>
            <w:tcW w:w="1843" w:type="dxa"/>
            <w:tcBorders>
              <w:top w:val="single" w:sz="4" w:space="0" w:color="auto"/>
              <w:left w:val="nil"/>
              <w:bottom w:val="single" w:sz="4" w:space="0" w:color="auto"/>
              <w:right w:val="nil"/>
            </w:tcBorders>
            <w:shd w:val="clear" w:color="auto" w:fill="auto"/>
            <w:noWrap/>
            <w:vAlign w:val="bottom"/>
            <w:hideMark/>
          </w:tcPr>
          <w:p w14:paraId="2A57C246" w14:textId="77777777" w:rsidR="00803986" w:rsidRPr="00713871" w:rsidRDefault="000C37A3" w:rsidP="001F44A2">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5,590</w:t>
            </w:r>
          </w:p>
        </w:tc>
        <w:tc>
          <w:tcPr>
            <w:tcW w:w="1464" w:type="dxa"/>
            <w:tcBorders>
              <w:top w:val="single" w:sz="4" w:space="0" w:color="auto"/>
              <w:left w:val="nil"/>
              <w:bottom w:val="single" w:sz="4" w:space="0" w:color="auto"/>
              <w:right w:val="nil"/>
            </w:tcBorders>
            <w:shd w:val="clear" w:color="auto" w:fill="auto"/>
            <w:noWrap/>
            <w:vAlign w:val="center"/>
            <w:hideMark/>
          </w:tcPr>
          <w:p w14:paraId="03C4C92E" w14:textId="77777777" w:rsidR="00803986" w:rsidRPr="00713871" w:rsidRDefault="000C37A3" w:rsidP="001F44A2">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(1,363)</w:t>
            </w:r>
          </w:p>
        </w:tc>
        <w:tc>
          <w:tcPr>
            <w:tcW w:w="1756" w:type="dxa"/>
            <w:tcBorders>
              <w:top w:val="single" w:sz="4" w:space="0" w:color="auto"/>
              <w:left w:val="nil"/>
              <w:bottom w:val="single" w:sz="4" w:space="0" w:color="auto"/>
              <w:right w:val="nil"/>
            </w:tcBorders>
            <w:shd w:val="clear" w:color="auto" w:fill="auto"/>
            <w:noWrap/>
            <w:vAlign w:val="bottom"/>
            <w:hideMark/>
          </w:tcPr>
          <w:p w14:paraId="2F66A3B5" w14:textId="77777777" w:rsidR="00803986" w:rsidRPr="00713871" w:rsidRDefault="000C37A3" w:rsidP="001F44A2">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52,486</w:t>
            </w:r>
          </w:p>
        </w:tc>
        <w:tc>
          <w:tcPr>
            <w:tcW w:w="1756" w:type="dxa"/>
            <w:tcBorders>
              <w:top w:val="single" w:sz="4" w:space="0" w:color="auto"/>
              <w:left w:val="nil"/>
              <w:bottom w:val="single" w:sz="4" w:space="0" w:color="auto"/>
              <w:right w:val="nil"/>
            </w:tcBorders>
            <w:shd w:val="clear" w:color="auto" w:fill="auto"/>
            <w:noWrap/>
            <w:vAlign w:val="bottom"/>
            <w:hideMark/>
          </w:tcPr>
          <w:p w14:paraId="0FA320DC" w14:textId="77777777" w:rsidR="00803986" w:rsidRPr="00713871" w:rsidRDefault="000C37A3" w:rsidP="001F44A2">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(124)</w:t>
            </w:r>
          </w:p>
        </w:tc>
      </w:tr>
    </w:tbl>
    <w:p w14:paraId="5B7B0F2D" w14:textId="77777777" w:rsidR="00FE3D11" w:rsidRDefault="00FE3D11">
      <w:pPr>
        <w:rPr>
          <w:rFonts w:ascii="Arial" w:hAnsi="Arial" w:cs="Arial"/>
          <w:b/>
          <w:i/>
          <w:sz w:val="24"/>
          <w:szCs w:val="24"/>
        </w:rPr>
      </w:pPr>
    </w:p>
    <w:p w14:paraId="1B0223FE" w14:textId="77777777" w:rsidR="00E70CD3" w:rsidRDefault="00E70CD3" w:rsidP="00E70CD3">
      <w:pPr>
        <w:autoSpaceDE w:val="0"/>
        <w:autoSpaceDN w:val="0"/>
        <w:adjustRightInd w:val="0"/>
        <w:spacing w:after="0" w:line="240" w:lineRule="auto"/>
        <w:rPr>
          <w:rFonts w:ascii="Arial" w:hAnsi="Arial" w:cs="Arial"/>
          <w:sz w:val="20"/>
          <w:szCs w:val="20"/>
        </w:rPr>
      </w:pPr>
    </w:p>
    <w:tbl>
      <w:tblPr>
        <w:tblW w:w="9749" w:type="dxa"/>
        <w:tblLook w:val="04A0" w:firstRow="1" w:lastRow="0" w:firstColumn="1" w:lastColumn="0" w:noHBand="0" w:noVBand="1"/>
      </w:tblPr>
      <w:tblGrid>
        <w:gridCol w:w="3459"/>
        <w:gridCol w:w="828"/>
        <w:gridCol w:w="251"/>
        <w:gridCol w:w="1103"/>
        <w:gridCol w:w="252"/>
        <w:gridCol w:w="1058"/>
        <w:gridCol w:w="153"/>
        <w:gridCol w:w="250"/>
        <w:gridCol w:w="910"/>
        <w:gridCol w:w="405"/>
        <w:gridCol w:w="763"/>
        <w:gridCol w:w="153"/>
        <w:gridCol w:w="254"/>
      </w:tblGrid>
      <w:tr w:rsidR="00E70CD3" w:rsidRPr="00713871" w14:paraId="29F3F54D" w14:textId="77777777" w:rsidTr="00AE2740">
        <w:trPr>
          <w:trHeight w:val="411"/>
        </w:trPr>
        <w:tc>
          <w:tcPr>
            <w:tcW w:w="3459" w:type="dxa"/>
            <w:tcBorders>
              <w:top w:val="nil"/>
              <w:left w:val="nil"/>
              <w:bottom w:val="nil"/>
              <w:right w:val="nil"/>
            </w:tcBorders>
            <w:shd w:val="clear" w:color="auto" w:fill="auto"/>
            <w:noWrap/>
            <w:vAlign w:val="center"/>
            <w:hideMark/>
          </w:tcPr>
          <w:p w14:paraId="3C2B85B0" w14:textId="77777777" w:rsidR="009C7255" w:rsidRDefault="009C7255" w:rsidP="00C62275">
            <w:pPr>
              <w:spacing w:after="0" w:line="240" w:lineRule="auto"/>
              <w:rPr>
                <w:rFonts w:ascii="Arial" w:eastAsia="Times New Roman" w:hAnsi="Arial" w:cs="Arial"/>
                <w:b/>
                <w:bCs/>
                <w:sz w:val="24"/>
                <w:szCs w:val="24"/>
                <w:lang w:eastAsia="en-GB"/>
              </w:rPr>
            </w:pPr>
          </w:p>
          <w:p w14:paraId="6CB4968A" w14:textId="77777777" w:rsidR="00E70CD3" w:rsidRPr="00713871" w:rsidRDefault="0069799E" w:rsidP="00C62275">
            <w:pPr>
              <w:spacing w:after="0" w:line="240" w:lineRule="auto"/>
              <w:rPr>
                <w:rFonts w:ascii="Arial" w:eastAsia="Times New Roman" w:hAnsi="Arial" w:cs="Arial"/>
                <w:b/>
                <w:bCs/>
                <w:sz w:val="24"/>
                <w:szCs w:val="24"/>
                <w:lang w:eastAsia="en-GB"/>
              </w:rPr>
            </w:pPr>
            <w:r>
              <w:rPr>
                <w:rFonts w:ascii="Arial" w:eastAsia="Times New Roman" w:hAnsi="Arial" w:cs="Arial"/>
                <w:b/>
                <w:bCs/>
                <w:sz w:val="24"/>
                <w:szCs w:val="24"/>
                <w:lang w:eastAsia="en-GB"/>
              </w:rPr>
              <w:t>2</w:t>
            </w:r>
            <w:r w:rsidR="00C62275">
              <w:rPr>
                <w:rFonts w:ascii="Arial" w:eastAsia="Times New Roman" w:hAnsi="Arial" w:cs="Arial"/>
                <w:b/>
                <w:bCs/>
                <w:sz w:val="24"/>
                <w:szCs w:val="24"/>
                <w:lang w:eastAsia="en-GB"/>
              </w:rPr>
              <w:t>7</w:t>
            </w:r>
            <w:r w:rsidR="00E70CD3" w:rsidRPr="00713871">
              <w:rPr>
                <w:rFonts w:ascii="Arial" w:eastAsia="Times New Roman" w:hAnsi="Arial" w:cs="Arial"/>
                <w:b/>
                <w:bCs/>
                <w:sz w:val="24"/>
                <w:szCs w:val="24"/>
                <w:lang w:eastAsia="en-GB"/>
              </w:rPr>
              <w:t>. Financial Instruments</w:t>
            </w:r>
          </w:p>
        </w:tc>
        <w:tc>
          <w:tcPr>
            <w:tcW w:w="989" w:type="dxa"/>
            <w:gridSpan w:val="2"/>
            <w:tcBorders>
              <w:top w:val="nil"/>
              <w:left w:val="nil"/>
              <w:bottom w:val="nil"/>
              <w:right w:val="nil"/>
            </w:tcBorders>
            <w:shd w:val="clear" w:color="auto" w:fill="auto"/>
            <w:noWrap/>
            <w:vAlign w:val="center"/>
            <w:hideMark/>
          </w:tcPr>
          <w:p w14:paraId="670011A9" w14:textId="77777777" w:rsidR="00E70CD3" w:rsidRPr="00713871" w:rsidRDefault="00E70CD3" w:rsidP="007729E5">
            <w:pPr>
              <w:spacing w:after="0" w:line="240" w:lineRule="auto"/>
              <w:rPr>
                <w:rFonts w:ascii="Arial" w:eastAsia="Times New Roman" w:hAnsi="Arial" w:cs="Arial"/>
                <w:b/>
                <w:bCs/>
                <w:sz w:val="24"/>
                <w:szCs w:val="24"/>
                <w:lang w:eastAsia="en-GB"/>
              </w:rPr>
            </w:pPr>
          </w:p>
        </w:tc>
        <w:tc>
          <w:tcPr>
            <w:tcW w:w="1355" w:type="dxa"/>
            <w:gridSpan w:val="2"/>
            <w:tcBorders>
              <w:top w:val="nil"/>
              <w:left w:val="nil"/>
              <w:bottom w:val="nil"/>
              <w:right w:val="nil"/>
            </w:tcBorders>
            <w:shd w:val="clear" w:color="auto" w:fill="auto"/>
            <w:noWrap/>
            <w:vAlign w:val="center"/>
            <w:hideMark/>
          </w:tcPr>
          <w:p w14:paraId="08B25F08" w14:textId="77777777" w:rsidR="00E70CD3" w:rsidRPr="00713871" w:rsidRDefault="00E70CD3" w:rsidP="007729E5">
            <w:pPr>
              <w:spacing w:after="0" w:line="240" w:lineRule="auto"/>
              <w:rPr>
                <w:rFonts w:ascii="Times New Roman" w:eastAsia="Times New Roman" w:hAnsi="Times New Roman" w:cs="Times New Roman"/>
                <w:sz w:val="20"/>
                <w:szCs w:val="20"/>
                <w:lang w:eastAsia="en-GB"/>
              </w:rPr>
            </w:pPr>
          </w:p>
        </w:tc>
        <w:tc>
          <w:tcPr>
            <w:tcW w:w="1461" w:type="dxa"/>
            <w:gridSpan w:val="3"/>
            <w:tcBorders>
              <w:top w:val="nil"/>
              <w:left w:val="nil"/>
              <w:bottom w:val="nil"/>
              <w:right w:val="nil"/>
            </w:tcBorders>
            <w:shd w:val="clear" w:color="auto" w:fill="auto"/>
            <w:noWrap/>
            <w:vAlign w:val="center"/>
            <w:hideMark/>
          </w:tcPr>
          <w:p w14:paraId="3DF47931" w14:textId="77777777" w:rsidR="00E70CD3" w:rsidRPr="00713871" w:rsidRDefault="00E70CD3" w:rsidP="007729E5">
            <w:pPr>
              <w:spacing w:after="0" w:line="240" w:lineRule="auto"/>
              <w:rPr>
                <w:rFonts w:ascii="Times New Roman" w:eastAsia="Times New Roman" w:hAnsi="Times New Roman" w:cs="Times New Roman"/>
                <w:sz w:val="20"/>
                <w:szCs w:val="20"/>
                <w:lang w:eastAsia="en-GB"/>
              </w:rPr>
            </w:pPr>
          </w:p>
        </w:tc>
        <w:tc>
          <w:tcPr>
            <w:tcW w:w="1315" w:type="dxa"/>
            <w:gridSpan w:val="2"/>
            <w:tcBorders>
              <w:top w:val="nil"/>
              <w:left w:val="nil"/>
              <w:bottom w:val="nil"/>
              <w:right w:val="nil"/>
            </w:tcBorders>
            <w:shd w:val="clear" w:color="auto" w:fill="auto"/>
            <w:noWrap/>
            <w:vAlign w:val="center"/>
            <w:hideMark/>
          </w:tcPr>
          <w:p w14:paraId="66DA2AFC" w14:textId="77777777" w:rsidR="00E70CD3" w:rsidRPr="00713871" w:rsidRDefault="00E70CD3" w:rsidP="007729E5">
            <w:pPr>
              <w:spacing w:after="0" w:line="240" w:lineRule="auto"/>
              <w:rPr>
                <w:rFonts w:ascii="Times New Roman" w:eastAsia="Times New Roman" w:hAnsi="Times New Roman" w:cs="Times New Roman"/>
                <w:sz w:val="20"/>
                <w:szCs w:val="20"/>
                <w:lang w:eastAsia="en-GB"/>
              </w:rPr>
            </w:pPr>
          </w:p>
        </w:tc>
        <w:tc>
          <w:tcPr>
            <w:tcW w:w="1170" w:type="dxa"/>
            <w:gridSpan w:val="3"/>
            <w:tcBorders>
              <w:top w:val="nil"/>
              <w:left w:val="nil"/>
              <w:bottom w:val="nil"/>
              <w:right w:val="nil"/>
            </w:tcBorders>
            <w:shd w:val="clear" w:color="auto" w:fill="auto"/>
            <w:noWrap/>
            <w:vAlign w:val="center"/>
            <w:hideMark/>
          </w:tcPr>
          <w:p w14:paraId="5AAFEBBF" w14:textId="77777777" w:rsidR="00E70CD3" w:rsidRPr="00713871" w:rsidRDefault="00E70CD3" w:rsidP="007729E5">
            <w:pPr>
              <w:spacing w:after="0" w:line="240" w:lineRule="auto"/>
              <w:rPr>
                <w:rFonts w:ascii="Times New Roman" w:eastAsia="Times New Roman" w:hAnsi="Times New Roman" w:cs="Times New Roman"/>
                <w:sz w:val="20"/>
                <w:szCs w:val="20"/>
                <w:lang w:eastAsia="en-GB"/>
              </w:rPr>
            </w:pPr>
          </w:p>
        </w:tc>
      </w:tr>
      <w:tr w:rsidR="00E70CD3" w:rsidRPr="00713871" w14:paraId="356CE654" w14:textId="77777777" w:rsidTr="00AE2740">
        <w:trPr>
          <w:trHeight w:val="333"/>
        </w:trPr>
        <w:tc>
          <w:tcPr>
            <w:tcW w:w="3459" w:type="dxa"/>
            <w:tcBorders>
              <w:top w:val="nil"/>
              <w:left w:val="nil"/>
              <w:bottom w:val="nil"/>
              <w:right w:val="nil"/>
            </w:tcBorders>
            <w:shd w:val="clear" w:color="auto" w:fill="auto"/>
            <w:noWrap/>
            <w:vAlign w:val="center"/>
            <w:hideMark/>
          </w:tcPr>
          <w:p w14:paraId="0F164891" w14:textId="77777777" w:rsidR="00E70CD3" w:rsidRPr="00713871" w:rsidRDefault="00E70CD3" w:rsidP="007729E5">
            <w:pPr>
              <w:spacing w:after="0" w:line="240" w:lineRule="auto"/>
              <w:rPr>
                <w:rFonts w:ascii="Times New Roman" w:eastAsia="Times New Roman" w:hAnsi="Times New Roman" w:cs="Times New Roman"/>
                <w:sz w:val="20"/>
                <w:szCs w:val="20"/>
                <w:lang w:eastAsia="en-GB"/>
              </w:rPr>
            </w:pPr>
          </w:p>
        </w:tc>
        <w:tc>
          <w:tcPr>
            <w:tcW w:w="989" w:type="dxa"/>
            <w:gridSpan w:val="2"/>
            <w:tcBorders>
              <w:top w:val="nil"/>
              <w:left w:val="nil"/>
              <w:bottom w:val="nil"/>
              <w:right w:val="nil"/>
            </w:tcBorders>
            <w:shd w:val="clear" w:color="auto" w:fill="auto"/>
            <w:noWrap/>
            <w:vAlign w:val="center"/>
            <w:hideMark/>
          </w:tcPr>
          <w:p w14:paraId="64EAA1FD" w14:textId="77777777" w:rsidR="00E70CD3" w:rsidRPr="00713871" w:rsidRDefault="00E70CD3" w:rsidP="007729E5">
            <w:pPr>
              <w:spacing w:after="0" w:line="240" w:lineRule="auto"/>
              <w:rPr>
                <w:rFonts w:ascii="Times New Roman" w:eastAsia="Times New Roman" w:hAnsi="Times New Roman" w:cs="Times New Roman"/>
                <w:sz w:val="20"/>
                <w:szCs w:val="20"/>
                <w:lang w:eastAsia="en-GB"/>
              </w:rPr>
            </w:pPr>
          </w:p>
        </w:tc>
        <w:tc>
          <w:tcPr>
            <w:tcW w:w="1355" w:type="dxa"/>
            <w:gridSpan w:val="2"/>
            <w:tcBorders>
              <w:top w:val="nil"/>
              <w:left w:val="nil"/>
              <w:bottom w:val="nil"/>
              <w:right w:val="nil"/>
            </w:tcBorders>
            <w:shd w:val="clear" w:color="auto" w:fill="auto"/>
            <w:noWrap/>
            <w:vAlign w:val="center"/>
            <w:hideMark/>
          </w:tcPr>
          <w:p w14:paraId="18555369" w14:textId="77777777" w:rsidR="00E70CD3" w:rsidRPr="00713871" w:rsidRDefault="00E70CD3" w:rsidP="007729E5">
            <w:pPr>
              <w:spacing w:after="0" w:line="240" w:lineRule="auto"/>
              <w:rPr>
                <w:rFonts w:ascii="Times New Roman" w:eastAsia="Times New Roman" w:hAnsi="Times New Roman" w:cs="Times New Roman"/>
                <w:sz w:val="20"/>
                <w:szCs w:val="20"/>
                <w:lang w:eastAsia="en-GB"/>
              </w:rPr>
            </w:pPr>
          </w:p>
        </w:tc>
        <w:tc>
          <w:tcPr>
            <w:tcW w:w="1461" w:type="dxa"/>
            <w:gridSpan w:val="3"/>
            <w:tcBorders>
              <w:top w:val="nil"/>
              <w:left w:val="nil"/>
              <w:bottom w:val="nil"/>
              <w:right w:val="nil"/>
            </w:tcBorders>
            <w:shd w:val="clear" w:color="auto" w:fill="auto"/>
            <w:noWrap/>
            <w:vAlign w:val="center"/>
            <w:hideMark/>
          </w:tcPr>
          <w:p w14:paraId="1C6D9739" w14:textId="77777777" w:rsidR="00E70CD3" w:rsidRPr="00713871" w:rsidRDefault="00E70CD3" w:rsidP="007729E5">
            <w:pPr>
              <w:spacing w:after="0" w:line="240" w:lineRule="auto"/>
              <w:rPr>
                <w:rFonts w:ascii="Times New Roman" w:eastAsia="Times New Roman" w:hAnsi="Times New Roman" w:cs="Times New Roman"/>
                <w:sz w:val="20"/>
                <w:szCs w:val="20"/>
                <w:lang w:eastAsia="en-GB"/>
              </w:rPr>
            </w:pPr>
          </w:p>
        </w:tc>
        <w:tc>
          <w:tcPr>
            <w:tcW w:w="1315" w:type="dxa"/>
            <w:gridSpan w:val="2"/>
            <w:tcBorders>
              <w:top w:val="nil"/>
              <w:left w:val="nil"/>
              <w:bottom w:val="nil"/>
              <w:right w:val="nil"/>
            </w:tcBorders>
            <w:shd w:val="clear" w:color="auto" w:fill="auto"/>
            <w:noWrap/>
            <w:vAlign w:val="center"/>
            <w:hideMark/>
          </w:tcPr>
          <w:p w14:paraId="334F2266" w14:textId="77777777" w:rsidR="00E70CD3" w:rsidRPr="00713871" w:rsidRDefault="00E70CD3" w:rsidP="007729E5">
            <w:pPr>
              <w:spacing w:after="0" w:line="240" w:lineRule="auto"/>
              <w:rPr>
                <w:rFonts w:ascii="Times New Roman" w:eastAsia="Times New Roman" w:hAnsi="Times New Roman" w:cs="Times New Roman"/>
                <w:sz w:val="20"/>
                <w:szCs w:val="20"/>
                <w:lang w:eastAsia="en-GB"/>
              </w:rPr>
            </w:pPr>
          </w:p>
        </w:tc>
        <w:tc>
          <w:tcPr>
            <w:tcW w:w="1170" w:type="dxa"/>
            <w:gridSpan w:val="3"/>
            <w:tcBorders>
              <w:top w:val="nil"/>
              <w:left w:val="nil"/>
              <w:bottom w:val="nil"/>
              <w:right w:val="nil"/>
            </w:tcBorders>
            <w:shd w:val="clear" w:color="auto" w:fill="auto"/>
            <w:noWrap/>
            <w:vAlign w:val="center"/>
            <w:hideMark/>
          </w:tcPr>
          <w:p w14:paraId="7DE781D6" w14:textId="77777777" w:rsidR="00E70CD3" w:rsidRPr="00713871" w:rsidRDefault="00E70CD3" w:rsidP="007729E5">
            <w:pPr>
              <w:spacing w:after="0" w:line="240" w:lineRule="auto"/>
              <w:rPr>
                <w:rFonts w:ascii="Times New Roman" w:eastAsia="Times New Roman" w:hAnsi="Times New Roman" w:cs="Times New Roman"/>
                <w:sz w:val="20"/>
                <w:szCs w:val="20"/>
                <w:lang w:eastAsia="en-GB"/>
              </w:rPr>
            </w:pPr>
          </w:p>
        </w:tc>
      </w:tr>
      <w:tr w:rsidR="00E70CD3" w:rsidRPr="00713871" w14:paraId="273AD4CE" w14:textId="77777777" w:rsidTr="00AE2740">
        <w:trPr>
          <w:gridAfter w:val="1"/>
          <w:wAfter w:w="254" w:type="dxa"/>
          <w:trHeight w:val="333"/>
        </w:trPr>
        <w:tc>
          <w:tcPr>
            <w:tcW w:w="3459" w:type="dxa"/>
            <w:tcBorders>
              <w:top w:val="nil"/>
              <w:left w:val="nil"/>
              <w:bottom w:val="nil"/>
              <w:right w:val="nil"/>
            </w:tcBorders>
            <w:shd w:val="clear" w:color="auto" w:fill="auto"/>
            <w:noWrap/>
            <w:vAlign w:val="center"/>
            <w:hideMark/>
          </w:tcPr>
          <w:p w14:paraId="2DCCFA76" w14:textId="77777777" w:rsidR="00E70CD3" w:rsidRPr="00713871" w:rsidRDefault="00E70CD3" w:rsidP="007729E5">
            <w:pPr>
              <w:spacing w:after="0" w:line="240" w:lineRule="auto"/>
              <w:rPr>
                <w:rFonts w:ascii="Times New Roman" w:eastAsia="Times New Roman" w:hAnsi="Times New Roman" w:cs="Times New Roman"/>
                <w:sz w:val="20"/>
                <w:szCs w:val="20"/>
                <w:lang w:eastAsia="en-GB"/>
              </w:rPr>
            </w:pPr>
          </w:p>
        </w:tc>
        <w:tc>
          <w:tcPr>
            <w:tcW w:w="738" w:type="dxa"/>
            <w:tcBorders>
              <w:top w:val="nil"/>
              <w:left w:val="nil"/>
              <w:bottom w:val="nil"/>
              <w:right w:val="nil"/>
            </w:tcBorders>
            <w:shd w:val="clear" w:color="auto" w:fill="auto"/>
            <w:noWrap/>
            <w:vAlign w:val="center"/>
            <w:hideMark/>
          </w:tcPr>
          <w:p w14:paraId="2BB14175" w14:textId="77777777" w:rsidR="00E70CD3" w:rsidRPr="00713871" w:rsidRDefault="00E70CD3" w:rsidP="001B38E3">
            <w:pPr>
              <w:spacing w:after="0" w:line="240" w:lineRule="auto"/>
              <w:jc w:val="center"/>
              <w:rPr>
                <w:rFonts w:ascii="Times New Roman" w:eastAsia="Times New Roman" w:hAnsi="Times New Roman" w:cs="Times New Roman"/>
                <w:sz w:val="20"/>
                <w:szCs w:val="20"/>
                <w:lang w:eastAsia="en-GB"/>
              </w:rPr>
            </w:pPr>
          </w:p>
        </w:tc>
        <w:tc>
          <w:tcPr>
            <w:tcW w:w="2817" w:type="dxa"/>
            <w:gridSpan w:val="5"/>
            <w:tcBorders>
              <w:top w:val="nil"/>
              <w:left w:val="nil"/>
              <w:bottom w:val="nil"/>
              <w:right w:val="nil"/>
            </w:tcBorders>
            <w:shd w:val="clear" w:color="auto" w:fill="auto"/>
            <w:noWrap/>
            <w:vAlign w:val="center"/>
            <w:hideMark/>
          </w:tcPr>
          <w:p w14:paraId="4A28EF02" w14:textId="77777777" w:rsidR="00E70CD3" w:rsidRPr="00713871" w:rsidRDefault="00E70CD3" w:rsidP="00A53F33">
            <w:pPr>
              <w:spacing w:after="0" w:line="240" w:lineRule="auto"/>
              <w:jc w:val="center"/>
              <w:rPr>
                <w:rFonts w:ascii="Arial" w:eastAsia="Times New Roman" w:hAnsi="Arial" w:cs="Arial"/>
                <w:sz w:val="20"/>
                <w:szCs w:val="20"/>
                <w:lang w:eastAsia="en-GB"/>
              </w:rPr>
            </w:pPr>
            <w:r w:rsidRPr="00713871">
              <w:rPr>
                <w:rFonts w:ascii="Arial" w:eastAsia="Times New Roman" w:hAnsi="Arial" w:cs="Arial"/>
                <w:sz w:val="20"/>
                <w:szCs w:val="20"/>
                <w:lang w:eastAsia="en-GB"/>
              </w:rPr>
              <w:t>Group</w:t>
            </w:r>
          </w:p>
        </w:tc>
        <w:tc>
          <w:tcPr>
            <w:tcW w:w="2481" w:type="dxa"/>
            <w:gridSpan w:val="5"/>
            <w:tcBorders>
              <w:top w:val="nil"/>
              <w:left w:val="nil"/>
              <w:bottom w:val="nil"/>
              <w:right w:val="nil"/>
            </w:tcBorders>
            <w:shd w:val="clear" w:color="auto" w:fill="auto"/>
            <w:noWrap/>
            <w:vAlign w:val="center"/>
            <w:hideMark/>
          </w:tcPr>
          <w:p w14:paraId="1F6600D6" w14:textId="77777777" w:rsidR="00E70CD3" w:rsidRPr="00713871" w:rsidRDefault="00E70CD3" w:rsidP="00A53F33">
            <w:pPr>
              <w:spacing w:after="0" w:line="240" w:lineRule="auto"/>
              <w:jc w:val="center"/>
              <w:rPr>
                <w:rFonts w:ascii="Arial" w:eastAsia="Times New Roman" w:hAnsi="Arial" w:cs="Arial"/>
                <w:sz w:val="20"/>
                <w:szCs w:val="20"/>
                <w:lang w:eastAsia="en-GB"/>
              </w:rPr>
            </w:pPr>
            <w:r w:rsidRPr="00713871">
              <w:rPr>
                <w:rFonts w:ascii="Arial" w:eastAsia="Times New Roman" w:hAnsi="Arial" w:cs="Arial"/>
                <w:sz w:val="20"/>
                <w:szCs w:val="20"/>
                <w:lang w:eastAsia="en-GB"/>
              </w:rPr>
              <w:t>Company</w:t>
            </w:r>
          </w:p>
        </w:tc>
      </w:tr>
      <w:tr w:rsidR="00E70CD3" w:rsidRPr="00713871" w14:paraId="455B2314" w14:textId="77777777" w:rsidTr="00AE2740">
        <w:trPr>
          <w:gridAfter w:val="2"/>
          <w:wAfter w:w="407" w:type="dxa"/>
          <w:trHeight w:val="333"/>
        </w:trPr>
        <w:tc>
          <w:tcPr>
            <w:tcW w:w="3459" w:type="dxa"/>
            <w:tcBorders>
              <w:top w:val="nil"/>
              <w:left w:val="nil"/>
              <w:bottom w:val="nil"/>
              <w:right w:val="nil"/>
            </w:tcBorders>
            <w:shd w:val="clear" w:color="auto" w:fill="auto"/>
            <w:noWrap/>
            <w:vAlign w:val="center"/>
            <w:hideMark/>
          </w:tcPr>
          <w:p w14:paraId="1702AC1E" w14:textId="77777777" w:rsidR="00E70CD3" w:rsidRPr="00713871" w:rsidRDefault="00E70CD3" w:rsidP="007729E5">
            <w:pPr>
              <w:spacing w:after="0" w:line="240" w:lineRule="auto"/>
              <w:rPr>
                <w:rFonts w:ascii="Arial" w:eastAsia="Times New Roman" w:hAnsi="Arial" w:cs="Arial"/>
                <w:sz w:val="20"/>
                <w:szCs w:val="20"/>
                <w:lang w:eastAsia="en-GB"/>
              </w:rPr>
            </w:pPr>
          </w:p>
        </w:tc>
        <w:tc>
          <w:tcPr>
            <w:tcW w:w="738" w:type="dxa"/>
            <w:tcBorders>
              <w:top w:val="nil"/>
              <w:left w:val="nil"/>
              <w:bottom w:val="nil"/>
              <w:right w:val="nil"/>
            </w:tcBorders>
            <w:shd w:val="clear" w:color="auto" w:fill="auto"/>
            <w:noWrap/>
            <w:vAlign w:val="center"/>
            <w:hideMark/>
          </w:tcPr>
          <w:p w14:paraId="5C91C719" w14:textId="77777777" w:rsidR="00E70CD3" w:rsidRPr="00713871" w:rsidRDefault="00E70CD3" w:rsidP="001B38E3">
            <w:pPr>
              <w:spacing w:after="0" w:line="240" w:lineRule="auto"/>
              <w:jc w:val="center"/>
              <w:rPr>
                <w:rFonts w:ascii="Arial" w:eastAsia="Times New Roman" w:hAnsi="Arial" w:cs="Arial"/>
                <w:sz w:val="20"/>
                <w:szCs w:val="20"/>
                <w:lang w:eastAsia="en-GB"/>
              </w:rPr>
            </w:pPr>
            <w:r w:rsidRPr="00713871">
              <w:rPr>
                <w:rFonts w:ascii="Arial" w:eastAsia="Times New Roman" w:hAnsi="Arial" w:cs="Arial"/>
                <w:sz w:val="20"/>
                <w:szCs w:val="20"/>
                <w:lang w:eastAsia="en-GB"/>
              </w:rPr>
              <w:t>Note</w:t>
            </w:r>
          </w:p>
        </w:tc>
        <w:tc>
          <w:tcPr>
            <w:tcW w:w="1354" w:type="dxa"/>
            <w:gridSpan w:val="2"/>
            <w:tcBorders>
              <w:top w:val="nil"/>
              <w:left w:val="nil"/>
              <w:bottom w:val="nil"/>
              <w:right w:val="nil"/>
            </w:tcBorders>
            <w:shd w:val="clear" w:color="auto" w:fill="auto"/>
            <w:noWrap/>
            <w:vAlign w:val="center"/>
            <w:hideMark/>
          </w:tcPr>
          <w:p w14:paraId="5F8FFFDE" w14:textId="77777777" w:rsidR="00E70CD3" w:rsidRPr="00713871" w:rsidRDefault="0037645F" w:rsidP="005229F1">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2020</w:t>
            </w:r>
          </w:p>
        </w:tc>
        <w:tc>
          <w:tcPr>
            <w:tcW w:w="1310" w:type="dxa"/>
            <w:gridSpan w:val="2"/>
            <w:tcBorders>
              <w:top w:val="nil"/>
              <w:left w:val="nil"/>
              <w:bottom w:val="nil"/>
              <w:right w:val="nil"/>
            </w:tcBorders>
            <w:shd w:val="clear" w:color="auto" w:fill="auto"/>
            <w:noWrap/>
            <w:vAlign w:val="center"/>
            <w:hideMark/>
          </w:tcPr>
          <w:p w14:paraId="3257D62B" w14:textId="77777777" w:rsidR="00E70CD3" w:rsidRPr="00713871" w:rsidRDefault="0037645F" w:rsidP="005229F1">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2019</w:t>
            </w:r>
          </w:p>
        </w:tc>
        <w:tc>
          <w:tcPr>
            <w:tcW w:w="1313" w:type="dxa"/>
            <w:gridSpan w:val="3"/>
            <w:tcBorders>
              <w:top w:val="nil"/>
              <w:left w:val="nil"/>
              <w:bottom w:val="nil"/>
              <w:right w:val="nil"/>
            </w:tcBorders>
            <w:shd w:val="clear" w:color="auto" w:fill="auto"/>
            <w:noWrap/>
            <w:vAlign w:val="center"/>
            <w:hideMark/>
          </w:tcPr>
          <w:p w14:paraId="6EC00663" w14:textId="77777777" w:rsidR="00E70CD3" w:rsidRPr="00713871" w:rsidRDefault="0037645F" w:rsidP="005229F1">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2020</w:t>
            </w:r>
          </w:p>
        </w:tc>
        <w:tc>
          <w:tcPr>
            <w:tcW w:w="1168" w:type="dxa"/>
            <w:gridSpan w:val="2"/>
            <w:tcBorders>
              <w:top w:val="nil"/>
              <w:left w:val="nil"/>
              <w:bottom w:val="nil"/>
              <w:right w:val="nil"/>
            </w:tcBorders>
            <w:shd w:val="clear" w:color="auto" w:fill="auto"/>
            <w:noWrap/>
            <w:vAlign w:val="center"/>
            <w:hideMark/>
          </w:tcPr>
          <w:p w14:paraId="57C1EAD7" w14:textId="77777777" w:rsidR="00E70CD3" w:rsidRPr="00713871" w:rsidRDefault="0037645F" w:rsidP="005229F1">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2019</w:t>
            </w:r>
          </w:p>
        </w:tc>
      </w:tr>
      <w:tr w:rsidR="00E70CD3" w:rsidRPr="00713871" w14:paraId="1AEEF0BA" w14:textId="77777777" w:rsidTr="00AE2740">
        <w:trPr>
          <w:gridAfter w:val="2"/>
          <w:wAfter w:w="407" w:type="dxa"/>
          <w:trHeight w:val="333"/>
        </w:trPr>
        <w:tc>
          <w:tcPr>
            <w:tcW w:w="3459" w:type="dxa"/>
            <w:tcBorders>
              <w:top w:val="nil"/>
              <w:left w:val="nil"/>
              <w:bottom w:val="single" w:sz="4" w:space="0" w:color="auto"/>
              <w:right w:val="nil"/>
            </w:tcBorders>
            <w:shd w:val="clear" w:color="auto" w:fill="auto"/>
            <w:noWrap/>
            <w:vAlign w:val="center"/>
            <w:hideMark/>
          </w:tcPr>
          <w:p w14:paraId="545DA276" w14:textId="77777777" w:rsidR="00E70CD3" w:rsidRPr="00713871" w:rsidRDefault="00E70CD3" w:rsidP="007729E5">
            <w:pPr>
              <w:spacing w:after="0" w:line="240" w:lineRule="auto"/>
              <w:rPr>
                <w:rFonts w:ascii="Arial" w:eastAsia="Times New Roman" w:hAnsi="Arial" w:cs="Arial"/>
                <w:sz w:val="20"/>
                <w:szCs w:val="20"/>
                <w:lang w:eastAsia="en-GB"/>
              </w:rPr>
            </w:pPr>
            <w:r w:rsidRPr="00713871">
              <w:rPr>
                <w:rFonts w:ascii="Arial" w:eastAsia="Times New Roman" w:hAnsi="Arial" w:cs="Arial"/>
                <w:sz w:val="20"/>
                <w:szCs w:val="20"/>
                <w:lang w:eastAsia="en-GB"/>
              </w:rPr>
              <w:t> </w:t>
            </w:r>
          </w:p>
        </w:tc>
        <w:tc>
          <w:tcPr>
            <w:tcW w:w="738" w:type="dxa"/>
            <w:tcBorders>
              <w:top w:val="nil"/>
              <w:left w:val="nil"/>
              <w:bottom w:val="single" w:sz="4" w:space="0" w:color="auto"/>
              <w:right w:val="nil"/>
            </w:tcBorders>
            <w:shd w:val="clear" w:color="auto" w:fill="auto"/>
            <w:noWrap/>
            <w:vAlign w:val="center"/>
            <w:hideMark/>
          </w:tcPr>
          <w:p w14:paraId="272E6DCC" w14:textId="77777777" w:rsidR="00E70CD3" w:rsidRPr="00713871" w:rsidRDefault="00E70CD3" w:rsidP="001B38E3">
            <w:pPr>
              <w:spacing w:after="0" w:line="240" w:lineRule="auto"/>
              <w:jc w:val="center"/>
              <w:rPr>
                <w:rFonts w:ascii="Arial" w:eastAsia="Times New Roman" w:hAnsi="Arial" w:cs="Arial"/>
                <w:sz w:val="20"/>
                <w:szCs w:val="20"/>
                <w:lang w:eastAsia="en-GB"/>
              </w:rPr>
            </w:pPr>
          </w:p>
        </w:tc>
        <w:tc>
          <w:tcPr>
            <w:tcW w:w="1354" w:type="dxa"/>
            <w:gridSpan w:val="2"/>
            <w:tcBorders>
              <w:top w:val="nil"/>
              <w:left w:val="nil"/>
              <w:bottom w:val="single" w:sz="4" w:space="0" w:color="auto"/>
              <w:right w:val="nil"/>
            </w:tcBorders>
            <w:shd w:val="clear" w:color="auto" w:fill="auto"/>
            <w:noWrap/>
            <w:vAlign w:val="center"/>
            <w:hideMark/>
          </w:tcPr>
          <w:p w14:paraId="3B36F849" w14:textId="77777777" w:rsidR="00E70CD3" w:rsidRPr="00713871" w:rsidRDefault="00E70CD3" w:rsidP="005229F1">
            <w:pPr>
              <w:spacing w:after="0" w:line="240" w:lineRule="auto"/>
              <w:jc w:val="right"/>
              <w:rPr>
                <w:rFonts w:ascii="Arial" w:eastAsia="Times New Roman" w:hAnsi="Arial" w:cs="Arial"/>
                <w:b/>
                <w:bCs/>
                <w:sz w:val="20"/>
                <w:szCs w:val="20"/>
                <w:lang w:eastAsia="en-GB"/>
              </w:rPr>
            </w:pPr>
            <w:r w:rsidRPr="00713871">
              <w:rPr>
                <w:rFonts w:ascii="Arial" w:eastAsia="Times New Roman" w:hAnsi="Arial" w:cs="Arial"/>
                <w:b/>
                <w:bCs/>
                <w:sz w:val="20"/>
                <w:szCs w:val="20"/>
                <w:lang w:eastAsia="en-GB"/>
              </w:rPr>
              <w:t>£'000</w:t>
            </w:r>
          </w:p>
        </w:tc>
        <w:tc>
          <w:tcPr>
            <w:tcW w:w="1310" w:type="dxa"/>
            <w:gridSpan w:val="2"/>
            <w:tcBorders>
              <w:top w:val="nil"/>
              <w:left w:val="nil"/>
              <w:bottom w:val="single" w:sz="4" w:space="0" w:color="auto"/>
              <w:right w:val="nil"/>
            </w:tcBorders>
            <w:shd w:val="clear" w:color="auto" w:fill="auto"/>
            <w:noWrap/>
            <w:vAlign w:val="center"/>
            <w:hideMark/>
          </w:tcPr>
          <w:p w14:paraId="46DFE5CE" w14:textId="77777777" w:rsidR="00E70CD3" w:rsidRPr="00713871" w:rsidRDefault="00E70CD3" w:rsidP="005229F1">
            <w:pPr>
              <w:spacing w:after="0" w:line="240" w:lineRule="auto"/>
              <w:jc w:val="right"/>
              <w:rPr>
                <w:rFonts w:ascii="Arial" w:eastAsia="Times New Roman" w:hAnsi="Arial" w:cs="Arial"/>
                <w:sz w:val="20"/>
                <w:szCs w:val="20"/>
                <w:lang w:eastAsia="en-GB"/>
              </w:rPr>
            </w:pPr>
            <w:r w:rsidRPr="00713871">
              <w:rPr>
                <w:rFonts w:ascii="Arial" w:eastAsia="Times New Roman" w:hAnsi="Arial" w:cs="Arial"/>
                <w:sz w:val="20"/>
                <w:szCs w:val="20"/>
                <w:lang w:eastAsia="en-GB"/>
              </w:rPr>
              <w:t>£'000</w:t>
            </w:r>
          </w:p>
        </w:tc>
        <w:tc>
          <w:tcPr>
            <w:tcW w:w="1313" w:type="dxa"/>
            <w:gridSpan w:val="3"/>
            <w:tcBorders>
              <w:top w:val="nil"/>
              <w:left w:val="nil"/>
              <w:bottom w:val="single" w:sz="4" w:space="0" w:color="auto"/>
              <w:right w:val="nil"/>
            </w:tcBorders>
            <w:shd w:val="clear" w:color="auto" w:fill="auto"/>
            <w:noWrap/>
            <w:vAlign w:val="center"/>
            <w:hideMark/>
          </w:tcPr>
          <w:p w14:paraId="167FEF26" w14:textId="77777777" w:rsidR="00E70CD3" w:rsidRPr="00713871" w:rsidRDefault="00E70CD3" w:rsidP="005229F1">
            <w:pPr>
              <w:spacing w:after="0" w:line="240" w:lineRule="auto"/>
              <w:jc w:val="right"/>
              <w:rPr>
                <w:rFonts w:ascii="Arial" w:eastAsia="Times New Roman" w:hAnsi="Arial" w:cs="Arial"/>
                <w:b/>
                <w:bCs/>
                <w:sz w:val="20"/>
                <w:szCs w:val="20"/>
                <w:lang w:eastAsia="en-GB"/>
              </w:rPr>
            </w:pPr>
            <w:r w:rsidRPr="00713871">
              <w:rPr>
                <w:rFonts w:ascii="Arial" w:eastAsia="Times New Roman" w:hAnsi="Arial" w:cs="Arial"/>
                <w:b/>
                <w:bCs/>
                <w:sz w:val="20"/>
                <w:szCs w:val="20"/>
                <w:lang w:eastAsia="en-GB"/>
              </w:rPr>
              <w:t>£'000</w:t>
            </w:r>
          </w:p>
        </w:tc>
        <w:tc>
          <w:tcPr>
            <w:tcW w:w="1168" w:type="dxa"/>
            <w:gridSpan w:val="2"/>
            <w:tcBorders>
              <w:top w:val="nil"/>
              <w:left w:val="nil"/>
              <w:bottom w:val="single" w:sz="4" w:space="0" w:color="auto"/>
              <w:right w:val="nil"/>
            </w:tcBorders>
            <w:shd w:val="clear" w:color="auto" w:fill="auto"/>
            <w:noWrap/>
            <w:vAlign w:val="center"/>
            <w:hideMark/>
          </w:tcPr>
          <w:p w14:paraId="45063A14" w14:textId="77777777" w:rsidR="00E70CD3" w:rsidRPr="00713871" w:rsidRDefault="00E70CD3" w:rsidP="005229F1">
            <w:pPr>
              <w:spacing w:after="0" w:line="240" w:lineRule="auto"/>
              <w:jc w:val="right"/>
              <w:rPr>
                <w:rFonts w:ascii="Arial" w:eastAsia="Times New Roman" w:hAnsi="Arial" w:cs="Arial"/>
                <w:sz w:val="20"/>
                <w:szCs w:val="20"/>
                <w:lang w:eastAsia="en-GB"/>
              </w:rPr>
            </w:pPr>
            <w:r w:rsidRPr="00713871">
              <w:rPr>
                <w:rFonts w:ascii="Arial" w:eastAsia="Times New Roman" w:hAnsi="Arial" w:cs="Arial"/>
                <w:sz w:val="20"/>
                <w:szCs w:val="20"/>
                <w:lang w:eastAsia="en-GB"/>
              </w:rPr>
              <w:t>£'000</w:t>
            </w:r>
          </w:p>
        </w:tc>
      </w:tr>
      <w:tr w:rsidR="00E70CD3" w:rsidRPr="00713871" w14:paraId="282E74DB" w14:textId="77777777" w:rsidTr="00AE2740">
        <w:trPr>
          <w:gridAfter w:val="2"/>
          <w:wAfter w:w="407" w:type="dxa"/>
          <w:trHeight w:val="333"/>
        </w:trPr>
        <w:tc>
          <w:tcPr>
            <w:tcW w:w="3459" w:type="dxa"/>
            <w:tcBorders>
              <w:top w:val="nil"/>
              <w:left w:val="nil"/>
              <w:bottom w:val="nil"/>
              <w:right w:val="nil"/>
            </w:tcBorders>
            <w:shd w:val="clear" w:color="auto" w:fill="auto"/>
            <w:noWrap/>
            <w:vAlign w:val="center"/>
            <w:hideMark/>
          </w:tcPr>
          <w:p w14:paraId="5B95D2C8" w14:textId="77777777" w:rsidR="00E70CD3" w:rsidRPr="00713871" w:rsidRDefault="00E70CD3" w:rsidP="007729E5">
            <w:pPr>
              <w:spacing w:after="0" w:line="240" w:lineRule="auto"/>
              <w:rPr>
                <w:rFonts w:ascii="Arial" w:eastAsia="Times New Roman" w:hAnsi="Arial" w:cs="Arial"/>
                <w:b/>
                <w:bCs/>
                <w:sz w:val="20"/>
                <w:szCs w:val="20"/>
                <w:lang w:eastAsia="en-GB"/>
              </w:rPr>
            </w:pPr>
            <w:r w:rsidRPr="00713871">
              <w:rPr>
                <w:rFonts w:ascii="Arial" w:eastAsia="Times New Roman" w:hAnsi="Arial" w:cs="Arial"/>
                <w:b/>
                <w:bCs/>
                <w:sz w:val="20"/>
                <w:szCs w:val="20"/>
                <w:lang w:eastAsia="en-GB"/>
              </w:rPr>
              <w:t>Financial Assets:</w:t>
            </w:r>
          </w:p>
        </w:tc>
        <w:tc>
          <w:tcPr>
            <w:tcW w:w="738" w:type="dxa"/>
            <w:tcBorders>
              <w:top w:val="nil"/>
              <w:left w:val="nil"/>
              <w:bottom w:val="nil"/>
              <w:right w:val="nil"/>
            </w:tcBorders>
            <w:shd w:val="clear" w:color="auto" w:fill="auto"/>
            <w:noWrap/>
            <w:vAlign w:val="center"/>
            <w:hideMark/>
          </w:tcPr>
          <w:p w14:paraId="1DC419E0" w14:textId="77777777" w:rsidR="00E70CD3" w:rsidRPr="00713871" w:rsidRDefault="00E70CD3" w:rsidP="001B38E3">
            <w:pPr>
              <w:spacing w:after="0" w:line="240" w:lineRule="auto"/>
              <w:jc w:val="center"/>
              <w:rPr>
                <w:rFonts w:ascii="Arial" w:eastAsia="Times New Roman" w:hAnsi="Arial" w:cs="Arial"/>
                <w:b/>
                <w:bCs/>
                <w:sz w:val="20"/>
                <w:szCs w:val="20"/>
                <w:lang w:eastAsia="en-GB"/>
              </w:rPr>
            </w:pPr>
          </w:p>
        </w:tc>
        <w:tc>
          <w:tcPr>
            <w:tcW w:w="1354" w:type="dxa"/>
            <w:gridSpan w:val="2"/>
            <w:tcBorders>
              <w:top w:val="nil"/>
              <w:left w:val="nil"/>
              <w:bottom w:val="nil"/>
              <w:right w:val="nil"/>
            </w:tcBorders>
            <w:shd w:val="clear" w:color="auto" w:fill="auto"/>
            <w:noWrap/>
            <w:vAlign w:val="center"/>
            <w:hideMark/>
          </w:tcPr>
          <w:p w14:paraId="07216A57" w14:textId="77777777" w:rsidR="00E70CD3" w:rsidRPr="005969AF" w:rsidRDefault="00E70CD3" w:rsidP="005229F1">
            <w:pPr>
              <w:spacing w:after="0" w:line="240" w:lineRule="auto"/>
              <w:jc w:val="right"/>
              <w:rPr>
                <w:rFonts w:ascii="Times New Roman" w:eastAsia="Times New Roman" w:hAnsi="Times New Roman" w:cs="Times New Roman"/>
                <w:sz w:val="20"/>
                <w:szCs w:val="20"/>
                <w:highlight w:val="darkYellow"/>
                <w:lang w:eastAsia="en-GB"/>
              </w:rPr>
            </w:pPr>
          </w:p>
        </w:tc>
        <w:tc>
          <w:tcPr>
            <w:tcW w:w="1310" w:type="dxa"/>
            <w:gridSpan w:val="2"/>
            <w:tcBorders>
              <w:top w:val="nil"/>
              <w:left w:val="nil"/>
              <w:bottom w:val="nil"/>
              <w:right w:val="nil"/>
            </w:tcBorders>
            <w:shd w:val="clear" w:color="auto" w:fill="auto"/>
            <w:noWrap/>
            <w:vAlign w:val="center"/>
            <w:hideMark/>
          </w:tcPr>
          <w:p w14:paraId="27F9356B" w14:textId="77777777" w:rsidR="00E70CD3" w:rsidRPr="00713871" w:rsidRDefault="00E70CD3" w:rsidP="005229F1">
            <w:pPr>
              <w:spacing w:after="0" w:line="240" w:lineRule="auto"/>
              <w:jc w:val="right"/>
              <w:rPr>
                <w:rFonts w:ascii="Times New Roman" w:eastAsia="Times New Roman" w:hAnsi="Times New Roman" w:cs="Times New Roman"/>
                <w:sz w:val="20"/>
                <w:szCs w:val="20"/>
                <w:lang w:eastAsia="en-GB"/>
              </w:rPr>
            </w:pPr>
          </w:p>
        </w:tc>
        <w:tc>
          <w:tcPr>
            <w:tcW w:w="1313" w:type="dxa"/>
            <w:gridSpan w:val="3"/>
            <w:tcBorders>
              <w:top w:val="nil"/>
              <w:left w:val="nil"/>
              <w:bottom w:val="nil"/>
              <w:right w:val="nil"/>
            </w:tcBorders>
            <w:shd w:val="clear" w:color="auto" w:fill="auto"/>
            <w:noWrap/>
            <w:vAlign w:val="center"/>
            <w:hideMark/>
          </w:tcPr>
          <w:p w14:paraId="1E830AFC" w14:textId="77777777" w:rsidR="00E70CD3" w:rsidRPr="00713871" w:rsidRDefault="00E70CD3" w:rsidP="005229F1">
            <w:pPr>
              <w:spacing w:after="0" w:line="240" w:lineRule="auto"/>
              <w:jc w:val="right"/>
              <w:rPr>
                <w:rFonts w:ascii="Times New Roman" w:eastAsia="Times New Roman" w:hAnsi="Times New Roman" w:cs="Times New Roman"/>
                <w:sz w:val="20"/>
                <w:szCs w:val="20"/>
                <w:lang w:eastAsia="en-GB"/>
              </w:rPr>
            </w:pPr>
          </w:p>
        </w:tc>
        <w:tc>
          <w:tcPr>
            <w:tcW w:w="1168" w:type="dxa"/>
            <w:gridSpan w:val="2"/>
            <w:tcBorders>
              <w:top w:val="nil"/>
              <w:left w:val="nil"/>
              <w:bottom w:val="nil"/>
              <w:right w:val="nil"/>
            </w:tcBorders>
            <w:shd w:val="clear" w:color="auto" w:fill="auto"/>
            <w:noWrap/>
            <w:vAlign w:val="center"/>
            <w:hideMark/>
          </w:tcPr>
          <w:p w14:paraId="24493978" w14:textId="77777777" w:rsidR="00E70CD3" w:rsidRPr="00713871" w:rsidRDefault="00E70CD3" w:rsidP="005229F1">
            <w:pPr>
              <w:spacing w:after="0" w:line="240" w:lineRule="auto"/>
              <w:jc w:val="right"/>
              <w:rPr>
                <w:rFonts w:ascii="Times New Roman" w:eastAsia="Times New Roman" w:hAnsi="Times New Roman" w:cs="Times New Roman"/>
                <w:sz w:val="20"/>
                <w:szCs w:val="20"/>
                <w:lang w:eastAsia="en-GB"/>
              </w:rPr>
            </w:pPr>
          </w:p>
        </w:tc>
      </w:tr>
      <w:tr w:rsidR="00C607EA" w:rsidRPr="00713871" w14:paraId="0F573FA9" w14:textId="77777777" w:rsidTr="00AE2740">
        <w:trPr>
          <w:gridAfter w:val="2"/>
          <w:wAfter w:w="407" w:type="dxa"/>
          <w:trHeight w:val="333"/>
        </w:trPr>
        <w:tc>
          <w:tcPr>
            <w:tcW w:w="3459" w:type="dxa"/>
            <w:tcBorders>
              <w:top w:val="nil"/>
              <w:left w:val="nil"/>
              <w:bottom w:val="nil"/>
              <w:right w:val="nil"/>
            </w:tcBorders>
            <w:shd w:val="clear" w:color="auto" w:fill="auto"/>
            <w:noWrap/>
            <w:vAlign w:val="center"/>
            <w:hideMark/>
          </w:tcPr>
          <w:p w14:paraId="1945BB3F" w14:textId="77777777" w:rsidR="00C607EA" w:rsidRPr="00713871" w:rsidRDefault="00C607EA" w:rsidP="00C607EA">
            <w:pPr>
              <w:spacing w:after="0" w:line="240" w:lineRule="auto"/>
              <w:rPr>
                <w:rFonts w:ascii="Arial" w:eastAsia="Times New Roman" w:hAnsi="Arial" w:cs="Arial"/>
                <w:sz w:val="20"/>
                <w:szCs w:val="20"/>
                <w:lang w:eastAsia="en-GB"/>
              </w:rPr>
            </w:pPr>
            <w:r w:rsidRPr="00713871">
              <w:rPr>
                <w:rFonts w:ascii="Arial" w:eastAsia="Times New Roman" w:hAnsi="Arial" w:cs="Arial"/>
                <w:sz w:val="20"/>
                <w:szCs w:val="20"/>
                <w:lang w:eastAsia="en-GB"/>
              </w:rPr>
              <w:t>Trade debtors</w:t>
            </w:r>
          </w:p>
        </w:tc>
        <w:tc>
          <w:tcPr>
            <w:tcW w:w="738" w:type="dxa"/>
            <w:tcBorders>
              <w:top w:val="nil"/>
              <w:left w:val="nil"/>
              <w:bottom w:val="nil"/>
              <w:right w:val="nil"/>
            </w:tcBorders>
            <w:shd w:val="clear" w:color="auto" w:fill="auto"/>
            <w:noWrap/>
            <w:vAlign w:val="center"/>
            <w:hideMark/>
          </w:tcPr>
          <w:p w14:paraId="232D1084" w14:textId="77777777" w:rsidR="00C607EA" w:rsidRPr="00713871" w:rsidRDefault="00193396" w:rsidP="00C607EA">
            <w:pPr>
              <w:spacing w:after="0" w:line="24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13</w:t>
            </w:r>
          </w:p>
        </w:tc>
        <w:tc>
          <w:tcPr>
            <w:tcW w:w="1354" w:type="dxa"/>
            <w:gridSpan w:val="2"/>
            <w:tcBorders>
              <w:top w:val="nil"/>
              <w:left w:val="nil"/>
              <w:bottom w:val="nil"/>
              <w:right w:val="nil"/>
            </w:tcBorders>
            <w:shd w:val="clear" w:color="auto" w:fill="auto"/>
            <w:noWrap/>
            <w:vAlign w:val="center"/>
          </w:tcPr>
          <w:p w14:paraId="12DF6D60" w14:textId="77777777" w:rsidR="00C607EA" w:rsidRPr="00C607EA" w:rsidRDefault="00A54178" w:rsidP="00C607EA">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11,11</w:t>
            </w:r>
            <w:r w:rsidR="00640046">
              <w:rPr>
                <w:rFonts w:ascii="Arial" w:eastAsia="Times New Roman" w:hAnsi="Arial" w:cs="Arial"/>
                <w:b/>
                <w:bCs/>
                <w:sz w:val="20"/>
                <w:szCs w:val="20"/>
                <w:lang w:eastAsia="en-GB"/>
              </w:rPr>
              <w:t>1</w:t>
            </w:r>
          </w:p>
        </w:tc>
        <w:tc>
          <w:tcPr>
            <w:tcW w:w="1310" w:type="dxa"/>
            <w:gridSpan w:val="2"/>
            <w:tcBorders>
              <w:top w:val="nil"/>
              <w:left w:val="nil"/>
              <w:bottom w:val="nil"/>
              <w:right w:val="nil"/>
            </w:tcBorders>
            <w:shd w:val="clear" w:color="auto" w:fill="auto"/>
            <w:noWrap/>
            <w:vAlign w:val="center"/>
            <w:hideMark/>
          </w:tcPr>
          <w:p w14:paraId="2073B20D" w14:textId="77777777" w:rsidR="00C607EA" w:rsidRPr="00C607EA" w:rsidRDefault="00C607EA" w:rsidP="00C607EA">
            <w:pPr>
              <w:spacing w:after="0" w:line="240" w:lineRule="auto"/>
              <w:jc w:val="right"/>
              <w:rPr>
                <w:rFonts w:ascii="Arial" w:eastAsia="Times New Roman" w:hAnsi="Arial" w:cs="Arial"/>
                <w:sz w:val="20"/>
                <w:szCs w:val="20"/>
                <w:lang w:eastAsia="en-GB"/>
              </w:rPr>
            </w:pPr>
            <w:r w:rsidRPr="00C607EA">
              <w:rPr>
                <w:rFonts w:ascii="Arial" w:eastAsia="Times New Roman" w:hAnsi="Arial" w:cs="Arial"/>
                <w:bCs/>
                <w:sz w:val="20"/>
                <w:szCs w:val="20"/>
                <w:lang w:eastAsia="en-GB"/>
              </w:rPr>
              <w:t>14,203</w:t>
            </w:r>
          </w:p>
        </w:tc>
        <w:tc>
          <w:tcPr>
            <w:tcW w:w="1313" w:type="dxa"/>
            <w:gridSpan w:val="3"/>
            <w:tcBorders>
              <w:top w:val="nil"/>
              <w:left w:val="nil"/>
              <w:bottom w:val="nil"/>
              <w:right w:val="nil"/>
            </w:tcBorders>
            <w:shd w:val="clear" w:color="auto" w:fill="auto"/>
            <w:noWrap/>
            <w:vAlign w:val="center"/>
          </w:tcPr>
          <w:p w14:paraId="11825CB7" w14:textId="77777777" w:rsidR="00C607EA" w:rsidRPr="00713871" w:rsidRDefault="00152CEC" w:rsidP="00C607EA">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2,018</w:t>
            </w:r>
          </w:p>
        </w:tc>
        <w:tc>
          <w:tcPr>
            <w:tcW w:w="1168" w:type="dxa"/>
            <w:gridSpan w:val="2"/>
            <w:tcBorders>
              <w:top w:val="nil"/>
              <w:left w:val="nil"/>
              <w:bottom w:val="nil"/>
              <w:right w:val="nil"/>
            </w:tcBorders>
            <w:shd w:val="clear" w:color="auto" w:fill="auto"/>
            <w:noWrap/>
            <w:vAlign w:val="center"/>
            <w:hideMark/>
          </w:tcPr>
          <w:p w14:paraId="512B909A" w14:textId="77777777" w:rsidR="00C607EA" w:rsidRPr="00C607EA" w:rsidRDefault="00C607EA" w:rsidP="00C607EA">
            <w:pPr>
              <w:spacing w:after="0" w:line="240" w:lineRule="auto"/>
              <w:jc w:val="right"/>
              <w:rPr>
                <w:rFonts w:ascii="Arial" w:eastAsia="Times New Roman" w:hAnsi="Arial" w:cs="Arial"/>
                <w:sz w:val="20"/>
                <w:szCs w:val="20"/>
                <w:lang w:eastAsia="en-GB"/>
              </w:rPr>
            </w:pPr>
            <w:r w:rsidRPr="00C607EA">
              <w:rPr>
                <w:rFonts w:ascii="Arial" w:eastAsia="Times New Roman" w:hAnsi="Arial" w:cs="Arial"/>
                <w:bCs/>
                <w:sz w:val="20"/>
                <w:szCs w:val="20"/>
                <w:lang w:eastAsia="en-GB"/>
              </w:rPr>
              <w:t>4,477</w:t>
            </w:r>
          </w:p>
        </w:tc>
      </w:tr>
      <w:tr w:rsidR="00C607EA" w:rsidRPr="00713871" w14:paraId="723128F8" w14:textId="77777777" w:rsidTr="00AE2740">
        <w:trPr>
          <w:gridAfter w:val="2"/>
          <w:wAfter w:w="407" w:type="dxa"/>
          <w:trHeight w:val="333"/>
        </w:trPr>
        <w:tc>
          <w:tcPr>
            <w:tcW w:w="3459" w:type="dxa"/>
            <w:tcBorders>
              <w:top w:val="nil"/>
              <w:left w:val="nil"/>
              <w:bottom w:val="nil"/>
              <w:right w:val="nil"/>
            </w:tcBorders>
            <w:shd w:val="clear" w:color="auto" w:fill="auto"/>
            <w:noWrap/>
            <w:vAlign w:val="center"/>
          </w:tcPr>
          <w:p w14:paraId="2131F676" w14:textId="77777777" w:rsidR="00C607EA" w:rsidRPr="00C23311" w:rsidRDefault="00C607EA" w:rsidP="00C607EA">
            <w:pPr>
              <w:spacing w:after="0" w:line="240" w:lineRule="auto"/>
              <w:rPr>
                <w:rFonts w:ascii="Arial" w:eastAsia="Times New Roman" w:hAnsi="Arial" w:cs="Arial"/>
                <w:sz w:val="20"/>
                <w:szCs w:val="20"/>
                <w:lang w:eastAsia="en-GB"/>
              </w:rPr>
            </w:pPr>
            <w:r w:rsidRPr="00C23311">
              <w:rPr>
                <w:rFonts w:ascii="Arial" w:eastAsia="Times New Roman" w:hAnsi="Arial" w:cs="Arial"/>
                <w:sz w:val="20"/>
                <w:szCs w:val="20"/>
                <w:lang w:eastAsia="en-GB"/>
              </w:rPr>
              <w:t>Inter company</w:t>
            </w:r>
          </w:p>
        </w:tc>
        <w:tc>
          <w:tcPr>
            <w:tcW w:w="738" w:type="dxa"/>
            <w:tcBorders>
              <w:top w:val="nil"/>
              <w:left w:val="nil"/>
              <w:bottom w:val="nil"/>
              <w:right w:val="nil"/>
            </w:tcBorders>
            <w:shd w:val="clear" w:color="auto" w:fill="auto"/>
            <w:noWrap/>
            <w:vAlign w:val="center"/>
          </w:tcPr>
          <w:p w14:paraId="14C8CBF6" w14:textId="77777777" w:rsidR="00C607EA" w:rsidRPr="00C23311" w:rsidRDefault="00C607EA" w:rsidP="00C607EA">
            <w:pPr>
              <w:spacing w:after="0" w:line="240" w:lineRule="auto"/>
              <w:jc w:val="center"/>
              <w:rPr>
                <w:rFonts w:ascii="Arial" w:eastAsia="Times New Roman" w:hAnsi="Arial" w:cs="Arial"/>
                <w:sz w:val="20"/>
                <w:szCs w:val="20"/>
                <w:lang w:eastAsia="en-GB"/>
              </w:rPr>
            </w:pPr>
          </w:p>
        </w:tc>
        <w:tc>
          <w:tcPr>
            <w:tcW w:w="1354" w:type="dxa"/>
            <w:gridSpan w:val="2"/>
            <w:tcBorders>
              <w:top w:val="nil"/>
              <w:left w:val="nil"/>
              <w:bottom w:val="nil"/>
              <w:right w:val="nil"/>
            </w:tcBorders>
            <w:shd w:val="clear" w:color="auto" w:fill="auto"/>
            <w:noWrap/>
            <w:vAlign w:val="center"/>
          </w:tcPr>
          <w:p w14:paraId="76454D98" w14:textId="77777777" w:rsidR="00C607EA" w:rsidRPr="00C607EA" w:rsidRDefault="00AC0FA5">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w:t>
            </w:r>
          </w:p>
        </w:tc>
        <w:tc>
          <w:tcPr>
            <w:tcW w:w="1310" w:type="dxa"/>
            <w:gridSpan w:val="2"/>
            <w:tcBorders>
              <w:top w:val="nil"/>
              <w:left w:val="nil"/>
              <w:bottom w:val="nil"/>
              <w:right w:val="nil"/>
            </w:tcBorders>
            <w:shd w:val="clear" w:color="auto" w:fill="auto"/>
            <w:noWrap/>
            <w:vAlign w:val="center"/>
          </w:tcPr>
          <w:p w14:paraId="5BBEA705" w14:textId="77777777" w:rsidR="00C607EA" w:rsidRPr="00C607EA" w:rsidRDefault="00C607EA" w:rsidP="00C607EA">
            <w:pPr>
              <w:spacing w:after="0" w:line="240" w:lineRule="auto"/>
              <w:jc w:val="right"/>
              <w:rPr>
                <w:rFonts w:ascii="Arial" w:eastAsia="Times New Roman" w:hAnsi="Arial" w:cs="Arial"/>
                <w:sz w:val="20"/>
                <w:szCs w:val="20"/>
                <w:lang w:eastAsia="en-GB"/>
              </w:rPr>
            </w:pPr>
            <w:r w:rsidRPr="00C607EA">
              <w:rPr>
                <w:rFonts w:ascii="Arial" w:eastAsia="Times New Roman" w:hAnsi="Arial" w:cs="Arial"/>
                <w:bCs/>
                <w:sz w:val="20"/>
                <w:szCs w:val="20"/>
                <w:lang w:eastAsia="en-GB"/>
              </w:rPr>
              <w:t>-</w:t>
            </w:r>
          </w:p>
        </w:tc>
        <w:tc>
          <w:tcPr>
            <w:tcW w:w="1313" w:type="dxa"/>
            <w:gridSpan w:val="3"/>
            <w:tcBorders>
              <w:top w:val="nil"/>
              <w:left w:val="nil"/>
              <w:bottom w:val="nil"/>
              <w:right w:val="nil"/>
            </w:tcBorders>
            <w:shd w:val="clear" w:color="auto" w:fill="auto"/>
            <w:noWrap/>
            <w:vAlign w:val="center"/>
          </w:tcPr>
          <w:p w14:paraId="3C1A4CC0" w14:textId="77777777" w:rsidR="00C607EA" w:rsidRDefault="00A54178" w:rsidP="00686AA9">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1</w:t>
            </w:r>
            <w:r w:rsidR="00723D1F">
              <w:rPr>
                <w:rFonts w:ascii="Arial" w:eastAsia="Times New Roman" w:hAnsi="Arial" w:cs="Arial"/>
                <w:b/>
                <w:bCs/>
                <w:sz w:val="20"/>
                <w:szCs w:val="20"/>
                <w:lang w:eastAsia="en-GB"/>
              </w:rPr>
              <w:t>2,205</w:t>
            </w:r>
          </w:p>
        </w:tc>
        <w:tc>
          <w:tcPr>
            <w:tcW w:w="1168" w:type="dxa"/>
            <w:gridSpan w:val="2"/>
            <w:tcBorders>
              <w:top w:val="nil"/>
              <w:left w:val="nil"/>
              <w:bottom w:val="nil"/>
              <w:right w:val="nil"/>
            </w:tcBorders>
            <w:shd w:val="clear" w:color="auto" w:fill="auto"/>
            <w:noWrap/>
            <w:vAlign w:val="center"/>
          </w:tcPr>
          <w:p w14:paraId="57FF24BC" w14:textId="77777777" w:rsidR="00C607EA" w:rsidRPr="00C607EA" w:rsidRDefault="00C607EA" w:rsidP="00C607EA">
            <w:pPr>
              <w:spacing w:after="0" w:line="240" w:lineRule="auto"/>
              <w:jc w:val="right"/>
              <w:rPr>
                <w:rFonts w:ascii="Arial" w:eastAsia="Times New Roman" w:hAnsi="Arial" w:cs="Arial"/>
                <w:sz w:val="20"/>
                <w:szCs w:val="20"/>
                <w:lang w:eastAsia="en-GB"/>
              </w:rPr>
            </w:pPr>
            <w:r w:rsidRPr="00C607EA">
              <w:rPr>
                <w:rFonts w:ascii="Arial" w:eastAsia="Times New Roman" w:hAnsi="Arial" w:cs="Arial"/>
                <w:bCs/>
                <w:sz w:val="20"/>
                <w:szCs w:val="20"/>
                <w:lang w:eastAsia="en-GB"/>
              </w:rPr>
              <w:t>8,906</w:t>
            </w:r>
          </w:p>
        </w:tc>
      </w:tr>
      <w:tr w:rsidR="00C607EA" w:rsidRPr="00713871" w14:paraId="19A7DE0E" w14:textId="77777777" w:rsidTr="00AE2740">
        <w:trPr>
          <w:gridAfter w:val="2"/>
          <w:wAfter w:w="407" w:type="dxa"/>
          <w:trHeight w:val="333"/>
        </w:trPr>
        <w:tc>
          <w:tcPr>
            <w:tcW w:w="3459" w:type="dxa"/>
            <w:tcBorders>
              <w:top w:val="nil"/>
              <w:left w:val="nil"/>
              <w:bottom w:val="nil"/>
              <w:right w:val="nil"/>
            </w:tcBorders>
            <w:shd w:val="clear" w:color="auto" w:fill="auto"/>
            <w:noWrap/>
            <w:vAlign w:val="center"/>
            <w:hideMark/>
          </w:tcPr>
          <w:p w14:paraId="62FDA8C7" w14:textId="77777777" w:rsidR="00C607EA" w:rsidRPr="00713871" w:rsidRDefault="00C607EA" w:rsidP="00C607EA">
            <w:pPr>
              <w:spacing w:after="0" w:line="240" w:lineRule="auto"/>
              <w:rPr>
                <w:rFonts w:ascii="Arial" w:eastAsia="Times New Roman" w:hAnsi="Arial" w:cs="Arial"/>
                <w:sz w:val="20"/>
                <w:szCs w:val="20"/>
                <w:lang w:eastAsia="en-GB"/>
              </w:rPr>
            </w:pPr>
            <w:r w:rsidRPr="00713871">
              <w:rPr>
                <w:rFonts w:ascii="Arial" w:eastAsia="Times New Roman" w:hAnsi="Arial" w:cs="Arial"/>
                <w:sz w:val="20"/>
                <w:szCs w:val="20"/>
                <w:lang w:eastAsia="en-GB"/>
              </w:rPr>
              <w:t>Other debtors</w:t>
            </w:r>
          </w:p>
        </w:tc>
        <w:tc>
          <w:tcPr>
            <w:tcW w:w="738" w:type="dxa"/>
            <w:tcBorders>
              <w:top w:val="nil"/>
              <w:left w:val="nil"/>
              <w:bottom w:val="nil"/>
              <w:right w:val="nil"/>
            </w:tcBorders>
            <w:shd w:val="clear" w:color="auto" w:fill="auto"/>
            <w:noWrap/>
            <w:vAlign w:val="center"/>
            <w:hideMark/>
          </w:tcPr>
          <w:p w14:paraId="3840CFB5" w14:textId="77777777" w:rsidR="00C607EA" w:rsidRPr="00713871" w:rsidRDefault="00C607EA" w:rsidP="00C607EA">
            <w:pPr>
              <w:spacing w:after="0" w:line="24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1</w:t>
            </w:r>
            <w:r w:rsidR="00193396">
              <w:rPr>
                <w:rFonts w:ascii="Arial" w:eastAsia="Times New Roman" w:hAnsi="Arial" w:cs="Arial"/>
                <w:sz w:val="20"/>
                <w:szCs w:val="20"/>
                <w:lang w:eastAsia="en-GB"/>
              </w:rPr>
              <w:t>3</w:t>
            </w:r>
          </w:p>
        </w:tc>
        <w:tc>
          <w:tcPr>
            <w:tcW w:w="1354" w:type="dxa"/>
            <w:gridSpan w:val="2"/>
            <w:tcBorders>
              <w:top w:val="nil"/>
              <w:left w:val="nil"/>
              <w:bottom w:val="nil"/>
              <w:right w:val="nil"/>
            </w:tcBorders>
            <w:shd w:val="clear" w:color="auto" w:fill="auto"/>
            <w:noWrap/>
            <w:vAlign w:val="center"/>
          </w:tcPr>
          <w:p w14:paraId="296D1E6F" w14:textId="77777777" w:rsidR="00C607EA" w:rsidRPr="00C607EA" w:rsidRDefault="00A54178" w:rsidP="00C607EA">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567</w:t>
            </w:r>
          </w:p>
        </w:tc>
        <w:tc>
          <w:tcPr>
            <w:tcW w:w="1310" w:type="dxa"/>
            <w:gridSpan w:val="2"/>
            <w:tcBorders>
              <w:top w:val="nil"/>
              <w:left w:val="nil"/>
              <w:bottom w:val="nil"/>
              <w:right w:val="nil"/>
            </w:tcBorders>
            <w:shd w:val="clear" w:color="auto" w:fill="auto"/>
            <w:noWrap/>
            <w:vAlign w:val="center"/>
            <w:hideMark/>
          </w:tcPr>
          <w:p w14:paraId="5A354D55" w14:textId="77777777" w:rsidR="00C607EA" w:rsidRPr="00C607EA" w:rsidRDefault="00C607EA" w:rsidP="00C607EA">
            <w:pPr>
              <w:spacing w:after="0" w:line="240" w:lineRule="auto"/>
              <w:jc w:val="right"/>
              <w:rPr>
                <w:rFonts w:ascii="Arial" w:eastAsia="Times New Roman" w:hAnsi="Arial" w:cs="Arial"/>
                <w:sz w:val="20"/>
                <w:szCs w:val="20"/>
                <w:lang w:eastAsia="en-GB"/>
              </w:rPr>
            </w:pPr>
            <w:r w:rsidRPr="00C607EA">
              <w:rPr>
                <w:rFonts w:ascii="Arial" w:eastAsia="Times New Roman" w:hAnsi="Arial" w:cs="Arial"/>
                <w:bCs/>
                <w:sz w:val="20"/>
                <w:szCs w:val="20"/>
                <w:lang w:eastAsia="en-GB"/>
              </w:rPr>
              <w:t>3,856</w:t>
            </w:r>
          </w:p>
        </w:tc>
        <w:tc>
          <w:tcPr>
            <w:tcW w:w="1313" w:type="dxa"/>
            <w:gridSpan w:val="3"/>
            <w:tcBorders>
              <w:top w:val="nil"/>
              <w:left w:val="nil"/>
              <w:bottom w:val="nil"/>
              <w:right w:val="nil"/>
            </w:tcBorders>
            <w:shd w:val="clear" w:color="auto" w:fill="auto"/>
            <w:noWrap/>
            <w:vAlign w:val="center"/>
          </w:tcPr>
          <w:p w14:paraId="49E49AE2" w14:textId="77777777" w:rsidR="00C607EA" w:rsidRPr="00713871" w:rsidRDefault="00A54178" w:rsidP="00C607EA">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37</w:t>
            </w:r>
          </w:p>
        </w:tc>
        <w:tc>
          <w:tcPr>
            <w:tcW w:w="1168" w:type="dxa"/>
            <w:gridSpan w:val="2"/>
            <w:tcBorders>
              <w:top w:val="nil"/>
              <w:left w:val="nil"/>
              <w:bottom w:val="nil"/>
              <w:right w:val="nil"/>
            </w:tcBorders>
            <w:shd w:val="clear" w:color="auto" w:fill="auto"/>
            <w:noWrap/>
            <w:vAlign w:val="center"/>
            <w:hideMark/>
          </w:tcPr>
          <w:p w14:paraId="6216A43F" w14:textId="77777777" w:rsidR="00C607EA" w:rsidRPr="00C607EA" w:rsidRDefault="00C607EA" w:rsidP="00C607EA">
            <w:pPr>
              <w:spacing w:after="0" w:line="240" w:lineRule="auto"/>
              <w:jc w:val="right"/>
              <w:rPr>
                <w:rFonts w:ascii="Arial" w:eastAsia="Times New Roman" w:hAnsi="Arial" w:cs="Arial"/>
                <w:sz w:val="20"/>
                <w:szCs w:val="20"/>
                <w:lang w:eastAsia="en-GB"/>
              </w:rPr>
            </w:pPr>
            <w:r w:rsidRPr="00C607EA">
              <w:rPr>
                <w:rFonts w:ascii="Arial" w:eastAsia="Times New Roman" w:hAnsi="Arial" w:cs="Arial"/>
                <w:bCs/>
                <w:sz w:val="20"/>
                <w:szCs w:val="20"/>
                <w:lang w:eastAsia="en-GB"/>
              </w:rPr>
              <w:t>408</w:t>
            </w:r>
          </w:p>
        </w:tc>
      </w:tr>
      <w:tr w:rsidR="00C607EA" w:rsidRPr="00713871" w14:paraId="45E3C45B" w14:textId="77777777" w:rsidTr="00AE2740">
        <w:trPr>
          <w:gridAfter w:val="2"/>
          <w:wAfter w:w="407" w:type="dxa"/>
          <w:trHeight w:val="333"/>
        </w:trPr>
        <w:tc>
          <w:tcPr>
            <w:tcW w:w="3459" w:type="dxa"/>
            <w:tcBorders>
              <w:top w:val="nil"/>
              <w:left w:val="nil"/>
              <w:bottom w:val="nil"/>
              <w:right w:val="nil"/>
            </w:tcBorders>
            <w:shd w:val="clear" w:color="auto" w:fill="auto"/>
            <w:noWrap/>
            <w:vAlign w:val="center"/>
            <w:hideMark/>
          </w:tcPr>
          <w:p w14:paraId="57FE7868" w14:textId="77777777" w:rsidR="00C607EA" w:rsidRPr="00713871" w:rsidRDefault="00C607EA" w:rsidP="00C607EA">
            <w:pPr>
              <w:spacing w:after="0" w:line="240" w:lineRule="auto"/>
              <w:rPr>
                <w:rFonts w:ascii="Arial" w:eastAsia="Times New Roman" w:hAnsi="Arial" w:cs="Arial"/>
                <w:sz w:val="20"/>
                <w:szCs w:val="20"/>
                <w:lang w:eastAsia="en-GB"/>
              </w:rPr>
            </w:pPr>
            <w:r w:rsidRPr="00713871">
              <w:rPr>
                <w:rFonts w:ascii="Arial" w:eastAsia="Times New Roman" w:hAnsi="Arial" w:cs="Arial"/>
                <w:sz w:val="20"/>
                <w:szCs w:val="20"/>
                <w:lang w:eastAsia="en-GB"/>
              </w:rPr>
              <w:t>Investments in short-term deposits</w:t>
            </w:r>
          </w:p>
        </w:tc>
        <w:tc>
          <w:tcPr>
            <w:tcW w:w="738" w:type="dxa"/>
            <w:tcBorders>
              <w:top w:val="nil"/>
              <w:left w:val="nil"/>
              <w:bottom w:val="nil"/>
              <w:right w:val="nil"/>
            </w:tcBorders>
            <w:shd w:val="clear" w:color="auto" w:fill="auto"/>
            <w:noWrap/>
            <w:vAlign w:val="center"/>
            <w:hideMark/>
          </w:tcPr>
          <w:p w14:paraId="585E05E5" w14:textId="77777777" w:rsidR="00C607EA" w:rsidRPr="00713871" w:rsidRDefault="00C607EA" w:rsidP="00C607EA">
            <w:pPr>
              <w:spacing w:after="0" w:line="240" w:lineRule="auto"/>
              <w:jc w:val="center"/>
              <w:rPr>
                <w:rFonts w:ascii="Arial" w:eastAsia="Times New Roman" w:hAnsi="Arial" w:cs="Arial"/>
                <w:sz w:val="20"/>
                <w:szCs w:val="20"/>
                <w:lang w:eastAsia="en-GB"/>
              </w:rPr>
            </w:pPr>
          </w:p>
        </w:tc>
        <w:tc>
          <w:tcPr>
            <w:tcW w:w="1354" w:type="dxa"/>
            <w:gridSpan w:val="2"/>
            <w:tcBorders>
              <w:top w:val="nil"/>
              <w:left w:val="nil"/>
              <w:bottom w:val="nil"/>
              <w:right w:val="nil"/>
            </w:tcBorders>
            <w:shd w:val="clear" w:color="auto" w:fill="auto"/>
            <w:noWrap/>
            <w:vAlign w:val="center"/>
          </w:tcPr>
          <w:p w14:paraId="2A151369" w14:textId="77777777" w:rsidR="00C607EA" w:rsidRPr="00C607EA" w:rsidRDefault="00853021" w:rsidP="00C607EA">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w:t>
            </w:r>
          </w:p>
        </w:tc>
        <w:tc>
          <w:tcPr>
            <w:tcW w:w="1310" w:type="dxa"/>
            <w:gridSpan w:val="2"/>
            <w:tcBorders>
              <w:top w:val="nil"/>
              <w:left w:val="nil"/>
              <w:bottom w:val="nil"/>
              <w:right w:val="nil"/>
            </w:tcBorders>
            <w:shd w:val="clear" w:color="auto" w:fill="auto"/>
            <w:noWrap/>
            <w:vAlign w:val="center"/>
            <w:hideMark/>
          </w:tcPr>
          <w:p w14:paraId="0596683B" w14:textId="77777777" w:rsidR="00C607EA" w:rsidRPr="00C607EA" w:rsidRDefault="00803986" w:rsidP="00C607EA">
            <w:pPr>
              <w:spacing w:after="0" w:line="240" w:lineRule="auto"/>
              <w:jc w:val="right"/>
              <w:rPr>
                <w:rFonts w:ascii="Arial" w:eastAsia="Times New Roman" w:hAnsi="Arial" w:cs="Arial"/>
                <w:sz w:val="20"/>
                <w:szCs w:val="20"/>
                <w:lang w:eastAsia="en-GB"/>
              </w:rPr>
            </w:pPr>
            <w:r>
              <w:rPr>
                <w:rFonts w:ascii="Arial" w:eastAsia="Times New Roman" w:hAnsi="Arial" w:cs="Arial"/>
                <w:bCs/>
                <w:sz w:val="20"/>
                <w:szCs w:val="20"/>
                <w:lang w:eastAsia="en-GB"/>
              </w:rPr>
              <w:t>315</w:t>
            </w:r>
          </w:p>
        </w:tc>
        <w:tc>
          <w:tcPr>
            <w:tcW w:w="1313" w:type="dxa"/>
            <w:gridSpan w:val="3"/>
            <w:tcBorders>
              <w:top w:val="nil"/>
              <w:left w:val="nil"/>
              <w:bottom w:val="nil"/>
              <w:right w:val="nil"/>
            </w:tcBorders>
            <w:shd w:val="clear" w:color="auto" w:fill="auto"/>
            <w:noWrap/>
            <w:vAlign w:val="center"/>
          </w:tcPr>
          <w:p w14:paraId="7629650A" w14:textId="77777777" w:rsidR="00C607EA" w:rsidRPr="00713871" w:rsidRDefault="00853021" w:rsidP="00C607EA">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w:t>
            </w:r>
          </w:p>
        </w:tc>
        <w:tc>
          <w:tcPr>
            <w:tcW w:w="1168" w:type="dxa"/>
            <w:gridSpan w:val="2"/>
            <w:tcBorders>
              <w:top w:val="nil"/>
              <w:left w:val="nil"/>
              <w:bottom w:val="nil"/>
              <w:right w:val="nil"/>
            </w:tcBorders>
            <w:shd w:val="clear" w:color="auto" w:fill="auto"/>
            <w:noWrap/>
            <w:vAlign w:val="center"/>
            <w:hideMark/>
          </w:tcPr>
          <w:p w14:paraId="2D162705" w14:textId="77777777" w:rsidR="00C607EA" w:rsidRPr="00C607EA" w:rsidRDefault="00803986" w:rsidP="00C607EA">
            <w:pPr>
              <w:spacing w:after="0" w:line="240" w:lineRule="auto"/>
              <w:jc w:val="right"/>
              <w:rPr>
                <w:rFonts w:ascii="Arial" w:eastAsia="Times New Roman" w:hAnsi="Arial" w:cs="Arial"/>
                <w:sz w:val="20"/>
                <w:szCs w:val="20"/>
                <w:lang w:eastAsia="en-GB"/>
              </w:rPr>
            </w:pPr>
            <w:r>
              <w:rPr>
                <w:rFonts w:ascii="Arial" w:eastAsia="Times New Roman" w:hAnsi="Arial" w:cs="Arial"/>
                <w:bCs/>
                <w:sz w:val="20"/>
                <w:szCs w:val="20"/>
                <w:lang w:eastAsia="en-GB"/>
              </w:rPr>
              <w:t>315</w:t>
            </w:r>
          </w:p>
        </w:tc>
      </w:tr>
      <w:tr w:rsidR="00C607EA" w:rsidRPr="00713871" w14:paraId="6F10737E" w14:textId="77777777" w:rsidTr="00AE2740">
        <w:trPr>
          <w:gridAfter w:val="2"/>
          <w:wAfter w:w="407" w:type="dxa"/>
          <w:trHeight w:val="333"/>
        </w:trPr>
        <w:tc>
          <w:tcPr>
            <w:tcW w:w="3459" w:type="dxa"/>
            <w:tcBorders>
              <w:top w:val="single" w:sz="4" w:space="0" w:color="auto"/>
              <w:left w:val="nil"/>
              <w:bottom w:val="single" w:sz="4" w:space="0" w:color="auto"/>
              <w:right w:val="nil"/>
            </w:tcBorders>
            <w:shd w:val="clear" w:color="auto" w:fill="auto"/>
            <w:noWrap/>
            <w:vAlign w:val="center"/>
            <w:hideMark/>
          </w:tcPr>
          <w:p w14:paraId="4DF0B338" w14:textId="77777777" w:rsidR="00C607EA" w:rsidRPr="00713871" w:rsidRDefault="00C607EA" w:rsidP="00C607EA">
            <w:pPr>
              <w:spacing w:after="0" w:line="240" w:lineRule="auto"/>
              <w:rPr>
                <w:rFonts w:ascii="Arial" w:eastAsia="Times New Roman" w:hAnsi="Arial" w:cs="Arial"/>
                <w:b/>
                <w:bCs/>
                <w:sz w:val="20"/>
                <w:szCs w:val="20"/>
                <w:lang w:eastAsia="en-GB"/>
              </w:rPr>
            </w:pPr>
            <w:r w:rsidRPr="00713871">
              <w:rPr>
                <w:rFonts w:ascii="Arial" w:eastAsia="Times New Roman" w:hAnsi="Arial" w:cs="Arial"/>
                <w:b/>
                <w:bCs/>
                <w:sz w:val="20"/>
                <w:szCs w:val="20"/>
                <w:lang w:eastAsia="en-GB"/>
              </w:rPr>
              <w:t>Total Financial Assets</w:t>
            </w:r>
          </w:p>
        </w:tc>
        <w:tc>
          <w:tcPr>
            <w:tcW w:w="738" w:type="dxa"/>
            <w:tcBorders>
              <w:top w:val="single" w:sz="4" w:space="0" w:color="auto"/>
              <w:left w:val="nil"/>
              <w:bottom w:val="single" w:sz="4" w:space="0" w:color="auto"/>
              <w:right w:val="nil"/>
            </w:tcBorders>
            <w:shd w:val="clear" w:color="auto" w:fill="auto"/>
            <w:noWrap/>
            <w:vAlign w:val="center"/>
            <w:hideMark/>
          </w:tcPr>
          <w:p w14:paraId="26185538" w14:textId="77777777" w:rsidR="00C607EA" w:rsidRPr="00713871" w:rsidRDefault="00C607EA" w:rsidP="00C607EA">
            <w:pPr>
              <w:spacing w:after="0" w:line="240" w:lineRule="auto"/>
              <w:jc w:val="center"/>
              <w:rPr>
                <w:rFonts w:ascii="Arial" w:eastAsia="Times New Roman" w:hAnsi="Arial" w:cs="Arial"/>
                <w:sz w:val="20"/>
                <w:szCs w:val="20"/>
                <w:lang w:eastAsia="en-GB"/>
              </w:rPr>
            </w:pPr>
          </w:p>
        </w:tc>
        <w:tc>
          <w:tcPr>
            <w:tcW w:w="1354" w:type="dxa"/>
            <w:gridSpan w:val="2"/>
            <w:tcBorders>
              <w:top w:val="single" w:sz="4" w:space="0" w:color="auto"/>
              <w:left w:val="nil"/>
              <w:bottom w:val="single" w:sz="4" w:space="0" w:color="auto"/>
              <w:right w:val="nil"/>
            </w:tcBorders>
            <w:shd w:val="clear" w:color="auto" w:fill="auto"/>
            <w:noWrap/>
            <w:vAlign w:val="center"/>
          </w:tcPr>
          <w:p w14:paraId="0E8A1213" w14:textId="77777777" w:rsidR="00C607EA" w:rsidRPr="00C607EA" w:rsidRDefault="00A54178" w:rsidP="00C607EA">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1</w:t>
            </w:r>
            <w:r w:rsidR="00853021">
              <w:rPr>
                <w:rFonts w:ascii="Arial" w:eastAsia="Times New Roman" w:hAnsi="Arial" w:cs="Arial"/>
                <w:b/>
                <w:bCs/>
                <w:sz w:val="20"/>
                <w:szCs w:val="20"/>
                <w:lang w:eastAsia="en-GB"/>
              </w:rPr>
              <w:t>1,678</w:t>
            </w:r>
          </w:p>
        </w:tc>
        <w:tc>
          <w:tcPr>
            <w:tcW w:w="1310" w:type="dxa"/>
            <w:gridSpan w:val="2"/>
            <w:tcBorders>
              <w:top w:val="single" w:sz="4" w:space="0" w:color="auto"/>
              <w:left w:val="nil"/>
              <w:bottom w:val="single" w:sz="4" w:space="0" w:color="auto"/>
              <w:right w:val="nil"/>
            </w:tcBorders>
            <w:shd w:val="clear" w:color="auto" w:fill="auto"/>
            <w:noWrap/>
            <w:vAlign w:val="center"/>
            <w:hideMark/>
          </w:tcPr>
          <w:p w14:paraId="61E41660" w14:textId="77777777" w:rsidR="00C607EA" w:rsidRPr="00C607EA" w:rsidRDefault="00803986" w:rsidP="00C607EA">
            <w:pPr>
              <w:spacing w:after="0" w:line="240" w:lineRule="auto"/>
              <w:jc w:val="right"/>
              <w:rPr>
                <w:rFonts w:ascii="Arial" w:eastAsia="Times New Roman" w:hAnsi="Arial" w:cs="Arial"/>
                <w:sz w:val="20"/>
                <w:szCs w:val="20"/>
                <w:lang w:eastAsia="en-GB"/>
              </w:rPr>
            </w:pPr>
            <w:r>
              <w:rPr>
                <w:rFonts w:ascii="Arial" w:eastAsia="Times New Roman" w:hAnsi="Arial" w:cs="Arial"/>
                <w:bCs/>
                <w:sz w:val="20"/>
                <w:szCs w:val="20"/>
                <w:lang w:eastAsia="en-GB"/>
              </w:rPr>
              <w:t>18,374</w:t>
            </w:r>
          </w:p>
        </w:tc>
        <w:tc>
          <w:tcPr>
            <w:tcW w:w="1313" w:type="dxa"/>
            <w:gridSpan w:val="3"/>
            <w:tcBorders>
              <w:top w:val="single" w:sz="4" w:space="0" w:color="auto"/>
              <w:left w:val="nil"/>
              <w:bottom w:val="single" w:sz="4" w:space="0" w:color="auto"/>
              <w:right w:val="nil"/>
            </w:tcBorders>
            <w:shd w:val="clear" w:color="auto" w:fill="auto"/>
            <w:noWrap/>
            <w:vAlign w:val="center"/>
          </w:tcPr>
          <w:p w14:paraId="063B58EA" w14:textId="77777777" w:rsidR="00C607EA" w:rsidRPr="00713871" w:rsidRDefault="00853021" w:rsidP="00686AA9">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14,260</w:t>
            </w:r>
          </w:p>
        </w:tc>
        <w:tc>
          <w:tcPr>
            <w:tcW w:w="1168" w:type="dxa"/>
            <w:gridSpan w:val="2"/>
            <w:tcBorders>
              <w:top w:val="single" w:sz="4" w:space="0" w:color="auto"/>
              <w:left w:val="nil"/>
              <w:bottom w:val="single" w:sz="4" w:space="0" w:color="auto"/>
              <w:right w:val="nil"/>
            </w:tcBorders>
            <w:shd w:val="clear" w:color="auto" w:fill="auto"/>
            <w:noWrap/>
            <w:vAlign w:val="center"/>
            <w:hideMark/>
          </w:tcPr>
          <w:p w14:paraId="2DCEBC09" w14:textId="77777777" w:rsidR="00C607EA" w:rsidRPr="00C607EA" w:rsidRDefault="00803986" w:rsidP="00C607EA">
            <w:pPr>
              <w:spacing w:after="0" w:line="240" w:lineRule="auto"/>
              <w:jc w:val="right"/>
              <w:rPr>
                <w:rFonts w:ascii="Arial" w:eastAsia="Times New Roman" w:hAnsi="Arial" w:cs="Arial"/>
                <w:sz w:val="20"/>
                <w:szCs w:val="20"/>
                <w:lang w:eastAsia="en-GB"/>
              </w:rPr>
            </w:pPr>
            <w:r>
              <w:rPr>
                <w:rFonts w:ascii="Arial" w:eastAsia="Times New Roman" w:hAnsi="Arial" w:cs="Arial"/>
                <w:bCs/>
                <w:sz w:val="20"/>
                <w:szCs w:val="20"/>
                <w:lang w:eastAsia="en-GB"/>
              </w:rPr>
              <w:t>14,106</w:t>
            </w:r>
          </w:p>
        </w:tc>
      </w:tr>
      <w:tr w:rsidR="00C607EA" w:rsidRPr="00713871" w14:paraId="5BB6185D" w14:textId="77777777" w:rsidTr="00AE2740">
        <w:trPr>
          <w:gridAfter w:val="2"/>
          <w:wAfter w:w="407" w:type="dxa"/>
          <w:trHeight w:val="333"/>
        </w:trPr>
        <w:tc>
          <w:tcPr>
            <w:tcW w:w="3459" w:type="dxa"/>
            <w:tcBorders>
              <w:top w:val="nil"/>
              <w:left w:val="nil"/>
              <w:bottom w:val="nil"/>
              <w:right w:val="nil"/>
            </w:tcBorders>
            <w:shd w:val="clear" w:color="auto" w:fill="auto"/>
            <w:noWrap/>
            <w:vAlign w:val="bottom"/>
            <w:hideMark/>
          </w:tcPr>
          <w:p w14:paraId="652B9AE3" w14:textId="77777777" w:rsidR="00C607EA" w:rsidRPr="00713871" w:rsidRDefault="00C607EA" w:rsidP="00C607EA">
            <w:pPr>
              <w:spacing w:after="0" w:line="240" w:lineRule="auto"/>
              <w:rPr>
                <w:rFonts w:ascii="Arial" w:eastAsia="Times New Roman" w:hAnsi="Arial" w:cs="Arial"/>
                <w:b/>
                <w:bCs/>
                <w:sz w:val="20"/>
                <w:szCs w:val="20"/>
                <w:lang w:eastAsia="en-GB"/>
              </w:rPr>
            </w:pPr>
            <w:r w:rsidRPr="00713871">
              <w:rPr>
                <w:rFonts w:ascii="Arial" w:eastAsia="Times New Roman" w:hAnsi="Arial" w:cs="Arial"/>
                <w:b/>
                <w:bCs/>
                <w:sz w:val="20"/>
                <w:szCs w:val="20"/>
                <w:lang w:eastAsia="en-GB"/>
              </w:rPr>
              <w:t>Financial Liabilities</w:t>
            </w:r>
          </w:p>
        </w:tc>
        <w:tc>
          <w:tcPr>
            <w:tcW w:w="738" w:type="dxa"/>
            <w:tcBorders>
              <w:top w:val="nil"/>
              <w:left w:val="nil"/>
              <w:bottom w:val="nil"/>
              <w:right w:val="nil"/>
            </w:tcBorders>
            <w:shd w:val="clear" w:color="auto" w:fill="auto"/>
            <w:noWrap/>
            <w:vAlign w:val="bottom"/>
            <w:hideMark/>
          </w:tcPr>
          <w:p w14:paraId="54E1E8E1" w14:textId="77777777" w:rsidR="00C607EA" w:rsidRPr="00713871" w:rsidRDefault="00C607EA" w:rsidP="00C607EA">
            <w:pPr>
              <w:spacing w:after="0" w:line="240" w:lineRule="auto"/>
              <w:jc w:val="center"/>
              <w:rPr>
                <w:rFonts w:ascii="Arial" w:eastAsia="Times New Roman" w:hAnsi="Arial" w:cs="Arial"/>
                <w:b/>
                <w:bCs/>
                <w:sz w:val="20"/>
                <w:szCs w:val="20"/>
                <w:lang w:eastAsia="en-GB"/>
              </w:rPr>
            </w:pPr>
          </w:p>
        </w:tc>
        <w:tc>
          <w:tcPr>
            <w:tcW w:w="1354" w:type="dxa"/>
            <w:gridSpan w:val="2"/>
            <w:tcBorders>
              <w:top w:val="nil"/>
              <w:left w:val="nil"/>
              <w:bottom w:val="nil"/>
              <w:right w:val="nil"/>
            </w:tcBorders>
            <w:shd w:val="clear" w:color="auto" w:fill="auto"/>
            <w:noWrap/>
            <w:vAlign w:val="bottom"/>
          </w:tcPr>
          <w:p w14:paraId="79AFE796" w14:textId="77777777" w:rsidR="00C607EA" w:rsidRPr="00C607EA" w:rsidRDefault="00C607EA" w:rsidP="00C607EA">
            <w:pPr>
              <w:spacing w:after="0" w:line="240" w:lineRule="auto"/>
              <w:jc w:val="right"/>
              <w:rPr>
                <w:rFonts w:ascii="Times New Roman" w:eastAsia="Times New Roman" w:hAnsi="Times New Roman" w:cs="Times New Roman"/>
                <w:b/>
                <w:sz w:val="20"/>
                <w:szCs w:val="20"/>
                <w:lang w:eastAsia="en-GB"/>
              </w:rPr>
            </w:pPr>
          </w:p>
        </w:tc>
        <w:tc>
          <w:tcPr>
            <w:tcW w:w="1310" w:type="dxa"/>
            <w:gridSpan w:val="2"/>
            <w:tcBorders>
              <w:top w:val="nil"/>
              <w:left w:val="nil"/>
              <w:bottom w:val="nil"/>
              <w:right w:val="nil"/>
            </w:tcBorders>
            <w:shd w:val="clear" w:color="auto" w:fill="auto"/>
            <w:noWrap/>
            <w:vAlign w:val="bottom"/>
            <w:hideMark/>
          </w:tcPr>
          <w:p w14:paraId="6C545C40" w14:textId="77777777" w:rsidR="00C607EA" w:rsidRPr="00C607EA" w:rsidRDefault="00C607EA" w:rsidP="00C607EA">
            <w:pPr>
              <w:spacing w:after="0" w:line="240" w:lineRule="auto"/>
              <w:jc w:val="right"/>
              <w:rPr>
                <w:rFonts w:ascii="Times New Roman" w:eastAsia="Times New Roman" w:hAnsi="Times New Roman" w:cs="Times New Roman"/>
                <w:sz w:val="20"/>
                <w:szCs w:val="20"/>
                <w:lang w:eastAsia="en-GB"/>
              </w:rPr>
            </w:pPr>
          </w:p>
        </w:tc>
        <w:tc>
          <w:tcPr>
            <w:tcW w:w="1313" w:type="dxa"/>
            <w:gridSpan w:val="3"/>
            <w:tcBorders>
              <w:top w:val="nil"/>
              <w:left w:val="nil"/>
              <w:bottom w:val="nil"/>
              <w:right w:val="nil"/>
            </w:tcBorders>
            <w:shd w:val="clear" w:color="auto" w:fill="auto"/>
            <w:noWrap/>
            <w:vAlign w:val="bottom"/>
          </w:tcPr>
          <w:p w14:paraId="7B63FFB4" w14:textId="77777777" w:rsidR="00C607EA" w:rsidRPr="00713871" w:rsidRDefault="00C607EA" w:rsidP="00C607EA">
            <w:pPr>
              <w:spacing w:after="0" w:line="240" w:lineRule="auto"/>
              <w:jc w:val="right"/>
              <w:rPr>
                <w:rFonts w:ascii="Times New Roman" w:eastAsia="Times New Roman" w:hAnsi="Times New Roman" w:cs="Times New Roman"/>
                <w:sz w:val="20"/>
                <w:szCs w:val="20"/>
                <w:lang w:eastAsia="en-GB"/>
              </w:rPr>
            </w:pPr>
          </w:p>
        </w:tc>
        <w:tc>
          <w:tcPr>
            <w:tcW w:w="1168" w:type="dxa"/>
            <w:gridSpan w:val="2"/>
            <w:tcBorders>
              <w:top w:val="nil"/>
              <w:left w:val="nil"/>
              <w:bottom w:val="nil"/>
              <w:right w:val="nil"/>
            </w:tcBorders>
            <w:shd w:val="clear" w:color="auto" w:fill="auto"/>
            <w:noWrap/>
            <w:vAlign w:val="bottom"/>
            <w:hideMark/>
          </w:tcPr>
          <w:p w14:paraId="4655915B" w14:textId="77777777" w:rsidR="00C607EA" w:rsidRPr="00C607EA" w:rsidRDefault="00C607EA" w:rsidP="00C607EA">
            <w:pPr>
              <w:spacing w:after="0" w:line="240" w:lineRule="auto"/>
              <w:jc w:val="right"/>
              <w:rPr>
                <w:rFonts w:ascii="Times New Roman" w:eastAsia="Times New Roman" w:hAnsi="Times New Roman" w:cs="Times New Roman"/>
                <w:sz w:val="20"/>
                <w:szCs w:val="20"/>
                <w:lang w:eastAsia="en-GB"/>
              </w:rPr>
            </w:pPr>
          </w:p>
        </w:tc>
      </w:tr>
      <w:tr w:rsidR="00C607EA" w:rsidRPr="00713871" w14:paraId="4A1F3E82" w14:textId="77777777" w:rsidTr="00AE2740">
        <w:trPr>
          <w:gridAfter w:val="2"/>
          <w:wAfter w:w="407" w:type="dxa"/>
          <w:trHeight w:val="333"/>
        </w:trPr>
        <w:tc>
          <w:tcPr>
            <w:tcW w:w="3459" w:type="dxa"/>
            <w:tcBorders>
              <w:top w:val="nil"/>
              <w:left w:val="nil"/>
              <w:bottom w:val="nil"/>
              <w:right w:val="nil"/>
            </w:tcBorders>
            <w:shd w:val="clear" w:color="auto" w:fill="auto"/>
            <w:noWrap/>
            <w:vAlign w:val="bottom"/>
            <w:hideMark/>
          </w:tcPr>
          <w:p w14:paraId="73D18C7C" w14:textId="77777777" w:rsidR="00C607EA" w:rsidRPr="00713871" w:rsidRDefault="00C607EA" w:rsidP="00C607EA">
            <w:pPr>
              <w:spacing w:after="0" w:line="240" w:lineRule="auto"/>
              <w:rPr>
                <w:rFonts w:ascii="Arial" w:eastAsia="Times New Roman" w:hAnsi="Arial" w:cs="Arial"/>
                <w:sz w:val="20"/>
                <w:szCs w:val="20"/>
                <w:lang w:eastAsia="en-GB"/>
              </w:rPr>
            </w:pPr>
            <w:r w:rsidRPr="00713871">
              <w:rPr>
                <w:rFonts w:ascii="Arial" w:eastAsia="Times New Roman" w:hAnsi="Arial" w:cs="Arial"/>
                <w:sz w:val="20"/>
                <w:szCs w:val="20"/>
                <w:lang w:eastAsia="en-GB"/>
              </w:rPr>
              <w:t>Trade creditors</w:t>
            </w:r>
          </w:p>
        </w:tc>
        <w:tc>
          <w:tcPr>
            <w:tcW w:w="738" w:type="dxa"/>
            <w:tcBorders>
              <w:top w:val="nil"/>
              <w:left w:val="nil"/>
              <w:bottom w:val="nil"/>
              <w:right w:val="nil"/>
            </w:tcBorders>
            <w:shd w:val="clear" w:color="auto" w:fill="auto"/>
            <w:noWrap/>
            <w:vAlign w:val="bottom"/>
            <w:hideMark/>
          </w:tcPr>
          <w:p w14:paraId="4907760B" w14:textId="77777777" w:rsidR="00C607EA" w:rsidRPr="00713871" w:rsidRDefault="00C607EA" w:rsidP="00C607EA">
            <w:pPr>
              <w:spacing w:after="0" w:line="240" w:lineRule="auto"/>
              <w:jc w:val="center"/>
              <w:rPr>
                <w:rFonts w:ascii="Arial" w:eastAsia="Times New Roman" w:hAnsi="Arial" w:cs="Arial"/>
                <w:sz w:val="20"/>
                <w:szCs w:val="20"/>
                <w:lang w:eastAsia="en-GB"/>
              </w:rPr>
            </w:pPr>
            <w:r w:rsidRPr="00713871">
              <w:rPr>
                <w:rFonts w:ascii="Arial" w:eastAsia="Times New Roman" w:hAnsi="Arial" w:cs="Arial"/>
                <w:sz w:val="20"/>
                <w:szCs w:val="20"/>
                <w:lang w:eastAsia="en-GB"/>
              </w:rPr>
              <w:t>16</w:t>
            </w:r>
          </w:p>
        </w:tc>
        <w:tc>
          <w:tcPr>
            <w:tcW w:w="1354" w:type="dxa"/>
            <w:gridSpan w:val="2"/>
            <w:tcBorders>
              <w:top w:val="nil"/>
              <w:left w:val="nil"/>
              <w:bottom w:val="nil"/>
              <w:right w:val="nil"/>
            </w:tcBorders>
            <w:shd w:val="clear" w:color="auto" w:fill="auto"/>
            <w:noWrap/>
            <w:vAlign w:val="center"/>
          </w:tcPr>
          <w:p w14:paraId="3E486DB8" w14:textId="77777777" w:rsidR="00C607EA" w:rsidRPr="00C607EA" w:rsidRDefault="00A54178" w:rsidP="00C607EA">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2,683</w:t>
            </w:r>
          </w:p>
        </w:tc>
        <w:tc>
          <w:tcPr>
            <w:tcW w:w="1310" w:type="dxa"/>
            <w:gridSpan w:val="2"/>
            <w:tcBorders>
              <w:top w:val="nil"/>
              <w:left w:val="nil"/>
              <w:bottom w:val="nil"/>
              <w:right w:val="nil"/>
            </w:tcBorders>
            <w:shd w:val="clear" w:color="auto" w:fill="auto"/>
            <w:noWrap/>
            <w:vAlign w:val="center"/>
            <w:hideMark/>
          </w:tcPr>
          <w:p w14:paraId="7BA610FE" w14:textId="77777777" w:rsidR="00C607EA" w:rsidRPr="00C607EA" w:rsidRDefault="00C607EA" w:rsidP="00C607EA">
            <w:pPr>
              <w:spacing w:after="0" w:line="240" w:lineRule="auto"/>
              <w:jc w:val="right"/>
              <w:rPr>
                <w:rFonts w:ascii="Arial" w:eastAsia="Times New Roman" w:hAnsi="Arial" w:cs="Arial"/>
                <w:sz w:val="20"/>
                <w:szCs w:val="20"/>
                <w:lang w:eastAsia="en-GB"/>
              </w:rPr>
            </w:pPr>
            <w:r w:rsidRPr="00C607EA">
              <w:rPr>
                <w:rFonts w:ascii="Arial" w:eastAsia="Times New Roman" w:hAnsi="Arial" w:cs="Arial"/>
                <w:bCs/>
                <w:sz w:val="20"/>
                <w:szCs w:val="20"/>
                <w:lang w:eastAsia="en-GB"/>
              </w:rPr>
              <w:t>3,308</w:t>
            </w:r>
          </w:p>
        </w:tc>
        <w:tc>
          <w:tcPr>
            <w:tcW w:w="1313" w:type="dxa"/>
            <w:gridSpan w:val="3"/>
            <w:tcBorders>
              <w:top w:val="nil"/>
              <w:left w:val="nil"/>
              <w:bottom w:val="nil"/>
              <w:right w:val="nil"/>
            </w:tcBorders>
            <w:shd w:val="clear" w:color="auto" w:fill="auto"/>
            <w:noWrap/>
            <w:vAlign w:val="center"/>
          </w:tcPr>
          <w:p w14:paraId="2CE6E8B8" w14:textId="77777777" w:rsidR="00C607EA" w:rsidRPr="00713871" w:rsidRDefault="007A4043" w:rsidP="00C607EA">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894</w:t>
            </w:r>
          </w:p>
        </w:tc>
        <w:tc>
          <w:tcPr>
            <w:tcW w:w="1168" w:type="dxa"/>
            <w:gridSpan w:val="2"/>
            <w:tcBorders>
              <w:top w:val="nil"/>
              <w:left w:val="nil"/>
              <w:bottom w:val="nil"/>
              <w:right w:val="nil"/>
            </w:tcBorders>
            <w:shd w:val="clear" w:color="auto" w:fill="auto"/>
            <w:noWrap/>
            <w:vAlign w:val="center"/>
            <w:hideMark/>
          </w:tcPr>
          <w:p w14:paraId="317AABD8" w14:textId="77777777" w:rsidR="00C607EA" w:rsidRPr="00C607EA" w:rsidRDefault="00C607EA" w:rsidP="00C607EA">
            <w:pPr>
              <w:spacing w:after="0" w:line="240" w:lineRule="auto"/>
              <w:jc w:val="right"/>
              <w:rPr>
                <w:rFonts w:ascii="Arial" w:eastAsia="Times New Roman" w:hAnsi="Arial" w:cs="Arial"/>
                <w:sz w:val="20"/>
                <w:szCs w:val="20"/>
                <w:lang w:eastAsia="en-GB"/>
              </w:rPr>
            </w:pPr>
            <w:r w:rsidRPr="00C607EA">
              <w:rPr>
                <w:rFonts w:ascii="Arial" w:eastAsia="Times New Roman" w:hAnsi="Arial" w:cs="Arial"/>
                <w:bCs/>
                <w:sz w:val="20"/>
                <w:szCs w:val="20"/>
                <w:lang w:eastAsia="en-GB"/>
              </w:rPr>
              <w:t>749</w:t>
            </w:r>
          </w:p>
        </w:tc>
      </w:tr>
      <w:tr w:rsidR="00C607EA" w:rsidRPr="00713871" w14:paraId="5BAF2256" w14:textId="77777777" w:rsidTr="00AE2740">
        <w:trPr>
          <w:gridAfter w:val="2"/>
          <w:wAfter w:w="407" w:type="dxa"/>
          <w:trHeight w:val="333"/>
        </w:trPr>
        <w:tc>
          <w:tcPr>
            <w:tcW w:w="3459" w:type="dxa"/>
            <w:tcBorders>
              <w:top w:val="nil"/>
              <w:left w:val="nil"/>
              <w:bottom w:val="nil"/>
              <w:right w:val="nil"/>
            </w:tcBorders>
            <w:shd w:val="clear" w:color="auto" w:fill="auto"/>
            <w:noWrap/>
            <w:vAlign w:val="bottom"/>
            <w:hideMark/>
          </w:tcPr>
          <w:p w14:paraId="2BADCE2E" w14:textId="77777777" w:rsidR="00C607EA" w:rsidRPr="00713871" w:rsidRDefault="00C607EA" w:rsidP="00C607EA">
            <w:pPr>
              <w:spacing w:after="0" w:line="240" w:lineRule="auto"/>
              <w:rPr>
                <w:rFonts w:ascii="Arial" w:eastAsia="Times New Roman" w:hAnsi="Arial" w:cs="Arial"/>
                <w:sz w:val="20"/>
                <w:szCs w:val="20"/>
                <w:lang w:eastAsia="en-GB"/>
              </w:rPr>
            </w:pPr>
            <w:r w:rsidRPr="00713871">
              <w:rPr>
                <w:rFonts w:ascii="Arial" w:eastAsia="Times New Roman" w:hAnsi="Arial" w:cs="Arial"/>
                <w:sz w:val="20"/>
                <w:szCs w:val="20"/>
                <w:lang w:eastAsia="en-GB"/>
              </w:rPr>
              <w:t>Other creditors</w:t>
            </w:r>
          </w:p>
        </w:tc>
        <w:tc>
          <w:tcPr>
            <w:tcW w:w="738" w:type="dxa"/>
            <w:tcBorders>
              <w:top w:val="nil"/>
              <w:left w:val="nil"/>
              <w:bottom w:val="nil"/>
              <w:right w:val="nil"/>
            </w:tcBorders>
            <w:shd w:val="clear" w:color="auto" w:fill="auto"/>
            <w:noWrap/>
            <w:vAlign w:val="bottom"/>
            <w:hideMark/>
          </w:tcPr>
          <w:p w14:paraId="45CB8317" w14:textId="77777777" w:rsidR="00C607EA" w:rsidRPr="00713871" w:rsidRDefault="00C607EA" w:rsidP="00C607EA">
            <w:pPr>
              <w:spacing w:after="0" w:line="240" w:lineRule="auto"/>
              <w:jc w:val="center"/>
              <w:rPr>
                <w:rFonts w:ascii="Arial" w:eastAsia="Times New Roman" w:hAnsi="Arial" w:cs="Arial"/>
                <w:sz w:val="20"/>
                <w:szCs w:val="20"/>
                <w:lang w:eastAsia="en-GB"/>
              </w:rPr>
            </w:pPr>
            <w:r w:rsidRPr="00713871">
              <w:rPr>
                <w:rFonts w:ascii="Arial" w:eastAsia="Times New Roman" w:hAnsi="Arial" w:cs="Arial"/>
                <w:sz w:val="20"/>
                <w:szCs w:val="20"/>
                <w:lang w:eastAsia="en-GB"/>
              </w:rPr>
              <w:t>16</w:t>
            </w:r>
          </w:p>
        </w:tc>
        <w:tc>
          <w:tcPr>
            <w:tcW w:w="1354" w:type="dxa"/>
            <w:gridSpan w:val="2"/>
            <w:tcBorders>
              <w:top w:val="nil"/>
              <w:left w:val="nil"/>
              <w:bottom w:val="nil"/>
              <w:right w:val="nil"/>
            </w:tcBorders>
            <w:shd w:val="clear" w:color="auto" w:fill="auto"/>
            <w:noWrap/>
            <w:vAlign w:val="center"/>
          </w:tcPr>
          <w:p w14:paraId="2B70F507" w14:textId="77777777" w:rsidR="00C607EA" w:rsidRPr="00C607EA" w:rsidRDefault="00A54178" w:rsidP="0069798A">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3,155</w:t>
            </w:r>
          </w:p>
        </w:tc>
        <w:tc>
          <w:tcPr>
            <w:tcW w:w="1310" w:type="dxa"/>
            <w:gridSpan w:val="2"/>
            <w:tcBorders>
              <w:top w:val="nil"/>
              <w:left w:val="nil"/>
              <w:bottom w:val="nil"/>
              <w:right w:val="nil"/>
            </w:tcBorders>
            <w:shd w:val="clear" w:color="auto" w:fill="auto"/>
            <w:noWrap/>
            <w:vAlign w:val="center"/>
            <w:hideMark/>
          </w:tcPr>
          <w:p w14:paraId="2774E80F" w14:textId="77777777" w:rsidR="00C607EA" w:rsidRPr="00C607EA" w:rsidRDefault="00C607EA" w:rsidP="00C607EA">
            <w:pPr>
              <w:spacing w:after="0" w:line="240" w:lineRule="auto"/>
              <w:jc w:val="right"/>
              <w:rPr>
                <w:rFonts w:ascii="Arial" w:eastAsia="Times New Roman" w:hAnsi="Arial" w:cs="Arial"/>
                <w:sz w:val="20"/>
                <w:szCs w:val="20"/>
                <w:lang w:eastAsia="en-GB"/>
              </w:rPr>
            </w:pPr>
            <w:r w:rsidRPr="00C607EA">
              <w:rPr>
                <w:rFonts w:ascii="Arial" w:eastAsia="Times New Roman" w:hAnsi="Arial" w:cs="Arial"/>
                <w:bCs/>
                <w:sz w:val="20"/>
                <w:szCs w:val="20"/>
                <w:lang w:eastAsia="en-GB"/>
              </w:rPr>
              <w:t>14,914</w:t>
            </w:r>
          </w:p>
        </w:tc>
        <w:tc>
          <w:tcPr>
            <w:tcW w:w="1313" w:type="dxa"/>
            <w:gridSpan w:val="3"/>
            <w:tcBorders>
              <w:top w:val="nil"/>
              <w:left w:val="nil"/>
              <w:bottom w:val="nil"/>
              <w:right w:val="nil"/>
            </w:tcBorders>
            <w:shd w:val="clear" w:color="auto" w:fill="auto"/>
            <w:noWrap/>
            <w:vAlign w:val="center"/>
          </w:tcPr>
          <w:p w14:paraId="4AF74B1C" w14:textId="77777777" w:rsidR="00C607EA" w:rsidRPr="00713871" w:rsidRDefault="00640046" w:rsidP="0069798A">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w:t>
            </w:r>
          </w:p>
        </w:tc>
        <w:tc>
          <w:tcPr>
            <w:tcW w:w="1168" w:type="dxa"/>
            <w:gridSpan w:val="2"/>
            <w:tcBorders>
              <w:top w:val="nil"/>
              <w:left w:val="nil"/>
              <w:bottom w:val="nil"/>
              <w:right w:val="nil"/>
            </w:tcBorders>
            <w:shd w:val="clear" w:color="auto" w:fill="auto"/>
            <w:noWrap/>
            <w:vAlign w:val="center"/>
            <w:hideMark/>
          </w:tcPr>
          <w:p w14:paraId="0C094BD7" w14:textId="77777777" w:rsidR="00C607EA" w:rsidRPr="00C607EA" w:rsidRDefault="00C607EA" w:rsidP="00C607EA">
            <w:pPr>
              <w:spacing w:after="0" w:line="240" w:lineRule="auto"/>
              <w:jc w:val="right"/>
              <w:rPr>
                <w:rFonts w:ascii="Arial" w:eastAsia="Times New Roman" w:hAnsi="Arial" w:cs="Arial"/>
                <w:sz w:val="20"/>
                <w:szCs w:val="20"/>
                <w:lang w:eastAsia="en-GB"/>
              </w:rPr>
            </w:pPr>
            <w:r w:rsidRPr="00C607EA">
              <w:rPr>
                <w:rFonts w:ascii="Arial" w:eastAsia="Times New Roman" w:hAnsi="Arial" w:cs="Arial"/>
                <w:bCs/>
                <w:sz w:val="20"/>
                <w:szCs w:val="20"/>
                <w:lang w:eastAsia="en-GB"/>
              </w:rPr>
              <w:t>-</w:t>
            </w:r>
          </w:p>
        </w:tc>
      </w:tr>
      <w:tr w:rsidR="00C607EA" w:rsidRPr="00713871" w14:paraId="5ACEF97E" w14:textId="77777777" w:rsidTr="00AE2740">
        <w:trPr>
          <w:gridAfter w:val="2"/>
          <w:wAfter w:w="407" w:type="dxa"/>
          <w:trHeight w:val="333"/>
        </w:trPr>
        <w:tc>
          <w:tcPr>
            <w:tcW w:w="3459" w:type="dxa"/>
            <w:tcBorders>
              <w:top w:val="nil"/>
              <w:left w:val="nil"/>
              <w:bottom w:val="nil"/>
              <w:right w:val="nil"/>
            </w:tcBorders>
            <w:shd w:val="clear" w:color="auto" w:fill="auto"/>
            <w:noWrap/>
            <w:vAlign w:val="bottom"/>
          </w:tcPr>
          <w:p w14:paraId="68C53606" w14:textId="77777777" w:rsidR="00C607EA" w:rsidRPr="00713871" w:rsidRDefault="00C607EA" w:rsidP="00C607EA">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Loans</w:t>
            </w:r>
          </w:p>
        </w:tc>
        <w:tc>
          <w:tcPr>
            <w:tcW w:w="738" w:type="dxa"/>
            <w:tcBorders>
              <w:top w:val="nil"/>
              <w:left w:val="nil"/>
              <w:bottom w:val="nil"/>
              <w:right w:val="nil"/>
            </w:tcBorders>
            <w:shd w:val="clear" w:color="auto" w:fill="auto"/>
            <w:noWrap/>
            <w:vAlign w:val="bottom"/>
          </w:tcPr>
          <w:p w14:paraId="70B67CE3" w14:textId="77777777" w:rsidR="00C607EA" w:rsidRPr="00713871" w:rsidRDefault="00C607EA">
            <w:pPr>
              <w:spacing w:after="0" w:line="240" w:lineRule="auto"/>
              <w:jc w:val="center"/>
              <w:rPr>
                <w:rFonts w:ascii="Arial" w:eastAsia="Times New Roman" w:hAnsi="Arial" w:cs="Arial"/>
                <w:sz w:val="20"/>
                <w:szCs w:val="20"/>
                <w:lang w:eastAsia="en-GB"/>
              </w:rPr>
            </w:pPr>
            <w:r w:rsidRPr="00016313">
              <w:rPr>
                <w:rFonts w:ascii="Arial" w:eastAsia="Times New Roman" w:hAnsi="Arial" w:cs="Arial"/>
                <w:sz w:val="20"/>
                <w:szCs w:val="20"/>
                <w:lang w:eastAsia="en-GB"/>
              </w:rPr>
              <w:t>16/1</w:t>
            </w:r>
            <w:r w:rsidR="00381DC8" w:rsidRPr="00161381">
              <w:rPr>
                <w:rFonts w:ascii="Arial" w:eastAsia="Times New Roman" w:hAnsi="Arial" w:cs="Arial"/>
                <w:sz w:val="20"/>
                <w:szCs w:val="20"/>
                <w:lang w:eastAsia="en-GB"/>
              </w:rPr>
              <w:t>6b</w:t>
            </w:r>
          </w:p>
        </w:tc>
        <w:tc>
          <w:tcPr>
            <w:tcW w:w="1354" w:type="dxa"/>
            <w:gridSpan w:val="2"/>
            <w:tcBorders>
              <w:top w:val="nil"/>
              <w:left w:val="nil"/>
              <w:bottom w:val="nil"/>
              <w:right w:val="nil"/>
            </w:tcBorders>
            <w:shd w:val="clear" w:color="auto" w:fill="auto"/>
            <w:noWrap/>
            <w:vAlign w:val="center"/>
          </w:tcPr>
          <w:p w14:paraId="23E20235" w14:textId="77777777" w:rsidR="00C607EA" w:rsidRPr="00C607EA" w:rsidRDefault="00FC3E9A" w:rsidP="00C607EA">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4,726</w:t>
            </w:r>
          </w:p>
        </w:tc>
        <w:tc>
          <w:tcPr>
            <w:tcW w:w="1310" w:type="dxa"/>
            <w:gridSpan w:val="2"/>
            <w:tcBorders>
              <w:top w:val="nil"/>
              <w:left w:val="nil"/>
              <w:bottom w:val="nil"/>
              <w:right w:val="nil"/>
            </w:tcBorders>
            <w:shd w:val="clear" w:color="auto" w:fill="auto"/>
            <w:noWrap/>
            <w:vAlign w:val="center"/>
          </w:tcPr>
          <w:p w14:paraId="307B7AE7" w14:textId="77777777" w:rsidR="00C607EA" w:rsidRPr="00C607EA" w:rsidRDefault="00C607EA" w:rsidP="00C607EA">
            <w:pPr>
              <w:spacing w:after="0" w:line="240" w:lineRule="auto"/>
              <w:jc w:val="right"/>
              <w:rPr>
                <w:rFonts w:ascii="Arial" w:eastAsia="Times New Roman" w:hAnsi="Arial" w:cs="Arial"/>
                <w:sz w:val="20"/>
                <w:szCs w:val="20"/>
                <w:lang w:eastAsia="en-GB"/>
              </w:rPr>
            </w:pPr>
            <w:r w:rsidRPr="00C607EA">
              <w:rPr>
                <w:rFonts w:ascii="Arial" w:eastAsia="Times New Roman" w:hAnsi="Arial" w:cs="Arial"/>
                <w:bCs/>
                <w:sz w:val="20"/>
                <w:szCs w:val="20"/>
                <w:lang w:eastAsia="en-GB"/>
              </w:rPr>
              <w:t>7,062</w:t>
            </w:r>
          </w:p>
        </w:tc>
        <w:tc>
          <w:tcPr>
            <w:tcW w:w="1313" w:type="dxa"/>
            <w:gridSpan w:val="3"/>
            <w:tcBorders>
              <w:top w:val="nil"/>
              <w:left w:val="nil"/>
              <w:bottom w:val="nil"/>
              <w:right w:val="nil"/>
            </w:tcBorders>
            <w:shd w:val="clear" w:color="auto" w:fill="auto"/>
            <w:noWrap/>
            <w:vAlign w:val="center"/>
          </w:tcPr>
          <w:p w14:paraId="0C26CCFB" w14:textId="77777777" w:rsidR="00C607EA" w:rsidRDefault="00FC3E9A" w:rsidP="0069798A">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2,</w:t>
            </w:r>
            <w:r w:rsidR="00686AA9">
              <w:rPr>
                <w:rFonts w:ascii="Arial" w:eastAsia="Times New Roman" w:hAnsi="Arial" w:cs="Arial"/>
                <w:b/>
                <w:bCs/>
                <w:sz w:val="20"/>
                <w:szCs w:val="20"/>
                <w:lang w:eastAsia="en-GB"/>
              </w:rPr>
              <w:t>961</w:t>
            </w:r>
          </w:p>
        </w:tc>
        <w:tc>
          <w:tcPr>
            <w:tcW w:w="1168" w:type="dxa"/>
            <w:gridSpan w:val="2"/>
            <w:tcBorders>
              <w:top w:val="nil"/>
              <w:left w:val="nil"/>
              <w:bottom w:val="nil"/>
              <w:right w:val="nil"/>
            </w:tcBorders>
            <w:shd w:val="clear" w:color="auto" w:fill="auto"/>
            <w:noWrap/>
            <w:vAlign w:val="center"/>
          </w:tcPr>
          <w:p w14:paraId="47928396" w14:textId="77777777" w:rsidR="00C607EA" w:rsidRPr="00C607EA" w:rsidRDefault="00C607EA" w:rsidP="00C607EA">
            <w:pPr>
              <w:spacing w:after="0" w:line="240" w:lineRule="auto"/>
              <w:jc w:val="right"/>
              <w:rPr>
                <w:rFonts w:ascii="Arial" w:eastAsia="Times New Roman" w:hAnsi="Arial" w:cs="Arial"/>
                <w:sz w:val="20"/>
                <w:szCs w:val="20"/>
                <w:lang w:eastAsia="en-GB"/>
              </w:rPr>
            </w:pPr>
            <w:r w:rsidRPr="00C607EA">
              <w:rPr>
                <w:rFonts w:ascii="Arial" w:eastAsia="Times New Roman" w:hAnsi="Arial" w:cs="Arial"/>
                <w:bCs/>
                <w:sz w:val="20"/>
                <w:szCs w:val="20"/>
                <w:lang w:eastAsia="en-GB"/>
              </w:rPr>
              <w:t>5,499</w:t>
            </w:r>
          </w:p>
        </w:tc>
      </w:tr>
      <w:tr w:rsidR="00C607EA" w:rsidRPr="00713871" w14:paraId="599E40B7" w14:textId="77777777" w:rsidTr="00AE2740">
        <w:trPr>
          <w:gridAfter w:val="2"/>
          <w:wAfter w:w="407" w:type="dxa"/>
          <w:trHeight w:val="333"/>
        </w:trPr>
        <w:tc>
          <w:tcPr>
            <w:tcW w:w="3459" w:type="dxa"/>
            <w:tcBorders>
              <w:top w:val="nil"/>
              <w:left w:val="nil"/>
              <w:bottom w:val="nil"/>
              <w:right w:val="nil"/>
            </w:tcBorders>
            <w:shd w:val="clear" w:color="auto" w:fill="auto"/>
            <w:noWrap/>
            <w:vAlign w:val="bottom"/>
          </w:tcPr>
          <w:p w14:paraId="5146351C" w14:textId="77777777" w:rsidR="00C607EA" w:rsidRPr="00713871" w:rsidRDefault="00C607EA" w:rsidP="00C607EA">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Accruals</w:t>
            </w:r>
          </w:p>
        </w:tc>
        <w:tc>
          <w:tcPr>
            <w:tcW w:w="738" w:type="dxa"/>
            <w:tcBorders>
              <w:top w:val="nil"/>
              <w:left w:val="nil"/>
              <w:bottom w:val="nil"/>
              <w:right w:val="nil"/>
            </w:tcBorders>
            <w:shd w:val="clear" w:color="auto" w:fill="auto"/>
            <w:noWrap/>
            <w:vAlign w:val="bottom"/>
          </w:tcPr>
          <w:p w14:paraId="0D7040F3" w14:textId="77777777" w:rsidR="00C607EA" w:rsidRPr="00713871" w:rsidRDefault="00C607EA" w:rsidP="00C607EA">
            <w:pPr>
              <w:spacing w:after="0" w:line="24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16</w:t>
            </w:r>
          </w:p>
        </w:tc>
        <w:tc>
          <w:tcPr>
            <w:tcW w:w="1354" w:type="dxa"/>
            <w:gridSpan w:val="2"/>
            <w:tcBorders>
              <w:top w:val="nil"/>
              <w:left w:val="nil"/>
              <w:bottom w:val="nil"/>
              <w:right w:val="nil"/>
            </w:tcBorders>
            <w:shd w:val="clear" w:color="auto" w:fill="auto"/>
            <w:noWrap/>
            <w:vAlign w:val="center"/>
          </w:tcPr>
          <w:p w14:paraId="26787296" w14:textId="77777777" w:rsidR="00C607EA" w:rsidRPr="00C607EA" w:rsidRDefault="00A54178" w:rsidP="0069798A">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25,</w:t>
            </w:r>
            <w:r w:rsidR="00FC3E9A">
              <w:rPr>
                <w:rFonts w:ascii="Arial" w:eastAsia="Times New Roman" w:hAnsi="Arial" w:cs="Arial"/>
                <w:b/>
                <w:bCs/>
                <w:sz w:val="20"/>
                <w:szCs w:val="20"/>
                <w:lang w:eastAsia="en-GB"/>
              </w:rPr>
              <w:t>105</w:t>
            </w:r>
          </w:p>
        </w:tc>
        <w:tc>
          <w:tcPr>
            <w:tcW w:w="1310" w:type="dxa"/>
            <w:gridSpan w:val="2"/>
            <w:tcBorders>
              <w:top w:val="nil"/>
              <w:left w:val="nil"/>
              <w:bottom w:val="nil"/>
              <w:right w:val="nil"/>
            </w:tcBorders>
            <w:shd w:val="clear" w:color="auto" w:fill="auto"/>
            <w:noWrap/>
            <w:vAlign w:val="center"/>
          </w:tcPr>
          <w:p w14:paraId="75D0A2D4" w14:textId="77777777" w:rsidR="00C607EA" w:rsidRPr="00C607EA" w:rsidRDefault="00C607EA" w:rsidP="00C607EA">
            <w:pPr>
              <w:spacing w:after="0" w:line="240" w:lineRule="auto"/>
              <w:jc w:val="right"/>
              <w:rPr>
                <w:rFonts w:ascii="Arial" w:eastAsia="Times New Roman" w:hAnsi="Arial" w:cs="Arial"/>
                <w:sz w:val="20"/>
                <w:szCs w:val="20"/>
                <w:lang w:eastAsia="en-GB"/>
              </w:rPr>
            </w:pPr>
            <w:r w:rsidRPr="00C607EA">
              <w:rPr>
                <w:rFonts w:ascii="Arial" w:eastAsia="Times New Roman" w:hAnsi="Arial" w:cs="Arial"/>
                <w:bCs/>
                <w:sz w:val="20"/>
                <w:szCs w:val="20"/>
                <w:lang w:eastAsia="en-GB"/>
              </w:rPr>
              <w:t>8,103</w:t>
            </w:r>
          </w:p>
        </w:tc>
        <w:tc>
          <w:tcPr>
            <w:tcW w:w="1313" w:type="dxa"/>
            <w:gridSpan w:val="3"/>
            <w:tcBorders>
              <w:top w:val="nil"/>
              <w:left w:val="nil"/>
              <w:bottom w:val="nil"/>
              <w:right w:val="nil"/>
            </w:tcBorders>
            <w:shd w:val="clear" w:color="auto" w:fill="auto"/>
            <w:noWrap/>
            <w:vAlign w:val="center"/>
          </w:tcPr>
          <w:p w14:paraId="6003A403" w14:textId="77777777" w:rsidR="00C607EA" w:rsidRDefault="00AC0FA5" w:rsidP="0069798A">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5,439</w:t>
            </w:r>
          </w:p>
        </w:tc>
        <w:tc>
          <w:tcPr>
            <w:tcW w:w="1168" w:type="dxa"/>
            <w:gridSpan w:val="2"/>
            <w:tcBorders>
              <w:top w:val="nil"/>
              <w:left w:val="nil"/>
              <w:bottom w:val="nil"/>
              <w:right w:val="nil"/>
            </w:tcBorders>
            <w:shd w:val="clear" w:color="auto" w:fill="auto"/>
            <w:noWrap/>
            <w:vAlign w:val="center"/>
          </w:tcPr>
          <w:p w14:paraId="06B7F0D1" w14:textId="77777777" w:rsidR="00C607EA" w:rsidRPr="00C607EA" w:rsidRDefault="00C607EA" w:rsidP="00C607EA">
            <w:pPr>
              <w:spacing w:after="0" w:line="240" w:lineRule="auto"/>
              <w:jc w:val="right"/>
              <w:rPr>
                <w:rFonts w:ascii="Arial" w:eastAsia="Times New Roman" w:hAnsi="Arial" w:cs="Arial"/>
                <w:sz w:val="20"/>
                <w:szCs w:val="20"/>
                <w:lang w:eastAsia="en-GB"/>
              </w:rPr>
            </w:pPr>
            <w:r w:rsidRPr="00C607EA">
              <w:rPr>
                <w:rFonts w:ascii="Arial" w:eastAsia="Times New Roman" w:hAnsi="Arial" w:cs="Arial"/>
                <w:bCs/>
                <w:sz w:val="20"/>
                <w:szCs w:val="20"/>
                <w:lang w:eastAsia="en-GB"/>
              </w:rPr>
              <w:t>5,098</w:t>
            </w:r>
          </w:p>
        </w:tc>
      </w:tr>
      <w:tr w:rsidR="00C607EA" w:rsidRPr="00713871" w14:paraId="5BB12B06" w14:textId="77777777" w:rsidTr="00AE2740">
        <w:trPr>
          <w:gridAfter w:val="2"/>
          <w:wAfter w:w="407" w:type="dxa"/>
          <w:trHeight w:val="333"/>
        </w:trPr>
        <w:tc>
          <w:tcPr>
            <w:tcW w:w="3459" w:type="dxa"/>
            <w:tcBorders>
              <w:top w:val="single" w:sz="4" w:space="0" w:color="auto"/>
              <w:left w:val="nil"/>
              <w:bottom w:val="single" w:sz="4" w:space="0" w:color="auto"/>
              <w:right w:val="nil"/>
            </w:tcBorders>
            <w:shd w:val="clear" w:color="auto" w:fill="auto"/>
            <w:noWrap/>
            <w:vAlign w:val="center"/>
            <w:hideMark/>
          </w:tcPr>
          <w:p w14:paraId="27258E90" w14:textId="77777777" w:rsidR="00C607EA" w:rsidRPr="00713871" w:rsidRDefault="00C607EA" w:rsidP="00C607EA">
            <w:pPr>
              <w:spacing w:after="0" w:line="240" w:lineRule="auto"/>
              <w:rPr>
                <w:rFonts w:ascii="Arial" w:eastAsia="Times New Roman" w:hAnsi="Arial" w:cs="Arial"/>
                <w:b/>
                <w:bCs/>
                <w:sz w:val="20"/>
                <w:szCs w:val="20"/>
                <w:lang w:eastAsia="en-GB"/>
              </w:rPr>
            </w:pPr>
            <w:r w:rsidRPr="00713871">
              <w:rPr>
                <w:rFonts w:ascii="Arial" w:eastAsia="Times New Roman" w:hAnsi="Arial" w:cs="Arial"/>
                <w:b/>
                <w:bCs/>
                <w:sz w:val="20"/>
                <w:szCs w:val="20"/>
                <w:lang w:eastAsia="en-GB"/>
              </w:rPr>
              <w:t>Total Financial Liabilities</w:t>
            </w:r>
          </w:p>
        </w:tc>
        <w:tc>
          <w:tcPr>
            <w:tcW w:w="738" w:type="dxa"/>
            <w:tcBorders>
              <w:top w:val="single" w:sz="4" w:space="0" w:color="auto"/>
              <w:left w:val="nil"/>
              <w:bottom w:val="single" w:sz="4" w:space="0" w:color="auto"/>
              <w:right w:val="nil"/>
            </w:tcBorders>
            <w:shd w:val="clear" w:color="auto" w:fill="auto"/>
            <w:noWrap/>
            <w:vAlign w:val="center"/>
            <w:hideMark/>
          </w:tcPr>
          <w:p w14:paraId="66DAFB3C" w14:textId="77777777" w:rsidR="00C607EA" w:rsidRPr="00713871" w:rsidRDefault="00C607EA" w:rsidP="00C607EA">
            <w:pPr>
              <w:spacing w:after="0" w:line="240" w:lineRule="auto"/>
              <w:jc w:val="center"/>
              <w:rPr>
                <w:rFonts w:ascii="Arial" w:eastAsia="Times New Roman" w:hAnsi="Arial" w:cs="Arial"/>
                <w:sz w:val="20"/>
                <w:szCs w:val="20"/>
                <w:lang w:eastAsia="en-GB"/>
              </w:rPr>
            </w:pPr>
          </w:p>
        </w:tc>
        <w:tc>
          <w:tcPr>
            <w:tcW w:w="1354" w:type="dxa"/>
            <w:gridSpan w:val="2"/>
            <w:tcBorders>
              <w:top w:val="single" w:sz="4" w:space="0" w:color="auto"/>
              <w:left w:val="nil"/>
              <w:bottom w:val="single" w:sz="4" w:space="0" w:color="auto"/>
              <w:right w:val="nil"/>
            </w:tcBorders>
            <w:shd w:val="clear" w:color="auto" w:fill="auto"/>
            <w:noWrap/>
            <w:vAlign w:val="center"/>
          </w:tcPr>
          <w:p w14:paraId="79E50D3A" w14:textId="77777777" w:rsidR="00C607EA" w:rsidRPr="00C607EA" w:rsidRDefault="00640046" w:rsidP="00C607EA">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3</w:t>
            </w:r>
            <w:r w:rsidR="00FC3E9A">
              <w:rPr>
                <w:rFonts w:ascii="Arial" w:eastAsia="Times New Roman" w:hAnsi="Arial" w:cs="Arial"/>
                <w:b/>
                <w:bCs/>
                <w:sz w:val="20"/>
                <w:szCs w:val="20"/>
                <w:lang w:eastAsia="en-GB"/>
              </w:rPr>
              <w:t>5,669</w:t>
            </w:r>
          </w:p>
        </w:tc>
        <w:tc>
          <w:tcPr>
            <w:tcW w:w="1310" w:type="dxa"/>
            <w:gridSpan w:val="2"/>
            <w:tcBorders>
              <w:top w:val="single" w:sz="4" w:space="0" w:color="auto"/>
              <w:left w:val="nil"/>
              <w:bottom w:val="single" w:sz="4" w:space="0" w:color="auto"/>
              <w:right w:val="nil"/>
            </w:tcBorders>
            <w:shd w:val="clear" w:color="auto" w:fill="auto"/>
            <w:noWrap/>
            <w:vAlign w:val="center"/>
            <w:hideMark/>
          </w:tcPr>
          <w:p w14:paraId="63396181" w14:textId="77777777" w:rsidR="00C607EA" w:rsidRPr="00C607EA" w:rsidRDefault="00C607EA" w:rsidP="00C607EA">
            <w:pPr>
              <w:spacing w:after="0" w:line="240" w:lineRule="auto"/>
              <w:jc w:val="right"/>
              <w:rPr>
                <w:rFonts w:ascii="Arial" w:eastAsia="Times New Roman" w:hAnsi="Arial" w:cs="Arial"/>
                <w:sz w:val="20"/>
                <w:szCs w:val="20"/>
                <w:lang w:eastAsia="en-GB"/>
              </w:rPr>
            </w:pPr>
            <w:r w:rsidRPr="00C607EA">
              <w:rPr>
                <w:rFonts w:ascii="Arial" w:eastAsia="Times New Roman" w:hAnsi="Arial" w:cs="Arial"/>
                <w:bCs/>
                <w:sz w:val="20"/>
                <w:szCs w:val="20"/>
                <w:lang w:eastAsia="en-GB"/>
              </w:rPr>
              <w:t>33,387</w:t>
            </w:r>
          </w:p>
        </w:tc>
        <w:tc>
          <w:tcPr>
            <w:tcW w:w="1313" w:type="dxa"/>
            <w:gridSpan w:val="3"/>
            <w:tcBorders>
              <w:top w:val="single" w:sz="4" w:space="0" w:color="auto"/>
              <w:left w:val="nil"/>
              <w:bottom w:val="single" w:sz="4" w:space="0" w:color="auto"/>
              <w:right w:val="nil"/>
            </w:tcBorders>
            <w:shd w:val="clear" w:color="auto" w:fill="auto"/>
            <w:noWrap/>
            <w:vAlign w:val="center"/>
          </w:tcPr>
          <w:p w14:paraId="2B5E8062" w14:textId="77777777" w:rsidR="00C607EA" w:rsidRPr="00713871" w:rsidRDefault="007A4043" w:rsidP="00207E5A">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9,294</w:t>
            </w:r>
          </w:p>
        </w:tc>
        <w:tc>
          <w:tcPr>
            <w:tcW w:w="1168" w:type="dxa"/>
            <w:gridSpan w:val="2"/>
            <w:tcBorders>
              <w:top w:val="single" w:sz="4" w:space="0" w:color="auto"/>
              <w:left w:val="nil"/>
              <w:bottom w:val="single" w:sz="4" w:space="0" w:color="auto"/>
              <w:right w:val="nil"/>
            </w:tcBorders>
            <w:shd w:val="clear" w:color="auto" w:fill="auto"/>
            <w:noWrap/>
            <w:vAlign w:val="center"/>
            <w:hideMark/>
          </w:tcPr>
          <w:p w14:paraId="6370065E" w14:textId="77777777" w:rsidR="00C607EA" w:rsidRPr="00C607EA" w:rsidRDefault="00C607EA" w:rsidP="00C607EA">
            <w:pPr>
              <w:spacing w:after="0" w:line="240" w:lineRule="auto"/>
              <w:jc w:val="right"/>
              <w:rPr>
                <w:rFonts w:ascii="Arial" w:eastAsia="Times New Roman" w:hAnsi="Arial" w:cs="Arial"/>
                <w:sz w:val="20"/>
                <w:szCs w:val="20"/>
                <w:lang w:eastAsia="en-GB"/>
              </w:rPr>
            </w:pPr>
            <w:r w:rsidRPr="00C607EA">
              <w:rPr>
                <w:rFonts w:ascii="Arial" w:eastAsia="Times New Roman" w:hAnsi="Arial" w:cs="Arial"/>
                <w:bCs/>
                <w:sz w:val="20"/>
                <w:szCs w:val="20"/>
                <w:lang w:eastAsia="en-GB"/>
              </w:rPr>
              <w:t>11,346</w:t>
            </w:r>
          </w:p>
        </w:tc>
      </w:tr>
    </w:tbl>
    <w:p w14:paraId="36CC6E15" w14:textId="77777777" w:rsidR="00E70CD3" w:rsidRDefault="00E70CD3" w:rsidP="00E70CD3">
      <w:pPr>
        <w:autoSpaceDE w:val="0"/>
        <w:autoSpaceDN w:val="0"/>
        <w:adjustRightInd w:val="0"/>
        <w:spacing w:after="0" w:line="240" w:lineRule="auto"/>
        <w:rPr>
          <w:rFonts w:ascii="Arial" w:hAnsi="Arial" w:cs="Arial"/>
          <w:sz w:val="20"/>
          <w:szCs w:val="20"/>
        </w:rPr>
      </w:pPr>
    </w:p>
    <w:p w14:paraId="5BA7DA7E" w14:textId="77777777" w:rsidR="003F35D0" w:rsidRDefault="003F35D0" w:rsidP="008C1868">
      <w:pPr>
        <w:autoSpaceDE w:val="0"/>
        <w:autoSpaceDN w:val="0"/>
        <w:adjustRightInd w:val="0"/>
        <w:spacing w:after="240" w:line="240" w:lineRule="auto"/>
        <w:rPr>
          <w:rFonts w:ascii="Arial" w:eastAsia="Times New Roman" w:hAnsi="Arial" w:cs="Arial"/>
          <w:b/>
          <w:bCs/>
          <w:sz w:val="24"/>
          <w:szCs w:val="24"/>
          <w:lang w:eastAsia="en-GB"/>
        </w:rPr>
      </w:pPr>
    </w:p>
    <w:p w14:paraId="5175FCD2" w14:textId="77777777" w:rsidR="00BB6D9B" w:rsidRDefault="00BB6D9B" w:rsidP="00BB6D9B">
      <w:pPr>
        <w:tabs>
          <w:tab w:val="left" w:pos="567"/>
        </w:tabs>
        <w:ind w:left="567" w:hanging="567"/>
        <w:rPr>
          <w:rFonts w:ascii="Arial" w:hAnsi="Arial" w:cs="Arial"/>
          <w:b/>
          <w:i/>
          <w:sz w:val="24"/>
          <w:szCs w:val="24"/>
        </w:rPr>
      </w:pPr>
    </w:p>
    <w:p w14:paraId="3670F774" w14:textId="77777777" w:rsidR="00BB6D9B" w:rsidRDefault="00BB6D9B" w:rsidP="00BB6D9B">
      <w:pPr>
        <w:tabs>
          <w:tab w:val="left" w:pos="567"/>
        </w:tabs>
        <w:ind w:left="567" w:hanging="567"/>
        <w:rPr>
          <w:rFonts w:ascii="Arial" w:hAnsi="Arial" w:cs="Arial"/>
          <w:b/>
          <w:i/>
          <w:sz w:val="24"/>
          <w:szCs w:val="24"/>
        </w:rPr>
      </w:pPr>
    </w:p>
    <w:p w14:paraId="26D1FDF3" w14:textId="77777777" w:rsidR="006C07DD" w:rsidRDefault="006C07DD" w:rsidP="006C07DD">
      <w:pPr>
        <w:spacing w:after="0" w:line="240" w:lineRule="auto"/>
        <w:rPr>
          <w:rFonts w:ascii="Arial" w:hAnsi="Arial" w:cs="Arial"/>
          <w:b/>
          <w:i/>
          <w:sz w:val="24"/>
          <w:szCs w:val="24"/>
        </w:rPr>
      </w:pPr>
      <w:r w:rsidRPr="0088736E">
        <w:rPr>
          <w:rFonts w:ascii="Arial" w:hAnsi="Arial" w:cs="Arial"/>
          <w:b/>
          <w:i/>
          <w:sz w:val="24"/>
          <w:szCs w:val="24"/>
        </w:rPr>
        <w:lastRenderedPageBreak/>
        <w:t xml:space="preserve">Notes to the financial </w:t>
      </w:r>
      <w:r>
        <w:rPr>
          <w:rFonts w:ascii="Arial" w:hAnsi="Arial" w:cs="Arial"/>
          <w:b/>
          <w:i/>
          <w:sz w:val="24"/>
          <w:szCs w:val="24"/>
        </w:rPr>
        <w:t>statements</w:t>
      </w:r>
      <w:r w:rsidRPr="0088736E">
        <w:rPr>
          <w:rFonts w:ascii="Arial" w:hAnsi="Arial" w:cs="Arial"/>
          <w:b/>
          <w:i/>
          <w:sz w:val="24"/>
          <w:szCs w:val="24"/>
        </w:rPr>
        <w:t xml:space="preserve"> (continued)</w:t>
      </w:r>
    </w:p>
    <w:p w14:paraId="610820D4" w14:textId="77777777" w:rsidR="006C07DD" w:rsidRDefault="006C07DD" w:rsidP="006C07DD">
      <w:pPr>
        <w:spacing w:after="0" w:line="240" w:lineRule="auto"/>
        <w:rPr>
          <w:rFonts w:ascii="Arial" w:hAnsi="Arial" w:cs="Arial"/>
          <w:b/>
          <w:i/>
          <w:sz w:val="24"/>
          <w:szCs w:val="24"/>
        </w:rPr>
      </w:pPr>
    </w:p>
    <w:p w14:paraId="0FE03EC8" w14:textId="77777777" w:rsidR="00E70CD3" w:rsidRDefault="00E70CD3" w:rsidP="008C1868">
      <w:pPr>
        <w:autoSpaceDE w:val="0"/>
        <w:autoSpaceDN w:val="0"/>
        <w:adjustRightInd w:val="0"/>
        <w:spacing w:after="240" w:line="240" w:lineRule="auto"/>
        <w:rPr>
          <w:rFonts w:ascii="Arial" w:eastAsia="Times New Roman" w:hAnsi="Arial" w:cs="Arial"/>
          <w:b/>
          <w:bCs/>
          <w:sz w:val="24"/>
          <w:szCs w:val="24"/>
          <w:lang w:eastAsia="en-GB"/>
        </w:rPr>
      </w:pPr>
      <w:r w:rsidRPr="003A06D0">
        <w:rPr>
          <w:rFonts w:ascii="Arial" w:eastAsia="Times New Roman" w:hAnsi="Arial" w:cs="Arial"/>
          <w:b/>
          <w:bCs/>
          <w:sz w:val="24"/>
          <w:szCs w:val="24"/>
          <w:lang w:eastAsia="en-GB"/>
        </w:rPr>
        <w:t>2</w:t>
      </w:r>
      <w:r w:rsidR="00C62275" w:rsidRPr="003A06D0">
        <w:rPr>
          <w:rFonts w:ascii="Arial" w:eastAsia="Times New Roman" w:hAnsi="Arial" w:cs="Arial"/>
          <w:b/>
          <w:bCs/>
          <w:sz w:val="24"/>
          <w:szCs w:val="24"/>
          <w:lang w:eastAsia="en-GB"/>
        </w:rPr>
        <w:t>8</w:t>
      </w:r>
      <w:r w:rsidRPr="003A06D0">
        <w:rPr>
          <w:rFonts w:ascii="Arial" w:eastAsia="Times New Roman" w:hAnsi="Arial" w:cs="Arial"/>
          <w:b/>
          <w:bCs/>
          <w:sz w:val="24"/>
          <w:szCs w:val="24"/>
          <w:lang w:eastAsia="en-GB"/>
        </w:rPr>
        <w:t xml:space="preserve">. </w:t>
      </w:r>
      <w:r w:rsidR="0069799E" w:rsidRPr="003A06D0">
        <w:rPr>
          <w:rFonts w:ascii="Arial" w:eastAsia="Times New Roman" w:hAnsi="Arial" w:cs="Arial"/>
          <w:b/>
          <w:bCs/>
          <w:sz w:val="24"/>
          <w:szCs w:val="24"/>
          <w:lang w:eastAsia="en-GB"/>
        </w:rPr>
        <w:t>Post Balance Sheet Events</w:t>
      </w:r>
    </w:p>
    <w:p w14:paraId="28D5495D" w14:textId="77777777" w:rsidR="00257034" w:rsidRDefault="00257034" w:rsidP="00257034">
      <w:pPr>
        <w:autoSpaceDE w:val="0"/>
        <w:autoSpaceDN w:val="0"/>
        <w:adjustRightInd w:val="0"/>
        <w:spacing w:after="240" w:line="240" w:lineRule="auto"/>
        <w:jc w:val="both"/>
        <w:rPr>
          <w:rFonts w:ascii="Arial" w:hAnsi="Arial" w:cs="Arial"/>
          <w:sz w:val="24"/>
          <w:szCs w:val="24"/>
        </w:rPr>
      </w:pPr>
      <w:r w:rsidRPr="008E2F12">
        <w:rPr>
          <w:rFonts w:ascii="Arial" w:hAnsi="Arial" w:cs="Arial"/>
          <w:sz w:val="24"/>
          <w:szCs w:val="24"/>
        </w:rPr>
        <w:t xml:space="preserve">From March 2020, </w:t>
      </w:r>
      <w:r>
        <w:rPr>
          <w:rFonts w:ascii="Arial" w:hAnsi="Arial" w:cs="Arial"/>
          <w:sz w:val="24"/>
          <w:szCs w:val="24"/>
        </w:rPr>
        <w:t xml:space="preserve">and continuing post year end </w:t>
      </w:r>
      <w:r w:rsidRPr="008E2F12">
        <w:rPr>
          <w:rFonts w:ascii="Arial" w:hAnsi="Arial" w:cs="Arial"/>
          <w:sz w:val="24"/>
          <w:szCs w:val="24"/>
        </w:rPr>
        <w:t>Covid-19 has had a significant impact on the operations of the Trust and its activities</w:t>
      </w:r>
      <w:r>
        <w:rPr>
          <w:rFonts w:ascii="Arial" w:hAnsi="Arial" w:cs="Arial"/>
          <w:sz w:val="24"/>
          <w:szCs w:val="24"/>
        </w:rPr>
        <w:t xml:space="preserve">, in </w:t>
      </w:r>
      <w:r w:rsidRPr="008E2F12">
        <w:rPr>
          <w:rFonts w:ascii="Arial" w:hAnsi="Arial" w:cs="Arial"/>
          <w:sz w:val="24"/>
          <w:szCs w:val="24"/>
        </w:rPr>
        <w:t xml:space="preserve">particular the Charity Shops and Garden Centres have seen a higher impact than others with a number of employees having been furloughed in these areas.  </w:t>
      </w:r>
      <w:r>
        <w:rPr>
          <w:rFonts w:ascii="Arial" w:hAnsi="Arial" w:cs="Arial"/>
          <w:sz w:val="24"/>
          <w:szCs w:val="24"/>
        </w:rPr>
        <w:t>E</w:t>
      </w:r>
      <w:r w:rsidRPr="008E2F12">
        <w:rPr>
          <w:rFonts w:ascii="Arial" w:hAnsi="Arial" w:cs="Arial"/>
          <w:sz w:val="24"/>
          <w:szCs w:val="24"/>
        </w:rPr>
        <w:t xml:space="preserve">xtensive scenario planning </w:t>
      </w:r>
      <w:r>
        <w:rPr>
          <w:rFonts w:ascii="Arial" w:hAnsi="Arial" w:cs="Arial"/>
          <w:sz w:val="24"/>
          <w:szCs w:val="24"/>
        </w:rPr>
        <w:t xml:space="preserve">and modelling of the new restrictions has taken place, to include best, mid and worst case sensitivities and </w:t>
      </w:r>
      <w:r w:rsidRPr="008E2F12">
        <w:rPr>
          <w:rFonts w:ascii="Arial" w:hAnsi="Arial" w:cs="Arial"/>
          <w:sz w:val="24"/>
          <w:szCs w:val="24"/>
        </w:rPr>
        <w:t>the Trust is confident that it has sufficient financial and operational resources to operate through this period of disruption.</w:t>
      </w:r>
    </w:p>
    <w:p w14:paraId="196C2BEF" w14:textId="77777777" w:rsidR="00BE6C5F" w:rsidRPr="00336B16" w:rsidRDefault="00BE6C5F" w:rsidP="006647C2">
      <w:pPr>
        <w:autoSpaceDE w:val="0"/>
        <w:autoSpaceDN w:val="0"/>
        <w:adjustRightInd w:val="0"/>
        <w:spacing w:after="240" w:line="240" w:lineRule="auto"/>
        <w:jc w:val="both"/>
        <w:rPr>
          <w:rFonts w:ascii="Arial" w:hAnsi="Arial" w:cs="Arial"/>
          <w:sz w:val="24"/>
          <w:szCs w:val="24"/>
        </w:rPr>
      </w:pPr>
    </w:p>
    <w:sectPr w:rsidR="00BE6C5F" w:rsidRPr="00336B16" w:rsidSect="006647C2">
      <w:type w:val="continuous"/>
      <w:pgSz w:w="11906" w:h="16838"/>
      <w:pgMar w:top="1440" w:right="1558"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8673D4" w14:textId="77777777" w:rsidR="00A532CD" w:rsidRDefault="00A532CD" w:rsidP="0091369A">
      <w:pPr>
        <w:spacing w:after="0" w:line="240" w:lineRule="auto"/>
      </w:pPr>
      <w:r>
        <w:separator/>
      </w:r>
    </w:p>
  </w:endnote>
  <w:endnote w:type="continuationSeparator" w:id="0">
    <w:p w14:paraId="678EC1F4" w14:textId="77777777" w:rsidR="00A532CD" w:rsidRDefault="00A532CD" w:rsidP="0091369A">
      <w:pPr>
        <w:spacing w:after="0" w:line="240" w:lineRule="auto"/>
      </w:pPr>
      <w:r>
        <w:continuationSeparator/>
      </w:r>
    </w:p>
  </w:endnote>
  <w:endnote w:type="continuationNotice" w:id="1">
    <w:p w14:paraId="07890705" w14:textId="77777777" w:rsidR="00A532CD" w:rsidRDefault="00A532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FS Albert Trial Light">
    <w:altName w:val="Corbel"/>
    <w:panose1 w:val="00000000000000000000"/>
    <w:charset w:val="00"/>
    <w:family w:val="modern"/>
    <w:notTrueType/>
    <w:pitch w:val="variable"/>
    <w:sig w:usb0="80000007" w:usb1="1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ZapfDingbatsITC">
    <w:altName w:val="MS Gothic"/>
    <w:panose1 w:val="00000000000000000000"/>
    <w:charset w:val="80"/>
    <w:family w:val="auto"/>
    <w:notTrueType/>
    <w:pitch w:val="default"/>
    <w:sig w:usb0="00000000" w:usb1="08070000" w:usb2="00000010" w:usb3="00000000" w:csb0="00020000" w:csb1="00000000"/>
  </w:font>
  <w:font w:name="OpenSans-Light">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4142136"/>
      <w:docPartObj>
        <w:docPartGallery w:val="Page Numbers (Bottom of Page)"/>
        <w:docPartUnique/>
      </w:docPartObj>
    </w:sdtPr>
    <w:sdtEndPr>
      <w:rPr>
        <w:noProof/>
      </w:rPr>
    </w:sdtEndPr>
    <w:sdtContent>
      <w:p w14:paraId="008B3CA6" w14:textId="77777777" w:rsidR="00DC0239" w:rsidRDefault="00DC023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8A25B0F" w14:textId="77777777" w:rsidR="00DC0239" w:rsidRDefault="00DC02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EC6569" w14:textId="77777777" w:rsidR="00DC0239" w:rsidRPr="006E45D6" w:rsidRDefault="00DC0239" w:rsidP="009579B2">
    <w:pPr>
      <w:autoSpaceDE w:val="0"/>
      <w:autoSpaceDN w:val="0"/>
      <w:adjustRightInd w:val="0"/>
      <w:spacing w:after="0" w:line="240" w:lineRule="auto"/>
      <w:jc w:val="center"/>
      <w:rPr>
        <w:rFonts w:ascii="Arial" w:hAnsi="Arial" w:cs="Arial"/>
        <w:sz w:val="24"/>
        <w:szCs w:val="24"/>
      </w:rPr>
    </w:pPr>
    <w:r w:rsidRPr="006E45D6">
      <w:rPr>
        <w:rFonts w:ascii="Arial" w:hAnsi="Arial" w:cs="Arial"/>
        <w:sz w:val="24"/>
        <w:szCs w:val="24"/>
      </w:rPr>
      <w:t xml:space="preserve">Registered Company Number </w:t>
    </w:r>
    <w:r>
      <w:rPr>
        <w:rFonts w:ascii="Arial" w:hAnsi="Arial" w:cs="Arial"/>
        <w:sz w:val="24"/>
        <w:szCs w:val="24"/>
      </w:rPr>
      <w:t>0</w:t>
    </w:r>
    <w:r w:rsidRPr="006E45D6">
      <w:rPr>
        <w:rFonts w:ascii="Arial" w:hAnsi="Arial" w:cs="Arial"/>
        <w:sz w:val="24"/>
        <w:szCs w:val="24"/>
      </w:rPr>
      <w:t>1744121</w:t>
    </w:r>
  </w:p>
  <w:p w14:paraId="0FFB29B1" w14:textId="77777777" w:rsidR="00DC0239" w:rsidRPr="006E45D6" w:rsidRDefault="00DC0239" w:rsidP="009579B2">
    <w:pPr>
      <w:autoSpaceDE w:val="0"/>
      <w:autoSpaceDN w:val="0"/>
      <w:adjustRightInd w:val="0"/>
      <w:spacing w:after="0" w:line="240" w:lineRule="auto"/>
      <w:jc w:val="center"/>
      <w:rPr>
        <w:rFonts w:ascii="Arial" w:hAnsi="Arial" w:cs="Arial"/>
        <w:sz w:val="24"/>
        <w:szCs w:val="24"/>
      </w:rPr>
    </w:pPr>
    <w:r w:rsidRPr="006E45D6">
      <w:rPr>
        <w:rFonts w:ascii="Arial" w:hAnsi="Arial" w:cs="Arial"/>
        <w:sz w:val="24"/>
        <w:szCs w:val="24"/>
      </w:rPr>
      <w:t>Registered Charity Number in England &amp; Wales 287785</w:t>
    </w:r>
  </w:p>
  <w:p w14:paraId="317B15C9" w14:textId="77777777" w:rsidR="00DC0239" w:rsidRPr="006E45D6" w:rsidRDefault="00DC0239" w:rsidP="009579B2">
    <w:pPr>
      <w:autoSpaceDE w:val="0"/>
      <w:autoSpaceDN w:val="0"/>
      <w:adjustRightInd w:val="0"/>
      <w:spacing w:after="0" w:line="240" w:lineRule="auto"/>
      <w:jc w:val="center"/>
      <w:rPr>
        <w:rFonts w:ascii="Arial" w:hAnsi="Arial" w:cs="Arial"/>
        <w:sz w:val="24"/>
        <w:szCs w:val="24"/>
      </w:rPr>
    </w:pPr>
    <w:r w:rsidRPr="006E45D6">
      <w:rPr>
        <w:rFonts w:ascii="Arial" w:hAnsi="Arial" w:cs="Arial"/>
        <w:sz w:val="24"/>
        <w:szCs w:val="24"/>
      </w:rPr>
      <w:t>Registered Charity Number in Scotland SC039856</w:t>
    </w:r>
  </w:p>
  <w:p w14:paraId="59FF997C" w14:textId="77777777" w:rsidR="00DC0239" w:rsidRDefault="00DC0239" w:rsidP="00336B16">
    <w:pPr>
      <w:spacing w:line="240" w:lineRule="auto"/>
      <w:jc w:val="center"/>
    </w:pPr>
    <w:r w:rsidRPr="006E45D6">
      <w:rPr>
        <w:rFonts w:ascii="Arial" w:hAnsi="Arial" w:cs="Arial"/>
        <w:sz w:val="24"/>
        <w:szCs w:val="24"/>
      </w:rPr>
      <w:t>A Company Limited by Guarantee</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3710759"/>
      <w:docPartObj>
        <w:docPartGallery w:val="Page Numbers (Bottom of Page)"/>
        <w:docPartUnique/>
      </w:docPartObj>
    </w:sdtPr>
    <w:sdtEndPr>
      <w:rPr>
        <w:noProof/>
      </w:rPr>
    </w:sdtEndPr>
    <w:sdtContent>
      <w:p w14:paraId="23DFB528" w14:textId="77777777" w:rsidR="00DC0239" w:rsidRPr="00B1233C" w:rsidRDefault="00DC0239" w:rsidP="00B1233C">
        <w:pPr>
          <w:pStyle w:val="Footer"/>
          <w:jc w:val="center"/>
        </w:pPr>
        <w:r w:rsidRPr="00B1233C">
          <w:rPr>
            <w:rFonts w:ascii="Arial" w:hAnsi="Arial" w:cs="Arial"/>
            <w:sz w:val="20"/>
            <w:szCs w:val="20"/>
          </w:rPr>
          <w:fldChar w:fldCharType="begin"/>
        </w:r>
        <w:r w:rsidRPr="00B1233C">
          <w:rPr>
            <w:rFonts w:ascii="Arial" w:hAnsi="Arial" w:cs="Arial"/>
            <w:sz w:val="20"/>
            <w:szCs w:val="20"/>
          </w:rPr>
          <w:instrText xml:space="preserve"> PAGE   \* MERGEFORMAT </w:instrText>
        </w:r>
        <w:r w:rsidRPr="00B1233C">
          <w:rPr>
            <w:rFonts w:ascii="Arial" w:hAnsi="Arial" w:cs="Arial"/>
            <w:sz w:val="20"/>
            <w:szCs w:val="20"/>
          </w:rPr>
          <w:fldChar w:fldCharType="separate"/>
        </w:r>
        <w:r>
          <w:rPr>
            <w:rFonts w:ascii="Arial" w:hAnsi="Arial" w:cs="Arial"/>
            <w:noProof/>
            <w:sz w:val="20"/>
            <w:szCs w:val="20"/>
          </w:rPr>
          <w:t>3</w:t>
        </w:r>
        <w:r w:rsidRPr="00B1233C">
          <w:rPr>
            <w:rFonts w:ascii="Arial" w:hAnsi="Arial" w:cs="Arial"/>
            <w:noProof/>
            <w:sz w:val="20"/>
            <w:szCs w:val="20"/>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B00DF4" w14:textId="364E1F20" w:rsidR="00DC0239" w:rsidRPr="00DA5F3E" w:rsidRDefault="00DC0239" w:rsidP="00DA5F3E">
    <w:pPr>
      <w:pStyle w:val="Footer"/>
      <w:tabs>
        <w:tab w:val="clear" w:pos="4513"/>
        <w:tab w:val="clear" w:pos="9026"/>
        <w:tab w:val="center" w:pos="0"/>
        <w:tab w:val="right" w:pos="9746"/>
      </w:tabs>
      <w:jc w:val="right"/>
      <w:rPr>
        <w:rFonts w:ascii="Arial" w:eastAsia="Arial" w:hAnsi="Arial" w:cs="Arial"/>
        <w:b/>
        <w:bCs/>
        <w:sz w:val="24"/>
        <w:szCs w:val="24"/>
      </w:rPr>
    </w:pPr>
    <w:r w:rsidRPr="00433D9F">
      <w:rPr>
        <w:rFonts w:ascii="Arial" w:hAnsi="Arial" w:cs="Arial"/>
        <w:sz w:val="24"/>
        <w:szCs w:val="24"/>
      </w:rPr>
      <w:t xml:space="preserve">Page </w:t>
    </w:r>
    <w:r w:rsidRPr="00433D9F">
      <w:rPr>
        <w:rFonts w:ascii="Arial" w:hAnsi="Arial" w:cs="Arial"/>
        <w:b/>
        <w:bCs/>
        <w:sz w:val="24"/>
        <w:szCs w:val="24"/>
      </w:rPr>
      <w:fldChar w:fldCharType="begin"/>
    </w:r>
    <w:r w:rsidRPr="00433D9F">
      <w:rPr>
        <w:rFonts w:ascii="Arial" w:hAnsi="Arial" w:cs="Arial"/>
        <w:b/>
        <w:bCs/>
        <w:sz w:val="24"/>
        <w:szCs w:val="24"/>
      </w:rPr>
      <w:instrText xml:space="preserve"> PAGE </w:instrText>
    </w:r>
    <w:r w:rsidRPr="00433D9F">
      <w:rPr>
        <w:rFonts w:ascii="Arial" w:hAnsi="Arial" w:cs="Arial"/>
        <w:b/>
        <w:bCs/>
        <w:sz w:val="24"/>
        <w:szCs w:val="24"/>
      </w:rPr>
      <w:fldChar w:fldCharType="separate"/>
    </w:r>
    <w:r w:rsidR="009F2F8E">
      <w:rPr>
        <w:rFonts w:ascii="Arial" w:hAnsi="Arial" w:cs="Arial"/>
        <w:b/>
        <w:bCs/>
        <w:noProof/>
        <w:sz w:val="24"/>
        <w:szCs w:val="24"/>
      </w:rPr>
      <w:t>2</w:t>
    </w:r>
    <w:r w:rsidRPr="00433D9F">
      <w:rPr>
        <w:rFonts w:ascii="Arial" w:hAnsi="Arial" w:cs="Arial"/>
        <w:b/>
        <w:bCs/>
        <w:sz w:val="24"/>
        <w:szCs w:val="24"/>
      </w:rPr>
      <w:fldChar w:fldCharType="end"/>
    </w:r>
    <w:r w:rsidRPr="00433D9F">
      <w:rPr>
        <w:rFonts w:ascii="Arial" w:hAnsi="Arial" w:cs="Arial"/>
        <w:sz w:val="24"/>
        <w:szCs w:val="24"/>
      </w:rPr>
      <w:t xml:space="preserve"> of </w:t>
    </w:r>
    <w:r w:rsidRPr="00433D9F">
      <w:rPr>
        <w:rFonts w:ascii="Arial" w:hAnsi="Arial" w:cs="Arial"/>
        <w:b/>
        <w:bCs/>
        <w:sz w:val="24"/>
        <w:szCs w:val="24"/>
      </w:rPr>
      <w:fldChar w:fldCharType="begin"/>
    </w:r>
    <w:r w:rsidRPr="00433D9F">
      <w:rPr>
        <w:rFonts w:ascii="Arial" w:hAnsi="Arial" w:cs="Arial"/>
        <w:b/>
        <w:bCs/>
        <w:sz w:val="24"/>
        <w:szCs w:val="24"/>
      </w:rPr>
      <w:instrText xml:space="preserve"> NUMPAGES  </w:instrText>
    </w:r>
    <w:r w:rsidRPr="00433D9F">
      <w:rPr>
        <w:rFonts w:ascii="Arial" w:hAnsi="Arial" w:cs="Arial"/>
        <w:b/>
        <w:bCs/>
        <w:sz w:val="24"/>
        <w:szCs w:val="24"/>
      </w:rPr>
      <w:fldChar w:fldCharType="separate"/>
    </w:r>
    <w:r w:rsidR="009F2F8E">
      <w:rPr>
        <w:rFonts w:ascii="Arial" w:hAnsi="Arial" w:cs="Arial"/>
        <w:b/>
        <w:bCs/>
        <w:noProof/>
        <w:sz w:val="24"/>
        <w:szCs w:val="24"/>
      </w:rPr>
      <w:t>88</w:t>
    </w:r>
    <w:r w:rsidRPr="00433D9F">
      <w:rPr>
        <w:rFonts w:ascii="Arial" w:hAnsi="Arial" w:cs="Arial"/>
        <w:b/>
        <w:bCs/>
        <w:sz w:val="24"/>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47AADE" w14:textId="405B7C1F" w:rsidR="00DC0239" w:rsidRPr="00DA5F3E" w:rsidRDefault="00DC0239" w:rsidP="00BE727F">
    <w:pPr>
      <w:pStyle w:val="Footer"/>
      <w:tabs>
        <w:tab w:val="clear" w:pos="4513"/>
        <w:tab w:val="clear" w:pos="9026"/>
        <w:tab w:val="center" w:pos="0"/>
        <w:tab w:val="right" w:pos="8908"/>
      </w:tabs>
      <w:jc w:val="center"/>
      <w:rPr>
        <w:rFonts w:ascii="Arial" w:eastAsia="Arial" w:hAnsi="Arial" w:cs="Arial"/>
        <w:b/>
        <w:bCs/>
        <w:sz w:val="24"/>
        <w:szCs w:val="24"/>
      </w:rPr>
    </w:pPr>
    <w:r>
      <w:rPr>
        <w:rFonts w:ascii="Arial" w:hAnsi="Arial" w:cs="Arial"/>
        <w:sz w:val="24"/>
        <w:szCs w:val="24"/>
      </w:rPr>
      <w:tab/>
    </w:r>
    <w:r w:rsidRPr="00433D9F">
      <w:rPr>
        <w:rFonts w:ascii="Arial" w:hAnsi="Arial" w:cs="Arial"/>
        <w:sz w:val="24"/>
        <w:szCs w:val="24"/>
      </w:rPr>
      <w:t xml:space="preserve">Page </w:t>
    </w:r>
    <w:r w:rsidRPr="00433D9F">
      <w:rPr>
        <w:rFonts w:ascii="Arial" w:hAnsi="Arial" w:cs="Arial"/>
        <w:b/>
        <w:bCs/>
        <w:sz w:val="24"/>
        <w:szCs w:val="24"/>
      </w:rPr>
      <w:fldChar w:fldCharType="begin"/>
    </w:r>
    <w:r w:rsidRPr="00433D9F">
      <w:rPr>
        <w:rFonts w:ascii="Arial" w:hAnsi="Arial" w:cs="Arial"/>
        <w:b/>
        <w:bCs/>
        <w:sz w:val="24"/>
        <w:szCs w:val="24"/>
      </w:rPr>
      <w:instrText xml:space="preserve"> PAGE </w:instrText>
    </w:r>
    <w:r w:rsidRPr="00433D9F">
      <w:rPr>
        <w:rFonts w:ascii="Arial" w:hAnsi="Arial" w:cs="Arial"/>
        <w:b/>
        <w:bCs/>
        <w:sz w:val="24"/>
        <w:szCs w:val="24"/>
      </w:rPr>
      <w:fldChar w:fldCharType="separate"/>
    </w:r>
    <w:r w:rsidR="009F2F8E">
      <w:rPr>
        <w:rFonts w:ascii="Arial" w:hAnsi="Arial" w:cs="Arial"/>
        <w:b/>
        <w:bCs/>
        <w:noProof/>
        <w:sz w:val="24"/>
        <w:szCs w:val="24"/>
      </w:rPr>
      <w:t>21</w:t>
    </w:r>
    <w:r w:rsidRPr="00433D9F">
      <w:rPr>
        <w:rFonts w:ascii="Arial" w:hAnsi="Arial" w:cs="Arial"/>
        <w:b/>
        <w:bCs/>
        <w:sz w:val="24"/>
        <w:szCs w:val="24"/>
      </w:rPr>
      <w:fldChar w:fldCharType="end"/>
    </w:r>
    <w:r w:rsidRPr="00433D9F">
      <w:rPr>
        <w:rFonts w:ascii="Arial" w:hAnsi="Arial" w:cs="Arial"/>
        <w:sz w:val="24"/>
        <w:szCs w:val="24"/>
      </w:rPr>
      <w:t xml:space="preserve"> of </w:t>
    </w:r>
    <w:r w:rsidRPr="00433D9F">
      <w:rPr>
        <w:rFonts w:ascii="Arial" w:hAnsi="Arial" w:cs="Arial"/>
        <w:b/>
        <w:bCs/>
        <w:sz w:val="24"/>
        <w:szCs w:val="24"/>
      </w:rPr>
      <w:fldChar w:fldCharType="begin"/>
    </w:r>
    <w:r w:rsidRPr="00433D9F">
      <w:rPr>
        <w:rFonts w:ascii="Arial" w:hAnsi="Arial" w:cs="Arial"/>
        <w:b/>
        <w:bCs/>
        <w:sz w:val="24"/>
        <w:szCs w:val="24"/>
      </w:rPr>
      <w:instrText xml:space="preserve"> NUMPAGES  </w:instrText>
    </w:r>
    <w:r w:rsidRPr="00433D9F">
      <w:rPr>
        <w:rFonts w:ascii="Arial" w:hAnsi="Arial" w:cs="Arial"/>
        <w:b/>
        <w:bCs/>
        <w:sz w:val="24"/>
        <w:szCs w:val="24"/>
      </w:rPr>
      <w:fldChar w:fldCharType="separate"/>
    </w:r>
    <w:r w:rsidR="009F2F8E">
      <w:rPr>
        <w:rFonts w:ascii="Arial" w:hAnsi="Arial" w:cs="Arial"/>
        <w:b/>
        <w:bCs/>
        <w:noProof/>
        <w:sz w:val="24"/>
        <w:szCs w:val="24"/>
      </w:rPr>
      <w:t>88</w:t>
    </w:r>
    <w:r w:rsidRPr="00433D9F">
      <w:rPr>
        <w:rFonts w:ascii="Arial" w:hAnsi="Arial" w:cs="Arial"/>
        <w:b/>
        <w:bCs/>
        <w:sz w:val="24"/>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6089218"/>
      <w:docPartObj>
        <w:docPartGallery w:val="Page Numbers (Bottom of Page)"/>
        <w:docPartUnique/>
      </w:docPartObj>
    </w:sdtPr>
    <w:sdtEndPr>
      <w:rPr>
        <w:noProof/>
      </w:rPr>
    </w:sdtEndPr>
    <w:sdtContent>
      <w:p w14:paraId="0D5EAE21" w14:textId="77777777" w:rsidR="00DC0239" w:rsidRDefault="00DC0239">
        <w:pPr>
          <w:pStyle w:val="Footer"/>
          <w:jc w:val="center"/>
        </w:pPr>
        <w:r w:rsidRPr="009579B2">
          <w:rPr>
            <w:rFonts w:ascii="Arial" w:hAnsi="Arial" w:cs="Arial"/>
            <w:sz w:val="16"/>
            <w:szCs w:val="16"/>
          </w:rPr>
          <w:fldChar w:fldCharType="begin"/>
        </w:r>
        <w:r w:rsidRPr="009579B2">
          <w:rPr>
            <w:rFonts w:ascii="Arial" w:hAnsi="Arial" w:cs="Arial"/>
            <w:sz w:val="16"/>
            <w:szCs w:val="16"/>
          </w:rPr>
          <w:instrText xml:space="preserve"> PAGE   \* MERGEFORMAT </w:instrText>
        </w:r>
        <w:r w:rsidRPr="009579B2">
          <w:rPr>
            <w:rFonts w:ascii="Arial" w:hAnsi="Arial" w:cs="Arial"/>
            <w:sz w:val="16"/>
            <w:szCs w:val="16"/>
          </w:rPr>
          <w:fldChar w:fldCharType="separate"/>
        </w:r>
        <w:r>
          <w:rPr>
            <w:rFonts w:ascii="Arial" w:hAnsi="Arial" w:cs="Arial"/>
            <w:noProof/>
            <w:sz w:val="16"/>
            <w:szCs w:val="16"/>
          </w:rPr>
          <w:t>1</w:t>
        </w:r>
        <w:r w:rsidRPr="009579B2">
          <w:rPr>
            <w:rFonts w:ascii="Arial" w:hAnsi="Arial" w:cs="Arial"/>
            <w:noProof/>
            <w:sz w:val="16"/>
            <w:szCs w:val="16"/>
          </w:rPr>
          <w:fldChar w:fldCharType="end"/>
        </w:r>
      </w:p>
    </w:sdtContent>
  </w:sdt>
  <w:p w14:paraId="044AF205" w14:textId="77777777" w:rsidR="00DC0239" w:rsidRDefault="00DC0239" w:rsidP="00336B16">
    <w:pPr>
      <w:spacing w:line="240" w:lineRule="auto"/>
      <w:jc w:val="cen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4383570"/>
      <w:docPartObj>
        <w:docPartGallery w:val="Page Numbers (Bottom of Page)"/>
        <w:docPartUnique/>
      </w:docPartObj>
    </w:sdtPr>
    <w:sdtEndPr>
      <w:rPr>
        <w:noProof/>
      </w:rPr>
    </w:sdtEndPr>
    <w:sdtContent>
      <w:p w14:paraId="79AC155B" w14:textId="77777777" w:rsidR="00DC0239" w:rsidRDefault="00DC0239">
        <w:pPr>
          <w:pStyle w:val="Footer"/>
          <w:jc w:val="center"/>
        </w:pPr>
        <w:r w:rsidRPr="009579B2">
          <w:rPr>
            <w:rFonts w:ascii="Arial" w:hAnsi="Arial" w:cs="Arial"/>
            <w:sz w:val="16"/>
            <w:szCs w:val="16"/>
          </w:rPr>
          <w:fldChar w:fldCharType="begin"/>
        </w:r>
        <w:r w:rsidRPr="009579B2">
          <w:rPr>
            <w:rFonts w:ascii="Arial" w:hAnsi="Arial" w:cs="Arial"/>
            <w:sz w:val="16"/>
            <w:szCs w:val="16"/>
          </w:rPr>
          <w:instrText xml:space="preserve"> PAGE   \* MERGEFORMAT </w:instrText>
        </w:r>
        <w:r w:rsidRPr="009579B2">
          <w:rPr>
            <w:rFonts w:ascii="Arial" w:hAnsi="Arial" w:cs="Arial"/>
            <w:sz w:val="16"/>
            <w:szCs w:val="16"/>
          </w:rPr>
          <w:fldChar w:fldCharType="separate"/>
        </w:r>
        <w:r>
          <w:rPr>
            <w:rFonts w:ascii="Arial" w:hAnsi="Arial" w:cs="Arial"/>
            <w:noProof/>
            <w:sz w:val="16"/>
            <w:szCs w:val="16"/>
          </w:rPr>
          <w:t>1</w:t>
        </w:r>
        <w:r w:rsidRPr="009579B2">
          <w:rPr>
            <w:rFonts w:ascii="Arial" w:hAnsi="Arial" w:cs="Arial"/>
            <w:noProof/>
            <w:sz w:val="16"/>
            <w:szCs w:val="16"/>
          </w:rPr>
          <w:fldChar w:fldCharType="end"/>
        </w:r>
      </w:p>
    </w:sdtContent>
  </w:sdt>
  <w:p w14:paraId="59BC3905" w14:textId="77777777" w:rsidR="00DC0239" w:rsidRDefault="00DC0239" w:rsidP="00336B16">
    <w:pPr>
      <w:spacing w:line="240" w:lineRule="auto"/>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F33B02" w14:textId="77777777" w:rsidR="00A532CD" w:rsidRDefault="00A532CD" w:rsidP="0091369A">
      <w:pPr>
        <w:spacing w:after="0" w:line="240" w:lineRule="auto"/>
      </w:pPr>
      <w:r>
        <w:separator/>
      </w:r>
    </w:p>
  </w:footnote>
  <w:footnote w:type="continuationSeparator" w:id="0">
    <w:p w14:paraId="56973309" w14:textId="77777777" w:rsidR="00A532CD" w:rsidRDefault="00A532CD" w:rsidP="0091369A">
      <w:pPr>
        <w:spacing w:after="0" w:line="240" w:lineRule="auto"/>
      </w:pPr>
      <w:r>
        <w:continuationSeparator/>
      </w:r>
    </w:p>
  </w:footnote>
  <w:footnote w:type="continuationNotice" w:id="1">
    <w:p w14:paraId="3945A683" w14:textId="77777777" w:rsidR="00A532CD" w:rsidRDefault="00A532C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2B869A" w14:textId="77777777" w:rsidR="00DC0239" w:rsidRPr="00B56190" w:rsidRDefault="00DC0239">
    <w:pPr>
      <w:pStyle w:val="Header"/>
      <w:rPr>
        <w:b/>
      </w:rPr>
    </w:pPr>
    <w:r w:rsidRPr="00B56190">
      <w:rPr>
        <w:rFonts w:ascii="Arial" w:hAnsi="Arial"/>
        <w:b/>
      </w:rPr>
      <w:t>Trustees Annual Report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443A77" w14:textId="77777777" w:rsidR="00DC0239" w:rsidRPr="00E814DA" w:rsidRDefault="00DC0239" w:rsidP="00E814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6AE6EF" w14:textId="77777777" w:rsidR="00DC0239" w:rsidRPr="00EB4D0C" w:rsidRDefault="00DC0239">
    <w:pPr>
      <w:rPr>
        <w:rFonts w:ascii="Arial" w:hAnsi="Arial" w:cs="Arial"/>
        <w:b/>
      </w:rPr>
    </w:pPr>
    <w:r w:rsidRPr="00EB4D0C">
      <w:rPr>
        <w:rFonts w:ascii="Arial" w:hAnsi="Arial" w:cs="Arial"/>
        <w:b/>
      </w:rPr>
      <w:t>Trustees Annual Report</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C4B1DC" w14:textId="77777777" w:rsidR="00DC0239" w:rsidRPr="00E814DA" w:rsidRDefault="00DC0239" w:rsidP="00E814D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353966" w14:textId="77777777" w:rsidR="00DC0239" w:rsidRPr="00B56190" w:rsidRDefault="00DC0239">
    <w:pPr>
      <w:pStyle w:val="Header"/>
    </w:pPr>
    <w:r w:rsidRPr="00B56190">
      <w:rPr>
        <w:rFonts w:ascii="Arial" w:hAnsi="Arial"/>
        <w:b/>
      </w:rPr>
      <w:t xml:space="preserve">Shaw Trust </w:t>
    </w:r>
    <w:r>
      <w:rPr>
        <w:rFonts w:ascii="Arial" w:hAnsi="Arial"/>
        <w:b/>
      </w:rPr>
      <w:t>Limited Statements</w:t>
    </w:r>
    <w:r w:rsidRPr="00B56190">
      <w:rPr>
        <w:rFonts w:ascii="Arial" w:hAnsi="Arial"/>
        <w:b/>
      </w:rPr>
      <w:t xml:space="preserve"> </w:t>
    </w:r>
    <w:r w:rsidRPr="00B56190">
      <w:rPr>
        <w:rFonts w:ascii="Arial" w:hAnsi="Arial"/>
      </w:rPr>
      <w:t>for the year to 31 August 2020</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3B95EB" w14:textId="77777777" w:rsidR="00DC0239" w:rsidRPr="00E814DA" w:rsidRDefault="00DC0239" w:rsidP="00E814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61A4D"/>
    <w:multiLevelType w:val="hybridMultilevel"/>
    <w:tmpl w:val="8592D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7E3B7B"/>
    <w:multiLevelType w:val="hybridMultilevel"/>
    <w:tmpl w:val="440E3BA6"/>
    <w:lvl w:ilvl="0" w:tplc="08090017">
      <w:start w:val="1"/>
      <w:numFmt w:val="lowerLetter"/>
      <w:lvlText w:val="%1)"/>
      <w:lvlJc w:val="left"/>
      <w:pPr>
        <w:ind w:left="720" w:hanging="360"/>
      </w:p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AC19B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C6A6D04"/>
    <w:multiLevelType w:val="hybridMultilevel"/>
    <w:tmpl w:val="D320328A"/>
    <w:lvl w:ilvl="0" w:tplc="20D618B6">
      <w:start w:val="1"/>
      <w:numFmt w:val="decimal"/>
      <w:lvlText w:val="%1."/>
      <w:lvlJc w:val="left"/>
      <w:pPr>
        <w:ind w:left="2009" w:hanging="450"/>
      </w:pPr>
      <w:rPr>
        <w:rFonts w:hint="default"/>
        <w:b/>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10B10B5F"/>
    <w:multiLevelType w:val="hybridMultilevel"/>
    <w:tmpl w:val="FBE4D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FF6763"/>
    <w:multiLevelType w:val="hybridMultilevel"/>
    <w:tmpl w:val="564C1B14"/>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1D358A"/>
    <w:multiLevelType w:val="hybridMultilevel"/>
    <w:tmpl w:val="72DCF73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B52136"/>
    <w:multiLevelType w:val="hybridMultilevel"/>
    <w:tmpl w:val="8898C762"/>
    <w:lvl w:ilvl="0" w:tplc="28CC897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475526E"/>
    <w:multiLevelType w:val="hybridMultilevel"/>
    <w:tmpl w:val="F99A167C"/>
    <w:lvl w:ilvl="0" w:tplc="42EA5A44">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5D663F"/>
    <w:multiLevelType w:val="hybridMultilevel"/>
    <w:tmpl w:val="9F063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D5772C"/>
    <w:multiLevelType w:val="hybridMultilevel"/>
    <w:tmpl w:val="58065B9A"/>
    <w:lvl w:ilvl="0" w:tplc="B07C30E0">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D107A2E"/>
    <w:multiLevelType w:val="hybridMultilevel"/>
    <w:tmpl w:val="1C289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8243AE"/>
    <w:multiLevelType w:val="hybridMultilevel"/>
    <w:tmpl w:val="637C10C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7D22A86"/>
    <w:multiLevelType w:val="hybridMultilevel"/>
    <w:tmpl w:val="3BAC94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EA1C80"/>
    <w:multiLevelType w:val="hybridMultilevel"/>
    <w:tmpl w:val="0CB83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69122A"/>
    <w:multiLevelType w:val="hybridMultilevel"/>
    <w:tmpl w:val="A614FCC4"/>
    <w:lvl w:ilvl="0" w:tplc="F5FC7090">
      <w:start w:val="1"/>
      <w:numFmt w:val="bullet"/>
      <w:pStyle w:val="ListBullet"/>
      <w:lvlText w:val="·"/>
      <w:lvlJc w:val="left"/>
      <w:pPr>
        <w:tabs>
          <w:tab w:val="num" w:pos="0"/>
        </w:tabs>
        <w:ind w:left="1077" w:hanging="360"/>
      </w:pPr>
      <w:rPr>
        <w:rFonts w:ascii="Symbol" w:hAnsi="Symbol" w:hint="default"/>
        <w:i w:val="0"/>
      </w:rPr>
    </w:lvl>
    <w:lvl w:ilvl="1" w:tplc="E34A44F6">
      <w:start w:val="1"/>
      <w:numFmt w:val="bullet"/>
      <w:lvlText w:val="o"/>
      <w:lvlJc w:val="left"/>
      <w:pPr>
        <w:tabs>
          <w:tab w:val="num" w:pos="0"/>
        </w:tabs>
        <w:ind w:left="1797" w:hanging="360"/>
      </w:pPr>
    </w:lvl>
    <w:lvl w:ilvl="2" w:tplc="106073CC">
      <w:start w:val="1"/>
      <w:numFmt w:val="bullet"/>
      <w:lvlText w:val="§"/>
      <w:lvlJc w:val="left"/>
      <w:pPr>
        <w:tabs>
          <w:tab w:val="num" w:pos="0"/>
        </w:tabs>
        <w:ind w:left="2517" w:hanging="360"/>
      </w:pPr>
    </w:lvl>
    <w:lvl w:ilvl="3" w:tplc="E5FA537C">
      <w:start w:val="1"/>
      <w:numFmt w:val="bullet"/>
      <w:lvlText w:val="·"/>
      <w:lvlJc w:val="left"/>
      <w:pPr>
        <w:tabs>
          <w:tab w:val="num" w:pos="0"/>
        </w:tabs>
        <w:ind w:left="3237" w:hanging="360"/>
      </w:pPr>
    </w:lvl>
    <w:lvl w:ilvl="4" w:tplc="1D6E86C0">
      <w:start w:val="1"/>
      <w:numFmt w:val="bullet"/>
      <w:lvlText w:val="o"/>
      <w:lvlJc w:val="left"/>
      <w:pPr>
        <w:tabs>
          <w:tab w:val="num" w:pos="0"/>
        </w:tabs>
        <w:ind w:left="3957" w:hanging="360"/>
      </w:pPr>
    </w:lvl>
    <w:lvl w:ilvl="5" w:tplc="01C890E8">
      <w:start w:val="1"/>
      <w:numFmt w:val="bullet"/>
      <w:lvlText w:val="§"/>
      <w:lvlJc w:val="left"/>
      <w:pPr>
        <w:tabs>
          <w:tab w:val="num" w:pos="0"/>
        </w:tabs>
        <w:ind w:left="4677" w:hanging="360"/>
      </w:pPr>
    </w:lvl>
    <w:lvl w:ilvl="6" w:tplc="B74A3016">
      <w:start w:val="1"/>
      <w:numFmt w:val="bullet"/>
      <w:lvlText w:val="·"/>
      <w:lvlJc w:val="left"/>
      <w:pPr>
        <w:tabs>
          <w:tab w:val="num" w:pos="0"/>
        </w:tabs>
        <w:ind w:left="5397" w:hanging="360"/>
      </w:pPr>
    </w:lvl>
    <w:lvl w:ilvl="7" w:tplc="271CCF4E">
      <w:start w:val="1"/>
      <w:numFmt w:val="bullet"/>
      <w:lvlText w:val="o"/>
      <w:lvlJc w:val="left"/>
      <w:pPr>
        <w:tabs>
          <w:tab w:val="num" w:pos="0"/>
        </w:tabs>
        <w:ind w:left="6117" w:hanging="360"/>
      </w:pPr>
    </w:lvl>
    <w:lvl w:ilvl="8" w:tplc="8F0C6254">
      <w:start w:val="1"/>
      <w:numFmt w:val="bullet"/>
      <w:lvlText w:val="§"/>
      <w:lvlJc w:val="left"/>
      <w:pPr>
        <w:tabs>
          <w:tab w:val="num" w:pos="0"/>
        </w:tabs>
        <w:ind w:left="6837" w:hanging="360"/>
      </w:pPr>
    </w:lvl>
  </w:abstractNum>
  <w:abstractNum w:abstractNumId="16" w15:restartNumberingAfterBreak="0">
    <w:nsid w:val="4DDA5774"/>
    <w:multiLevelType w:val="hybridMultilevel"/>
    <w:tmpl w:val="8F1A8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FE00943"/>
    <w:multiLevelType w:val="hybridMultilevel"/>
    <w:tmpl w:val="DE62E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2245787"/>
    <w:multiLevelType w:val="hybridMultilevel"/>
    <w:tmpl w:val="AC2C98DA"/>
    <w:lvl w:ilvl="0" w:tplc="A2EA783A">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9" w15:restartNumberingAfterBreak="0">
    <w:nsid w:val="62546E96"/>
    <w:multiLevelType w:val="hybridMultilevel"/>
    <w:tmpl w:val="1E249F5E"/>
    <w:lvl w:ilvl="0" w:tplc="28CC897E">
      <w:start w:val="1"/>
      <w:numFmt w:val="lowerLetter"/>
      <w:lvlText w:val="(%1)"/>
      <w:lvlJc w:val="left"/>
      <w:pPr>
        <w:ind w:left="420" w:hanging="360"/>
      </w:pPr>
      <w:rPr>
        <w:rFonts w:hint="default"/>
      </w:rPr>
    </w:lvl>
    <w:lvl w:ilvl="1" w:tplc="49EC55FC">
      <w:start w:val="1"/>
      <w:numFmt w:val="lowerLetter"/>
      <w:lvlText w:val="%2)"/>
      <w:lvlJc w:val="left"/>
      <w:pPr>
        <w:ind w:left="1140" w:hanging="360"/>
      </w:pPr>
      <w:rPr>
        <w:rFonts w:hint="default"/>
      </w:r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0" w15:restartNumberingAfterBreak="0">
    <w:nsid w:val="670E556A"/>
    <w:multiLevelType w:val="hybridMultilevel"/>
    <w:tmpl w:val="0BD8BAD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DB91FC4"/>
    <w:multiLevelType w:val="multilevel"/>
    <w:tmpl w:val="963C249A"/>
    <w:lvl w:ilvl="0">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6DCE4239"/>
    <w:multiLevelType w:val="hybridMultilevel"/>
    <w:tmpl w:val="6CAA13A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5A80D0F"/>
    <w:multiLevelType w:val="hybridMultilevel"/>
    <w:tmpl w:val="D19E2FCA"/>
    <w:lvl w:ilvl="0" w:tplc="654ED5EA">
      <w:start w:val="837"/>
      <w:numFmt w:val="bullet"/>
      <w:lvlText w:val="-"/>
      <w:lvlJc w:val="left"/>
      <w:pPr>
        <w:ind w:left="720" w:hanging="360"/>
      </w:pPr>
      <w:rPr>
        <w:rFonts w:ascii="Arial" w:eastAsia="Times New Roman" w:hAnsi="Arial" w:cs="Arial" w:hint="default"/>
      </w:rPr>
    </w:lvl>
    <w:lvl w:ilvl="1" w:tplc="654ED5EA">
      <w:start w:val="837"/>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CC5568B"/>
    <w:multiLevelType w:val="hybridMultilevel"/>
    <w:tmpl w:val="9F0AF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E030588"/>
    <w:multiLevelType w:val="hybridMultilevel"/>
    <w:tmpl w:val="06E6237E"/>
    <w:lvl w:ilvl="0" w:tplc="F7BEE67E">
      <w:start w:val="12"/>
      <w:numFmt w:val="decimal"/>
      <w:lvlText w:val="%1."/>
      <w:lvlJc w:val="left"/>
      <w:pPr>
        <w:ind w:left="810" w:hanging="45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9"/>
  </w:num>
  <w:num w:numId="2">
    <w:abstractNumId w:val="18"/>
  </w:num>
  <w:num w:numId="3">
    <w:abstractNumId w:val="3"/>
  </w:num>
  <w:num w:numId="4">
    <w:abstractNumId w:val="10"/>
  </w:num>
  <w:num w:numId="5">
    <w:abstractNumId w:val="23"/>
  </w:num>
  <w:num w:numId="6">
    <w:abstractNumId w:val="7"/>
  </w:num>
  <w:num w:numId="7">
    <w:abstractNumId w:val="6"/>
  </w:num>
  <w:num w:numId="8">
    <w:abstractNumId w:val="1"/>
  </w:num>
  <w:num w:numId="9">
    <w:abstractNumId w:val="20"/>
  </w:num>
  <w:num w:numId="10">
    <w:abstractNumId w:val="2"/>
  </w:num>
  <w:num w:numId="11">
    <w:abstractNumId w:val="8"/>
  </w:num>
  <w:num w:numId="12">
    <w:abstractNumId w:val="24"/>
  </w:num>
  <w:num w:numId="13">
    <w:abstractNumId w:val="17"/>
  </w:num>
  <w:num w:numId="14">
    <w:abstractNumId w:val="14"/>
  </w:num>
  <w:num w:numId="15">
    <w:abstractNumId w:val="16"/>
  </w:num>
  <w:num w:numId="16">
    <w:abstractNumId w:val="0"/>
  </w:num>
  <w:num w:numId="17">
    <w:abstractNumId w:val="4"/>
  </w:num>
  <w:num w:numId="18">
    <w:abstractNumId w:val="9"/>
  </w:num>
  <w:num w:numId="19">
    <w:abstractNumId w:val="11"/>
  </w:num>
  <w:num w:numId="20">
    <w:abstractNumId w:val="13"/>
  </w:num>
  <w:num w:numId="21">
    <w:abstractNumId w:val="22"/>
  </w:num>
  <w:num w:numId="22">
    <w:abstractNumId w:val="12"/>
  </w:num>
  <w:num w:numId="23">
    <w:abstractNumId w:val="25"/>
  </w:num>
  <w:num w:numId="24">
    <w:abstractNumId w:val="5"/>
  </w:num>
  <w:num w:numId="25">
    <w:abstractNumId w:val="15"/>
  </w:num>
  <w:num w:numId="26">
    <w:abstractNumId w:val="2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1" w:cryptProviderType="rsaAES" w:cryptAlgorithmClass="hash" w:cryptAlgorithmType="typeAny" w:cryptAlgorithmSid="14" w:cryptSpinCount="100000" w:hash="J1PPnWvKW6ynYunmCIxKE/HoTJl20UgXgBDGlXrFmTal4t1tz/y0bfn061MCjuWPKwT72DLHmeawmShFpffxXg==" w:salt="cAlD3HSllwJtrDnMS7ZGww=="/>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89A"/>
    <w:rsid w:val="00000B84"/>
    <w:rsid w:val="00000FD4"/>
    <w:rsid w:val="0000156E"/>
    <w:rsid w:val="00001799"/>
    <w:rsid w:val="000024AC"/>
    <w:rsid w:val="00002E7A"/>
    <w:rsid w:val="0000326E"/>
    <w:rsid w:val="00003B30"/>
    <w:rsid w:val="00004623"/>
    <w:rsid w:val="00004C8D"/>
    <w:rsid w:val="00004D5F"/>
    <w:rsid w:val="00005863"/>
    <w:rsid w:val="0000682B"/>
    <w:rsid w:val="00006841"/>
    <w:rsid w:val="000072F8"/>
    <w:rsid w:val="00010C57"/>
    <w:rsid w:val="0001190E"/>
    <w:rsid w:val="00012B53"/>
    <w:rsid w:val="00015A88"/>
    <w:rsid w:val="00015D98"/>
    <w:rsid w:val="000162DA"/>
    <w:rsid w:val="00016313"/>
    <w:rsid w:val="00016779"/>
    <w:rsid w:val="000171A5"/>
    <w:rsid w:val="00017DCA"/>
    <w:rsid w:val="00022375"/>
    <w:rsid w:val="0002280B"/>
    <w:rsid w:val="00024FB9"/>
    <w:rsid w:val="000266EA"/>
    <w:rsid w:val="00026DF4"/>
    <w:rsid w:val="0003060B"/>
    <w:rsid w:val="000307B6"/>
    <w:rsid w:val="00030B8A"/>
    <w:rsid w:val="00030EFE"/>
    <w:rsid w:val="00031376"/>
    <w:rsid w:val="00031438"/>
    <w:rsid w:val="000338F7"/>
    <w:rsid w:val="00034E33"/>
    <w:rsid w:val="000352F1"/>
    <w:rsid w:val="00036F96"/>
    <w:rsid w:val="00036FCB"/>
    <w:rsid w:val="000377FE"/>
    <w:rsid w:val="00037C20"/>
    <w:rsid w:val="00041132"/>
    <w:rsid w:val="000416E6"/>
    <w:rsid w:val="000426B5"/>
    <w:rsid w:val="00042EDD"/>
    <w:rsid w:val="000436A9"/>
    <w:rsid w:val="00043C76"/>
    <w:rsid w:val="000449F6"/>
    <w:rsid w:val="0004660D"/>
    <w:rsid w:val="00046B48"/>
    <w:rsid w:val="00047554"/>
    <w:rsid w:val="00047BC2"/>
    <w:rsid w:val="00047BDA"/>
    <w:rsid w:val="00047E5C"/>
    <w:rsid w:val="00050C68"/>
    <w:rsid w:val="00051804"/>
    <w:rsid w:val="00051F92"/>
    <w:rsid w:val="00052B09"/>
    <w:rsid w:val="000552F3"/>
    <w:rsid w:val="00057B62"/>
    <w:rsid w:val="000657DF"/>
    <w:rsid w:val="00065D56"/>
    <w:rsid w:val="000667B0"/>
    <w:rsid w:val="00066E02"/>
    <w:rsid w:val="00070D8D"/>
    <w:rsid w:val="000713F2"/>
    <w:rsid w:val="0007157A"/>
    <w:rsid w:val="00072096"/>
    <w:rsid w:val="00073DEA"/>
    <w:rsid w:val="00075F81"/>
    <w:rsid w:val="00077368"/>
    <w:rsid w:val="000819D2"/>
    <w:rsid w:val="00081EA5"/>
    <w:rsid w:val="00081ECF"/>
    <w:rsid w:val="000821DC"/>
    <w:rsid w:val="0008221E"/>
    <w:rsid w:val="000831ED"/>
    <w:rsid w:val="00083DDE"/>
    <w:rsid w:val="00084C2D"/>
    <w:rsid w:val="00085506"/>
    <w:rsid w:val="00085960"/>
    <w:rsid w:val="00085C2E"/>
    <w:rsid w:val="00087C63"/>
    <w:rsid w:val="00090654"/>
    <w:rsid w:val="000938D9"/>
    <w:rsid w:val="0009394E"/>
    <w:rsid w:val="00095CD1"/>
    <w:rsid w:val="000960C7"/>
    <w:rsid w:val="000974F6"/>
    <w:rsid w:val="000A0353"/>
    <w:rsid w:val="000A4A5D"/>
    <w:rsid w:val="000A54FA"/>
    <w:rsid w:val="000A7468"/>
    <w:rsid w:val="000A7866"/>
    <w:rsid w:val="000B10FA"/>
    <w:rsid w:val="000B2DF3"/>
    <w:rsid w:val="000B471D"/>
    <w:rsid w:val="000B534A"/>
    <w:rsid w:val="000B7416"/>
    <w:rsid w:val="000B778B"/>
    <w:rsid w:val="000C0A08"/>
    <w:rsid w:val="000C17F5"/>
    <w:rsid w:val="000C187E"/>
    <w:rsid w:val="000C28A7"/>
    <w:rsid w:val="000C2C50"/>
    <w:rsid w:val="000C2EF0"/>
    <w:rsid w:val="000C3100"/>
    <w:rsid w:val="000C37A3"/>
    <w:rsid w:val="000C489C"/>
    <w:rsid w:val="000C5A33"/>
    <w:rsid w:val="000C6401"/>
    <w:rsid w:val="000D0006"/>
    <w:rsid w:val="000D1293"/>
    <w:rsid w:val="000D21A9"/>
    <w:rsid w:val="000D2606"/>
    <w:rsid w:val="000D4734"/>
    <w:rsid w:val="000D6DD4"/>
    <w:rsid w:val="000D6FA5"/>
    <w:rsid w:val="000E07DC"/>
    <w:rsid w:val="000E2191"/>
    <w:rsid w:val="000E4355"/>
    <w:rsid w:val="000E6A87"/>
    <w:rsid w:val="000F0746"/>
    <w:rsid w:val="000F1649"/>
    <w:rsid w:val="000F1999"/>
    <w:rsid w:val="000F1EDA"/>
    <w:rsid w:val="000F4ED6"/>
    <w:rsid w:val="000F6386"/>
    <w:rsid w:val="000F68BA"/>
    <w:rsid w:val="00100F23"/>
    <w:rsid w:val="00102A61"/>
    <w:rsid w:val="001042EB"/>
    <w:rsid w:val="00104CB0"/>
    <w:rsid w:val="001053CF"/>
    <w:rsid w:val="0010545E"/>
    <w:rsid w:val="00105CC5"/>
    <w:rsid w:val="00107963"/>
    <w:rsid w:val="00107BAB"/>
    <w:rsid w:val="001105A4"/>
    <w:rsid w:val="001138A5"/>
    <w:rsid w:val="00120386"/>
    <w:rsid w:val="00120470"/>
    <w:rsid w:val="00122F7E"/>
    <w:rsid w:val="00124480"/>
    <w:rsid w:val="0013034F"/>
    <w:rsid w:val="001304C1"/>
    <w:rsid w:val="0013186C"/>
    <w:rsid w:val="00134D44"/>
    <w:rsid w:val="00137833"/>
    <w:rsid w:val="001401C9"/>
    <w:rsid w:val="00141C53"/>
    <w:rsid w:val="00142F41"/>
    <w:rsid w:val="00144276"/>
    <w:rsid w:val="001451E6"/>
    <w:rsid w:val="00145713"/>
    <w:rsid w:val="001463BB"/>
    <w:rsid w:val="001512CF"/>
    <w:rsid w:val="00152918"/>
    <w:rsid w:val="00152CEC"/>
    <w:rsid w:val="00153CD9"/>
    <w:rsid w:val="00154593"/>
    <w:rsid w:val="0015468E"/>
    <w:rsid w:val="00154CC3"/>
    <w:rsid w:val="0015648B"/>
    <w:rsid w:val="00156C19"/>
    <w:rsid w:val="00156D51"/>
    <w:rsid w:val="00160E7B"/>
    <w:rsid w:val="001612B1"/>
    <w:rsid w:val="00161381"/>
    <w:rsid w:val="00162AEF"/>
    <w:rsid w:val="00163F55"/>
    <w:rsid w:val="00166A0B"/>
    <w:rsid w:val="00170DC7"/>
    <w:rsid w:val="00175AF1"/>
    <w:rsid w:val="00175B62"/>
    <w:rsid w:val="001761FA"/>
    <w:rsid w:val="0018053E"/>
    <w:rsid w:val="00181540"/>
    <w:rsid w:val="001850D8"/>
    <w:rsid w:val="00185C2C"/>
    <w:rsid w:val="00185DE0"/>
    <w:rsid w:val="00187708"/>
    <w:rsid w:val="00190991"/>
    <w:rsid w:val="00190D85"/>
    <w:rsid w:val="0019232F"/>
    <w:rsid w:val="00193396"/>
    <w:rsid w:val="00195397"/>
    <w:rsid w:val="00197690"/>
    <w:rsid w:val="001A0151"/>
    <w:rsid w:val="001A02F5"/>
    <w:rsid w:val="001A1642"/>
    <w:rsid w:val="001A2160"/>
    <w:rsid w:val="001A25FE"/>
    <w:rsid w:val="001A2B8E"/>
    <w:rsid w:val="001A34A2"/>
    <w:rsid w:val="001A3D42"/>
    <w:rsid w:val="001A423B"/>
    <w:rsid w:val="001A4D9D"/>
    <w:rsid w:val="001A52B0"/>
    <w:rsid w:val="001A648A"/>
    <w:rsid w:val="001A77C5"/>
    <w:rsid w:val="001A794E"/>
    <w:rsid w:val="001B2203"/>
    <w:rsid w:val="001B2782"/>
    <w:rsid w:val="001B285C"/>
    <w:rsid w:val="001B351D"/>
    <w:rsid w:val="001B38E3"/>
    <w:rsid w:val="001B5405"/>
    <w:rsid w:val="001B6DB4"/>
    <w:rsid w:val="001C27FA"/>
    <w:rsid w:val="001C3A7D"/>
    <w:rsid w:val="001C3D83"/>
    <w:rsid w:val="001C567E"/>
    <w:rsid w:val="001C5BB1"/>
    <w:rsid w:val="001C5D15"/>
    <w:rsid w:val="001C5FAF"/>
    <w:rsid w:val="001C674B"/>
    <w:rsid w:val="001D0639"/>
    <w:rsid w:val="001D06F8"/>
    <w:rsid w:val="001D0759"/>
    <w:rsid w:val="001D2859"/>
    <w:rsid w:val="001E00B8"/>
    <w:rsid w:val="001E035B"/>
    <w:rsid w:val="001E19AD"/>
    <w:rsid w:val="001E2986"/>
    <w:rsid w:val="001E2E12"/>
    <w:rsid w:val="001E3B67"/>
    <w:rsid w:val="001E3E92"/>
    <w:rsid w:val="001E6C0D"/>
    <w:rsid w:val="001E6F81"/>
    <w:rsid w:val="001F17DE"/>
    <w:rsid w:val="001F1C66"/>
    <w:rsid w:val="001F2611"/>
    <w:rsid w:val="001F44A2"/>
    <w:rsid w:val="001F50E9"/>
    <w:rsid w:val="001F6902"/>
    <w:rsid w:val="001F6984"/>
    <w:rsid w:val="001F6AD0"/>
    <w:rsid w:val="00201E05"/>
    <w:rsid w:val="00205DC9"/>
    <w:rsid w:val="00206926"/>
    <w:rsid w:val="00206979"/>
    <w:rsid w:val="00207E5A"/>
    <w:rsid w:val="002103A6"/>
    <w:rsid w:val="00210438"/>
    <w:rsid w:val="0021069F"/>
    <w:rsid w:val="002112A8"/>
    <w:rsid w:val="00211724"/>
    <w:rsid w:val="0021195A"/>
    <w:rsid w:val="00211B01"/>
    <w:rsid w:val="00211F2A"/>
    <w:rsid w:val="002132AF"/>
    <w:rsid w:val="00213526"/>
    <w:rsid w:val="00213669"/>
    <w:rsid w:val="00213F01"/>
    <w:rsid w:val="00214F99"/>
    <w:rsid w:val="0021571F"/>
    <w:rsid w:val="00216884"/>
    <w:rsid w:val="002170AF"/>
    <w:rsid w:val="002266C9"/>
    <w:rsid w:val="00226CBF"/>
    <w:rsid w:val="00226E1C"/>
    <w:rsid w:val="00226EAA"/>
    <w:rsid w:val="002275A6"/>
    <w:rsid w:val="00230F0E"/>
    <w:rsid w:val="0023225B"/>
    <w:rsid w:val="00233335"/>
    <w:rsid w:val="00233F62"/>
    <w:rsid w:val="0023517E"/>
    <w:rsid w:val="002367A2"/>
    <w:rsid w:val="0023747C"/>
    <w:rsid w:val="00242910"/>
    <w:rsid w:val="0024365B"/>
    <w:rsid w:val="0024491A"/>
    <w:rsid w:val="0024634C"/>
    <w:rsid w:val="0025163D"/>
    <w:rsid w:val="00252232"/>
    <w:rsid w:val="0025407A"/>
    <w:rsid w:val="002547A5"/>
    <w:rsid w:val="00255CE0"/>
    <w:rsid w:val="002566EE"/>
    <w:rsid w:val="00257034"/>
    <w:rsid w:val="002604BF"/>
    <w:rsid w:val="00263A71"/>
    <w:rsid w:val="002648D4"/>
    <w:rsid w:val="002652C1"/>
    <w:rsid w:val="00265730"/>
    <w:rsid w:val="002741AB"/>
    <w:rsid w:val="00275018"/>
    <w:rsid w:val="0027545A"/>
    <w:rsid w:val="0027638D"/>
    <w:rsid w:val="00277C44"/>
    <w:rsid w:val="00284218"/>
    <w:rsid w:val="00285042"/>
    <w:rsid w:val="00285D10"/>
    <w:rsid w:val="00286144"/>
    <w:rsid w:val="00286146"/>
    <w:rsid w:val="00286E35"/>
    <w:rsid w:val="00287D4B"/>
    <w:rsid w:val="002903D9"/>
    <w:rsid w:val="00290989"/>
    <w:rsid w:val="00292AA6"/>
    <w:rsid w:val="00292AC2"/>
    <w:rsid w:val="00292B53"/>
    <w:rsid w:val="0029359F"/>
    <w:rsid w:val="0029377B"/>
    <w:rsid w:val="002946F0"/>
    <w:rsid w:val="00295D10"/>
    <w:rsid w:val="002970BB"/>
    <w:rsid w:val="002A04A9"/>
    <w:rsid w:val="002A09FE"/>
    <w:rsid w:val="002A206F"/>
    <w:rsid w:val="002A2B33"/>
    <w:rsid w:val="002A3533"/>
    <w:rsid w:val="002A3786"/>
    <w:rsid w:val="002A3FCC"/>
    <w:rsid w:val="002A5BDA"/>
    <w:rsid w:val="002B0859"/>
    <w:rsid w:val="002B2688"/>
    <w:rsid w:val="002B2E8F"/>
    <w:rsid w:val="002B2F3F"/>
    <w:rsid w:val="002B38C4"/>
    <w:rsid w:val="002B48E4"/>
    <w:rsid w:val="002B4BA6"/>
    <w:rsid w:val="002B7836"/>
    <w:rsid w:val="002C077B"/>
    <w:rsid w:val="002C1F65"/>
    <w:rsid w:val="002C5BA1"/>
    <w:rsid w:val="002D07A2"/>
    <w:rsid w:val="002D0C28"/>
    <w:rsid w:val="002D1075"/>
    <w:rsid w:val="002D11C7"/>
    <w:rsid w:val="002D236D"/>
    <w:rsid w:val="002D37A3"/>
    <w:rsid w:val="002D421D"/>
    <w:rsid w:val="002E0918"/>
    <w:rsid w:val="002E0F29"/>
    <w:rsid w:val="002E3763"/>
    <w:rsid w:val="002E528C"/>
    <w:rsid w:val="002E687B"/>
    <w:rsid w:val="002F1E81"/>
    <w:rsid w:val="002F2C55"/>
    <w:rsid w:val="002F3F71"/>
    <w:rsid w:val="002F578D"/>
    <w:rsid w:val="002F587D"/>
    <w:rsid w:val="002F5BB2"/>
    <w:rsid w:val="002F6778"/>
    <w:rsid w:val="002F78F2"/>
    <w:rsid w:val="00300299"/>
    <w:rsid w:val="003002CD"/>
    <w:rsid w:val="00300443"/>
    <w:rsid w:val="003008E9"/>
    <w:rsid w:val="003045D6"/>
    <w:rsid w:val="00304D34"/>
    <w:rsid w:val="00304EA4"/>
    <w:rsid w:val="003053DF"/>
    <w:rsid w:val="00306738"/>
    <w:rsid w:val="00307EDE"/>
    <w:rsid w:val="00312A46"/>
    <w:rsid w:val="00314A3A"/>
    <w:rsid w:val="003174C1"/>
    <w:rsid w:val="0032154C"/>
    <w:rsid w:val="003216E0"/>
    <w:rsid w:val="003225C9"/>
    <w:rsid w:val="003263B8"/>
    <w:rsid w:val="00326923"/>
    <w:rsid w:val="003271FC"/>
    <w:rsid w:val="00327868"/>
    <w:rsid w:val="00330B65"/>
    <w:rsid w:val="003354FB"/>
    <w:rsid w:val="0033647E"/>
    <w:rsid w:val="003368AD"/>
    <w:rsid w:val="00336B16"/>
    <w:rsid w:val="00336D6B"/>
    <w:rsid w:val="003401D1"/>
    <w:rsid w:val="00340A7F"/>
    <w:rsid w:val="00343ABF"/>
    <w:rsid w:val="00344100"/>
    <w:rsid w:val="00344642"/>
    <w:rsid w:val="0034601B"/>
    <w:rsid w:val="00346261"/>
    <w:rsid w:val="003465DB"/>
    <w:rsid w:val="00347C1F"/>
    <w:rsid w:val="003500E9"/>
    <w:rsid w:val="00352CED"/>
    <w:rsid w:val="00355A34"/>
    <w:rsid w:val="00356764"/>
    <w:rsid w:val="00356DD2"/>
    <w:rsid w:val="00356F48"/>
    <w:rsid w:val="00357915"/>
    <w:rsid w:val="00357CA8"/>
    <w:rsid w:val="00360590"/>
    <w:rsid w:val="00360E47"/>
    <w:rsid w:val="00361049"/>
    <w:rsid w:val="0036194B"/>
    <w:rsid w:val="003625F8"/>
    <w:rsid w:val="0036398E"/>
    <w:rsid w:val="00363D0F"/>
    <w:rsid w:val="00365C18"/>
    <w:rsid w:val="003670EF"/>
    <w:rsid w:val="00373A6A"/>
    <w:rsid w:val="00373BB3"/>
    <w:rsid w:val="0037463D"/>
    <w:rsid w:val="00374D8B"/>
    <w:rsid w:val="0037645F"/>
    <w:rsid w:val="00381DC8"/>
    <w:rsid w:val="003830E4"/>
    <w:rsid w:val="00383F71"/>
    <w:rsid w:val="003858D1"/>
    <w:rsid w:val="00385928"/>
    <w:rsid w:val="0038672F"/>
    <w:rsid w:val="003923B6"/>
    <w:rsid w:val="0039431C"/>
    <w:rsid w:val="0039438F"/>
    <w:rsid w:val="003955BF"/>
    <w:rsid w:val="00396878"/>
    <w:rsid w:val="00396BB0"/>
    <w:rsid w:val="00396F6C"/>
    <w:rsid w:val="00397B4D"/>
    <w:rsid w:val="00397F4D"/>
    <w:rsid w:val="00397FCA"/>
    <w:rsid w:val="003A06D0"/>
    <w:rsid w:val="003A1027"/>
    <w:rsid w:val="003A19E5"/>
    <w:rsid w:val="003A2405"/>
    <w:rsid w:val="003A24E5"/>
    <w:rsid w:val="003A3F69"/>
    <w:rsid w:val="003A6448"/>
    <w:rsid w:val="003A6F7F"/>
    <w:rsid w:val="003B2677"/>
    <w:rsid w:val="003B3095"/>
    <w:rsid w:val="003B4BDC"/>
    <w:rsid w:val="003B5EC7"/>
    <w:rsid w:val="003B6060"/>
    <w:rsid w:val="003B791D"/>
    <w:rsid w:val="003C0337"/>
    <w:rsid w:val="003C17A9"/>
    <w:rsid w:val="003C2F5D"/>
    <w:rsid w:val="003C5076"/>
    <w:rsid w:val="003C614B"/>
    <w:rsid w:val="003C6D0D"/>
    <w:rsid w:val="003D04BC"/>
    <w:rsid w:val="003D0853"/>
    <w:rsid w:val="003D1016"/>
    <w:rsid w:val="003D3ECD"/>
    <w:rsid w:val="003D4129"/>
    <w:rsid w:val="003D4479"/>
    <w:rsid w:val="003D44A4"/>
    <w:rsid w:val="003D4B04"/>
    <w:rsid w:val="003D54F4"/>
    <w:rsid w:val="003D59C0"/>
    <w:rsid w:val="003D5AF3"/>
    <w:rsid w:val="003D60B9"/>
    <w:rsid w:val="003D6479"/>
    <w:rsid w:val="003E1DA1"/>
    <w:rsid w:val="003E40B2"/>
    <w:rsid w:val="003E4FA9"/>
    <w:rsid w:val="003E61D7"/>
    <w:rsid w:val="003E71E7"/>
    <w:rsid w:val="003F09D7"/>
    <w:rsid w:val="003F29C0"/>
    <w:rsid w:val="003F2D93"/>
    <w:rsid w:val="003F35D0"/>
    <w:rsid w:val="003F3DDE"/>
    <w:rsid w:val="003F4909"/>
    <w:rsid w:val="003F4A27"/>
    <w:rsid w:val="003F589A"/>
    <w:rsid w:val="003F7B36"/>
    <w:rsid w:val="003F7DE9"/>
    <w:rsid w:val="0040057A"/>
    <w:rsid w:val="00400726"/>
    <w:rsid w:val="0040220C"/>
    <w:rsid w:val="00402410"/>
    <w:rsid w:val="0040271C"/>
    <w:rsid w:val="00402FFB"/>
    <w:rsid w:val="0040503B"/>
    <w:rsid w:val="004053C3"/>
    <w:rsid w:val="0040591F"/>
    <w:rsid w:val="00406192"/>
    <w:rsid w:val="00406314"/>
    <w:rsid w:val="00406F43"/>
    <w:rsid w:val="0041319E"/>
    <w:rsid w:val="004144A4"/>
    <w:rsid w:val="00416FDD"/>
    <w:rsid w:val="0041715E"/>
    <w:rsid w:val="00417336"/>
    <w:rsid w:val="0042045E"/>
    <w:rsid w:val="00422CF6"/>
    <w:rsid w:val="004237B4"/>
    <w:rsid w:val="00423D6A"/>
    <w:rsid w:val="0042608E"/>
    <w:rsid w:val="00426567"/>
    <w:rsid w:val="004266E2"/>
    <w:rsid w:val="00430989"/>
    <w:rsid w:val="0043261F"/>
    <w:rsid w:val="00432EB5"/>
    <w:rsid w:val="004332EE"/>
    <w:rsid w:val="004345A9"/>
    <w:rsid w:val="004359BF"/>
    <w:rsid w:val="004378EB"/>
    <w:rsid w:val="00437A75"/>
    <w:rsid w:val="004401D0"/>
    <w:rsid w:val="00440464"/>
    <w:rsid w:val="00440E7F"/>
    <w:rsid w:val="004414D3"/>
    <w:rsid w:val="004444B0"/>
    <w:rsid w:val="004448EA"/>
    <w:rsid w:val="00444B94"/>
    <w:rsid w:val="00445583"/>
    <w:rsid w:val="004479BA"/>
    <w:rsid w:val="004479BF"/>
    <w:rsid w:val="00450989"/>
    <w:rsid w:val="00451E25"/>
    <w:rsid w:val="004537B0"/>
    <w:rsid w:val="00454D0E"/>
    <w:rsid w:val="00455BE3"/>
    <w:rsid w:val="00456CF6"/>
    <w:rsid w:val="0046219A"/>
    <w:rsid w:val="00462D3B"/>
    <w:rsid w:val="00463579"/>
    <w:rsid w:val="004700CF"/>
    <w:rsid w:val="004700D9"/>
    <w:rsid w:val="00471808"/>
    <w:rsid w:val="004720E7"/>
    <w:rsid w:val="00472126"/>
    <w:rsid w:val="00473196"/>
    <w:rsid w:val="00473C72"/>
    <w:rsid w:val="00473EFA"/>
    <w:rsid w:val="00473EFD"/>
    <w:rsid w:val="004753B4"/>
    <w:rsid w:val="00476320"/>
    <w:rsid w:val="00480B71"/>
    <w:rsid w:val="00480F84"/>
    <w:rsid w:val="004810AE"/>
    <w:rsid w:val="00483F99"/>
    <w:rsid w:val="00484E59"/>
    <w:rsid w:val="004853DF"/>
    <w:rsid w:val="00485D8A"/>
    <w:rsid w:val="004863FE"/>
    <w:rsid w:val="00487327"/>
    <w:rsid w:val="004879A6"/>
    <w:rsid w:val="00487A07"/>
    <w:rsid w:val="004904C1"/>
    <w:rsid w:val="00491197"/>
    <w:rsid w:val="00492ABC"/>
    <w:rsid w:val="00492B26"/>
    <w:rsid w:val="00492E9F"/>
    <w:rsid w:val="00493F1A"/>
    <w:rsid w:val="00495500"/>
    <w:rsid w:val="00496BBD"/>
    <w:rsid w:val="004973F5"/>
    <w:rsid w:val="00497526"/>
    <w:rsid w:val="00497EC4"/>
    <w:rsid w:val="004A10B6"/>
    <w:rsid w:val="004A170B"/>
    <w:rsid w:val="004A1712"/>
    <w:rsid w:val="004A1D14"/>
    <w:rsid w:val="004A2312"/>
    <w:rsid w:val="004A3807"/>
    <w:rsid w:val="004A3CD5"/>
    <w:rsid w:val="004A4968"/>
    <w:rsid w:val="004A4F45"/>
    <w:rsid w:val="004A507A"/>
    <w:rsid w:val="004A51B4"/>
    <w:rsid w:val="004A5822"/>
    <w:rsid w:val="004A620F"/>
    <w:rsid w:val="004A72EB"/>
    <w:rsid w:val="004A7305"/>
    <w:rsid w:val="004A763E"/>
    <w:rsid w:val="004B0740"/>
    <w:rsid w:val="004B18B9"/>
    <w:rsid w:val="004B2BB5"/>
    <w:rsid w:val="004B319C"/>
    <w:rsid w:val="004B3754"/>
    <w:rsid w:val="004B3A7A"/>
    <w:rsid w:val="004B3D0E"/>
    <w:rsid w:val="004B4976"/>
    <w:rsid w:val="004B54E8"/>
    <w:rsid w:val="004C3063"/>
    <w:rsid w:val="004C468E"/>
    <w:rsid w:val="004C51FD"/>
    <w:rsid w:val="004C590A"/>
    <w:rsid w:val="004C67D1"/>
    <w:rsid w:val="004C6C67"/>
    <w:rsid w:val="004C76CD"/>
    <w:rsid w:val="004C7E38"/>
    <w:rsid w:val="004D0CA9"/>
    <w:rsid w:val="004D0EFD"/>
    <w:rsid w:val="004D1BED"/>
    <w:rsid w:val="004D2357"/>
    <w:rsid w:val="004D3979"/>
    <w:rsid w:val="004D3A2F"/>
    <w:rsid w:val="004D433E"/>
    <w:rsid w:val="004D46F9"/>
    <w:rsid w:val="004D5B54"/>
    <w:rsid w:val="004D6568"/>
    <w:rsid w:val="004D7734"/>
    <w:rsid w:val="004D7907"/>
    <w:rsid w:val="004E0488"/>
    <w:rsid w:val="004E0501"/>
    <w:rsid w:val="004E6770"/>
    <w:rsid w:val="004E6DCD"/>
    <w:rsid w:val="004F1316"/>
    <w:rsid w:val="004F1CD1"/>
    <w:rsid w:val="004F24EB"/>
    <w:rsid w:val="004F3A06"/>
    <w:rsid w:val="004F3D6E"/>
    <w:rsid w:val="004F6798"/>
    <w:rsid w:val="004F6D0B"/>
    <w:rsid w:val="004F7AB5"/>
    <w:rsid w:val="00500752"/>
    <w:rsid w:val="00501745"/>
    <w:rsid w:val="005052E6"/>
    <w:rsid w:val="00505323"/>
    <w:rsid w:val="00506354"/>
    <w:rsid w:val="005076F2"/>
    <w:rsid w:val="00510DC7"/>
    <w:rsid w:val="00513609"/>
    <w:rsid w:val="0051484D"/>
    <w:rsid w:val="00516EB0"/>
    <w:rsid w:val="0052006F"/>
    <w:rsid w:val="00520104"/>
    <w:rsid w:val="00520478"/>
    <w:rsid w:val="0052100B"/>
    <w:rsid w:val="00521805"/>
    <w:rsid w:val="005229F1"/>
    <w:rsid w:val="00522B75"/>
    <w:rsid w:val="005244AA"/>
    <w:rsid w:val="00524E42"/>
    <w:rsid w:val="00526FEC"/>
    <w:rsid w:val="0053021D"/>
    <w:rsid w:val="0053123F"/>
    <w:rsid w:val="00531C8F"/>
    <w:rsid w:val="00532CDD"/>
    <w:rsid w:val="00533185"/>
    <w:rsid w:val="00533E9C"/>
    <w:rsid w:val="00534881"/>
    <w:rsid w:val="00534AFC"/>
    <w:rsid w:val="00534BFC"/>
    <w:rsid w:val="0053504A"/>
    <w:rsid w:val="00535E28"/>
    <w:rsid w:val="00536131"/>
    <w:rsid w:val="00540724"/>
    <w:rsid w:val="00540858"/>
    <w:rsid w:val="00541988"/>
    <w:rsid w:val="00541A28"/>
    <w:rsid w:val="00541E37"/>
    <w:rsid w:val="00542E69"/>
    <w:rsid w:val="00543D10"/>
    <w:rsid w:val="00544328"/>
    <w:rsid w:val="00544DAA"/>
    <w:rsid w:val="00544F66"/>
    <w:rsid w:val="00545A53"/>
    <w:rsid w:val="005464F4"/>
    <w:rsid w:val="00553601"/>
    <w:rsid w:val="005551CF"/>
    <w:rsid w:val="00555394"/>
    <w:rsid w:val="0055754E"/>
    <w:rsid w:val="005601CF"/>
    <w:rsid w:val="005619DF"/>
    <w:rsid w:val="00563ADB"/>
    <w:rsid w:val="0057056C"/>
    <w:rsid w:val="005709DD"/>
    <w:rsid w:val="00570DFD"/>
    <w:rsid w:val="00574B3B"/>
    <w:rsid w:val="00575DEB"/>
    <w:rsid w:val="00576404"/>
    <w:rsid w:val="005773AE"/>
    <w:rsid w:val="00577541"/>
    <w:rsid w:val="00581418"/>
    <w:rsid w:val="00581924"/>
    <w:rsid w:val="00583C06"/>
    <w:rsid w:val="0058469E"/>
    <w:rsid w:val="005864EA"/>
    <w:rsid w:val="00586A6C"/>
    <w:rsid w:val="00590694"/>
    <w:rsid w:val="005917A7"/>
    <w:rsid w:val="00592DA7"/>
    <w:rsid w:val="005935DA"/>
    <w:rsid w:val="00593660"/>
    <w:rsid w:val="00594D0D"/>
    <w:rsid w:val="00595CED"/>
    <w:rsid w:val="00596336"/>
    <w:rsid w:val="005969AF"/>
    <w:rsid w:val="00597FA5"/>
    <w:rsid w:val="005A03F7"/>
    <w:rsid w:val="005A11C1"/>
    <w:rsid w:val="005A2948"/>
    <w:rsid w:val="005A69DA"/>
    <w:rsid w:val="005B0520"/>
    <w:rsid w:val="005B08F4"/>
    <w:rsid w:val="005B0914"/>
    <w:rsid w:val="005B1CE3"/>
    <w:rsid w:val="005B296B"/>
    <w:rsid w:val="005B32AE"/>
    <w:rsid w:val="005B39D0"/>
    <w:rsid w:val="005B606A"/>
    <w:rsid w:val="005B71D1"/>
    <w:rsid w:val="005B7A75"/>
    <w:rsid w:val="005B7DA2"/>
    <w:rsid w:val="005C03A3"/>
    <w:rsid w:val="005C26C8"/>
    <w:rsid w:val="005C2F27"/>
    <w:rsid w:val="005C4BC2"/>
    <w:rsid w:val="005C5A16"/>
    <w:rsid w:val="005C5A69"/>
    <w:rsid w:val="005C6316"/>
    <w:rsid w:val="005C6A6B"/>
    <w:rsid w:val="005C7E52"/>
    <w:rsid w:val="005C7F49"/>
    <w:rsid w:val="005D2450"/>
    <w:rsid w:val="005D4F01"/>
    <w:rsid w:val="005D5177"/>
    <w:rsid w:val="005D5F14"/>
    <w:rsid w:val="005D62D2"/>
    <w:rsid w:val="005E131F"/>
    <w:rsid w:val="005E1445"/>
    <w:rsid w:val="005E1A30"/>
    <w:rsid w:val="005E2010"/>
    <w:rsid w:val="005E37DD"/>
    <w:rsid w:val="005E47C9"/>
    <w:rsid w:val="005E547F"/>
    <w:rsid w:val="005E582D"/>
    <w:rsid w:val="005E5C65"/>
    <w:rsid w:val="005E5C6E"/>
    <w:rsid w:val="005E6CAA"/>
    <w:rsid w:val="005E6F49"/>
    <w:rsid w:val="005F0D27"/>
    <w:rsid w:val="005F18D1"/>
    <w:rsid w:val="005F1E4F"/>
    <w:rsid w:val="005F2CDB"/>
    <w:rsid w:val="005F4250"/>
    <w:rsid w:val="005F448A"/>
    <w:rsid w:val="005F5A29"/>
    <w:rsid w:val="005F661F"/>
    <w:rsid w:val="005F7A80"/>
    <w:rsid w:val="005F7FBB"/>
    <w:rsid w:val="006021ED"/>
    <w:rsid w:val="006031ED"/>
    <w:rsid w:val="0060568D"/>
    <w:rsid w:val="00605F9B"/>
    <w:rsid w:val="00607836"/>
    <w:rsid w:val="006104D2"/>
    <w:rsid w:val="0061265C"/>
    <w:rsid w:val="0061316D"/>
    <w:rsid w:val="00613BAD"/>
    <w:rsid w:val="0061415A"/>
    <w:rsid w:val="00614299"/>
    <w:rsid w:val="006151B6"/>
    <w:rsid w:val="0061733F"/>
    <w:rsid w:val="00617882"/>
    <w:rsid w:val="006204B0"/>
    <w:rsid w:val="00621659"/>
    <w:rsid w:val="00623047"/>
    <w:rsid w:val="006238BA"/>
    <w:rsid w:val="00624A87"/>
    <w:rsid w:val="006264BD"/>
    <w:rsid w:val="006266E6"/>
    <w:rsid w:val="00626844"/>
    <w:rsid w:val="00627136"/>
    <w:rsid w:val="006276F7"/>
    <w:rsid w:val="006327DD"/>
    <w:rsid w:val="006328E2"/>
    <w:rsid w:val="0063306F"/>
    <w:rsid w:val="00633A94"/>
    <w:rsid w:val="00633BCA"/>
    <w:rsid w:val="00635047"/>
    <w:rsid w:val="00635A96"/>
    <w:rsid w:val="00640046"/>
    <w:rsid w:val="00641786"/>
    <w:rsid w:val="00641883"/>
    <w:rsid w:val="00642F73"/>
    <w:rsid w:val="00643538"/>
    <w:rsid w:val="006450C8"/>
    <w:rsid w:val="006452FD"/>
    <w:rsid w:val="00646E26"/>
    <w:rsid w:val="0064789D"/>
    <w:rsid w:val="00650A74"/>
    <w:rsid w:val="006510AE"/>
    <w:rsid w:val="006539A1"/>
    <w:rsid w:val="00654DBB"/>
    <w:rsid w:val="0065762D"/>
    <w:rsid w:val="006576F0"/>
    <w:rsid w:val="00657E1C"/>
    <w:rsid w:val="006613E1"/>
    <w:rsid w:val="00661E02"/>
    <w:rsid w:val="006628A9"/>
    <w:rsid w:val="00662D84"/>
    <w:rsid w:val="00662DCE"/>
    <w:rsid w:val="006647C2"/>
    <w:rsid w:val="00665501"/>
    <w:rsid w:val="00665BC7"/>
    <w:rsid w:val="006674F4"/>
    <w:rsid w:val="00670ABD"/>
    <w:rsid w:val="006712EC"/>
    <w:rsid w:val="00674252"/>
    <w:rsid w:val="00676596"/>
    <w:rsid w:val="00680710"/>
    <w:rsid w:val="00682748"/>
    <w:rsid w:val="00684D6B"/>
    <w:rsid w:val="00686AA9"/>
    <w:rsid w:val="00686C07"/>
    <w:rsid w:val="00686FC8"/>
    <w:rsid w:val="00691ECF"/>
    <w:rsid w:val="00692813"/>
    <w:rsid w:val="00694780"/>
    <w:rsid w:val="00695039"/>
    <w:rsid w:val="006968BD"/>
    <w:rsid w:val="006970C9"/>
    <w:rsid w:val="00697982"/>
    <w:rsid w:val="0069798A"/>
    <w:rsid w:val="0069799E"/>
    <w:rsid w:val="00697C2D"/>
    <w:rsid w:val="00697C96"/>
    <w:rsid w:val="006A46D9"/>
    <w:rsid w:val="006A6466"/>
    <w:rsid w:val="006A71D6"/>
    <w:rsid w:val="006B03CF"/>
    <w:rsid w:val="006B2969"/>
    <w:rsid w:val="006B2C4F"/>
    <w:rsid w:val="006B2EFF"/>
    <w:rsid w:val="006B50BA"/>
    <w:rsid w:val="006B579A"/>
    <w:rsid w:val="006B59EF"/>
    <w:rsid w:val="006C07DD"/>
    <w:rsid w:val="006C1142"/>
    <w:rsid w:val="006C1C9F"/>
    <w:rsid w:val="006C438E"/>
    <w:rsid w:val="006C466C"/>
    <w:rsid w:val="006C565C"/>
    <w:rsid w:val="006C6857"/>
    <w:rsid w:val="006C7A30"/>
    <w:rsid w:val="006D034C"/>
    <w:rsid w:val="006D176F"/>
    <w:rsid w:val="006D3457"/>
    <w:rsid w:val="006D534D"/>
    <w:rsid w:val="006D710B"/>
    <w:rsid w:val="006D76FA"/>
    <w:rsid w:val="006D78AE"/>
    <w:rsid w:val="006D7B23"/>
    <w:rsid w:val="006E0528"/>
    <w:rsid w:val="006E0967"/>
    <w:rsid w:val="006E1378"/>
    <w:rsid w:val="006E2E34"/>
    <w:rsid w:val="006E38D6"/>
    <w:rsid w:val="006E562B"/>
    <w:rsid w:val="006E5740"/>
    <w:rsid w:val="006E57C8"/>
    <w:rsid w:val="006E7593"/>
    <w:rsid w:val="006E7A01"/>
    <w:rsid w:val="006E7C43"/>
    <w:rsid w:val="006F225F"/>
    <w:rsid w:val="006F603D"/>
    <w:rsid w:val="006F7049"/>
    <w:rsid w:val="00700A4F"/>
    <w:rsid w:val="007016A3"/>
    <w:rsid w:val="00701771"/>
    <w:rsid w:val="00702021"/>
    <w:rsid w:val="0070407E"/>
    <w:rsid w:val="00706240"/>
    <w:rsid w:val="00710C93"/>
    <w:rsid w:val="00711100"/>
    <w:rsid w:val="00712333"/>
    <w:rsid w:val="00712942"/>
    <w:rsid w:val="00712D86"/>
    <w:rsid w:val="007134CD"/>
    <w:rsid w:val="00713871"/>
    <w:rsid w:val="007164DD"/>
    <w:rsid w:val="00717127"/>
    <w:rsid w:val="0071773D"/>
    <w:rsid w:val="00720195"/>
    <w:rsid w:val="007205EB"/>
    <w:rsid w:val="00720D3C"/>
    <w:rsid w:val="007219AA"/>
    <w:rsid w:val="00721F69"/>
    <w:rsid w:val="00722DD1"/>
    <w:rsid w:val="00722F0B"/>
    <w:rsid w:val="00723BE3"/>
    <w:rsid w:val="00723D1F"/>
    <w:rsid w:val="00724F15"/>
    <w:rsid w:val="007311BD"/>
    <w:rsid w:val="00736D09"/>
    <w:rsid w:val="00737AD2"/>
    <w:rsid w:val="00740258"/>
    <w:rsid w:val="00740C55"/>
    <w:rsid w:val="007418B9"/>
    <w:rsid w:val="00741C8E"/>
    <w:rsid w:val="00742289"/>
    <w:rsid w:val="0074266A"/>
    <w:rsid w:val="00742859"/>
    <w:rsid w:val="00742C02"/>
    <w:rsid w:val="007430C6"/>
    <w:rsid w:val="00746DAD"/>
    <w:rsid w:val="00747849"/>
    <w:rsid w:val="00752062"/>
    <w:rsid w:val="00752209"/>
    <w:rsid w:val="00753BD7"/>
    <w:rsid w:val="007541EF"/>
    <w:rsid w:val="00754275"/>
    <w:rsid w:val="0075446B"/>
    <w:rsid w:val="00756CB8"/>
    <w:rsid w:val="00760878"/>
    <w:rsid w:val="00761E74"/>
    <w:rsid w:val="0076248E"/>
    <w:rsid w:val="0076326C"/>
    <w:rsid w:val="007632D4"/>
    <w:rsid w:val="0076348F"/>
    <w:rsid w:val="00765213"/>
    <w:rsid w:val="007665B2"/>
    <w:rsid w:val="007700FE"/>
    <w:rsid w:val="007729E5"/>
    <w:rsid w:val="00772E3B"/>
    <w:rsid w:val="00775A87"/>
    <w:rsid w:val="0077729A"/>
    <w:rsid w:val="007800DF"/>
    <w:rsid w:val="00780A7F"/>
    <w:rsid w:val="00780E99"/>
    <w:rsid w:val="00781ED7"/>
    <w:rsid w:val="00782D6C"/>
    <w:rsid w:val="00784069"/>
    <w:rsid w:val="0078452D"/>
    <w:rsid w:val="00784C3B"/>
    <w:rsid w:val="00790012"/>
    <w:rsid w:val="00791CCC"/>
    <w:rsid w:val="00791DC9"/>
    <w:rsid w:val="007926BE"/>
    <w:rsid w:val="0079380E"/>
    <w:rsid w:val="00793A83"/>
    <w:rsid w:val="007950DC"/>
    <w:rsid w:val="00797BAF"/>
    <w:rsid w:val="007A09A0"/>
    <w:rsid w:val="007A110F"/>
    <w:rsid w:val="007A221A"/>
    <w:rsid w:val="007A24F4"/>
    <w:rsid w:val="007A37E6"/>
    <w:rsid w:val="007A3DE5"/>
    <w:rsid w:val="007A3EC0"/>
    <w:rsid w:val="007A4043"/>
    <w:rsid w:val="007A5B95"/>
    <w:rsid w:val="007A6448"/>
    <w:rsid w:val="007A6E36"/>
    <w:rsid w:val="007A785D"/>
    <w:rsid w:val="007B1407"/>
    <w:rsid w:val="007B2031"/>
    <w:rsid w:val="007B2F58"/>
    <w:rsid w:val="007B3D1D"/>
    <w:rsid w:val="007B44F8"/>
    <w:rsid w:val="007B53DE"/>
    <w:rsid w:val="007B59D2"/>
    <w:rsid w:val="007B5A1D"/>
    <w:rsid w:val="007B65DB"/>
    <w:rsid w:val="007B7372"/>
    <w:rsid w:val="007C00D5"/>
    <w:rsid w:val="007C0FCE"/>
    <w:rsid w:val="007C35D4"/>
    <w:rsid w:val="007C4201"/>
    <w:rsid w:val="007C4794"/>
    <w:rsid w:val="007C487D"/>
    <w:rsid w:val="007C5899"/>
    <w:rsid w:val="007C6061"/>
    <w:rsid w:val="007C67A1"/>
    <w:rsid w:val="007D1126"/>
    <w:rsid w:val="007D503C"/>
    <w:rsid w:val="007D5109"/>
    <w:rsid w:val="007D5534"/>
    <w:rsid w:val="007D769A"/>
    <w:rsid w:val="007D7A8E"/>
    <w:rsid w:val="007E0D2F"/>
    <w:rsid w:val="007E46F5"/>
    <w:rsid w:val="007E4E0B"/>
    <w:rsid w:val="007E6118"/>
    <w:rsid w:val="007E75AA"/>
    <w:rsid w:val="007E7600"/>
    <w:rsid w:val="007F2117"/>
    <w:rsid w:val="007F32C7"/>
    <w:rsid w:val="007F627F"/>
    <w:rsid w:val="007F7D93"/>
    <w:rsid w:val="008001CB"/>
    <w:rsid w:val="008006B6"/>
    <w:rsid w:val="00801199"/>
    <w:rsid w:val="00802240"/>
    <w:rsid w:val="008022EC"/>
    <w:rsid w:val="00802E42"/>
    <w:rsid w:val="00803499"/>
    <w:rsid w:val="00803986"/>
    <w:rsid w:val="0080587A"/>
    <w:rsid w:val="0081244D"/>
    <w:rsid w:val="00812616"/>
    <w:rsid w:val="0081266C"/>
    <w:rsid w:val="0081446C"/>
    <w:rsid w:val="00814E19"/>
    <w:rsid w:val="00816473"/>
    <w:rsid w:val="00816BB5"/>
    <w:rsid w:val="00820063"/>
    <w:rsid w:val="008240ED"/>
    <w:rsid w:val="00824A0E"/>
    <w:rsid w:val="00831F0D"/>
    <w:rsid w:val="00833243"/>
    <w:rsid w:val="00833AA9"/>
    <w:rsid w:val="0083427F"/>
    <w:rsid w:val="00834D26"/>
    <w:rsid w:val="00837A6A"/>
    <w:rsid w:val="00841857"/>
    <w:rsid w:val="00841D01"/>
    <w:rsid w:val="00841F74"/>
    <w:rsid w:val="00842E02"/>
    <w:rsid w:val="00845879"/>
    <w:rsid w:val="00847122"/>
    <w:rsid w:val="008475F4"/>
    <w:rsid w:val="00847BCB"/>
    <w:rsid w:val="00850A52"/>
    <w:rsid w:val="00850EBD"/>
    <w:rsid w:val="00851B97"/>
    <w:rsid w:val="00853021"/>
    <w:rsid w:val="008541DF"/>
    <w:rsid w:val="0085669B"/>
    <w:rsid w:val="00856FF8"/>
    <w:rsid w:val="008572A7"/>
    <w:rsid w:val="00857BE1"/>
    <w:rsid w:val="00860235"/>
    <w:rsid w:val="008629E4"/>
    <w:rsid w:val="0086454F"/>
    <w:rsid w:val="00865A9E"/>
    <w:rsid w:val="00867258"/>
    <w:rsid w:val="008679F3"/>
    <w:rsid w:val="0087009D"/>
    <w:rsid w:val="008700DE"/>
    <w:rsid w:val="00871459"/>
    <w:rsid w:val="00871B6C"/>
    <w:rsid w:val="008725FF"/>
    <w:rsid w:val="00872613"/>
    <w:rsid w:val="00872927"/>
    <w:rsid w:val="00872E3C"/>
    <w:rsid w:val="008737C8"/>
    <w:rsid w:val="00874D5F"/>
    <w:rsid w:val="00875462"/>
    <w:rsid w:val="00876FA2"/>
    <w:rsid w:val="00876FDF"/>
    <w:rsid w:val="008803F4"/>
    <w:rsid w:val="00880E67"/>
    <w:rsid w:val="00880FDE"/>
    <w:rsid w:val="00884167"/>
    <w:rsid w:val="00884C90"/>
    <w:rsid w:val="0088736E"/>
    <w:rsid w:val="00890090"/>
    <w:rsid w:val="00893575"/>
    <w:rsid w:val="008946A2"/>
    <w:rsid w:val="00895F29"/>
    <w:rsid w:val="00896EB9"/>
    <w:rsid w:val="00897791"/>
    <w:rsid w:val="008A0089"/>
    <w:rsid w:val="008A268D"/>
    <w:rsid w:val="008A58E3"/>
    <w:rsid w:val="008A5D78"/>
    <w:rsid w:val="008A6BB9"/>
    <w:rsid w:val="008B1100"/>
    <w:rsid w:val="008B1196"/>
    <w:rsid w:val="008B1315"/>
    <w:rsid w:val="008B1BDF"/>
    <w:rsid w:val="008B3513"/>
    <w:rsid w:val="008C1845"/>
    <w:rsid w:val="008C1868"/>
    <w:rsid w:val="008C1D01"/>
    <w:rsid w:val="008C33AE"/>
    <w:rsid w:val="008C50C9"/>
    <w:rsid w:val="008C6BBF"/>
    <w:rsid w:val="008C6C23"/>
    <w:rsid w:val="008D15AE"/>
    <w:rsid w:val="008D2BF3"/>
    <w:rsid w:val="008D2EF6"/>
    <w:rsid w:val="008D3146"/>
    <w:rsid w:val="008D359C"/>
    <w:rsid w:val="008D3A62"/>
    <w:rsid w:val="008D5B50"/>
    <w:rsid w:val="008D5B87"/>
    <w:rsid w:val="008D5E43"/>
    <w:rsid w:val="008D6B4D"/>
    <w:rsid w:val="008D7A95"/>
    <w:rsid w:val="008E252A"/>
    <w:rsid w:val="008E2F12"/>
    <w:rsid w:val="008E3502"/>
    <w:rsid w:val="008E41C9"/>
    <w:rsid w:val="008E4B49"/>
    <w:rsid w:val="008E5A7C"/>
    <w:rsid w:val="008E6A48"/>
    <w:rsid w:val="008E756B"/>
    <w:rsid w:val="008E7FE9"/>
    <w:rsid w:val="008F07B5"/>
    <w:rsid w:val="008F15B4"/>
    <w:rsid w:val="008F1811"/>
    <w:rsid w:val="008F34B4"/>
    <w:rsid w:val="008F5929"/>
    <w:rsid w:val="008F5D34"/>
    <w:rsid w:val="008F69E1"/>
    <w:rsid w:val="00901BDF"/>
    <w:rsid w:val="009042F8"/>
    <w:rsid w:val="00905610"/>
    <w:rsid w:val="009105D0"/>
    <w:rsid w:val="00911F4D"/>
    <w:rsid w:val="0091369A"/>
    <w:rsid w:val="00914B04"/>
    <w:rsid w:val="00915EA0"/>
    <w:rsid w:val="009163C1"/>
    <w:rsid w:val="00916A29"/>
    <w:rsid w:val="00916ECB"/>
    <w:rsid w:val="00920BD0"/>
    <w:rsid w:val="00920C4F"/>
    <w:rsid w:val="00920DF1"/>
    <w:rsid w:val="009215FA"/>
    <w:rsid w:val="00921BC8"/>
    <w:rsid w:val="00922FBC"/>
    <w:rsid w:val="00926021"/>
    <w:rsid w:val="0093012C"/>
    <w:rsid w:val="00930CCD"/>
    <w:rsid w:val="0093373A"/>
    <w:rsid w:val="00933A43"/>
    <w:rsid w:val="00935DFD"/>
    <w:rsid w:val="00936814"/>
    <w:rsid w:val="0093688A"/>
    <w:rsid w:val="0093753D"/>
    <w:rsid w:val="00937888"/>
    <w:rsid w:val="00941264"/>
    <w:rsid w:val="00942DC1"/>
    <w:rsid w:val="009435C8"/>
    <w:rsid w:val="0094369F"/>
    <w:rsid w:val="00951083"/>
    <w:rsid w:val="00951404"/>
    <w:rsid w:val="009522CF"/>
    <w:rsid w:val="009522D6"/>
    <w:rsid w:val="00952543"/>
    <w:rsid w:val="00952924"/>
    <w:rsid w:val="00952AC6"/>
    <w:rsid w:val="009554E7"/>
    <w:rsid w:val="00956A52"/>
    <w:rsid w:val="00957967"/>
    <w:rsid w:val="009579B2"/>
    <w:rsid w:val="009603D7"/>
    <w:rsid w:val="0096057A"/>
    <w:rsid w:val="00960F23"/>
    <w:rsid w:val="009615C9"/>
    <w:rsid w:val="009620BE"/>
    <w:rsid w:val="00965F72"/>
    <w:rsid w:val="00966449"/>
    <w:rsid w:val="00966ADE"/>
    <w:rsid w:val="00966B34"/>
    <w:rsid w:val="009675C3"/>
    <w:rsid w:val="00970855"/>
    <w:rsid w:val="00970A03"/>
    <w:rsid w:val="009715CE"/>
    <w:rsid w:val="00971D10"/>
    <w:rsid w:val="00975826"/>
    <w:rsid w:val="00976284"/>
    <w:rsid w:val="00976A26"/>
    <w:rsid w:val="00976D22"/>
    <w:rsid w:val="0097783F"/>
    <w:rsid w:val="0098178B"/>
    <w:rsid w:val="009826C7"/>
    <w:rsid w:val="00982C22"/>
    <w:rsid w:val="0098742B"/>
    <w:rsid w:val="0099022B"/>
    <w:rsid w:val="009913A8"/>
    <w:rsid w:val="009917C0"/>
    <w:rsid w:val="009924CD"/>
    <w:rsid w:val="00992BD4"/>
    <w:rsid w:val="009931F5"/>
    <w:rsid w:val="009969DC"/>
    <w:rsid w:val="00997050"/>
    <w:rsid w:val="0099741B"/>
    <w:rsid w:val="009A05DB"/>
    <w:rsid w:val="009A0A34"/>
    <w:rsid w:val="009A1B07"/>
    <w:rsid w:val="009A2496"/>
    <w:rsid w:val="009A40F1"/>
    <w:rsid w:val="009B32DE"/>
    <w:rsid w:val="009B4046"/>
    <w:rsid w:val="009B40B8"/>
    <w:rsid w:val="009B5A00"/>
    <w:rsid w:val="009B5DE1"/>
    <w:rsid w:val="009B62F4"/>
    <w:rsid w:val="009B7645"/>
    <w:rsid w:val="009C033F"/>
    <w:rsid w:val="009C0D31"/>
    <w:rsid w:val="009C19D4"/>
    <w:rsid w:val="009C2F6C"/>
    <w:rsid w:val="009C4F84"/>
    <w:rsid w:val="009C626A"/>
    <w:rsid w:val="009C6571"/>
    <w:rsid w:val="009C69B7"/>
    <w:rsid w:val="009C7255"/>
    <w:rsid w:val="009C7539"/>
    <w:rsid w:val="009C7E3C"/>
    <w:rsid w:val="009D19B0"/>
    <w:rsid w:val="009D2F22"/>
    <w:rsid w:val="009D301A"/>
    <w:rsid w:val="009D3F35"/>
    <w:rsid w:val="009D42DD"/>
    <w:rsid w:val="009D44F3"/>
    <w:rsid w:val="009D5BB5"/>
    <w:rsid w:val="009D764B"/>
    <w:rsid w:val="009D76DB"/>
    <w:rsid w:val="009D7C07"/>
    <w:rsid w:val="009E03D5"/>
    <w:rsid w:val="009E1795"/>
    <w:rsid w:val="009E3B80"/>
    <w:rsid w:val="009E402C"/>
    <w:rsid w:val="009E50B7"/>
    <w:rsid w:val="009E604F"/>
    <w:rsid w:val="009E661B"/>
    <w:rsid w:val="009E6620"/>
    <w:rsid w:val="009E727E"/>
    <w:rsid w:val="009E7BD4"/>
    <w:rsid w:val="009F027F"/>
    <w:rsid w:val="009F0429"/>
    <w:rsid w:val="009F0C57"/>
    <w:rsid w:val="009F2CA8"/>
    <w:rsid w:val="009F2F8E"/>
    <w:rsid w:val="009F4325"/>
    <w:rsid w:val="009F702B"/>
    <w:rsid w:val="009F7C01"/>
    <w:rsid w:val="00A00DC1"/>
    <w:rsid w:val="00A01842"/>
    <w:rsid w:val="00A021C9"/>
    <w:rsid w:val="00A026E1"/>
    <w:rsid w:val="00A040D9"/>
    <w:rsid w:val="00A11487"/>
    <w:rsid w:val="00A12133"/>
    <w:rsid w:val="00A1479A"/>
    <w:rsid w:val="00A14899"/>
    <w:rsid w:val="00A16045"/>
    <w:rsid w:val="00A207FE"/>
    <w:rsid w:val="00A21A2D"/>
    <w:rsid w:val="00A225D2"/>
    <w:rsid w:val="00A22677"/>
    <w:rsid w:val="00A22DAF"/>
    <w:rsid w:val="00A235B1"/>
    <w:rsid w:val="00A2387A"/>
    <w:rsid w:val="00A35742"/>
    <w:rsid w:val="00A35A57"/>
    <w:rsid w:val="00A37B46"/>
    <w:rsid w:val="00A37C9B"/>
    <w:rsid w:val="00A423D5"/>
    <w:rsid w:val="00A4251D"/>
    <w:rsid w:val="00A42EEB"/>
    <w:rsid w:val="00A42FCD"/>
    <w:rsid w:val="00A43E84"/>
    <w:rsid w:val="00A44D3D"/>
    <w:rsid w:val="00A45504"/>
    <w:rsid w:val="00A459C9"/>
    <w:rsid w:val="00A47546"/>
    <w:rsid w:val="00A51322"/>
    <w:rsid w:val="00A51A43"/>
    <w:rsid w:val="00A51AE5"/>
    <w:rsid w:val="00A51C47"/>
    <w:rsid w:val="00A532CD"/>
    <w:rsid w:val="00A53F33"/>
    <w:rsid w:val="00A54178"/>
    <w:rsid w:val="00A54371"/>
    <w:rsid w:val="00A55676"/>
    <w:rsid w:val="00A5573C"/>
    <w:rsid w:val="00A558F1"/>
    <w:rsid w:val="00A562F9"/>
    <w:rsid w:val="00A56C80"/>
    <w:rsid w:val="00A56D9A"/>
    <w:rsid w:val="00A57DCB"/>
    <w:rsid w:val="00A60830"/>
    <w:rsid w:val="00A62445"/>
    <w:rsid w:val="00A6364B"/>
    <w:rsid w:val="00A63EEB"/>
    <w:rsid w:val="00A64741"/>
    <w:rsid w:val="00A65FCF"/>
    <w:rsid w:val="00A7070E"/>
    <w:rsid w:val="00A71B09"/>
    <w:rsid w:val="00A73A63"/>
    <w:rsid w:val="00A76AC5"/>
    <w:rsid w:val="00A808ED"/>
    <w:rsid w:val="00A81079"/>
    <w:rsid w:val="00A84B86"/>
    <w:rsid w:val="00A85DB4"/>
    <w:rsid w:val="00A870EA"/>
    <w:rsid w:val="00A872D0"/>
    <w:rsid w:val="00A87E4A"/>
    <w:rsid w:val="00A910ED"/>
    <w:rsid w:val="00A931D1"/>
    <w:rsid w:val="00A943F3"/>
    <w:rsid w:val="00A95493"/>
    <w:rsid w:val="00A95504"/>
    <w:rsid w:val="00A962E4"/>
    <w:rsid w:val="00AA0FAF"/>
    <w:rsid w:val="00AA1BF7"/>
    <w:rsid w:val="00AA2F77"/>
    <w:rsid w:val="00AA394E"/>
    <w:rsid w:val="00AA39B3"/>
    <w:rsid w:val="00AA6229"/>
    <w:rsid w:val="00AA7918"/>
    <w:rsid w:val="00AA7D15"/>
    <w:rsid w:val="00AB0A35"/>
    <w:rsid w:val="00AB1199"/>
    <w:rsid w:val="00AB31D4"/>
    <w:rsid w:val="00AB59BE"/>
    <w:rsid w:val="00AB721F"/>
    <w:rsid w:val="00AC0FA5"/>
    <w:rsid w:val="00AC2AA2"/>
    <w:rsid w:val="00AC2EC9"/>
    <w:rsid w:val="00AC3476"/>
    <w:rsid w:val="00AC353F"/>
    <w:rsid w:val="00AC604A"/>
    <w:rsid w:val="00AD183F"/>
    <w:rsid w:val="00AD188E"/>
    <w:rsid w:val="00AD24AB"/>
    <w:rsid w:val="00AD4746"/>
    <w:rsid w:val="00AD4BD3"/>
    <w:rsid w:val="00AD5A64"/>
    <w:rsid w:val="00AD5E62"/>
    <w:rsid w:val="00AD726D"/>
    <w:rsid w:val="00AE1A09"/>
    <w:rsid w:val="00AE1AD8"/>
    <w:rsid w:val="00AE2740"/>
    <w:rsid w:val="00AE28DD"/>
    <w:rsid w:val="00AE31E5"/>
    <w:rsid w:val="00AE34A7"/>
    <w:rsid w:val="00AE383F"/>
    <w:rsid w:val="00AE4D5B"/>
    <w:rsid w:val="00AE4FAA"/>
    <w:rsid w:val="00AE5ACF"/>
    <w:rsid w:val="00AE6D91"/>
    <w:rsid w:val="00AE75BB"/>
    <w:rsid w:val="00AF09D9"/>
    <w:rsid w:val="00AF15E5"/>
    <w:rsid w:val="00AF1D07"/>
    <w:rsid w:val="00AF2E95"/>
    <w:rsid w:val="00AF39AA"/>
    <w:rsid w:val="00AF4B52"/>
    <w:rsid w:val="00AF5897"/>
    <w:rsid w:val="00AF5B75"/>
    <w:rsid w:val="00AF5EDC"/>
    <w:rsid w:val="00AF68D2"/>
    <w:rsid w:val="00AF6D3B"/>
    <w:rsid w:val="00B00636"/>
    <w:rsid w:val="00B009C2"/>
    <w:rsid w:val="00B012A8"/>
    <w:rsid w:val="00B0300E"/>
    <w:rsid w:val="00B03C54"/>
    <w:rsid w:val="00B0741F"/>
    <w:rsid w:val="00B0744A"/>
    <w:rsid w:val="00B11163"/>
    <w:rsid w:val="00B11956"/>
    <w:rsid w:val="00B1233C"/>
    <w:rsid w:val="00B14700"/>
    <w:rsid w:val="00B1482A"/>
    <w:rsid w:val="00B15B8C"/>
    <w:rsid w:val="00B16BEB"/>
    <w:rsid w:val="00B20886"/>
    <w:rsid w:val="00B232C2"/>
    <w:rsid w:val="00B23B68"/>
    <w:rsid w:val="00B23F3E"/>
    <w:rsid w:val="00B26C0A"/>
    <w:rsid w:val="00B27258"/>
    <w:rsid w:val="00B30AAE"/>
    <w:rsid w:val="00B30D76"/>
    <w:rsid w:val="00B31C83"/>
    <w:rsid w:val="00B336A8"/>
    <w:rsid w:val="00B33823"/>
    <w:rsid w:val="00B33B87"/>
    <w:rsid w:val="00B33D02"/>
    <w:rsid w:val="00B372C0"/>
    <w:rsid w:val="00B37319"/>
    <w:rsid w:val="00B40F25"/>
    <w:rsid w:val="00B45FBE"/>
    <w:rsid w:val="00B4638C"/>
    <w:rsid w:val="00B466E1"/>
    <w:rsid w:val="00B514A4"/>
    <w:rsid w:val="00B51F06"/>
    <w:rsid w:val="00B54807"/>
    <w:rsid w:val="00B55A58"/>
    <w:rsid w:val="00B56190"/>
    <w:rsid w:val="00B561CA"/>
    <w:rsid w:val="00B56F9A"/>
    <w:rsid w:val="00B57D79"/>
    <w:rsid w:val="00B60C77"/>
    <w:rsid w:val="00B618ED"/>
    <w:rsid w:val="00B638C0"/>
    <w:rsid w:val="00B6489C"/>
    <w:rsid w:val="00B649B5"/>
    <w:rsid w:val="00B65373"/>
    <w:rsid w:val="00B654E3"/>
    <w:rsid w:val="00B6565D"/>
    <w:rsid w:val="00B65A67"/>
    <w:rsid w:val="00B65AC0"/>
    <w:rsid w:val="00B66525"/>
    <w:rsid w:val="00B66C3A"/>
    <w:rsid w:val="00B67447"/>
    <w:rsid w:val="00B706FF"/>
    <w:rsid w:val="00B71678"/>
    <w:rsid w:val="00B73666"/>
    <w:rsid w:val="00B73C37"/>
    <w:rsid w:val="00B744FE"/>
    <w:rsid w:val="00B76294"/>
    <w:rsid w:val="00B80290"/>
    <w:rsid w:val="00B82B6F"/>
    <w:rsid w:val="00B858C6"/>
    <w:rsid w:val="00B85A1F"/>
    <w:rsid w:val="00B85CC5"/>
    <w:rsid w:val="00B87BC2"/>
    <w:rsid w:val="00B921F3"/>
    <w:rsid w:val="00B94E35"/>
    <w:rsid w:val="00B97A62"/>
    <w:rsid w:val="00B97A7E"/>
    <w:rsid w:val="00BA11DA"/>
    <w:rsid w:val="00BA1F52"/>
    <w:rsid w:val="00BA2743"/>
    <w:rsid w:val="00BA32B5"/>
    <w:rsid w:val="00BA4E7F"/>
    <w:rsid w:val="00BA55A3"/>
    <w:rsid w:val="00BA5DFC"/>
    <w:rsid w:val="00BB0F72"/>
    <w:rsid w:val="00BB0FBF"/>
    <w:rsid w:val="00BB1123"/>
    <w:rsid w:val="00BB1BFC"/>
    <w:rsid w:val="00BB20B7"/>
    <w:rsid w:val="00BB27D0"/>
    <w:rsid w:val="00BB3DDB"/>
    <w:rsid w:val="00BB6D9B"/>
    <w:rsid w:val="00BB77BC"/>
    <w:rsid w:val="00BB7D93"/>
    <w:rsid w:val="00BC08E7"/>
    <w:rsid w:val="00BC101F"/>
    <w:rsid w:val="00BC17F9"/>
    <w:rsid w:val="00BC287D"/>
    <w:rsid w:val="00BC2F54"/>
    <w:rsid w:val="00BC3F00"/>
    <w:rsid w:val="00BC4223"/>
    <w:rsid w:val="00BC537E"/>
    <w:rsid w:val="00BD20C2"/>
    <w:rsid w:val="00BD2834"/>
    <w:rsid w:val="00BD41D6"/>
    <w:rsid w:val="00BD465F"/>
    <w:rsid w:val="00BD46F3"/>
    <w:rsid w:val="00BD7F68"/>
    <w:rsid w:val="00BE0959"/>
    <w:rsid w:val="00BE0DFA"/>
    <w:rsid w:val="00BE1ACF"/>
    <w:rsid w:val="00BE1E74"/>
    <w:rsid w:val="00BE2657"/>
    <w:rsid w:val="00BE2D2E"/>
    <w:rsid w:val="00BE6C5F"/>
    <w:rsid w:val="00BE708D"/>
    <w:rsid w:val="00BE727F"/>
    <w:rsid w:val="00BE737D"/>
    <w:rsid w:val="00BE7CA0"/>
    <w:rsid w:val="00BF0E5B"/>
    <w:rsid w:val="00BF110B"/>
    <w:rsid w:val="00BF15F6"/>
    <w:rsid w:val="00BF1C3F"/>
    <w:rsid w:val="00BF24D8"/>
    <w:rsid w:val="00BF32B0"/>
    <w:rsid w:val="00BF32D0"/>
    <w:rsid w:val="00BF3557"/>
    <w:rsid w:val="00BF3A05"/>
    <w:rsid w:val="00BF491E"/>
    <w:rsid w:val="00BF4FE3"/>
    <w:rsid w:val="00BF603C"/>
    <w:rsid w:val="00BF7613"/>
    <w:rsid w:val="00C004BA"/>
    <w:rsid w:val="00C03131"/>
    <w:rsid w:val="00C05256"/>
    <w:rsid w:val="00C057EA"/>
    <w:rsid w:val="00C059FB"/>
    <w:rsid w:val="00C05A6E"/>
    <w:rsid w:val="00C119B4"/>
    <w:rsid w:val="00C11E92"/>
    <w:rsid w:val="00C1301D"/>
    <w:rsid w:val="00C17046"/>
    <w:rsid w:val="00C211C3"/>
    <w:rsid w:val="00C227AB"/>
    <w:rsid w:val="00C23311"/>
    <w:rsid w:val="00C243AC"/>
    <w:rsid w:val="00C24582"/>
    <w:rsid w:val="00C24ACC"/>
    <w:rsid w:val="00C264D2"/>
    <w:rsid w:val="00C27012"/>
    <w:rsid w:val="00C27038"/>
    <w:rsid w:val="00C2761A"/>
    <w:rsid w:val="00C30227"/>
    <w:rsid w:val="00C322AE"/>
    <w:rsid w:val="00C35F4E"/>
    <w:rsid w:val="00C36086"/>
    <w:rsid w:val="00C36CB2"/>
    <w:rsid w:val="00C36E5E"/>
    <w:rsid w:val="00C40688"/>
    <w:rsid w:val="00C41207"/>
    <w:rsid w:val="00C41C11"/>
    <w:rsid w:val="00C42A1E"/>
    <w:rsid w:val="00C44565"/>
    <w:rsid w:val="00C46426"/>
    <w:rsid w:val="00C46940"/>
    <w:rsid w:val="00C47BA9"/>
    <w:rsid w:val="00C503E7"/>
    <w:rsid w:val="00C51D7C"/>
    <w:rsid w:val="00C51D9C"/>
    <w:rsid w:val="00C565CD"/>
    <w:rsid w:val="00C60499"/>
    <w:rsid w:val="00C607EA"/>
    <w:rsid w:val="00C61984"/>
    <w:rsid w:val="00C62275"/>
    <w:rsid w:val="00C62DDB"/>
    <w:rsid w:val="00C638FF"/>
    <w:rsid w:val="00C63996"/>
    <w:rsid w:val="00C6472D"/>
    <w:rsid w:val="00C70810"/>
    <w:rsid w:val="00C71367"/>
    <w:rsid w:val="00C73411"/>
    <w:rsid w:val="00C80921"/>
    <w:rsid w:val="00C81CDF"/>
    <w:rsid w:val="00C83AEE"/>
    <w:rsid w:val="00C83F22"/>
    <w:rsid w:val="00C83F3C"/>
    <w:rsid w:val="00C849C1"/>
    <w:rsid w:val="00C8587C"/>
    <w:rsid w:val="00C85B50"/>
    <w:rsid w:val="00C85CAE"/>
    <w:rsid w:val="00C86105"/>
    <w:rsid w:val="00C872CE"/>
    <w:rsid w:val="00C9032F"/>
    <w:rsid w:val="00C90FFE"/>
    <w:rsid w:val="00C927A2"/>
    <w:rsid w:val="00C929F7"/>
    <w:rsid w:val="00C930CC"/>
    <w:rsid w:val="00C934F0"/>
    <w:rsid w:val="00C95331"/>
    <w:rsid w:val="00C97B6D"/>
    <w:rsid w:val="00CA2F38"/>
    <w:rsid w:val="00CA30FA"/>
    <w:rsid w:val="00CA5666"/>
    <w:rsid w:val="00CA77A4"/>
    <w:rsid w:val="00CB0834"/>
    <w:rsid w:val="00CB1879"/>
    <w:rsid w:val="00CB2C14"/>
    <w:rsid w:val="00CB5719"/>
    <w:rsid w:val="00CB63C7"/>
    <w:rsid w:val="00CC0D69"/>
    <w:rsid w:val="00CC22B2"/>
    <w:rsid w:val="00CC23C3"/>
    <w:rsid w:val="00CC24A3"/>
    <w:rsid w:val="00CC2D63"/>
    <w:rsid w:val="00CC42BC"/>
    <w:rsid w:val="00CC5D1F"/>
    <w:rsid w:val="00CC63B9"/>
    <w:rsid w:val="00CC75DC"/>
    <w:rsid w:val="00CD49F7"/>
    <w:rsid w:val="00CD5D43"/>
    <w:rsid w:val="00CD662E"/>
    <w:rsid w:val="00CD6A7F"/>
    <w:rsid w:val="00CE26C0"/>
    <w:rsid w:val="00CE35F3"/>
    <w:rsid w:val="00CE5729"/>
    <w:rsid w:val="00CF23EC"/>
    <w:rsid w:val="00CF5E57"/>
    <w:rsid w:val="00CF71EA"/>
    <w:rsid w:val="00CF731F"/>
    <w:rsid w:val="00CF7B66"/>
    <w:rsid w:val="00D02EA8"/>
    <w:rsid w:val="00D03739"/>
    <w:rsid w:val="00D04899"/>
    <w:rsid w:val="00D0498D"/>
    <w:rsid w:val="00D066B8"/>
    <w:rsid w:val="00D07E98"/>
    <w:rsid w:val="00D10825"/>
    <w:rsid w:val="00D145D0"/>
    <w:rsid w:val="00D154C1"/>
    <w:rsid w:val="00D172FF"/>
    <w:rsid w:val="00D2091D"/>
    <w:rsid w:val="00D21E4C"/>
    <w:rsid w:val="00D23112"/>
    <w:rsid w:val="00D234C5"/>
    <w:rsid w:val="00D237F3"/>
    <w:rsid w:val="00D2414F"/>
    <w:rsid w:val="00D24182"/>
    <w:rsid w:val="00D31DEC"/>
    <w:rsid w:val="00D3252B"/>
    <w:rsid w:val="00D32F62"/>
    <w:rsid w:val="00D36D36"/>
    <w:rsid w:val="00D372F3"/>
    <w:rsid w:val="00D379F4"/>
    <w:rsid w:val="00D404C8"/>
    <w:rsid w:val="00D410AA"/>
    <w:rsid w:val="00D4233F"/>
    <w:rsid w:val="00D43FB6"/>
    <w:rsid w:val="00D4429B"/>
    <w:rsid w:val="00D44544"/>
    <w:rsid w:val="00D45EAB"/>
    <w:rsid w:val="00D51C9E"/>
    <w:rsid w:val="00D521F4"/>
    <w:rsid w:val="00D53C61"/>
    <w:rsid w:val="00D5584F"/>
    <w:rsid w:val="00D558D0"/>
    <w:rsid w:val="00D55C30"/>
    <w:rsid w:val="00D56B8D"/>
    <w:rsid w:val="00D57064"/>
    <w:rsid w:val="00D60034"/>
    <w:rsid w:val="00D62AC4"/>
    <w:rsid w:val="00D6338C"/>
    <w:rsid w:val="00D63B1D"/>
    <w:rsid w:val="00D63B5B"/>
    <w:rsid w:val="00D64658"/>
    <w:rsid w:val="00D670B5"/>
    <w:rsid w:val="00D67695"/>
    <w:rsid w:val="00D72A15"/>
    <w:rsid w:val="00D72C59"/>
    <w:rsid w:val="00D73756"/>
    <w:rsid w:val="00D747E4"/>
    <w:rsid w:val="00D75C0F"/>
    <w:rsid w:val="00D766AF"/>
    <w:rsid w:val="00D76E79"/>
    <w:rsid w:val="00D8032E"/>
    <w:rsid w:val="00D80655"/>
    <w:rsid w:val="00D80D0E"/>
    <w:rsid w:val="00D82784"/>
    <w:rsid w:val="00D833F5"/>
    <w:rsid w:val="00D840F2"/>
    <w:rsid w:val="00D85A11"/>
    <w:rsid w:val="00D85D6F"/>
    <w:rsid w:val="00D866EC"/>
    <w:rsid w:val="00D87A3E"/>
    <w:rsid w:val="00D91060"/>
    <w:rsid w:val="00D9159A"/>
    <w:rsid w:val="00D93D05"/>
    <w:rsid w:val="00D97F45"/>
    <w:rsid w:val="00DA0849"/>
    <w:rsid w:val="00DA08C5"/>
    <w:rsid w:val="00DA0B0B"/>
    <w:rsid w:val="00DA1ED1"/>
    <w:rsid w:val="00DA37E2"/>
    <w:rsid w:val="00DA537B"/>
    <w:rsid w:val="00DA53CF"/>
    <w:rsid w:val="00DA5F3E"/>
    <w:rsid w:val="00DA5F44"/>
    <w:rsid w:val="00DB0869"/>
    <w:rsid w:val="00DB3DFD"/>
    <w:rsid w:val="00DB3EDF"/>
    <w:rsid w:val="00DB3EED"/>
    <w:rsid w:val="00DB4BC2"/>
    <w:rsid w:val="00DB7BCB"/>
    <w:rsid w:val="00DC0239"/>
    <w:rsid w:val="00DC0CB8"/>
    <w:rsid w:val="00DC1512"/>
    <w:rsid w:val="00DC2C04"/>
    <w:rsid w:val="00DC556E"/>
    <w:rsid w:val="00DD1FE0"/>
    <w:rsid w:val="00DD22BE"/>
    <w:rsid w:val="00DD3895"/>
    <w:rsid w:val="00DD5595"/>
    <w:rsid w:val="00DD55DA"/>
    <w:rsid w:val="00DD6578"/>
    <w:rsid w:val="00DD7A10"/>
    <w:rsid w:val="00DD7DE2"/>
    <w:rsid w:val="00DE0457"/>
    <w:rsid w:val="00DE13B7"/>
    <w:rsid w:val="00DE1A7D"/>
    <w:rsid w:val="00DE204C"/>
    <w:rsid w:val="00DE52EE"/>
    <w:rsid w:val="00DE73A2"/>
    <w:rsid w:val="00DE75C9"/>
    <w:rsid w:val="00DF015C"/>
    <w:rsid w:val="00DF19B2"/>
    <w:rsid w:val="00DF1DD0"/>
    <w:rsid w:val="00DF3B84"/>
    <w:rsid w:val="00DF4D40"/>
    <w:rsid w:val="00DF6B7A"/>
    <w:rsid w:val="00E00E32"/>
    <w:rsid w:val="00E00EB4"/>
    <w:rsid w:val="00E05037"/>
    <w:rsid w:val="00E05C3C"/>
    <w:rsid w:val="00E103DD"/>
    <w:rsid w:val="00E10E44"/>
    <w:rsid w:val="00E10E46"/>
    <w:rsid w:val="00E14019"/>
    <w:rsid w:val="00E15707"/>
    <w:rsid w:val="00E16B7A"/>
    <w:rsid w:val="00E171BF"/>
    <w:rsid w:val="00E201BB"/>
    <w:rsid w:val="00E202D5"/>
    <w:rsid w:val="00E23B76"/>
    <w:rsid w:val="00E25221"/>
    <w:rsid w:val="00E25CBD"/>
    <w:rsid w:val="00E262DF"/>
    <w:rsid w:val="00E26815"/>
    <w:rsid w:val="00E27748"/>
    <w:rsid w:val="00E302BF"/>
    <w:rsid w:val="00E3034B"/>
    <w:rsid w:val="00E30C1A"/>
    <w:rsid w:val="00E356EC"/>
    <w:rsid w:val="00E35C77"/>
    <w:rsid w:val="00E37973"/>
    <w:rsid w:val="00E40EC5"/>
    <w:rsid w:val="00E4576C"/>
    <w:rsid w:val="00E46ABA"/>
    <w:rsid w:val="00E50CE9"/>
    <w:rsid w:val="00E51534"/>
    <w:rsid w:val="00E51CA0"/>
    <w:rsid w:val="00E53A9B"/>
    <w:rsid w:val="00E53AC5"/>
    <w:rsid w:val="00E5592B"/>
    <w:rsid w:val="00E57932"/>
    <w:rsid w:val="00E6025B"/>
    <w:rsid w:val="00E61173"/>
    <w:rsid w:val="00E61253"/>
    <w:rsid w:val="00E6141A"/>
    <w:rsid w:val="00E6171F"/>
    <w:rsid w:val="00E619B6"/>
    <w:rsid w:val="00E62E88"/>
    <w:rsid w:val="00E63541"/>
    <w:rsid w:val="00E63A89"/>
    <w:rsid w:val="00E64186"/>
    <w:rsid w:val="00E660F0"/>
    <w:rsid w:val="00E70CD3"/>
    <w:rsid w:val="00E756D8"/>
    <w:rsid w:val="00E7667B"/>
    <w:rsid w:val="00E80653"/>
    <w:rsid w:val="00E814DA"/>
    <w:rsid w:val="00E81E3E"/>
    <w:rsid w:val="00E846CF"/>
    <w:rsid w:val="00E84D9A"/>
    <w:rsid w:val="00E86628"/>
    <w:rsid w:val="00E900DB"/>
    <w:rsid w:val="00E91283"/>
    <w:rsid w:val="00E94AEA"/>
    <w:rsid w:val="00E94B62"/>
    <w:rsid w:val="00E94C88"/>
    <w:rsid w:val="00E95971"/>
    <w:rsid w:val="00E966BD"/>
    <w:rsid w:val="00E97136"/>
    <w:rsid w:val="00EA004B"/>
    <w:rsid w:val="00EA1641"/>
    <w:rsid w:val="00EA32CC"/>
    <w:rsid w:val="00EA6830"/>
    <w:rsid w:val="00EB12B0"/>
    <w:rsid w:val="00EB17AF"/>
    <w:rsid w:val="00EB34B4"/>
    <w:rsid w:val="00EB374E"/>
    <w:rsid w:val="00EB4120"/>
    <w:rsid w:val="00EB42C4"/>
    <w:rsid w:val="00EB4D0C"/>
    <w:rsid w:val="00EC04BE"/>
    <w:rsid w:val="00EC0982"/>
    <w:rsid w:val="00EC10DA"/>
    <w:rsid w:val="00EC13F9"/>
    <w:rsid w:val="00EC3D06"/>
    <w:rsid w:val="00EC536D"/>
    <w:rsid w:val="00EC701C"/>
    <w:rsid w:val="00ED0609"/>
    <w:rsid w:val="00ED0FF1"/>
    <w:rsid w:val="00ED1052"/>
    <w:rsid w:val="00ED24B0"/>
    <w:rsid w:val="00ED24FC"/>
    <w:rsid w:val="00ED4314"/>
    <w:rsid w:val="00ED4443"/>
    <w:rsid w:val="00ED7E03"/>
    <w:rsid w:val="00EE0867"/>
    <w:rsid w:val="00EE2521"/>
    <w:rsid w:val="00EE3999"/>
    <w:rsid w:val="00EE53D9"/>
    <w:rsid w:val="00EE6FBB"/>
    <w:rsid w:val="00EE782A"/>
    <w:rsid w:val="00EF0D0B"/>
    <w:rsid w:val="00EF1661"/>
    <w:rsid w:val="00EF4E0C"/>
    <w:rsid w:val="00EF5C39"/>
    <w:rsid w:val="00F0062D"/>
    <w:rsid w:val="00F00653"/>
    <w:rsid w:val="00F0088F"/>
    <w:rsid w:val="00F0231D"/>
    <w:rsid w:val="00F032F8"/>
    <w:rsid w:val="00F03A26"/>
    <w:rsid w:val="00F03DF5"/>
    <w:rsid w:val="00F04499"/>
    <w:rsid w:val="00F0586B"/>
    <w:rsid w:val="00F05D7B"/>
    <w:rsid w:val="00F07478"/>
    <w:rsid w:val="00F14892"/>
    <w:rsid w:val="00F14CF6"/>
    <w:rsid w:val="00F17615"/>
    <w:rsid w:val="00F17712"/>
    <w:rsid w:val="00F17DF5"/>
    <w:rsid w:val="00F20B57"/>
    <w:rsid w:val="00F230D9"/>
    <w:rsid w:val="00F237E2"/>
    <w:rsid w:val="00F3041B"/>
    <w:rsid w:val="00F30848"/>
    <w:rsid w:val="00F308EB"/>
    <w:rsid w:val="00F32FF6"/>
    <w:rsid w:val="00F35092"/>
    <w:rsid w:val="00F35640"/>
    <w:rsid w:val="00F358E5"/>
    <w:rsid w:val="00F362B3"/>
    <w:rsid w:val="00F36840"/>
    <w:rsid w:val="00F40159"/>
    <w:rsid w:val="00F40CBB"/>
    <w:rsid w:val="00F41088"/>
    <w:rsid w:val="00F415CD"/>
    <w:rsid w:val="00F415EC"/>
    <w:rsid w:val="00F4340E"/>
    <w:rsid w:val="00F44DBC"/>
    <w:rsid w:val="00F4667F"/>
    <w:rsid w:val="00F47FA3"/>
    <w:rsid w:val="00F507D0"/>
    <w:rsid w:val="00F50A03"/>
    <w:rsid w:val="00F50FCD"/>
    <w:rsid w:val="00F51E2B"/>
    <w:rsid w:val="00F52235"/>
    <w:rsid w:val="00F52FAD"/>
    <w:rsid w:val="00F5337B"/>
    <w:rsid w:val="00F55193"/>
    <w:rsid w:val="00F552E0"/>
    <w:rsid w:val="00F5566C"/>
    <w:rsid w:val="00F55FF9"/>
    <w:rsid w:val="00F61976"/>
    <w:rsid w:val="00F632D9"/>
    <w:rsid w:val="00F63551"/>
    <w:rsid w:val="00F651EB"/>
    <w:rsid w:val="00F70B3F"/>
    <w:rsid w:val="00F7194D"/>
    <w:rsid w:val="00F73427"/>
    <w:rsid w:val="00F73D92"/>
    <w:rsid w:val="00F75473"/>
    <w:rsid w:val="00F757BC"/>
    <w:rsid w:val="00F760F4"/>
    <w:rsid w:val="00F77AA2"/>
    <w:rsid w:val="00F8236C"/>
    <w:rsid w:val="00F862C7"/>
    <w:rsid w:val="00F8700E"/>
    <w:rsid w:val="00F87602"/>
    <w:rsid w:val="00F91340"/>
    <w:rsid w:val="00F921D0"/>
    <w:rsid w:val="00F93B5D"/>
    <w:rsid w:val="00F93B71"/>
    <w:rsid w:val="00F96621"/>
    <w:rsid w:val="00F97E36"/>
    <w:rsid w:val="00F97FB9"/>
    <w:rsid w:val="00FA3362"/>
    <w:rsid w:val="00FA5F2A"/>
    <w:rsid w:val="00FA6D09"/>
    <w:rsid w:val="00FA7BA0"/>
    <w:rsid w:val="00FA7F0A"/>
    <w:rsid w:val="00FB09C6"/>
    <w:rsid w:val="00FB1205"/>
    <w:rsid w:val="00FB1E43"/>
    <w:rsid w:val="00FB1E6E"/>
    <w:rsid w:val="00FB22C0"/>
    <w:rsid w:val="00FB32B8"/>
    <w:rsid w:val="00FB465D"/>
    <w:rsid w:val="00FB490A"/>
    <w:rsid w:val="00FB4AFC"/>
    <w:rsid w:val="00FB5DD7"/>
    <w:rsid w:val="00FB7414"/>
    <w:rsid w:val="00FB78E2"/>
    <w:rsid w:val="00FC3B85"/>
    <w:rsid w:val="00FC3E9A"/>
    <w:rsid w:val="00FC4B35"/>
    <w:rsid w:val="00FD25F3"/>
    <w:rsid w:val="00FD3059"/>
    <w:rsid w:val="00FD3071"/>
    <w:rsid w:val="00FD3911"/>
    <w:rsid w:val="00FD39CF"/>
    <w:rsid w:val="00FD45C8"/>
    <w:rsid w:val="00FD4F44"/>
    <w:rsid w:val="00FD57F6"/>
    <w:rsid w:val="00FD73EA"/>
    <w:rsid w:val="00FE1EEA"/>
    <w:rsid w:val="00FE1FB5"/>
    <w:rsid w:val="00FE21F9"/>
    <w:rsid w:val="00FE366C"/>
    <w:rsid w:val="00FE3D11"/>
    <w:rsid w:val="00FE3D5A"/>
    <w:rsid w:val="00FE469E"/>
    <w:rsid w:val="00FE4798"/>
    <w:rsid w:val="00FE64E5"/>
    <w:rsid w:val="00FE6CB1"/>
    <w:rsid w:val="00FE78BD"/>
    <w:rsid w:val="00FF0663"/>
    <w:rsid w:val="00FF28B1"/>
    <w:rsid w:val="00FF4E9A"/>
    <w:rsid w:val="00FF64EA"/>
    <w:rsid w:val="00FF67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D74BFD"/>
  <w15:chartTrackingRefBased/>
  <w15:docId w15:val="{14D929DD-14F8-4BC6-9539-84CD3BEEE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3"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1196"/>
  </w:style>
  <w:style w:type="paragraph" w:styleId="Heading1">
    <w:name w:val="heading 1"/>
    <w:basedOn w:val="Normal"/>
    <w:next w:val="Normal"/>
    <w:link w:val="Heading1Char"/>
    <w:uiPriority w:val="9"/>
    <w:qFormat/>
    <w:rsid w:val="00EA004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BodyText"/>
    <w:link w:val="Heading2Char"/>
    <w:uiPriority w:val="9"/>
    <w:qFormat/>
    <w:rsid w:val="00C929F7"/>
    <w:pPr>
      <w:keepNext/>
      <w:keepLines/>
      <w:pBdr>
        <w:top w:val="single" w:sz="8" w:space="3" w:color="FFB600"/>
      </w:pBdr>
      <w:spacing w:after="120" w:line="240" w:lineRule="auto"/>
      <w:outlineLvl w:val="1"/>
    </w:pPr>
    <w:rPr>
      <w:rFonts w:ascii="Georgia" w:eastAsia="Times New Roman" w:hAnsi="Georgia" w:cs="Georgia"/>
      <w:b/>
      <w:color w:val="FFB600"/>
      <w:sz w:val="20"/>
      <w:szCs w:val="20"/>
      <w:lang w:eastAsia="en-GB"/>
    </w:rPr>
  </w:style>
  <w:style w:type="paragraph" w:styleId="Heading3">
    <w:name w:val="heading 3"/>
    <w:basedOn w:val="Normal"/>
    <w:next w:val="BodyText"/>
    <w:link w:val="Heading3Char"/>
    <w:uiPriority w:val="9"/>
    <w:qFormat/>
    <w:rsid w:val="00C929F7"/>
    <w:pPr>
      <w:keepNext/>
      <w:keepLines/>
      <w:spacing w:after="120" w:line="240" w:lineRule="auto"/>
      <w:outlineLvl w:val="2"/>
    </w:pPr>
    <w:rPr>
      <w:rFonts w:ascii="Georgia" w:eastAsia="Times New Roman" w:hAnsi="Georgia" w:cs="Georgia"/>
      <w:i/>
      <w:color w:val="FFB600"/>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1088"/>
    <w:pPr>
      <w:ind w:left="720"/>
      <w:contextualSpacing/>
    </w:pPr>
  </w:style>
  <w:style w:type="character" w:styleId="Hyperlink">
    <w:name w:val="Hyperlink"/>
    <w:basedOn w:val="DefaultParagraphFont"/>
    <w:uiPriority w:val="99"/>
    <w:unhideWhenUsed/>
    <w:rsid w:val="0042045E"/>
    <w:rPr>
      <w:color w:val="0563C1" w:themeColor="hyperlink"/>
      <w:u w:val="single"/>
    </w:rPr>
  </w:style>
  <w:style w:type="table" w:styleId="TableGrid">
    <w:name w:val="Table Grid"/>
    <w:basedOn w:val="TableNormal"/>
    <w:uiPriority w:val="39"/>
    <w:rsid w:val="00034E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23B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3B68"/>
    <w:rPr>
      <w:rFonts w:ascii="Segoe UI" w:hAnsi="Segoe UI" w:cs="Segoe UI"/>
      <w:sz w:val="18"/>
      <w:szCs w:val="18"/>
    </w:rPr>
  </w:style>
  <w:style w:type="paragraph" w:styleId="Header">
    <w:name w:val="header"/>
    <w:basedOn w:val="Normal"/>
    <w:link w:val="HeaderChar"/>
    <w:uiPriority w:val="99"/>
    <w:unhideWhenUsed/>
    <w:rsid w:val="009136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369A"/>
  </w:style>
  <w:style w:type="paragraph" w:styleId="Footer">
    <w:name w:val="footer"/>
    <w:basedOn w:val="Normal"/>
    <w:link w:val="FooterChar"/>
    <w:uiPriority w:val="99"/>
    <w:unhideWhenUsed/>
    <w:rsid w:val="009136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369A"/>
  </w:style>
  <w:style w:type="character" w:styleId="CommentReference">
    <w:name w:val="annotation reference"/>
    <w:basedOn w:val="DefaultParagraphFont"/>
    <w:uiPriority w:val="99"/>
    <w:semiHidden/>
    <w:unhideWhenUsed/>
    <w:rsid w:val="008C33AE"/>
    <w:rPr>
      <w:sz w:val="16"/>
      <w:szCs w:val="16"/>
    </w:rPr>
  </w:style>
  <w:style w:type="paragraph" w:styleId="CommentText">
    <w:name w:val="annotation text"/>
    <w:basedOn w:val="Normal"/>
    <w:link w:val="CommentTextChar"/>
    <w:uiPriority w:val="99"/>
    <w:semiHidden/>
    <w:unhideWhenUsed/>
    <w:rsid w:val="008C33AE"/>
    <w:pPr>
      <w:spacing w:line="240" w:lineRule="auto"/>
    </w:pPr>
    <w:rPr>
      <w:sz w:val="20"/>
      <w:szCs w:val="20"/>
    </w:rPr>
  </w:style>
  <w:style w:type="character" w:customStyle="1" w:styleId="CommentTextChar">
    <w:name w:val="Comment Text Char"/>
    <w:basedOn w:val="DefaultParagraphFont"/>
    <w:link w:val="CommentText"/>
    <w:uiPriority w:val="99"/>
    <w:semiHidden/>
    <w:rsid w:val="008C33AE"/>
    <w:rPr>
      <w:sz w:val="20"/>
      <w:szCs w:val="20"/>
    </w:rPr>
  </w:style>
  <w:style w:type="paragraph" w:styleId="CommentSubject">
    <w:name w:val="annotation subject"/>
    <w:basedOn w:val="CommentText"/>
    <w:next w:val="CommentText"/>
    <w:link w:val="CommentSubjectChar"/>
    <w:uiPriority w:val="99"/>
    <w:semiHidden/>
    <w:unhideWhenUsed/>
    <w:rsid w:val="008C33AE"/>
    <w:rPr>
      <w:b/>
      <w:bCs/>
    </w:rPr>
  </w:style>
  <w:style w:type="character" w:customStyle="1" w:styleId="CommentSubjectChar">
    <w:name w:val="Comment Subject Char"/>
    <w:basedOn w:val="CommentTextChar"/>
    <w:link w:val="CommentSubject"/>
    <w:uiPriority w:val="99"/>
    <w:semiHidden/>
    <w:rsid w:val="008C33AE"/>
    <w:rPr>
      <w:b/>
      <w:bCs/>
      <w:sz w:val="20"/>
      <w:szCs w:val="20"/>
    </w:rPr>
  </w:style>
  <w:style w:type="character" w:customStyle="1" w:styleId="Heading1Char">
    <w:name w:val="Heading 1 Char"/>
    <w:basedOn w:val="DefaultParagraphFont"/>
    <w:link w:val="Heading1"/>
    <w:uiPriority w:val="9"/>
    <w:rsid w:val="00EA004B"/>
    <w:rPr>
      <w:rFonts w:asciiTheme="majorHAnsi" w:eastAsiaTheme="majorEastAsia" w:hAnsiTheme="majorHAnsi" w:cstheme="majorBidi"/>
      <w:color w:val="2E74B5" w:themeColor="accent1" w:themeShade="BF"/>
      <w:sz w:val="32"/>
      <w:szCs w:val="32"/>
    </w:rPr>
  </w:style>
  <w:style w:type="paragraph" w:styleId="Revision">
    <w:name w:val="Revision"/>
    <w:hidden/>
    <w:uiPriority w:val="99"/>
    <w:semiHidden/>
    <w:rsid w:val="00915EA0"/>
    <w:pPr>
      <w:spacing w:after="0" w:line="240" w:lineRule="auto"/>
    </w:pPr>
  </w:style>
  <w:style w:type="paragraph" w:customStyle="1" w:styleId="Heading1First">
    <w:name w:val="Heading 1 First"/>
    <w:basedOn w:val="Heading1"/>
    <w:qFormat/>
    <w:rsid w:val="00ED24B0"/>
    <w:pPr>
      <w:spacing w:before="0" w:after="120" w:line="240" w:lineRule="auto"/>
    </w:pPr>
    <w:rPr>
      <w:rFonts w:ascii="Georgia" w:eastAsia="Times New Roman" w:hAnsi="Georgia" w:cs="Georgia"/>
      <w:b/>
      <w:color w:val="auto"/>
      <w:sz w:val="28"/>
      <w:szCs w:val="28"/>
      <w:lang w:eastAsia="en-GB"/>
    </w:rPr>
  </w:style>
  <w:style w:type="numbering" w:customStyle="1" w:styleId="NoList1">
    <w:name w:val="No List1"/>
    <w:next w:val="NoList"/>
    <w:uiPriority w:val="99"/>
    <w:semiHidden/>
    <w:unhideWhenUsed/>
    <w:rsid w:val="00872927"/>
  </w:style>
  <w:style w:type="table" w:customStyle="1" w:styleId="TableGrid1">
    <w:name w:val="Table Grid1"/>
    <w:basedOn w:val="TableNormal"/>
    <w:next w:val="TableGrid"/>
    <w:uiPriority w:val="39"/>
    <w:rsid w:val="008729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uiPriority w:val="99"/>
    <w:rsid w:val="00872927"/>
    <w:pPr>
      <w:suppressAutoHyphens/>
      <w:autoSpaceDE w:val="0"/>
      <w:autoSpaceDN w:val="0"/>
      <w:adjustRightInd w:val="0"/>
      <w:spacing w:after="0" w:line="288" w:lineRule="auto"/>
      <w:textAlignment w:val="center"/>
    </w:pPr>
    <w:rPr>
      <w:rFonts w:ascii="FS Albert Trial Light" w:hAnsi="FS Albert Trial Light" w:cs="FS Albert Trial Light"/>
      <w:color w:val="00185E"/>
      <w:sz w:val="24"/>
      <w:szCs w:val="24"/>
    </w:rPr>
  </w:style>
  <w:style w:type="paragraph" w:customStyle="1" w:styleId="PROcapUser3">
    <w:name w:val="PROcap User 3"/>
    <w:basedOn w:val="Normal"/>
    <w:rsid w:val="005E47C9"/>
    <w:pPr>
      <w:spacing w:after="0" w:line="240" w:lineRule="auto"/>
    </w:pPr>
    <w:rPr>
      <w:rFonts w:ascii="Arial" w:eastAsia="Times New Roman" w:hAnsi="Arial" w:cs="Arial"/>
      <w:b/>
      <w:sz w:val="20"/>
      <w:szCs w:val="20"/>
    </w:rPr>
  </w:style>
  <w:style w:type="paragraph" w:customStyle="1" w:styleId="Default">
    <w:name w:val="Default"/>
    <w:rsid w:val="00A026E1"/>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2A3533"/>
    <w:pPr>
      <w:spacing w:after="0" w:line="240" w:lineRule="auto"/>
    </w:pPr>
  </w:style>
  <w:style w:type="character" w:customStyle="1" w:styleId="Heading2Char">
    <w:name w:val="Heading 2 Char"/>
    <w:basedOn w:val="DefaultParagraphFont"/>
    <w:link w:val="Heading2"/>
    <w:uiPriority w:val="9"/>
    <w:rsid w:val="00C929F7"/>
    <w:rPr>
      <w:rFonts w:ascii="Georgia" w:eastAsia="Times New Roman" w:hAnsi="Georgia" w:cs="Georgia"/>
      <w:b/>
      <w:color w:val="FFB600"/>
      <w:sz w:val="20"/>
      <w:szCs w:val="20"/>
      <w:lang w:eastAsia="en-GB"/>
    </w:rPr>
  </w:style>
  <w:style w:type="character" w:customStyle="1" w:styleId="Heading3Char">
    <w:name w:val="Heading 3 Char"/>
    <w:basedOn w:val="DefaultParagraphFont"/>
    <w:link w:val="Heading3"/>
    <w:uiPriority w:val="9"/>
    <w:rsid w:val="00C929F7"/>
    <w:rPr>
      <w:rFonts w:ascii="Georgia" w:eastAsia="Times New Roman" w:hAnsi="Georgia" w:cs="Georgia"/>
      <w:i/>
      <w:color w:val="FFB600"/>
      <w:sz w:val="20"/>
      <w:szCs w:val="20"/>
      <w:lang w:eastAsia="en-GB"/>
    </w:rPr>
  </w:style>
  <w:style w:type="paragraph" w:styleId="BodyText">
    <w:name w:val="Body Text"/>
    <w:basedOn w:val="Normal"/>
    <w:link w:val="BodyTextChar"/>
    <w:uiPriority w:val="99"/>
    <w:qFormat/>
    <w:rsid w:val="00C929F7"/>
    <w:pPr>
      <w:spacing w:after="120" w:line="240" w:lineRule="auto"/>
    </w:pPr>
    <w:rPr>
      <w:rFonts w:ascii="Georgia" w:eastAsia="Times New Roman" w:hAnsi="Georgia" w:cs="Georgia"/>
      <w:sz w:val="18"/>
      <w:szCs w:val="18"/>
      <w:lang w:eastAsia="en-GB"/>
    </w:rPr>
  </w:style>
  <w:style w:type="character" w:customStyle="1" w:styleId="BodyTextChar">
    <w:name w:val="Body Text Char"/>
    <w:basedOn w:val="DefaultParagraphFont"/>
    <w:link w:val="BodyText"/>
    <w:uiPriority w:val="99"/>
    <w:rsid w:val="00C929F7"/>
    <w:rPr>
      <w:rFonts w:ascii="Georgia" w:eastAsia="Times New Roman" w:hAnsi="Georgia" w:cs="Georgia"/>
      <w:sz w:val="18"/>
      <w:szCs w:val="18"/>
      <w:lang w:eastAsia="en-GB"/>
    </w:rPr>
  </w:style>
  <w:style w:type="paragraph" w:customStyle="1" w:styleId="BodySingle">
    <w:name w:val="Body Single"/>
    <w:basedOn w:val="BodyText"/>
    <w:link w:val="BodySingleChar"/>
    <w:uiPriority w:val="1"/>
    <w:qFormat/>
    <w:rsid w:val="00C929F7"/>
    <w:pPr>
      <w:spacing w:after="0"/>
    </w:pPr>
  </w:style>
  <w:style w:type="character" w:customStyle="1" w:styleId="BodySingleChar">
    <w:name w:val="Body Single Char"/>
    <w:link w:val="BodySingle"/>
    <w:uiPriority w:val="1"/>
    <w:locked/>
    <w:rsid w:val="00C929F7"/>
    <w:rPr>
      <w:rFonts w:ascii="Georgia" w:eastAsia="Times New Roman" w:hAnsi="Georgia" w:cs="Georgia"/>
      <w:sz w:val="18"/>
      <w:szCs w:val="18"/>
      <w:lang w:eastAsia="en-GB"/>
    </w:rPr>
  </w:style>
  <w:style w:type="paragraph" w:styleId="ListBullet">
    <w:name w:val="List Bullet"/>
    <w:basedOn w:val="Normal"/>
    <w:uiPriority w:val="13"/>
    <w:qFormat/>
    <w:rsid w:val="00C929F7"/>
    <w:pPr>
      <w:numPr>
        <w:numId w:val="25"/>
      </w:numPr>
      <w:tabs>
        <w:tab w:val="left" w:pos="720"/>
      </w:tabs>
      <w:spacing w:after="120" w:line="240" w:lineRule="auto"/>
    </w:pPr>
    <w:rPr>
      <w:rFonts w:ascii="Georgia" w:eastAsia="Times New Roman" w:hAnsi="Georgia" w:cs="Georgia"/>
      <w:sz w:val="18"/>
      <w:szCs w:val="18"/>
      <w:lang w:eastAsia="en-GB"/>
    </w:rPr>
  </w:style>
  <w:style w:type="paragraph" w:customStyle="1" w:styleId="SignatureBefore">
    <w:name w:val="SignatureBefore"/>
    <w:basedOn w:val="BodySingle"/>
    <w:uiPriority w:val="99"/>
    <w:qFormat/>
    <w:rsid w:val="00C929F7"/>
    <w:pPr>
      <w:spacing w:before="960"/>
    </w:pPr>
  </w:style>
  <w:style w:type="paragraph" w:customStyle="1" w:styleId="ReportTitle">
    <w:name w:val="Report Title"/>
    <w:basedOn w:val="Heading1First"/>
    <w:qFormat/>
    <w:rsid w:val="00C929F7"/>
    <w:pPr>
      <w:spacing w:after="360"/>
    </w:pPr>
    <w:rPr>
      <w:i/>
      <w:sz w:val="32"/>
      <w:szCs w:val="32"/>
    </w:rPr>
  </w:style>
  <w:style w:type="character" w:styleId="EndnoteReference">
    <w:name w:val="endnote reference"/>
    <w:uiPriority w:val="99"/>
    <w:semiHidden/>
    <w:unhideWhenUsed/>
    <w:rsid w:val="00C929F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74753">
      <w:bodyDiv w:val="1"/>
      <w:marLeft w:val="0"/>
      <w:marRight w:val="0"/>
      <w:marTop w:val="0"/>
      <w:marBottom w:val="0"/>
      <w:divBdr>
        <w:top w:val="none" w:sz="0" w:space="0" w:color="auto"/>
        <w:left w:val="none" w:sz="0" w:space="0" w:color="auto"/>
        <w:bottom w:val="none" w:sz="0" w:space="0" w:color="auto"/>
        <w:right w:val="none" w:sz="0" w:space="0" w:color="auto"/>
      </w:divBdr>
    </w:div>
    <w:div w:id="16735682">
      <w:bodyDiv w:val="1"/>
      <w:marLeft w:val="0"/>
      <w:marRight w:val="0"/>
      <w:marTop w:val="0"/>
      <w:marBottom w:val="0"/>
      <w:divBdr>
        <w:top w:val="none" w:sz="0" w:space="0" w:color="auto"/>
        <w:left w:val="none" w:sz="0" w:space="0" w:color="auto"/>
        <w:bottom w:val="none" w:sz="0" w:space="0" w:color="auto"/>
        <w:right w:val="none" w:sz="0" w:space="0" w:color="auto"/>
      </w:divBdr>
    </w:div>
    <w:div w:id="20329406">
      <w:bodyDiv w:val="1"/>
      <w:marLeft w:val="0"/>
      <w:marRight w:val="0"/>
      <w:marTop w:val="0"/>
      <w:marBottom w:val="0"/>
      <w:divBdr>
        <w:top w:val="none" w:sz="0" w:space="0" w:color="auto"/>
        <w:left w:val="none" w:sz="0" w:space="0" w:color="auto"/>
        <w:bottom w:val="none" w:sz="0" w:space="0" w:color="auto"/>
        <w:right w:val="none" w:sz="0" w:space="0" w:color="auto"/>
      </w:divBdr>
    </w:div>
    <w:div w:id="27026135">
      <w:bodyDiv w:val="1"/>
      <w:marLeft w:val="0"/>
      <w:marRight w:val="0"/>
      <w:marTop w:val="0"/>
      <w:marBottom w:val="0"/>
      <w:divBdr>
        <w:top w:val="none" w:sz="0" w:space="0" w:color="auto"/>
        <w:left w:val="none" w:sz="0" w:space="0" w:color="auto"/>
        <w:bottom w:val="none" w:sz="0" w:space="0" w:color="auto"/>
        <w:right w:val="none" w:sz="0" w:space="0" w:color="auto"/>
      </w:divBdr>
    </w:div>
    <w:div w:id="46030855">
      <w:bodyDiv w:val="1"/>
      <w:marLeft w:val="0"/>
      <w:marRight w:val="0"/>
      <w:marTop w:val="0"/>
      <w:marBottom w:val="0"/>
      <w:divBdr>
        <w:top w:val="none" w:sz="0" w:space="0" w:color="auto"/>
        <w:left w:val="none" w:sz="0" w:space="0" w:color="auto"/>
        <w:bottom w:val="none" w:sz="0" w:space="0" w:color="auto"/>
        <w:right w:val="none" w:sz="0" w:space="0" w:color="auto"/>
      </w:divBdr>
    </w:div>
    <w:div w:id="82772164">
      <w:bodyDiv w:val="1"/>
      <w:marLeft w:val="0"/>
      <w:marRight w:val="0"/>
      <w:marTop w:val="0"/>
      <w:marBottom w:val="0"/>
      <w:divBdr>
        <w:top w:val="none" w:sz="0" w:space="0" w:color="auto"/>
        <w:left w:val="none" w:sz="0" w:space="0" w:color="auto"/>
        <w:bottom w:val="none" w:sz="0" w:space="0" w:color="auto"/>
        <w:right w:val="none" w:sz="0" w:space="0" w:color="auto"/>
      </w:divBdr>
    </w:div>
    <w:div w:id="120343272">
      <w:bodyDiv w:val="1"/>
      <w:marLeft w:val="0"/>
      <w:marRight w:val="0"/>
      <w:marTop w:val="0"/>
      <w:marBottom w:val="0"/>
      <w:divBdr>
        <w:top w:val="none" w:sz="0" w:space="0" w:color="auto"/>
        <w:left w:val="none" w:sz="0" w:space="0" w:color="auto"/>
        <w:bottom w:val="none" w:sz="0" w:space="0" w:color="auto"/>
        <w:right w:val="none" w:sz="0" w:space="0" w:color="auto"/>
      </w:divBdr>
    </w:div>
    <w:div w:id="131872037">
      <w:bodyDiv w:val="1"/>
      <w:marLeft w:val="0"/>
      <w:marRight w:val="0"/>
      <w:marTop w:val="0"/>
      <w:marBottom w:val="0"/>
      <w:divBdr>
        <w:top w:val="none" w:sz="0" w:space="0" w:color="auto"/>
        <w:left w:val="none" w:sz="0" w:space="0" w:color="auto"/>
        <w:bottom w:val="none" w:sz="0" w:space="0" w:color="auto"/>
        <w:right w:val="none" w:sz="0" w:space="0" w:color="auto"/>
      </w:divBdr>
    </w:div>
    <w:div w:id="142892427">
      <w:bodyDiv w:val="1"/>
      <w:marLeft w:val="0"/>
      <w:marRight w:val="0"/>
      <w:marTop w:val="0"/>
      <w:marBottom w:val="0"/>
      <w:divBdr>
        <w:top w:val="none" w:sz="0" w:space="0" w:color="auto"/>
        <w:left w:val="none" w:sz="0" w:space="0" w:color="auto"/>
        <w:bottom w:val="none" w:sz="0" w:space="0" w:color="auto"/>
        <w:right w:val="none" w:sz="0" w:space="0" w:color="auto"/>
      </w:divBdr>
    </w:div>
    <w:div w:id="154491676">
      <w:bodyDiv w:val="1"/>
      <w:marLeft w:val="0"/>
      <w:marRight w:val="0"/>
      <w:marTop w:val="0"/>
      <w:marBottom w:val="0"/>
      <w:divBdr>
        <w:top w:val="none" w:sz="0" w:space="0" w:color="auto"/>
        <w:left w:val="none" w:sz="0" w:space="0" w:color="auto"/>
        <w:bottom w:val="none" w:sz="0" w:space="0" w:color="auto"/>
        <w:right w:val="none" w:sz="0" w:space="0" w:color="auto"/>
      </w:divBdr>
    </w:div>
    <w:div w:id="179126853">
      <w:bodyDiv w:val="1"/>
      <w:marLeft w:val="0"/>
      <w:marRight w:val="0"/>
      <w:marTop w:val="0"/>
      <w:marBottom w:val="0"/>
      <w:divBdr>
        <w:top w:val="none" w:sz="0" w:space="0" w:color="auto"/>
        <w:left w:val="none" w:sz="0" w:space="0" w:color="auto"/>
        <w:bottom w:val="none" w:sz="0" w:space="0" w:color="auto"/>
        <w:right w:val="none" w:sz="0" w:space="0" w:color="auto"/>
      </w:divBdr>
    </w:div>
    <w:div w:id="183833685">
      <w:bodyDiv w:val="1"/>
      <w:marLeft w:val="0"/>
      <w:marRight w:val="0"/>
      <w:marTop w:val="0"/>
      <w:marBottom w:val="0"/>
      <w:divBdr>
        <w:top w:val="none" w:sz="0" w:space="0" w:color="auto"/>
        <w:left w:val="none" w:sz="0" w:space="0" w:color="auto"/>
        <w:bottom w:val="none" w:sz="0" w:space="0" w:color="auto"/>
        <w:right w:val="none" w:sz="0" w:space="0" w:color="auto"/>
      </w:divBdr>
    </w:div>
    <w:div w:id="214318887">
      <w:bodyDiv w:val="1"/>
      <w:marLeft w:val="0"/>
      <w:marRight w:val="0"/>
      <w:marTop w:val="0"/>
      <w:marBottom w:val="0"/>
      <w:divBdr>
        <w:top w:val="none" w:sz="0" w:space="0" w:color="auto"/>
        <w:left w:val="none" w:sz="0" w:space="0" w:color="auto"/>
        <w:bottom w:val="none" w:sz="0" w:space="0" w:color="auto"/>
        <w:right w:val="none" w:sz="0" w:space="0" w:color="auto"/>
      </w:divBdr>
    </w:div>
    <w:div w:id="216934401">
      <w:bodyDiv w:val="1"/>
      <w:marLeft w:val="0"/>
      <w:marRight w:val="0"/>
      <w:marTop w:val="0"/>
      <w:marBottom w:val="0"/>
      <w:divBdr>
        <w:top w:val="none" w:sz="0" w:space="0" w:color="auto"/>
        <w:left w:val="none" w:sz="0" w:space="0" w:color="auto"/>
        <w:bottom w:val="none" w:sz="0" w:space="0" w:color="auto"/>
        <w:right w:val="none" w:sz="0" w:space="0" w:color="auto"/>
      </w:divBdr>
    </w:div>
    <w:div w:id="217203679">
      <w:bodyDiv w:val="1"/>
      <w:marLeft w:val="0"/>
      <w:marRight w:val="0"/>
      <w:marTop w:val="0"/>
      <w:marBottom w:val="0"/>
      <w:divBdr>
        <w:top w:val="none" w:sz="0" w:space="0" w:color="auto"/>
        <w:left w:val="none" w:sz="0" w:space="0" w:color="auto"/>
        <w:bottom w:val="none" w:sz="0" w:space="0" w:color="auto"/>
        <w:right w:val="none" w:sz="0" w:space="0" w:color="auto"/>
      </w:divBdr>
    </w:div>
    <w:div w:id="226572945">
      <w:bodyDiv w:val="1"/>
      <w:marLeft w:val="0"/>
      <w:marRight w:val="0"/>
      <w:marTop w:val="0"/>
      <w:marBottom w:val="0"/>
      <w:divBdr>
        <w:top w:val="none" w:sz="0" w:space="0" w:color="auto"/>
        <w:left w:val="none" w:sz="0" w:space="0" w:color="auto"/>
        <w:bottom w:val="none" w:sz="0" w:space="0" w:color="auto"/>
        <w:right w:val="none" w:sz="0" w:space="0" w:color="auto"/>
      </w:divBdr>
    </w:div>
    <w:div w:id="233046868">
      <w:bodyDiv w:val="1"/>
      <w:marLeft w:val="0"/>
      <w:marRight w:val="0"/>
      <w:marTop w:val="0"/>
      <w:marBottom w:val="0"/>
      <w:divBdr>
        <w:top w:val="none" w:sz="0" w:space="0" w:color="auto"/>
        <w:left w:val="none" w:sz="0" w:space="0" w:color="auto"/>
        <w:bottom w:val="none" w:sz="0" w:space="0" w:color="auto"/>
        <w:right w:val="none" w:sz="0" w:space="0" w:color="auto"/>
      </w:divBdr>
    </w:div>
    <w:div w:id="237137090">
      <w:bodyDiv w:val="1"/>
      <w:marLeft w:val="0"/>
      <w:marRight w:val="0"/>
      <w:marTop w:val="0"/>
      <w:marBottom w:val="0"/>
      <w:divBdr>
        <w:top w:val="none" w:sz="0" w:space="0" w:color="auto"/>
        <w:left w:val="none" w:sz="0" w:space="0" w:color="auto"/>
        <w:bottom w:val="none" w:sz="0" w:space="0" w:color="auto"/>
        <w:right w:val="none" w:sz="0" w:space="0" w:color="auto"/>
      </w:divBdr>
    </w:div>
    <w:div w:id="265508753">
      <w:bodyDiv w:val="1"/>
      <w:marLeft w:val="0"/>
      <w:marRight w:val="0"/>
      <w:marTop w:val="0"/>
      <w:marBottom w:val="0"/>
      <w:divBdr>
        <w:top w:val="none" w:sz="0" w:space="0" w:color="auto"/>
        <w:left w:val="none" w:sz="0" w:space="0" w:color="auto"/>
        <w:bottom w:val="none" w:sz="0" w:space="0" w:color="auto"/>
        <w:right w:val="none" w:sz="0" w:space="0" w:color="auto"/>
      </w:divBdr>
    </w:div>
    <w:div w:id="271329370">
      <w:bodyDiv w:val="1"/>
      <w:marLeft w:val="0"/>
      <w:marRight w:val="0"/>
      <w:marTop w:val="0"/>
      <w:marBottom w:val="0"/>
      <w:divBdr>
        <w:top w:val="none" w:sz="0" w:space="0" w:color="auto"/>
        <w:left w:val="none" w:sz="0" w:space="0" w:color="auto"/>
        <w:bottom w:val="none" w:sz="0" w:space="0" w:color="auto"/>
        <w:right w:val="none" w:sz="0" w:space="0" w:color="auto"/>
      </w:divBdr>
    </w:div>
    <w:div w:id="272595694">
      <w:bodyDiv w:val="1"/>
      <w:marLeft w:val="0"/>
      <w:marRight w:val="0"/>
      <w:marTop w:val="0"/>
      <w:marBottom w:val="0"/>
      <w:divBdr>
        <w:top w:val="none" w:sz="0" w:space="0" w:color="auto"/>
        <w:left w:val="none" w:sz="0" w:space="0" w:color="auto"/>
        <w:bottom w:val="none" w:sz="0" w:space="0" w:color="auto"/>
        <w:right w:val="none" w:sz="0" w:space="0" w:color="auto"/>
      </w:divBdr>
    </w:div>
    <w:div w:id="296883624">
      <w:bodyDiv w:val="1"/>
      <w:marLeft w:val="0"/>
      <w:marRight w:val="0"/>
      <w:marTop w:val="0"/>
      <w:marBottom w:val="0"/>
      <w:divBdr>
        <w:top w:val="none" w:sz="0" w:space="0" w:color="auto"/>
        <w:left w:val="none" w:sz="0" w:space="0" w:color="auto"/>
        <w:bottom w:val="none" w:sz="0" w:space="0" w:color="auto"/>
        <w:right w:val="none" w:sz="0" w:space="0" w:color="auto"/>
      </w:divBdr>
    </w:div>
    <w:div w:id="344676529">
      <w:bodyDiv w:val="1"/>
      <w:marLeft w:val="0"/>
      <w:marRight w:val="0"/>
      <w:marTop w:val="0"/>
      <w:marBottom w:val="0"/>
      <w:divBdr>
        <w:top w:val="none" w:sz="0" w:space="0" w:color="auto"/>
        <w:left w:val="none" w:sz="0" w:space="0" w:color="auto"/>
        <w:bottom w:val="none" w:sz="0" w:space="0" w:color="auto"/>
        <w:right w:val="none" w:sz="0" w:space="0" w:color="auto"/>
      </w:divBdr>
    </w:div>
    <w:div w:id="383917628">
      <w:bodyDiv w:val="1"/>
      <w:marLeft w:val="0"/>
      <w:marRight w:val="0"/>
      <w:marTop w:val="0"/>
      <w:marBottom w:val="0"/>
      <w:divBdr>
        <w:top w:val="none" w:sz="0" w:space="0" w:color="auto"/>
        <w:left w:val="none" w:sz="0" w:space="0" w:color="auto"/>
        <w:bottom w:val="none" w:sz="0" w:space="0" w:color="auto"/>
        <w:right w:val="none" w:sz="0" w:space="0" w:color="auto"/>
      </w:divBdr>
    </w:div>
    <w:div w:id="398019424">
      <w:bodyDiv w:val="1"/>
      <w:marLeft w:val="0"/>
      <w:marRight w:val="0"/>
      <w:marTop w:val="0"/>
      <w:marBottom w:val="0"/>
      <w:divBdr>
        <w:top w:val="none" w:sz="0" w:space="0" w:color="auto"/>
        <w:left w:val="none" w:sz="0" w:space="0" w:color="auto"/>
        <w:bottom w:val="none" w:sz="0" w:space="0" w:color="auto"/>
        <w:right w:val="none" w:sz="0" w:space="0" w:color="auto"/>
      </w:divBdr>
    </w:div>
    <w:div w:id="408694841">
      <w:bodyDiv w:val="1"/>
      <w:marLeft w:val="0"/>
      <w:marRight w:val="0"/>
      <w:marTop w:val="0"/>
      <w:marBottom w:val="0"/>
      <w:divBdr>
        <w:top w:val="none" w:sz="0" w:space="0" w:color="auto"/>
        <w:left w:val="none" w:sz="0" w:space="0" w:color="auto"/>
        <w:bottom w:val="none" w:sz="0" w:space="0" w:color="auto"/>
        <w:right w:val="none" w:sz="0" w:space="0" w:color="auto"/>
      </w:divBdr>
    </w:div>
    <w:div w:id="415513887">
      <w:bodyDiv w:val="1"/>
      <w:marLeft w:val="0"/>
      <w:marRight w:val="0"/>
      <w:marTop w:val="0"/>
      <w:marBottom w:val="0"/>
      <w:divBdr>
        <w:top w:val="none" w:sz="0" w:space="0" w:color="auto"/>
        <w:left w:val="none" w:sz="0" w:space="0" w:color="auto"/>
        <w:bottom w:val="none" w:sz="0" w:space="0" w:color="auto"/>
        <w:right w:val="none" w:sz="0" w:space="0" w:color="auto"/>
      </w:divBdr>
    </w:div>
    <w:div w:id="425730316">
      <w:bodyDiv w:val="1"/>
      <w:marLeft w:val="0"/>
      <w:marRight w:val="0"/>
      <w:marTop w:val="0"/>
      <w:marBottom w:val="0"/>
      <w:divBdr>
        <w:top w:val="none" w:sz="0" w:space="0" w:color="auto"/>
        <w:left w:val="none" w:sz="0" w:space="0" w:color="auto"/>
        <w:bottom w:val="none" w:sz="0" w:space="0" w:color="auto"/>
        <w:right w:val="none" w:sz="0" w:space="0" w:color="auto"/>
      </w:divBdr>
    </w:div>
    <w:div w:id="426660071">
      <w:bodyDiv w:val="1"/>
      <w:marLeft w:val="0"/>
      <w:marRight w:val="0"/>
      <w:marTop w:val="0"/>
      <w:marBottom w:val="0"/>
      <w:divBdr>
        <w:top w:val="none" w:sz="0" w:space="0" w:color="auto"/>
        <w:left w:val="none" w:sz="0" w:space="0" w:color="auto"/>
        <w:bottom w:val="none" w:sz="0" w:space="0" w:color="auto"/>
        <w:right w:val="none" w:sz="0" w:space="0" w:color="auto"/>
      </w:divBdr>
    </w:div>
    <w:div w:id="456149115">
      <w:bodyDiv w:val="1"/>
      <w:marLeft w:val="0"/>
      <w:marRight w:val="0"/>
      <w:marTop w:val="0"/>
      <w:marBottom w:val="0"/>
      <w:divBdr>
        <w:top w:val="none" w:sz="0" w:space="0" w:color="auto"/>
        <w:left w:val="none" w:sz="0" w:space="0" w:color="auto"/>
        <w:bottom w:val="none" w:sz="0" w:space="0" w:color="auto"/>
        <w:right w:val="none" w:sz="0" w:space="0" w:color="auto"/>
      </w:divBdr>
    </w:div>
    <w:div w:id="466972046">
      <w:bodyDiv w:val="1"/>
      <w:marLeft w:val="0"/>
      <w:marRight w:val="0"/>
      <w:marTop w:val="0"/>
      <w:marBottom w:val="0"/>
      <w:divBdr>
        <w:top w:val="none" w:sz="0" w:space="0" w:color="auto"/>
        <w:left w:val="none" w:sz="0" w:space="0" w:color="auto"/>
        <w:bottom w:val="none" w:sz="0" w:space="0" w:color="auto"/>
        <w:right w:val="none" w:sz="0" w:space="0" w:color="auto"/>
      </w:divBdr>
    </w:div>
    <w:div w:id="473567410">
      <w:bodyDiv w:val="1"/>
      <w:marLeft w:val="0"/>
      <w:marRight w:val="0"/>
      <w:marTop w:val="0"/>
      <w:marBottom w:val="0"/>
      <w:divBdr>
        <w:top w:val="none" w:sz="0" w:space="0" w:color="auto"/>
        <w:left w:val="none" w:sz="0" w:space="0" w:color="auto"/>
        <w:bottom w:val="none" w:sz="0" w:space="0" w:color="auto"/>
        <w:right w:val="none" w:sz="0" w:space="0" w:color="auto"/>
      </w:divBdr>
    </w:div>
    <w:div w:id="511143353">
      <w:bodyDiv w:val="1"/>
      <w:marLeft w:val="0"/>
      <w:marRight w:val="0"/>
      <w:marTop w:val="0"/>
      <w:marBottom w:val="0"/>
      <w:divBdr>
        <w:top w:val="none" w:sz="0" w:space="0" w:color="auto"/>
        <w:left w:val="none" w:sz="0" w:space="0" w:color="auto"/>
        <w:bottom w:val="none" w:sz="0" w:space="0" w:color="auto"/>
        <w:right w:val="none" w:sz="0" w:space="0" w:color="auto"/>
      </w:divBdr>
    </w:div>
    <w:div w:id="515652014">
      <w:bodyDiv w:val="1"/>
      <w:marLeft w:val="0"/>
      <w:marRight w:val="0"/>
      <w:marTop w:val="0"/>
      <w:marBottom w:val="0"/>
      <w:divBdr>
        <w:top w:val="none" w:sz="0" w:space="0" w:color="auto"/>
        <w:left w:val="none" w:sz="0" w:space="0" w:color="auto"/>
        <w:bottom w:val="none" w:sz="0" w:space="0" w:color="auto"/>
        <w:right w:val="none" w:sz="0" w:space="0" w:color="auto"/>
      </w:divBdr>
    </w:div>
    <w:div w:id="522673049">
      <w:bodyDiv w:val="1"/>
      <w:marLeft w:val="0"/>
      <w:marRight w:val="0"/>
      <w:marTop w:val="0"/>
      <w:marBottom w:val="0"/>
      <w:divBdr>
        <w:top w:val="none" w:sz="0" w:space="0" w:color="auto"/>
        <w:left w:val="none" w:sz="0" w:space="0" w:color="auto"/>
        <w:bottom w:val="none" w:sz="0" w:space="0" w:color="auto"/>
        <w:right w:val="none" w:sz="0" w:space="0" w:color="auto"/>
      </w:divBdr>
    </w:div>
    <w:div w:id="527182739">
      <w:bodyDiv w:val="1"/>
      <w:marLeft w:val="0"/>
      <w:marRight w:val="0"/>
      <w:marTop w:val="0"/>
      <w:marBottom w:val="0"/>
      <w:divBdr>
        <w:top w:val="none" w:sz="0" w:space="0" w:color="auto"/>
        <w:left w:val="none" w:sz="0" w:space="0" w:color="auto"/>
        <w:bottom w:val="none" w:sz="0" w:space="0" w:color="auto"/>
        <w:right w:val="none" w:sz="0" w:space="0" w:color="auto"/>
      </w:divBdr>
    </w:div>
    <w:div w:id="528034991">
      <w:bodyDiv w:val="1"/>
      <w:marLeft w:val="0"/>
      <w:marRight w:val="0"/>
      <w:marTop w:val="0"/>
      <w:marBottom w:val="0"/>
      <w:divBdr>
        <w:top w:val="none" w:sz="0" w:space="0" w:color="auto"/>
        <w:left w:val="none" w:sz="0" w:space="0" w:color="auto"/>
        <w:bottom w:val="none" w:sz="0" w:space="0" w:color="auto"/>
        <w:right w:val="none" w:sz="0" w:space="0" w:color="auto"/>
      </w:divBdr>
    </w:div>
    <w:div w:id="537350684">
      <w:bodyDiv w:val="1"/>
      <w:marLeft w:val="0"/>
      <w:marRight w:val="0"/>
      <w:marTop w:val="0"/>
      <w:marBottom w:val="0"/>
      <w:divBdr>
        <w:top w:val="none" w:sz="0" w:space="0" w:color="auto"/>
        <w:left w:val="none" w:sz="0" w:space="0" w:color="auto"/>
        <w:bottom w:val="none" w:sz="0" w:space="0" w:color="auto"/>
        <w:right w:val="none" w:sz="0" w:space="0" w:color="auto"/>
      </w:divBdr>
    </w:div>
    <w:div w:id="539441388">
      <w:bodyDiv w:val="1"/>
      <w:marLeft w:val="0"/>
      <w:marRight w:val="0"/>
      <w:marTop w:val="0"/>
      <w:marBottom w:val="0"/>
      <w:divBdr>
        <w:top w:val="none" w:sz="0" w:space="0" w:color="auto"/>
        <w:left w:val="none" w:sz="0" w:space="0" w:color="auto"/>
        <w:bottom w:val="none" w:sz="0" w:space="0" w:color="auto"/>
        <w:right w:val="none" w:sz="0" w:space="0" w:color="auto"/>
      </w:divBdr>
    </w:div>
    <w:div w:id="539784038">
      <w:bodyDiv w:val="1"/>
      <w:marLeft w:val="0"/>
      <w:marRight w:val="0"/>
      <w:marTop w:val="0"/>
      <w:marBottom w:val="0"/>
      <w:divBdr>
        <w:top w:val="none" w:sz="0" w:space="0" w:color="auto"/>
        <w:left w:val="none" w:sz="0" w:space="0" w:color="auto"/>
        <w:bottom w:val="none" w:sz="0" w:space="0" w:color="auto"/>
        <w:right w:val="none" w:sz="0" w:space="0" w:color="auto"/>
      </w:divBdr>
    </w:div>
    <w:div w:id="545527664">
      <w:bodyDiv w:val="1"/>
      <w:marLeft w:val="0"/>
      <w:marRight w:val="0"/>
      <w:marTop w:val="0"/>
      <w:marBottom w:val="0"/>
      <w:divBdr>
        <w:top w:val="none" w:sz="0" w:space="0" w:color="auto"/>
        <w:left w:val="none" w:sz="0" w:space="0" w:color="auto"/>
        <w:bottom w:val="none" w:sz="0" w:space="0" w:color="auto"/>
        <w:right w:val="none" w:sz="0" w:space="0" w:color="auto"/>
      </w:divBdr>
    </w:div>
    <w:div w:id="578757548">
      <w:bodyDiv w:val="1"/>
      <w:marLeft w:val="0"/>
      <w:marRight w:val="0"/>
      <w:marTop w:val="0"/>
      <w:marBottom w:val="0"/>
      <w:divBdr>
        <w:top w:val="none" w:sz="0" w:space="0" w:color="auto"/>
        <w:left w:val="none" w:sz="0" w:space="0" w:color="auto"/>
        <w:bottom w:val="none" w:sz="0" w:space="0" w:color="auto"/>
        <w:right w:val="none" w:sz="0" w:space="0" w:color="auto"/>
      </w:divBdr>
    </w:div>
    <w:div w:id="591083344">
      <w:bodyDiv w:val="1"/>
      <w:marLeft w:val="0"/>
      <w:marRight w:val="0"/>
      <w:marTop w:val="0"/>
      <w:marBottom w:val="0"/>
      <w:divBdr>
        <w:top w:val="none" w:sz="0" w:space="0" w:color="auto"/>
        <w:left w:val="none" w:sz="0" w:space="0" w:color="auto"/>
        <w:bottom w:val="none" w:sz="0" w:space="0" w:color="auto"/>
        <w:right w:val="none" w:sz="0" w:space="0" w:color="auto"/>
      </w:divBdr>
    </w:div>
    <w:div w:id="591083986">
      <w:bodyDiv w:val="1"/>
      <w:marLeft w:val="0"/>
      <w:marRight w:val="0"/>
      <w:marTop w:val="0"/>
      <w:marBottom w:val="0"/>
      <w:divBdr>
        <w:top w:val="none" w:sz="0" w:space="0" w:color="auto"/>
        <w:left w:val="none" w:sz="0" w:space="0" w:color="auto"/>
        <w:bottom w:val="none" w:sz="0" w:space="0" w:color="auto"/>
        <w:right w:val="none" w:sz="0" w:space="0" w:color="auto"/>
      </w:divBdr>
    </w:div>
    <w:div w:id="593439667">
      <w:bodyDiv w:val="1"/>
      <w:marLeft w:val="0"/>
      <w:marRight w:val="0"/>
      <w:marTop w:val="0"/>
      <w:marBottom w:val="0"/>
      <w:divBdr>
        <w:top w:val="none" w:sz="0" w:space="0" w:color="auto"/>
        <w:left w:val="none" w:sz="0" w:space="0" w:color="auto"/>
        <w:bottom w:val="none" w:sz="0" w:space="0" w:color="auto"/>
        <w:right w:val="none" w:sz="0" w:space="0" w:color="auto"/>
      </w:divBdr>
    </w:div>
    <w:div w:id="625431267">
      <w:bodyDiv w:val="1"/>
      <w:marLeft w:val="0"/>
      <w:marRight w:val="0"/>
      <w:marTop w:val="0"/>
      <w:marBottom w:val="0"/>
      <w:divBdr>
        <w:top w:val="none" w:sz="0" w:space="0" w:color="auto"/>
        <w:left w:val="none" w:sz="0" w:space="0" w:color="auto"/>
        <w:bottom w:val="none" w:sz="0" w:space="0" w:color="auto"/>
        <w:right w:val="none" w:sz="0" w:space="0" w:color="auto"/>
      </w:divBdr>
    </w:div>
    <w:div w:id="638726211">
      <w:bodyDiv w:val="1"/>
      <w:marLeft w:val="0"/>
      <w:marRight w:val="0"/>
      <w:marTop w:val="0"/>
      <w:marBottom w:val="0"/>
      <w:divBdr>
        <w:top w:val="none" w:sz="0" w:space="0" w:color="auto"/>
        <w:left w:val="none" w:sz="0" w:space="0" w:color="auto"/>
        <w:bottom w:val="none" w:sz="0" w:space="0" w:color="auto"/>
        <w:right w:val="none" w:sz="0" w:space="0" w:color="auto"/>
      </w:divBdr>
    </w:div>
    <w:div w:id="652953157">
      <w:bodyDiv w:val="1"/>
      <w:marLeft w:val="0"/>
      <w:marRight w:val="0"/>
      <w:marTop w:val="0"/>
      <w:marBottom w:val="0"/>
      <w:divBdr>
        <w:top w:val="none" w:sz="0" w:space="0" w:color="auto"/>
        <w:left w:val="none" w:sz="0" w:space="0" w:color="auto"/>
        <w:bottom w:val="none" w:sz="0" w:space="0" w:color="auto"/>
        <w:right w:val="none" w:sz="0" w:space="0" w:color="auto"/>
      </w:divBdr>
    </w:div>
    <w:div w:id="653148313">
      <w:bodyDiv w:val="1"/>
      <w:marLeft w:val="0"/>
      <w:marRight w:val="0"/>
      <w:marTop w:val="0"/>
      <w:marBottom w:val="0"/>
      <w:divBdr>
        <w:top w:val="none" w:sz="0" w:space="0" w:color="auto"/>
        <w:left w:val="none" w:sz="0" w:space="0" w:color="auto"/>
        <w:bottom w:val="none" w:sz="0" w:space="0" w:color="auto"/>
        <w:right w:val="none" w:sz="0" w:space="0" w:color="auto"/>
      </w:divBdr>
    </w:div>
    <w:div w:id="655720074">
      <w:bodyDiv w:val="1"/>
      <w:marLeft w:val="0"/>
      <w:marRight w:val="0"/>
      <w:marTop w:val="0"/>
      <w:marBottom w:val="0"/>
      <w:divBdr>
        <w:top w:val="none" w:sz="0" w:space="0" w:color="auto"/>
        <w:left w:val="none" w:sz="0" w:space="0" w:color="auto"/>
        <w:bottom w:val="none" w:sz="0" w:space="0" w:color="auto"/>
        <w:right w:val="none" w:sz="0" w:space="0" w:color="auto"/>
      </w:divBdr>
    </w:div>
    <w:div w:id="657076597">
      <w:bodyDiv w:val="1"/>
      <w:marLeft w:val="0"/>
      <w:marRight w:val="0"/>
      <w:marTop w:val="0"/>
      <w:marBottom w:val="0"/>
      <w:divBdr>
        <w:top w:val="none" w:sz="0" w:space="0" w:color="auto"/>
        <w:left w:val="none" w:sz="0" w:space="0" w:color="auto"/>
        <w:bottom w:val="none" w:sz="0" w:space="0" w:color="auto"/>
        <w:right w:val="none" w:sz="0" w:space="0" w:color="auto"/>
      </w:divBdr>
    </w:div>
    <w:div w:id="681861108">
      <w:bodyDiv w:val="1"/>
      <w:marLeft w:val="0"/>
      <w:marRight w:val="0"/>
      <w:marTop w:val="0"/>
      <w:marBottom w:val="0"/>
      <w:divBdr>
        <w:top w:val="none" w:sz="0" w:space="0" w:color="auto"/>
        <w:left w:val="none" w:sz="0" w:space="0" w:color="auto"/>
        <w:bottom w:val="none" w:sz="0" w:space="0" w:color="auto"/>
        <w:right w:val="none" w:sz="0" w:space="0" w:color="auto"/>
      </w:divBdr>
    </w:div>
    <w:div w:id="750854200">
      <w:bodyDiv w:val="1"/>
      <w:marLeft w:val="0"/>
      <w:marRight w:val="0"/>
      <w:marTop w:val="0"/>
      <w:marBottom w:val="0"/>
      <w:divBdr>
        <w:top w:val="none" w:sz="0" w:space="0" w:color="auto"/>
        <w:left w:val="none" w:sz="0" w:space="0" w:color="auto"/>
        <w:bottom w:val="none" w:sz="0" w:space="0" w:color="auto"/>
        <w:right w:val="none" w:sz="0" w:space="0" w:color="auto"/>
      </w:divBdr>
    </w:div>
    <w:div w:id="758915920">
      <w:bodyDiv w:val="1"/>
      <w:marLeft w:val="0"/>
      <w:marRight w:val="0"/>
      <w:marTop w:val="0"/>
      <w:marBottom w:val="0"/>
      <w:divBdr>
        <w:top w:val="none" w:sz="0" w:space="0" w:color="auto"/>
        <w:left w:val="none" w:sz="0" w:space="0" w:color="auto"/>
        <w:bottom w:val="none" w:sz="0" w:space="0" w:color="auto"/>
        <w:right w:val="none" w:sz="0" w:space="0" w:color="auto"/>
      </w:divBdr>
    </w:div>
    <w:div w:id="781454941">
      <w:bodyDiv w:val="1"/>
      <w:marLeft w:val="0"/>
      <w:marRight w:val="0"/>
      <w:marTop w:val="0"/>
      <w:marBottom w:val="0"/>
      <w:divBdr>
        <w:top w:val="none" w:sz="0" w:space="0" w:color="auto"/>
        <w:left w:val="none" w:sz="0" w:space="0" w:color="auto"/>
        <w:bottom w:val="none" w:sz="0" w:space="0" w:color="auto"/>
        <w:right w:val="none" w:sz="0" w:space="0" w:color="auto"/>
      </w:divBdr>
    </w:div>
    <w:div w:id="784732385">
      <w:bodyDiv w:val="1"/>
      <w:marLeft w:val="0"/>
      <w:marRight w:val="0"/>
      <w:marTop w:val="0"/>
      <w:marBottom w:val="0"/>
      <w:divBdr>
        <w:top w:val="none" w:sz="0" w:space="0" w:color="auto"/>
        <w:left w:val="none" w:sz="0" w:space="0" w:color="auto"/>
        <w:bottom w:val="none" w:sz="0" w:space="0" w:color="auto"/>
        <w:right w:val="none" w:sz="0" w:space="0" w:color="auto"/>
      </w:divBdr>
    </w:div>
    <w:div w:id="805440450">
      <w:bodyDiv w:val="1"/>
      <w:marLeft w:val="0"/>
      <w:marRight w:val="0"/>
      <w:marTop w:val="0"/>
      <w:marBottom w:val="0"/>
      <w:divBdr>
        <w:top w:val="none" w:sz="0" w:space="0" w:color="auto"/>
        <w:left w:val="none" w:sz="0" w:space="0" w:color="auto"/>
        <w:bottom w:val="none" w:sz="0" w:space="0" w:color="auto"/>
        <w:right w:val="none" w:sz="0" w:space="0" w:color="auto"/>
      </w:divBdr>
    </w:div>
    <w:div w:id="822427328">
      <w:bodyDiv w:val="1"/>
      <w:marLeft w:val="0"/>
      <w:marRight w:val="0"/>
      <w:marTop w:val="0"/>
      <w:marBottom w:val="0"/>
      <w:divBdr>
        <w:top w:val="none" w:sz="0" w:space="0" w:color="auto"/>
        <w:left w:val="none" w:sz="0" w:space="0" w:color="auto"/>
        <w:bottom w:val="none" w:sz="0" w:space="0" w:color="auto"/>
        <w:right w:val="none" w:sz="0" w:space="0" w:color="auto"/>
      </w:divBdr>
    </w:div>
    <w:div w:id="845438339">
      <w:bodyDiv w:val="1"/>
      <w:marLeft w:val="0"/>
      <w:marRight w:val="0"/>
      <w:marTop w:val="0"/>
      <w:marBottom w:val="0"/>
      <w:divBdr>
        <w:top w:val="none" w:sz="0" w:space="0" w:color="auto"/>
        <w:left w:val="none" w:sz="0" w:space="0" w:color="auto"/>
        <w:bottom w:val="none" w:sz="0" w:space="0" w:color="auto"/>
        <w:right w:val="none" w:sz="0" w:space="0" w:color="auto"/>
      </w:divBdr>
    </w:div>
    <w:div w:id="857039741">
      <w:bodyDiv w:val="1"/>
      <w:marLeft w:val="0"/>
      <w:marRight w:val="0"/>
      <w:marTop w:val="0"/>
      <w:marBottom w:val="0"/>
      <w:divBdr>
        <w:top w:val="none" w:sz="0" w:space="0" w:color="auto"/>
        <w:left w:val="none" w:sz="0" w:space="0" w:color="auto"/>
        <w:bottom w:val="none" w:sz="0" w:space="0" w:color="auto"/>
        <w:right w:val="none" w:sz="0" w:space="0" w:color="auto"/>
      </w:divBdr>
    </w:div>
    <w:div w:id="911278132">
      <w:bodyDiv w:val="1"/>
      <w:marLeft w:val="0"/>
      <w:marRight w:val="0"/>
      <w:marTop w:val="0"/>
      <w:marBottom w:val="0"/>
      <w:divBdr>
        <w:top w:val="none" w:sz="0" w:space="0" w:color="auto"/>
        <w:left w:val="none" w:sz="0" w:space="0" w:color="auto"/>
        <w:bottom w:val="none" w:sz="0" w:space="0" w:color="auto"/>
        <w:right w:val="none" w:sz="0" w:space="0" w:color="auto"/>
      </w:divBdr>
    </w:div>
    <w:div w:id="919752015">
      <w:bodyDiv w:val="1"/>
      <w:marLeft w:val="0"/>
      <w:marRight w:val="0"/>
      <w:marTop w:val="0"/>
      <w:marBottom w:val="0"/>
      <w:divBdr>
        <w:top w:val="none" w:sz="0" w:space="0" w:color="auto"/>
        <w:left w:val="none" w:sz="0" w:space="0" w:color="auto"/>
        <w:bottom w:val="none" w:sz="0" w:space="0" w:color="auto"/>
        <w:right w:val="none" w:sz="0" w:space="0" w:color="auto"/>
      </w:divBdr>
    </w:div>
    <w:div w:id="931815718">
      <w:bodyDiv w:val="1"/>
      <w:marLeft w:val="0"/>
      <w:marRight w:val="0"/>
      <w:marTop w:val="0"/>
      <w:marBottom w:val="0"/>
      <w:divBdr>
        <w:top w:val="none" w:sz="0" w:space="0" w:color="auto"/>
        <w:left w:val="none" w:sz="0" w:space="0" w:color="auto"/>
        <w:bottom w:val="none" w:sz="0" w:space="0" w:color="auto"/>
        <w:right w:val="none" w:sz="0" w:space="0" w:color="auto"/>
      </w:divBdr>
    </w:div>
    <w:div w:id="940801503">
      <w:bodyDiv w:val="1"/>
      <w:marLeft w:val="0"/>
      <w:marRight w:val="0"/>
      <w:marTop w:val="0"/>
      <w:marBottom w:val="0"/>
      <w:divBdr>
        <w:top w:val="none" w:sz="0" w:space="0" w:color="auto"/>
        <w:left w:val="none" w:sz="0" w:space="0" w:color="auto"/>
        <w:bottom w:val="none" w:sz="0" w:space="0" w:color="auto"/>
        <w:right w:val="none" w:sz="0" w:space="0" w:color="auto"/>
      </w:divBdr>
    </w:div>
    <w:div w:id="952441821">
      <w:bodyDiv w:val="1"/>
      <w:marLeft w:val="0"/>
      <w:marRight w:val="0"/>
      <w:marTop w:val="0"/>
      <w:marBottom w:val="0"/>
      <w:divBdr>
        <w:top w:val="none" w:sz="0" w:space="0" w:color="auto"/>
        <w:left w:val="none" w:sz="0" w:space="0" w:color="auto"/>
        <w:bottom w:val="none" w:sz="0" w:space="0" w:color="auto"/>
        <w:right w:val="none" w:sz="0" w:space="0" w:color="auto"/>
      </w:divBdr>
    </w:div>
    <w:div w:id="963192940">
      <w:bodyDiv w:val="1"/>
      <w:marLeft w:val="0"/>
      <w:marRight w:val="0"/>
      <w:marTop w:val="0"/>
      <w:marBottom w:val="0"/>
      <w:divBdr>
        <w:top w:val="none" w:sz="0" w:space="0" w:color="auto"/>
        <w:left w:val="none" w:sz="0" w:space="0" w:color="auto"/>
        <w:bottom w:val="none" w:sz="0" w:space="0" w:color="auto"/>
        <w:right w:val="none" w:sz="0" w:space="0" w:color="auto"/>
      </w:divBdr>
    </w:div>
    <w:div w:id="972059427">
      <w:bodyDiv w:val="1"/>
      <w:marLeft w:val="0"/>
      <w:marRight w:val="0"/>
      <w:marTop w:val="0"/>
      <w:marBottom w:val="0"/>
      <w:divBdr>
        <w:top w:val="none" w:sz="0" w:space="0" w:color="auto"/>
        <w:left w:val="none" w:sz="0" w:space="0" w:color="auto"/>
        <w:bottom w:val="none" w:sz="0" w:space="0" w:color="auto"/>
        <w:right w:val="none" w:sz="0" w:space="0" w:color="auto"/>
      </w:divBdr>
    </w:div>
    <w:div w:id="972096202">
      <w:bodyDiv w:val="1"/>
      <w:marLeft w:val="0"/>
      <w:marRight w:val="0"/>
      <w:marTop w:val="0"/>
      <w:marBottom w:val="0"/>
      <w:divBdr>
        <w:top w:val="none" w:sz="0" w:space="0" w:color="auto"/>
        <w:left w:val="none" w:sz="0" w:space="0" w:color="auto"/>
        <w:bottom w:val="none" w:sz="0" w:space="0" w:color="auto"/>
        <w:right w:val="none" w:sz="0" w:space="0" w:color="auto"/>
      </w:divBdr>
    </w:div>
    <w:div w:id="974141977">
      <w:bodyDiv w:val="1"/>
      <w:marLeft w:val="0"/>
      <w:marRight w:val="0"/>
      <w:marTop w:val="0"/>
      <w:marBottom w:val="0"/>
      <w:divBdr>
        <w:top w:val="none" w:sz="0" w:space="0" w:color="auto"/>
        <w:left w:val="none" w:sz="0" w:space="0" w:color="auto"/>
        <w:bottom w:val="none" w:sz="0" w:space="0" w:color="auto"/>
        <w:right w:val="none" w:sz="0" w:space="0" w:color="auto"/>
      </w:divBdr>
    </w:div>
    <w:div w:id="991254738">
      <w:bodyDiv w:val="1"/>
      <w:marLeft w:val="0"/>
      <w:marRight w:val="0"/>
      <w:marTop w:val="0"/>
      <w:marBottom w:val="0"/>
      <w:divBdr>
        <w:top w:val="none" w:sz="0" w:space="0" w:color="auto"/>
        <w:left w:val="none" w:sz="0" w:space="0" w:color="auto"/>
        <w:bottom w:val="none" w:sz="0" w:space="0" w:color="auto"/>
        <w:right w:val="none" w:sz="0" w:space="0" w:color="auto"/>
      </w:divBdr>
    </w:div>
    <w:div w:id="1019089611">
      <w:bodyDiv w:val="1"/>
      <w:marLeft w:val="0"/>
      <w:marRight w:val="0"/>
      <w:marTop w:val="0"/>
      <w:marBottom w:val="0"/>
      <w:divBdr>
        <w:top w:val="none" w:sz="0" w:space="0" w:color="auto"/>
        <w:left w:val="none" w:sz="0" w:space="0" w:color="auto"/>
        <w:bottom w:val="none" w:sz="0" w:space="0" w:color="auto"/>
        <w:right w:val="none" w:sz="0" w:space="0" w:color="auto"/>
      </w:divBdr>
    </w:div>
    <w:div w:id="1035809803">
      <w:bodyDiv w:val="1"/>
      <w:marLeft w:val="0"/>
      <w:marRight w:val="0"/>
      <w:marTop w:val="0"/>
      <w:marBottom w:val="0"/>
      <w:divBdr>
        <w:top w:val="none" w:sz="0" w:space="0" w:color="auto"/>
        <w:left w:val="none" w:sz="0" w:space="0" w:color="auto"/>
        <w:bottom w:val="none" w:sz="0" w:space="0" w:color="auto"/>
        <w:right w:val="none" w:sz="0" w:space="0" w:color="auto"/>
      </w:divBdr>
    </w:div>
    <w:div w:id="1047997641">
      <w:bodyDiv w:val="1"/>
      <w:marLeft w:val="0"/>
      <w:marRight w:val="0"/>
      <w:marTop w:val="0"/>
      <w:marBottom w:val="0"/>
      <w:divBdr>
        <w:top w:val="none" w:sz="0" w:space="0" w:color="auto"/>
        <w:left w:val="none" w:sz="0" w:space="0" w:color="auto"/>
        <w:bottom w:val="none" w:sz="0" w:space="0" w:color="auto"/>
        <w:right w:val="none" w:sz="0" w:space="0" w:color="auto"/>
      </w:divBdr>
    </w:div>
    <w:div w:id="1052999361">
      <w:bodyDiv w:val="1"/>
      <w:marLeft w:val="0"/>
      <w:marRight w:val="0"/>
      <w:marTop w:val="0"/>
      <w:marBottom w:val="0"/>
      <w:divBdr>
        <w:top w:val="none" w:sz="0" w:space="0" w:color="auto"/>
        <w:left w:val="none" w:sz="0" w:space="0" w:color="auto"/>
        <w:bottom w:val="none" w:sz="0" w:space="0" w:color="auto"/>
        <w:right w:val="none" w:sz="0" w:space="0" w:color="auto"/>
      </w:divBdr>
    </w:div>
    <w:div w:id="1057781916">
      <w:bodyDiv w:val="1"/>
      <w:marLeft w:val="0"/>
      <w:marRight w:val="0"/>
      <w:marTop w:val="0"/>
      <w:marBottom w:val="0"/>
      <w:divBdr>
        <w:top w:val="none" w:sz="0" w:space="0" w:color="auto"/>
        <w:left w:val="none" w:sz="0" w:space="0" w:color="auto"/>
        <w:bottom w:val="none" w:sz="0" w:space="0" w:color="auto"/>
        <w:right w:val="none" w:sz="0" w:space="0" w:color="auto"/>
      </w:divBdr>
    </w:div>
    <w:div w:id="1061709312">
      <w:bodyDiv w:val="1"/>
      <w:marLeft w:val="0"/>
      <w:marRight w:val="0"/>
      <w:marTop w:val="0"/>
      <w:marBottom w:val="0"/>
      <w:divBdr>
        <w:top w:val="none" w:sz="0" w:space="0" w:color="auto"/>
        <w:left w:val="none" w:sz="0" w:space="0" w:color="auto"/>
        <w:bottom w:val="none" w:sz="0" w:space="0" w:color="auto"/>
        <w:right w:val="none" w:sz="0" w:space="0" w:color="auto"/>
      </w:divBdr>
    </w:div>
    <w:div w:id="1064833775">
      <w:bodyDiv w:val="1"/>
      <w:marLeft w:val="0"/>
      <w:marRight w:val="0"/>
      <w:marTop w:val="0"/>
      <w:marBottom w:val="0"/>
      <w:divBdr>
        <w:top w:val="none" w:sz="0" w:space="0" w:color="auto"/>
        <w:left w:val="none" w:sz="0" w:space="0" w:color="auto"/>
        <w:bottom w:val="none" w:sz="0" w:space="0" w:color="auto"/>
        <w:right w:val="none" w:sz="0" w:space="0" w:color="auto"/>
      </w:divBdr>
    </w:div>
    <w:div w:id="1073698844">
      <w:bodyDiv w:val="1"/>
      <w:marLeft w:val="0"/>
      <w:marRight w:val="0"/>
      <w:marTop w:val="0"/>
      <w:marBottom w:val="0"/>
      <w:divBdr>
        <w:top w:val="none" w:sz="0" w:space="0" w:color="auto"/>
        <w:left w:val="none" w:sz="0" w:space="0" w:color="auto"/>
        <w:bottom w:val="none" w:sz="0" w:space="0" w:color="auto"/>
        <w:right w:val="none" w:sz="0" w:space="0" w:color="auto"/>
      </w:divBdr>
    </w:div>
    <w:div w:id="1089889178">
      <w:bodyDiv w:val="1"/>
      <w:marLeft w:val="0"/>
      <w:marRight w:val="0"/>
      <w:marTop w:val="0"/>
      <w:marBottom w:val="0"/>
      <w:divBdr>
        <w:top w:val="none" w:sz="0" w:space="0" w:color="auto"/>
        <w:left w:val="none" w:sz="0" w:space="0" w:color="auto"/>
        <w:bottom w:val="none" w:sz="0" w:space="0" w:color="auto"/>
        <w:right w:val="none" w:sz="0" w:space="0" w:color="auto"/>
      </w:divBdr>
    </w:div>
    <w:div w:id="1091395862">
      <w:bodyDiv w:val="1"/>
      <w:marLeft w:val="0"/>
      <w:marRight w:val="0"/>
      <w:marTop w:val="0"/>
      <w:marBottom w:val="0"/>
      <w:divBdr>
        <w:top w:val="none" w:sz="0" w:space="0" w:color="auto"/>
        <w:left w:val="none" w:sz="0" w:space="0" w:color="auto"/>
        <w:bottom w:val="none" w:sz="0" w:space="0" w:color="auto"/>
        <w:right w:val="none" w:sz="0" w:space="0" w:color="auto"/>
      </w:divBdr>
    </w:div>
    <w:div w:id="1091514520">
      <w:bodyDiv w:val="1"/>
      <w:marLeft w:val="0"/>
      <w:marRight w:val="0"/>
      <w:marTop w:val="0"/>
      <w:marBottom w:val="0"/>
      <w:divBdr>
        <w:top w:val="none" w:sz="0" w:space="0" w:color="auto"/>
        <w:left w:val="none" w:sz="0" w:space="0" w:color="auto"/>
        <w:bottom w:val="none" w:sz="0" w:space="0" w:color="auto"/>
        <w:right w:val="none" w:sz="0" w:space="0" w:color="auto"/>
      </w:divBdr>
    </w:div>
    <w:div w:id="1100492256">
      <w:bodyDiv w:val="1"/>
      <w:marLeft w:val="0"/>
      <w:marRight w:val="0"/>
      <w:marTop w:val="0"/>
      <w:marBottom w:val="0"/>
      <w:divBdr>
        <w:top w:val="none" w:sz="0" w:space="0" w:color="auto"/>
        <w:left w:val="none" w:sz="0" w:space="0" w:color="auto"/>
        <w:bottom w:val="none" w:sz="0" w:space="0" w:color="auto"/>
        <w:right w:val="none" w:sz="0" w:space="0" w:color="auto"/>
      </w:divBdr>
    </w:div>
    <w:div w:id="1106580254">
      <w:bodyDiv w:val="1"/>
      <w:marLeft w:val="0"/>
      <w:marRight w:val="0"/>
      <w:marTop w:val="0"/>
      <w:marBottom w:val="0"/>
      <w:divBdr>
        <w:top w:val="none" w:sz="0" w:space="0" w:color="auto"/>
        <w:left w:val="none" w:sz="0" w:space="0" w:color="auto"/>
        <w:bottom w:val="none" w:sz="0" w:space="0" w:color="auto"/>
        <w:right w:val="none" w:sz="0" w:space="0" w:color="auto"/>
      </w:divBdr>
    </w:div>
    <w:div w:id="1113741941">
      <w:bodyDiv w:val="1"/>
      <w:marLeft w:val="0"/>
      <w:marRight w:val="0"/>
      <w:marTop w:val="0"/>
      <w:marBottom w:val="0"/>
      <w:divBdr>
        <w:top w:val="none" w:sz="0" w:space="0" w:color="auto"/>
        <w:left w:val="none" w:sz="0" w:space="0" w:color="auto"/>
        <w:bottom w:val="none" w:sz="0" w:space="0" w:color="auto"/>
        <w:right w:val="none" w:sz="0" w:space="0" w:color="auto"/>
      </w:divBdr>
    </w:div>
    <w:div w:id="1119303660">
      <w:bodyDiv w:val="1"/>
      <w:marLeft w:val="0"/>
      <w:marRight w:val="0"/>
      <w:marTop w:val="0"/>
      <w:marBottom w:val="0"/>
      <w:divBdr>
        <w:top w:val="none" w:sz="0" w:space="0" w:color="auto"/>
        <w:left w:val="none" w:sz="0" w:space="0" w:color="auto"/>
        <w:bottom w:val="none" w:sz="0" w:space="0" w:color="auto"/>
        <w:right w:val="none" w:sz="0" w:space="0" w:color="auto"/>
      </w:divBdr>
    </w:div>
    <w:div w:id="1124155179">
      <w:bodyDiv w:val="1"/>
      <w:marLeft w:val="0"/>
      <w:marRight w:val="0"/>
      <w:marTop w:val="0"/>
      <w:marBottom w:val="0"/>
      <w:divBdr>
        <w:top w:val="none" w:sz="0" w:space="0" w:color="auto"/>
        <w:left w:val="none" w:sz="0" w:space="0" w:color="auto"/>
        <w:bottom w:val="none" w:sz="0" w:space="0" w:color="auto"/>
        <w:right w:val="none" w:sz="0" w:space="0" w:color="auto"/>
      </w:divBdr>
    </w:div>
    <w:div w:id="1127161529">
      <w:bodyDiv w:val="1"/>
      <w:marLeft w:val="0"/>
      <w:marRight w:val="0"/>
      <w:marTop w:val="0"/>
      <w:marBottom w:val="0"/>
      <w:divBdr>
        <w:top w:val="none" w:sz="0" w:space="0" w:color="auto"/>
        <w:left w:val="none" w:sz="0" w:space="0" w:color="auto"/>
        <w:bottom w:val="none" w:sz="0" w:space="0" w:color="auto"/>
        <w:right w:val="none" w:sz="0" w:space="0" w:color="auto"/>
      </w:divBdr>
    </w:div>
    <w:div w:id="1131828675">
      <w:bodyDiv w:val="1"/>
      <w:marLeft w:val="0"/>
      <w:marRight w:val="0"/>
      <w:marTop w:val="0"/>
      <w:marBottom w:val="0"/>
      <w:divBdr>
        <w:top w:val="none" w:sz="0" w:space="0" w:color="auto"/>
        <w:left w:val="none" w:sz="0" w:space="0" w:color="auto"/>
        <w:bottom w:val="none" w:sz="0" w:space="0" w:color="auto"/>
        <w:right w:val="none" w:sz="0" w:space="0" w:color="auto"/>
      </w:divBdr>
    </w:div>
    <w:div w:id="1140614082">
      <w:bodyDiv w:val="1"/>
      <w:marLeft w:val="0"/>
      <w:marRight w:val="0"/>
      <w:marTop w:val="0"/>
      <w:marBottom w:val="0"/>
      <w:divBdr>
        <w:top w:val="none" w:sz="0" w:space="0" w:color="auto"/>
        <w:left w:val="none" w:sz="0" w:space="0" w:color="auto"/>
        <w:bottom w:val="none" w:sz="0" w:space="0" w:color="auto"/>
        <w:right w:val="none" w:sz="0" w:space="0" w:color="auto"/>
      </w:divBdr>
    </w:div>
    <w:div w:id="1156149028">
      <w:bodyDiv w:val="1"/>
      <w:marLeft w:val="0"/>
      <w:marRight w:val="0"/>
      <w:marTop w:val="0"/>
      <w:marBottom w:val="0"/>
      <w:divBdr>
        <w:top w:val="none" w:sz="0" w:space="0" w:color="auto"/>
        <w:left w:val="none" w:sz="0" w:space="0" w:color="auto"/>
        <w:bottom w:val="none" w:sz="0" w:space="0" w:color="auto"/>
        <w:right w:val="none" w:sz="0" w:space="0" w:color="auto"/>
      </w:divBdr>
    </w:div>
    <w:div w:id="1167743922">
      <w:bodyDiv w:val="1"/>
      <w:marLeft w:val="0"/>
      <w:marRight w:val="0"/>
      <w:marTop w:val="0"/>
      <w:marBottom w:val="0"/>
      <w:divBdr>
        <w:top w:val="none" w:sz="0" w:space="0" w:color="auto"/>
        <w:left w:val="none" w:sz="0" w:space="0" w:color="auto"/>
        <w:bottom w:val="none" w:sz="0" w:space="0" w:color="auto"/>
        <w:right w:val="none" w:sz="0" w:space="0" w:color="auto"/>
      </w:divBdr>
    </w:div>
    <w:div w:id="1176656429">
      <w:bodyDiv w:val="1"/>
      <w:marLeft w:val="0"/>
      <w:marRight w:val="0"/>
      <w:marTop w:val="0"/>
      <w:marBottom w:val="0"/>
      <w:divBdr>
        <w:top w:val="none" w:sz="0" w:space="0" w:color="auto"/>
        <w:left w:val="none" w:sz="0" w:space="0" w:color="auto"/>
        <w:bottom w:val="none" w:sz="0" w:space="0" w:color="auto"/>
        <w:right w:val="none" w:sz="0" w:space="0" w:color="auto"/>
      </w:divBdr>
    </w:div>
    <w:div w:id="1197810257">
      <w:bodyDiv w:val="1"/>
      <w:marLeft w:val="0"/>
      <w:marRight w:val="0"/>
      <w:marTop w:val="0"/>
      <w:marBottom w:val="0"/>
      <w:divBdr>
        <w:top w:val="none" w:sz="0" w:space="0" w:color="auto"/>
        <w:left w:val="none" w:sz="0" w:space="0" w:color="auto"/>
        <w:bottom w:val="none" w:sz="0" w:space="0" w:color="auto"/>
        <w:right w:val="none" w:sz="0" w:space="0" w:color="auto"/>
      </w:divBdr>
    </w:div>
    <w:div w:id="1220439167">
      <w:bodyDiv w:val="1"/>
      <w:marLeft w:val="0"/>
      <w:marRight w:val="0"/>
      <w:marTop w:val="0"/>
      <w:marBottom w:val="0"/>
      <w:divBdr>
        <w:top w:val="none" w:sz="0" w:space="0" w:color="auto"/>
        <w:left w:val="none" w:sz="0" w:space="0" w:color="auto"/>
        <w:bottom w:val="none" w:sz="0" w:space="0" w:color="auto"/>
        <w:right w:val="none" w:sz="0" w:space="0" w:color="auto"/>
      </w:divBdr>
    </w:div>
    <w:div w:id="1243611774">
      <w:bodyDiv w:val="1"/>
      <w:marLeft w:val="0"/>
      <w:marRight w:val="0"/>
      <w:marTop w:val="0"/>
      <w:marBottom w:val="0"/>
      <w:divBdr>
        <w:top w:val="none" w:sz="0" w:space="0" w:color="auto"/>
        <w:left w:val="none" w:sz="0" w:space="0" w:color="auto"/>
        <w:bottom w:val="none" w:sz="0" w:space="0" w:color="auto"/>
        <w:right w:val="none" w:sz="0" w:space="0" w:color="auto"/>
      </w:divBdr>
    </w:div>
    <w:div w:id="1271815744">
      <w:bodyDiv w:val="1"/>
      <w:marLeft w:val="0"/>
      <w:marRight w:val="0"/>
      <w:marTop w:val="0"/>
      <w:marBottom w:val="0"/>
      <w:divBdr>
        <w:top w:val="none" w:sz="0" w:space="0" w:color="auto"/>
        <w:left w:val="none" w:sz="0" w:space="0" w:color="auto"/>
        <w:bottom w:val="none" w:sz="0" w:space="0" w:color="auto"/>
        <w:right w:val="none" w:sz="0" w:space="0" w:color="auto"/>
      </w:divBdr>
    </w:div>
    <w:div w:id="1271820744">
      <w:bodyDiv w:val="1"/>
      <w:marLeft w:val="0"/>
      <w:marRight w:val="0"/>
      <w:marTop w:val="0"/>
      <w:marBottom w:val="0"/>
      <w:divBdr>
        <w:top w:val="none" w:sz="0" w:space="0" w:color="auto"/>
        <w:left w:val="none" w:sz="0" w:space="0" w:color="auto"/>
        <w:bottom w:val="none" w:sz="0" w:space="0" w:color="auto"/>
        <w:right w:val="none" w:sz="0" w:space="0" w:color="auto"/>
      </w:divBdr>
    </w:div>
    <w:div w:id="1277787316">
      <w:bodyDiv w:val="1"/>
      <w:marLeft w:val="0"/>
      <w:marRight w:val="0"/>
      <w:marTop w:val="0"/>
      <w:marBottom w:val="0"/>
      <w:divBdr>
        <w:top w:val="none" w:sz="0" w:space="0" w:color="auto"/>
        <w:left w:val="none" w:sz="0" w:space="0" w:color="auto"/>
        <w:bottom w:val="none" w:sz="0" w:space="0" w:color="auto"/>
        <w:right w:val="none" w:sz="0" w:space="0" w:color="auto"/>
      </w:divBdr>
    </w:div>
    <w:div w:id="1287277499">
      <w:bodyDiv w:val="1"/>
      <w:marLeft w:val="0"/>
      <w:marRight w:val="0"/>
      <w:marTop w:val="0"/>
      <w:marBottom w:val="0"/>
      <w:divBdr>
        <w:top w:val="none" w:sz="0" w:space="0" w:color="auto"/>
        <w:left w:val="none" w:sz="0" w:space="0" w:color="auto"/>
        <w:bottom w:val="none" w:sz="0" w:space="0" w:color="auto"/>
        <w:right w:val="none" w:sz="0" w:space="0" w:color="auto"/>
      </w:divBdr>
    </w:div>
    <w:div w:id="1289164063">
      <w:bodyDiv w:val="1"/>
      <w:marLeft w:val="0"/>
      <w:marRight w:val="0"/>
      <w:marTop w:val="0"/>
      <w:marBottom w:val="0"/>
      <w:divBdr>
        <w:top w:val="none" w:sz="0" w:space="0" w:color="auto"/>
        <w:left w:val="none" w:sz="0" w:space="0" w:color="auto"/>
        <w:bottom w:val="none" w:sz="0" w:space="0" w:color="auto"/>
        <w:right w:val="none" w:sz="0" w:space="0" w:color="auto"/>
      </w:divBdr>
    </w:div>
    <w:div w:id="1289508005">
      <w:bodyDiv w:val="1"/>
      <w:marLeft w:val="0"/>
      <w:marRight w:val="0"/>
      <w:marTop w:val="0"/>
      <w:marBottom w:val="0"/>
      <w:divBdr>
        <w:top w:val="none" w:sz="0" w:space="0" w:color="auto"/>
        <w:left w:val="none" w:sz="0" w:space="0" w:color="auto"/>
        <w:bottom w:val="none" w:sz="0" w:space="0" w:color="auto"/>
        <w:right w:val="none" w:sz="0" w:space="0" w:color="auto"/>
      </w:divBdr>
    </w:div>
    <w:div w:id="1321274535">
      <w:bodyDiv w:val="1"/>
      <w:marLeft w:val="0"/>
      <w:marRight w:val="0"/>
      <w:marTop w:val="0"/>
      <w:marBottom w:val="0"/>
      <w:divBdr>
        <w:top w:val="none" w:sz="0" w:space="0" w:color="auto"/>
        <w:left w:val="none" w:sz="0" w:space="0" w:color="auto"/>
        <w:bottom w:val="none" w:sz="0" w:space="0" w:color="auto"/>
        <w:right w:val="none" w:sz="0" w:space="0" w:color="auto"/>
      </w:divBdr>
    </w:div>
    <w:div w:id="1341349191">
      <w:bodyDiv w:val="1"/>
      <w:marLeft w:val="0"/>
      <w:marRight w:val="0"/>
      <w:marTop w:val="0"/>
      <w:marBottom w:val="0"/>
      <w:divBdr>
        <w:top w:val="none" w:sz="0" w:space="0" w:color="auto"/>
        <w:left w:val="none" w:sz="0" w:space="0" w:color="auto"/>
        <w:bottom w:val="none" w:sz="0" w:space="0" w:color="auto"/>
        <w:right w:val="none" w:sz="0" w:space="0" w:color="auto"/>
      </w:divBdr>
    </w:div>
    <w:div w:id="1364212445">
      <w:bodyDiv w:val="1"/>
      <w:marLeft w:val="0"/>
      <w:marRight w:val="0"/>
      <w:marTop w:val="0"/>
      <w:marBottom w:val="0"/>
      <w:divBdr>
        <w:top w:val="none" w:sz="0" w:space="0" w:color="auto"/>
        <w:left w:val="none" w:sz="0" w:space="0" w:color="auto"/>
        <w:bottom w:val="none" w:sz="0" w:space="0" w:color="auto"/>
        <w:right w:val="none" w:sz="0" w:space="0" w:color="auto"/>
      </w:divBdr>
    </w:div>
    <w:div w:id="1364748087">
      <w:bodyDiv w:val="1"/>
      <w:marLeft w:val="0"/>
      <w:marRight w:val="0"/>
      <w:marTop w:val="0"/>
      <w:marBottom w:val="0"/>
      <w:divBdr>
        <w:top w:val="none" w:sz="0" w:space="0" w:color="auto"/>
        <w:left w:val="none" w:sz="0" w:space="0" w:color="auto"/>
        <w:bottom w:val="none" w:sz="0" w:space="0" w:color="auto"/>
        <w:right w:val="none" w:sz="0" w:space="0" w:color="auto"/>
      </w:divBdr>
    </w:div>
    <w:div w:id="1369597969">
      <w:bodyDiv w:val="1"/>
      <w:marLeft w:val="0"/>
      <w:marRight w:val="0"/>
      <w:marTop w:val="0"/>
      <w:marBottom w:val="0"/>
      <w:divBdr>
        <w:top w:val="none" w:sz="0" w:space="0" w:color="auto"/>
        <w:left w:val="none" w:sz="0" w:space="0" w:color="auto"/>
        <w:bottom w:val="none" w:sz="0" w:space="0" w:color="auto"/>
        <w:right w:val="none" w:sz="0" w:space="0" w:color="auto"/>
      </w:divBdr>
    </w:div>
    <w:div w:id="1394889976">
      <w:bodyDiv w:val="1"/>
      <w:marLeft w:val="0"/>
      <w:marRight w:val="0"/>
      <w:marTop w:val="0"/>
      <w:marBottom w:val="0"/>
      <w:divBdr>
        <w:top w:val="none" w:sz="0" w:space="0" w:color="auto"/>
        <w:left w:val="none" w:sz="0" w:space="0" w:color="auto"/>
        <w:bottom w:val="none" w:sz="0" w:space="0" w:color="auto"/>
        <w:right w:val="none" w:sz="0" w:space="0" w:color="auto"/>
      </w:divBdr>
    </w:div>
    <w:div w:id="1396197793">
      <w:bodyDiv w:val="1"/>
      <w:marLeft w:val="0"/>
      <w:marRight w:val="0"/>
      <w:marTop w:val="0"/>
      <w:marBottom w:val="0"/>
      <w:divBdr>
        <w:top w:val="none" w:sz="0" w:space="0" w:color="auto"/>
        <w:left w:val="none" w:sz="0" w:space="0" w:color="auto"/>
        <w:bottom w:val="none" w:sz="0" w:space="0" w:color="auto"/>
        <w:right w:val="none" w:sz="0" w:space="0" w:color="auto"/>
      </w:divBdr>
    </w:div>
    <w:div w:id="1405223735">
      <w:bodyDiv w:val="1"/>
      <w:marLeft w:val="0"/>
      <w:marRight w:val="0"/>
      <w:marTop w:val="0"/>
      <w:marBottom w:val="0"/>
      <w:divBdr>
        <w:top w:val="none" w:sz="0" w:space="0" w:color="auto"/>
        <w:left w:val="none" w:sz="0" w:space="0" w:color="auto"/>
        <w:bottom w:val="none" w:sz="0" w:space="0" w:color="auto"/>
        <w:right w:val="none" w:sz="0" w:space="0" w:color="auto"/>
      </w:divBdr>
    </w:div>
    <w:div w:id="1410344753">
      <w:bodyDiv w:val="1"/>
      <w:marLeft w:val="0"/>
      <w:marRight w:val="0"/>
      <w:marTop w:val="0"/>
      <w:marBottom w:val="0"/>
      <w:divBdr>
        <w:top w:val="none" w:sz="0" w:space="0" w:color="auto"/>
        <w:left w:val="none" w:sz="0" w:space="0" w:color="auto"/>
        <w:bottom w:val="none" w:sz="0" w:space="0" w:color="auto"/>
        <w:right w:val="none" w:sz="0" w:space="0" w:color="auto"/>
      </w:divBdr>
    </w:div>
    <w:div w:id="1428235472">
      <w:bodyDiv w:val="1"/>
      <w:marLeft w:val="0"/>
      <w:marRight w:val="0"/>
      <w:marTop w:val="0"/>
      <w:marBottom w:val="0"/>
      <w:divBdr>
        <w:top w:val="none" w:sz="0" w:space="0" w:color="auto"/>
        <w:left w:val="none" w:sz="0" w:space="0" w:color="auto"/>
        <w:bottom w:val="none" w:sz="0" w:space="0" w:color="auto"/>
        <w:right w:val="none" w:sz="0" w:space="0" w:color="auto"/>
      </w:divBdr>
    </w:div>
    <w:div w:id="1431700524">
      <w:bodyDiv w:val="1"/>
      <w:marLeft w:val="0"/>
      <w:marRight w:val="0"/>
      <w:marTop w:val="0"/>
      <w:marBottom w:val="0"/>
      <w:divBdr>
        <w:top w:val="none" w:sz="0" w:space="0" w:color="auto"/>
        <w:left w:val="none" w:sz="0" w:space="0" w:color="auto"/>
        <w:bottom w:val="none" w:sz="0" w:space="0" w:color="auto"/>
        <w:right w:val="none" w:sz="0" w:space="0" w:color="auto"/>
      </w:divBdr>
    </w:div>
    <w:div w:id="1434671359">
      <w:bodyDiv w:val="1"/>
      <w:marLeft w:val="0"/>
      <w:marRight w:val="0"/>
      <w:marTop w:val="0"/>
      <w:marBottom w:val="0"/>
      <w:divBdr>
        <w:top w:val="none" w:sz="0" w:space="0" w:color="auto"/>
        <w:left w:val="none" w:sz="0" w:space="0" w:color="auto"/>
        <w:bottom w:val="none" w:sz="0" w:space="0" w:color="auto"/>
        <w:right w:val="none" w:sz="0" w:space="0" w:color="auto"/>
      </w:divBdr>
    </w:div>
    <w:div w:id="1460295628">
      <w:bodyDiv w:val="1"/>
      <w:marLeft w:val="0"/>
      <w:marRight w:val="0"/>
      <w:marTop w:val="0"/>
      <w:marBottom w:val="0"/>
      <w:divBdr>
        <w:top w:val="none" w:sz="0" w:space="0" w:color="auto"/>
        <w:left w:val="none" w:sz="0" w:space="0" w:color="auto"/>
        <w:bottom w:val="none" w:sz="0" w:space="0" w:color="auto"/>
        <w:right w:val="none" w:sz="0" w:space="0" w:color="auto"/>
      </w:divBdr>
    </w:div>
    <w:div w:id="1467771855">
      <w:bodyDiv w:val="1"/>
      <w:marLeft w:val="0"/>
      <w:marRight w:val="0"/>
      <w:marTop w:val="0"/>
      <w:marBottom w:val="0"/>
      <w:divBdr>
        <w:top w:val="none" w:sz="0" w:space="0" w:color="auto"/>
        <w:left w:val="none" w:sz="0" w:space="0" w:color="auto"/>
        <w:bottom w:val="none" w:sz="0" w:space="0" w:color="auto"/>
        <w:right w:val="none" w:sz="0" w:space="0" w:color="auto"/>
      </w:divBdr>
    </w:div>
    <w:div w:id="1483307291">
      <w:bodyDiv w:val="1"/>
      <w:marLeft w:val="0"/>
      <w:marRight w:val="0"/>
      <w:marTop w:val="0"/>
      <w:marBottom w:val="0"/>
      <w:divBdr>
        <w:top w:val="none" w:sz="0" w:space="0" w:color="auto"/>
        <w:left w:val="none" w:sz="0" w:space="0" w:color="auto"/>
        <w:bottom w:val="none" w:sz="0" w:space="0" w:color="auto"/>
        <w:right w:val="none" w:sz="0" w:space="0" w:color="auto"/>
      </w:divBdr>
    </w:div>
    <w:div w:id="1483540791">
      <w:bodyDiv w:val="1"/>
      <w:marLeft w:val="0"/>
      <w:marRight w:val="0"/>
      <w:marTop w:val="0"/>
      <w:marBottom w:val="0"/>
      <w:divBdr>
        <w:top w:val="none" w:sz="0" w:space="0" w:color="auto"/>
        <w:left w:val="none" w:sz="0" w:space="0" w:color="auto"/>
        <w:bottom w:val="none" w:sz="0" w:space="0" w:color="auto"/>
        <w:right w:val="none" w:sz="0" w:space="0" w:color="auto"/>
      </w:divBdr>
    </w:div>
    <w:div w:id="1493371406">
      <w:bodyDiv w:val="1"/>
      <w:marLeft w:val="0"/>
      <w:marRight w:val="0"/>
      <w:marTop w:val="0"/>
      <w:marBottom w:val="0"/>
      <w:divBdr>
        <w:top w:val="none" w:sz="0" w:space="0" w:color="auto"/>
        <w:left w:val="none" w:sz="0" w:space="0" w:color="auto"/>
        <w:bottom w:val="none" w:sz="0" w:space="0" w:color="auto"/>
        <w:right w:val="none" w:sz="0" w:space="0" w:color="auto"/>
      </w:divBdr>
    </w:div>
    <w:div w:id="1499347766">
      <w:bodyDiv w:val="1"/>
      <w:marLeft w:val="0"/>
      <w:marRight w:val="0"/>
      <w:marTop w:val="0"/>
      <w:marBottom w:val="0"/>
      <w:divBdr>
        <w:top w:val="none" w:sz="0" w:space="0" w:color="auto"/>
        <w:left w:val="none" w:sz="0" w:space="0" w:color="auto"/>
        <w:bottom w:val="none" w:sz="0" w:space="0" w:color="auto"/>
        <w:right w:val="none" w:sz="0" w:space="0" w:color="auto"/>
      </w:divBdr>
    </w:div>
    <w:div w:id="1518497582">
      <w:bodyDiv w:val="1"/>
      <w:marLeft w:val="0"/>
      <w:marRight w:val="0"/>
      <w:marTop w:val="0"/>
      <w:marBottom w:val="0"/>
      <w:divBdr>
        <w:top w:val="none" w:sz="0" w:space="0" w:color="auto"/>
        <w:left w:val="none" w:sz="0" w:space="0" w:color="auto"/>
        <w:bottom w:val="none" w:sz="0" w:space="0" w:color="auto"/>
        <w:right w:val="none" w:sz="0" w:space="0" w:color="auto"/>
      </w:divBdr>
    </w:div>
    <w:div w:id="1529295295">
      <w:bodyDiv w:val="1"/>
      <w:marLeft w:val="0"/>
      <w:marRight w:val="0"/>
      <w:marTop w:val="0"/>
      <w:marBottom w:val="0"/>
      <w:divBdr>
        <w:top w:val="none" w:sz="0" w:space="0" w:color="auto"/>
        <w:left w:val="none" w:sz="0" w:space="0" w:color="auto"/>
        <w:bottom w:val="none" w:sz="0" w:space="0" w:color="auto"/>
        <w:right w:val="none" w:sz="0" w:space="0" w:color="auto"/>
      </w:divBdr>
    </w:div>
    <w:div w:id="1537234509">
      <w:bodyDiv w:val="1"/>
      <w:marLeft w:val="0"/>
      <w:marRight w:val="0"/>
      <w:marTop w:val="0"/>
      <w:marBottom w:val="0"/>
      <w:divBdr>
        <w:top w:val="none" w:sz="0" w:space="0" w:color="auto"/>
        <w:left w:val="none" w:sz="0" w:space="0" w:color="auto"/>
        <w:bottom w:val="none" w:sz="0" w:space="0" w:color="auto"/>
        <w:right w:val="none" w:sz="0" w:space="0" w:color="auto"/>
      </w:divBdr>
    </w:div>
    <w:div w:id="1547835642">
      <w:bodyDiv w:val="1"/>
      <w:marLeft w:val="0"/>
      <w:marRight w:val="0"/>
      <w:marTop w:val="0"/>
      <w:marBottom w:val="0"/>
      <w:divBdr>
        <w:top w:val="none" w:sz="0" w:space="0" w:color="auto"/>
        <w:left w:val="none" w:sz="0" w:space="0" w:color="auto"/>
        <w:bottom w:val="none" w:sz="0" w:space="0" w:color="auto"/>
        <w:right w:val="none" w:sz="0" w:space="0" w:color="auto"/>
      </w:divBdr>
    </w:div>
    <w:div w:id="1550916564">
      <w:bodyDiv w:val="1"/>
      <w:marLeft w:val="0"/>
      <w:marRight w:val="0"/>
      <w:marTop w:val="0"/>
      <w:marBottom w:val="0"/>
      <w:divBdr>
        <w:top w:val="none" w:sz="0" w:space="0" w:color="auto"/>
        <w:left w:val="none" w:sz="0" w:space="0" w:color="auto"/>
        <w:bottom w:val="none" w:sz="0" w:space="0" w:color="auto"/>
        <w:right w:val="none" w:sz="0" w:space="0" w:color="auto"/>
      </w:divBdr>
    </w:div>
    <w:div w:id="1555314721">
      <w:bodyDiv w:val="1"/>
      <w:marLeft w:val="0"/>
      <w:marRight w:val="0"/>
      <w:marTop w:val="0"/>
      <w:marBottom w:val="0"/>
      <w:divBdr>
        <w:top w:val="none" w:sz="0" w:space="0" w:color="auto"/>
        <w:left w:val="none" w:sz="0" w:space="0" w:color="auto"/>
        <w:bottom w:val="none" w:sz="0" w:space="0" w:color="auto"/>
        <w:right w:val="none" w:sz="0" w:space="0" w:color="auto"/>
      </w:divBdr>
    </w:div>
    <w:div w:id="1556503057">
      <w:bodyDiv w:val="1"/>
      <w:marLeft w:val="0"/>
      <w:marRight w:val="0"/>
      <w:marTop w:val="0"/>
      <w:marBottom w:val="0"/>
      <w:divBdr>
        <w:top w:val="none" w:sz="0" w:space="0" w:color="auto"/>
        <w:left w:val="none" w:sz="0" w:space="0" w:color="auto"/>
        <w:bottom w:val="none" w:sz="0" w:space="0" w:color="auto"/>
        <w:right w:val="none" w:sz="0" w:space="0" w:color="auto"/>
      </w:divBdr>
    </w:div>
    <w:div w:id="1570194779">
      <w:bodyDiv w:val="1"/>
      <w:marLeft w:val="0"/>
      <w:marRight w:val="0"/>
      <w:marTop w:val="0"/>
      <w:marBottom w:val="0"/>
      <w:divBdr>
        <w:top w:val="none" w:sz="0" w:space="0" w:color="auto"/>
        <w:left w:val="none" w:sz="0" w:space="0" w:color="auto"/>
        <w:bottom w:val="none" w:sz="0" w:space="0" w:color="auto"/>
        <w:right w:val="none" w:sz="0" w:space="0" w:color="auto"/>
      </w:divBdr>
    </w:div>
    <w:div w:id="1576892221">
      <w:bodyDiv w:val="1"/>
      <w:marLeft w:val="0"/>
      <w:marRight w:val="0"/>
      <w:marTop w:val="0"/>
      <w:marBottom w:val="0"/>
      <w:divBdr>
        <w:top w:val="none" w:sz="0" w:space="0" w:color="auto"/>
        <w:left w:val="none" w:sz="0" w:space="0" w:color="auto"/>
        <w:bottom w:val="none" w:sz="0" w:space="0" w:color="auto"/>
        <w:right w:val="none" w:sz="0" w:space="0" w:color="auto"/>
      </w:divBdr>
    </w:div>
    <w:div w:id="1582252479">
      <w:bodyDiv w:val="1"/>
      <w:marLeft w:val="0"/>
      <w:marRight w:val="0"/>
      <w:marTop w:val="0"/>
      <w:marBottom w:val="0"/>
      <w:divBdr>
        <w:top w:val="none" w:sz="0" w:space="0" w:color="auto"/>
        <w:left w:val="none" w:sz="0" w:space="0" w:color="auto"/>
        <w:bottom w:val="none" w:sz="0" w:space="0" w:color="auto"/>
        <w:right w:val="none" w:sz="0" w:space="0" w:color="auto"/>
      </w:divBdr>
    </w:div>
    <w:div w:id="1591041288">
      <w:bodyDiv w:val="1"/>
      <w:marLeft w:val="0"/>
      <w:marRight w:val="0"/>
      <w:marTop w:val="0"/>
      <w:marBottom w:val="0"/>
      <w:divBdr>
        <w:top w:val="none" w:sz="0" w:space="0" w:color="auto"/>
        <w:left w:val="none" w:sz="0" w:space="0" w:color="auto"/>
        <w:bottom w:val="none" w:sz="0" w:space="0" w:color="auto"/>
        <w:right w:val="none" w:sz="0" w:space="0" w:color="auto"/>
      </w:divBdr>
    </w:div>
    <w:div w:id="1602562611">
      <w:bodyDiv w:val="1"/>
      <w:marLeft w:val="0"/>
      <w:marRight w:val="0"/>
      <w:marTop w:val="0"/>
      <w:marBottom w:val="0"/>
      <w:divBdr>
        <w:top w:val="none" w:sz="0" w:space="0" w:color="auto"/>
        <w:left w:val="none" w:sz="0" w:space="0" w:color="auto"/>
        <w:bottom w:val="none" w:sz="0" w:space="0" w:color="auto"/>
        <w:right w:val="none" w:sz="0" w:space="0" w:color="auto"/>
      </w:divBdr>
    </w:div>
    <w:div w:id="1602955801">
      <w:bodyDiv w:val="1"/>
      <w:marLeft w:val="0"/>
      <w:marRight w:val="0"/>
      <w:marTop w:val="0"/>
      <w:marBottom w:val="0"/>
      <w:divBdr>
        <w:top w:val="none" w:sz="0" w:space="0" w:color="auto"/>
        <w:left w:val="none" w:sz="0" w:space="0" w:color="auto"/>
        <w:bottom w:val="none" w:sz="0" w:space="0" w:color="auto"/>
        <w:right w:val="none" w:sz="0" w:space="0" w:color="auto"/>
      </w:divBdr>
    </w:div>
    <w:div w:id="1606226057">
      <w:bodyDiv w:val="1"/>
      <w:marLeft w:val="0"/>
      <w:marRight w:val="0"/>
      <w:marTop w:val="0"/>
      <w:marBottom w:val="0"/>
      <w:divBdr>
        <w:top w:val="none" w:sz="0" w:space="0" w:color="auto"/>
        <w:left w:val="none" w:sz="0" w:space="0" w:color="auto"/>
        <w:bottom w:val="none" w:sz="0" w:space="0" w:color="auto"/>
        <w:right w:val="none" w:sz="0" w:space="0" w:color="auto"/>
      </w:divBdr>
    </w:div>
    <w:div w:id="1607349448">
      <w:bodyDiv w:val="1"/>
      <w:marLeft w:val="0"/>
      <w:marRight w:val="0"/>
      <w:marTop w:val="0"/>
      <w:marBottom w:val="0"/>
      <w:divBdr>
        <w:top w:val="none" w:sz="0" w:space="0" w:color="auto"/>
        <w:left w:val="none" w:sz="0" w:space="0" w:color="auto"/>
        <w:bottom w:val="none" w:sz="0" w:space="0" w:color="auto"/>
        <w:right w:val="none" w:sz="0" w:space="0" w:color="auto"/>
      </w:divBdr>
    </w:div>
    <w:div w:id="1625578186">
      <w:bodyDiv w:val="1"/>
      <w:marLeft w:val="0"/>
      <w:marRight w:val="0"/>
      <w:marTop w:val="0"/>
      <w:marBottom w:val="0"/>
      <w:divBdr>
        <w:top w:val="none" w:sz="0" w:space="0" w:color="auto"/>
        <w:left w:val="none" w:sz="0" w:space="0" w:color="auto"/>
        <w:bottom w:val="none" w:sz="0" w:space="0" w:color="auto"/>
        <w:right w:val="none" w:sz="0" w:space="0" w:color="auto"/>
      </w:divBdr>
    </w:div>
    <w:div w:id="1625842302">
      <w:bodyDiv w:val="1"/>
      <w:marLeft w:val="0"/>
      <w:marRight w:val="0"/>
      <w:marTop w:val="0"/>
      <w:marBottom w:val="0"/>
      <w:divBdr>
        <w:top w:val="none" w:sz="0" w:space="0" w:color="auto"/>
        <w:left w:val="none" w:sz="0" w:space="0" w:color="auto"/>
        <w:bottom w:val="none" w:sz="0" w:space="0" w:color="auto"/>
        <w:right w:val="none" w:sz="0" w:space="0" w:color="auto"/>
      </w:divBdr>
    </w:div>
    <w:div w:id="1656644343">
      <w:bodyDiv w:val="1"/>
      <w:marLeft w:val="0"/>
      <w:marRight w:val="0"/>
      <w:marTop w:val="0"/>
      <w:marBottom w:val="0"/>
      <w:divBdr>
        <w:top w:val="none" w:sz="0" w:space="0" w:color="auto"/>
        <w:left w:val="none" w:sz="0" w:space="0" w:color="auto"/>
        <w:bottom w:val="none" w:sz="0" w:space="0" w:color="auto"/>
        <w:right w:val="none" w:sz="0" w:space="0" w:color="auto"/>
      </w:divBdr>
    </w:div>
    <w:div w:id="1674256441">
      <w:bodyDiv w:val="1"/>
      <w:marLeft w:val="0"/>
      <w:marRight w:val="0"/>
      <w:marTop w:val="0"/>
      <w:marBottom w:val="0"/>
      <w:divBdr>
        <w:top w:val="none" w:sz="0" w:space="0" w:color="auto"/>
        <w:left w:val="none" w:sz="0" w:space="0" w:color="auto"/>
        <w:bottom w:val="none" w:sz="0" w:space="0" w:color="auto"/>
        <w:right w:val="none" w:sz="0" w:space="0" w:color="auto"/>
      </w:divBdr>
    </w:div>
    <w:div w:id="1675263692">
      <w:bodyDiv w:val="1"/>
      <w:marLeft w:val="0"/>
      <w:marRight w:val="0"/>
      <w:marTop w:val="0"/>
      <w:marBottom w:val="0"/>
      <w:divBdr>
        <w:top w:val="none" w:sz="0" w:space="0" w:color="auto"/>
        <w:left w:val="none" w:sz="0" w:space="0" w:color="auto"/>
        <w:bottom w:val="none" w:sz="0" w:space="0" w:color="auto"/>
        <w:right w:val="none" w:sz="0" w:space="0" w:color="auto"/>
      </w:divBdr>
    </w:div>
    <w:div w:id="1685088868">
      <w:bodyDiv w:val="1"/>
      <w:marLeft w:val="0"/>
      <w:marRight w:val="0"/>
      <w:marTop w:val="0"/>
      <w:marBottom w:val="0"/>
      <w:divBdr>
        <w:top w:val="none" w:sz="0" w:space="0" w:color="auto"/>
        <w:left w:val="none" w:sz="0" w:space="0" w:color="auto"/>
        <w:bottom w:val="none" w:sz="0" w:space="0" w:color="auto"/>
        <w:right w:val="none" w:sz="0" w:space="0" w:color="auto"/>
      </w:divBdr>
    </w:div>
    <w:div w:id="1692368438">
      <w:bodyDiv w:val="1"/>
      <w:marLeft w:val="0"/>
      <w:marRight w:val="0"/>
      <w:marTop w:val="0"/>
      <w:marBottom w:val="0"/>
      <w:divBdr>
        <w:top w:val="none" w:sz="0" w:space="0" w:color="auto"/>
        <w:left w:val="none" w:sz="0" w:space="0" w:color="auto"/>
        <w:bottom w:val="none" w:sz="0" w:space="0" w:color="auto"/>
        <w:right w:val="none" w:sz="0" w:space="0" w:color="auto"/>
      </w:divBdr>
    </w:div>
    <w:div w:id="1699157359">
      <w:bodyDiv w:val="1"/>
      <w:marLeft w:val="0"/>
      <w:marRight w:val="0"/>
      <w:marTop w:val="0"/>
      <w:marBottom w:val="0"/>
      <w:divBdr>
        <w:top w:val="none" w:sz="0" w:space="0" w:color="auto"/>
        <w:left w:val="none" w:sz="0" w:space="0" w:color="auto"/>
        <w:bottom w:val="none" w:sz="0" w:space="0" w:color="auto"/>
        <w:right w:val="none" w:sz="0" w:space="0" w:color="auto"/>
      </w:divBdr>
    </w:div>
    <w:div w:id="1710648900">
      <w:bodyDiv w:val="1"/>
      <w:marLeft w:val="0"/>
      <w:marRight w:val="0"/>
      <w:marTop w:val="0"/>
      <w:marBottom w:val="0"/>
      <w:divBdr>
        <w:top w:val="none" w:sz="0" w:space="0" w:color="auto"/>
        <w:left w:val="none" w:sz="0" w:space="0" w:color="auto"/>
        <w:bottom w:val="none" w:sz="0" w:space="0" w:color="auto"/>
        <w:right w:val="none" w:sz="0" w:space="0" w:color="auto"/>
      </w:divBdr>
    </w:div>
    <w:div w:id="1713844975">
      <w:bodyDiv w:val="1"/>
      <w:marLeft w:val="0"/>
      <w:marRight w:val="0"/>
      <w:marTop w:val="0"/>
      <w:marBottom w:val="0"/>
      <w:divBdr>
        <w:top w:val="none" w:sz="0" w:space="0" w:color="auto"/>
        <w:left w:val="none" w:sz="0" w:space="0" w:color="auto"/>
        <w:bottom w:val="none" w:sz="0" w:space="0" w:color="auto"/>
        <w:right w:val="none" w:sz="0" w:space="0" w:color="auto"/>
      </w:divBdr>
    </w:div>
    <w:div w:id="1733196542">
      <w:bodyDiv w:val="1"/>
      <w:marLeft w:val="0"/>
      <w:marRight w:val="0"/>
      <w:marTop w:val="0"/>
      <w:marBottom w:val="0"/>
      <w:divBdr>
        <w:top w:val="none" w:sz="0" w:space="0" w:color="auto"/>
        <w:left w:val="none" w:sz="0" w:space="0" w:color="auto"/>
        <w:bottom w:val="none" w:sz="0" w:space="0" w:color="auto"/>
        <w:right w:val="none" w:sz="0" w:space="0" w:color="auto"/>
      </w:divBdr>
    </w:div>
    <w:div w:id="1735352877">
      <w:bodyDiv w:val="1"/>
      <w:marLeft w:val="0"/>
      <w:marRight w:val="0"/>
      <w:marTop w:val="0"/>
      <w:marBottom w:val="0"/>
      <w:divBdr>
        <w:top w:val="none" w:sz="0" w:space="0" w:color="auto"/>
        <w:left w:val="none" w:sz="0" w:space="0" w:color="auto"/>
        <w:bottom w:val="none" w:sz="0" w:space="0" w:color="auto"/>
        <w:right w:val="none" w:sz="0" w:space="0" w:color="auto"/>
      </w:divBdr>
    </w:div>
    <w:div w:id="1745948865">
      <w:bodyDiv w:val="1"/>
      <w:marLeft w:val="0"/>
      <w:marRight w:val="0"/>
      <w:marTop w:val="0"/>
      <w:marBottom w:val="0"/>
      <w:divBdr>
        <w:top w:val="none" w:sz="0" w:space="0" w:color="auto"/>
        <w:left w:val="none" w:sz="0" w:space="0" w:color="auto"/>
        <w:bottom w:val="none" w:sz="0" w:space="0" w:color="auto"/>
        <w:right w:val="none" w:sz="0" w:space="0" w:color="auto"/>
      </w:divBdr>
    </w:div>
    <w:div w:id="1775593781">
      <w:bodyDiv w:val="1"/>
      <w:marLeft w:val="0"/>
      <w:marRight w:val="0"/>
      <w:marTop w:val="0"/>
      <w:marBottom w:val="0"/>
      <w:divBdr>
        <w:top w:val="none" w:sz="0" w:space="0" w:color="auto"/>
        <w:left w:val="none" w:sz="0" w:space="0" w:color="auto"/>
        <w:bottom w:val="none" w:sz="0" w:space="0" w:color="auto"/>
        <w:right w:val="none" w:sz="0" w:space="0" w:color="auto"/>
      </w:divBdr>
    </w:div>
    <w:div w:id="1781292294">
      <w:bodyDiv w:val="1"/>
      <w:marLeft w:val="0"/>
      <w:marRight w:val="0"/>
      <w:marTop w:val="0"/>
      <w:marBottom w:val="0"/>
      <w:divBdr>
        <w:top w:val="none" w:sz="0" w:space="0" w:color="auto"/>
        <w:left w:val="none" w:sz="0" w:space="0" w:color="auto"/>
        <w:bottom w:val="none" w:sz="0" w:space="0" w:color="auto"/>
        <w:right w:val="none" w:sz="0" w:space="0" w:color="auto"/>
      </w:divBdr>
    </w:div>
    <w:div w:id="1786190936">
      <w:bodyDiv w:val="1"/>
      <w:marLeft w:val="0"/>
      <w:marRight w:val="0"/>
      <w:marTop w:val="0"/>
      <w:marBottom w:val="0"/>
      <w:divBdr>
        <w:top w:val="none" w:sz="0" w:space="0" w:color="auto"/>
        <w:left w:val="none" w:sz="0" w:space="0" w:color="auto"/>
        <w:bottom w:val="none" w:sz="0" w:space="0" w:color="auto"/>
        <w:right w:val="none" w:sz="0" w:space="0" w:color="auto"/>
      </w:divBdr>
    </w:div>
    <w:div w:id="1831939598">
      <w:bodyDiv w:val="1"/>
      <w:marLeft w:val="0"/>
      <w:marRight w:val="0"/>
      <w:marTop w:val="0"/>
      <w:marBottom w:val="0"/>
      <w:divBdr>
        <w:top w:val="none" w:sz="0" w:space="0" w:color="auto"/>
        <w:left w:val="none" w:sz="0" w:space="0" w:color="auto"/>
        <w:bottom w:val="none" w:sz="0" w:space="0" w:color="auto"/>
        <w:right w:val="none" w:sz="0" w:space="0" w:color="auto"/>
      </w:divBdr>
    </w:div>
    <w:div w:id="1835073778">
      <w:bodyDiv w:val="1"/>
      <w:marLeft w:val="0"/>
      <w:marRight w:val="0"/>
      <w:marTop w:val="0"/>
      <w:marBottom w:val="0"/>
      <w:divBdr>
        <w:top w:val="none" w:sz="0" w:space="0" w:color="auto"/>
        <w:left w:val="none" w:sz="0" w:space="0" w:color="auto"/>
        <w:bottom w:val="none" w:sz="0" w:space="0" w:color="auto"/>
        <w:right w:val="none" w:sz="0" w:space="0" w:color="auto"/>
      </w:divBdr>
    </w:div>
    <w:div w:id="1845705646">
      <w:bodyDiv w:val="1"/>
      <w:marLeft w:val="0"/>
      <w:marRight w:val="0"/>
      <w:marTop w:val="0"/>
      <w:marBottom w:val="0"/>
      <w:divBdr>
        <w:top w:val="none" w:sz="0" w:space="0" w:color="auto"/>
        <w:left w:val="none" w:sz="0" w:space="0" w:color="auto"/>
        <w:bottom w:val="none" w:sz="0" w:space="0" w:color="auto"/>
        <w:right w:val="none" w:sz="0" w:space="0" w:color="auto"/>
      </w:divBdr>
    </w:div>
    <w:div w:id="1850411740">
      <w:bodyDiv w:val="1"/>
      <w:marLeft w:val="0"/>
      <w:marRight w:val="0"/>
      <w:marTop w:val="0"/>
      <w:marBottom w:val="0"/>
      <w:divBdr>
        <w:top w:val="none" w:sz="0" w:space="0" w:color="auto"/>
        <w:left w:val="none" w:sz="0" w:space="0" w:color="auto"/>
        <w:bottom w:val="none" w:sz="0" w:space="0" w:color="auto"/>
        <w:right w:val="none" w:sz="0" w:space="0" w:color="auto"/>
      </w:divBdr>
    </w:div>
    <w:div w:id="1853302092">
      <w:bodyDiv w:val="1"/>
      <w:marLeft w:val="0"/>
      <w:marRight w:val="0"/>
      <w:marTop w:val="0"/>
      <w:marBottom w:val="0"/>
      <w:divBdr>
        <w:top w:val="none" w:sz="0" w:space="0" w:color="auto"/>
        <w:left w:val="none" w:sz="0" w:space="0" w:color="auto"/>
        <w:bottom w:val="none" w:sz="0" w:space="0" w:color="auto"/>
        <w:right w:val="none" w:sz="0" w:space="0" w:color="auto"/>
      </w:divBdr>
    </w:div>
    <w:div w:id="1853686659">
      <w:bodyDiv w:val="1"/>
      <w:marLeft w:val="0"/>
      <w:marRight w:val="0"/>
      <w:marTop w:val="0"/>
      <w:marBottom w:val="0"/>
      <w:divBdr>
        <w:top w:val="none" w:sz="0" w:space="0" w:color="auto"/>
        <w:left w:val="none" w:sz="0" w:space="0" w:color="auto"/>
        <w:bottom w:val="none" w:sz="0" w:space="0" w:color="auto"/>
        <w:right w:val="none" w:sz="0" w:space="0" w:color="auto"/>
      </w:divBdr>
    </w:div>
    <w:div w:id="1858156870">
      <w:bodyDiv w:val="1"/>
      <w:marLeft w:val="0"/>
      <w:marRight w:val="0"/>
      <w:marTop w:val="0"/>
      <w:marBottom w:val="0"/>
      <w:divBdr>
        <w:top w:val="none" w:sz="0" w:space="0" w:color="auto"/>
        <w:left w:val="none" w:sz="0" w:space="0" w:color="auto"/>
        <w:bottom w:val="none" w:sz="0" w:space="0" w:color="auto"/>
        <w:right w:val="none" w:sz="0" w:space="0" w:color="auto"/>
      </w:divBdr>
    </w:div>
    <w:div w:id="1858499663">
      <w:bodyDiv w:val="1"/>
      <w:marLeft w:val="0"/>
      <w:marRight w:val="0"/>
      <w:marTop w:val="0"/>
      <w:marBottom w:val="0"/>
      <w:divBdr>
        <w:top w:val="none" w:sz="0" w:space="0" w:color="auto"/>
        <w:left w:val="none" w:sz="0" w:space="0" w:color="auto"/>
        <w:bottom w:val="none" w:sz="0" w:space="0" w:color="auto"/>
        <w:right w:val="none" w:sz="0" w:space="0" w:color="auto"/>
      </w:divBdr>
    </w:div>
    <w:div w:id="1864710993">
      <w:bodyDiv w:val="1"/>
      <w:marLeft w:val="0"/>
      <w:marRight w:val="0"/>
      <w:marTop w:val="0"/>
      <w:marBottom w:val="0"/>
      <w:divBdr>
        <w:top w:val="none" w:sz="0" w:space="0" w:color="auto"/>
        <w:left w:val="none" w:sz="0" w:space="0" w:color="auto"/>
        <w:bottom w:val="none" w:sz="0" w:space="0" w:color="auto"/>
        <w:right w:val="none" w:sz="0" w:space="0" w:color="auto"/>
      </w:divBdr>
    </w:div>
    <w:div w:id="1870755690">
      <w:bodyDiv w:val="1"/>
      <w:marLeft w:val="0"/>
      <w:marRight w:val="0"/>
      <w:marTop w:val="0"/>
      <w:marBottom w:val="0"/>
      <w:divBdr>
        <w:top w:val="none" w:sz="0" w:space="0" w:color="auto"/>
        <w:left w:val="none" w:sz="0" w:space="0" w:color="auto"/>
        <w:bottom w:val="none" w:sz="0" w:space="0" w:color="auto"/>
        <w:right w:val="none" w:sz="0" w:space="0" w:color="auto"/>
      </w:divBdr>
    </w:div>
    <w:div w:id="1871645600">
      <w:bodyDiv w:val="1"/>
      <w:marLeft w:val="0"/>
      <w:marRight w:val="0"/>
      <w:marTop w:val="0"/>
      <w:marBottom w:val="0"/>
      <w:divBdr>
        <w:top w:val="none" w:sz="0" w:space="0" w:color="auto"/>
        <w:left w:val="none" w:sz="0" w:space="0" w:color="auto"/>
        <w:bottom w:val="none" w:sz="0" w:space="0" w:color="auto"/>
        <w:right w:val="none" w:sz="0" w:space="0" w:color="auto"/>
      </w:divBdr>
    </w:div>
    <w:div w:id="1874730720">
      <w:bodyDiv w:val="1"/>
      <w:marLeft w:val="0"/>
      <w:marRight w:val="0"/>
      <w:marTop w:val="0"/>
      <w:marBottom w:val="0"/>
      <w:divBdr>
        <w:top w:val="none" w:sz="0" w:space="0" w:color="auto"/>
        <w:left w:val="none" w:sz="0" w:space="0" w:color="auto"/>
        <w:bottom w:val="none" w:sz="0" w:space="0" w:color="auto"/>
        <w:right w:val="none" w:sz="0" w:space="0" w:color="auto"/>
      </w:divBdr>
    </w:div>
    <w:div w:id="1889565595">
      <w:bodyDiv w:val="1"/>
      <w:marLeft w:val="0"/>
      <w:marRight w:val="0"/>
      <w:marTop w:val="0"/>
      <w:marBottom w:val="0"/>
      <w:divBdr>
        <w:top w:val="none" w:sz="0" w:space="0" w:color="auto"/>
        <w:left w:val="none" w:sz="0" w:space="0" w:color="auto"/>
        <w:bottom w:val="none" w:sz="0" w:space="0" w:color="auto"/>
        <w:right w:val="none" w:sz="0" w:space="0" w:color="auto"/>
      </w:divBdr>
    </w:div>
    <w:div w:id="1894998375">
      <w:bodyDiv w:val="1"/>
      <w:marLeft w:val="0"/>
      <w:marRight w:val="0"/>
      <w:marTop w:val="0"/>
      <w:marBottom w:val="0"/>
      <w:divBdr>
        <w:top w:val="none" w:sz="0" w:space="0" w:color="auto"/>
        <w:left w:val="none" w:sz="0" w:space="0" w:color="auto"/>
        <w:bottom w:val="none" w:sz="0" w:space="0" w:color="auto"/>
        <w:right w:val="none" w:sz="0" w:space="0" w:color="auto"/>
      </w:divBdr>
    </w:div>
    <w:div w:id="1905332054">
      <w:bodyDiv w:val="1"/>
      <w:marLeft w:val="0"/>
      <w:marRight w:val="0"/>
      <w:marTop w:val="0"/>
      <w:marBottom w:val="0"/>
      <w:divBdr>
        <w:top w:val="none" w:sz="0" w:space="0" w:color="auto"/>
        <w:left w:val="none" w:sz="0" w:space="0" w:color="auto"/>
        <w:bottom w:val="none" w:sz="0" w:space="0" w:color="auto"/>
        <w:right w:val="none" w:sz="0" w:space="0" w:color="auto"/>
      </w:divBdr>
    </w:div>
    <w:div w:id="1917280383">
      <w:bodyDiv w:val="1"/>
      <w:marLeft w:val="0"/>
      <w:marRight w:val="0"/>
      <w:marTop w:val="0"/>
      <w:marBottom w:val="0"/>
      <w:divBdr>
        <w:top w:val="none" w:sz="0" w:space="0" w:color="auto"/>
        <w:left w:val="none" w:sz="0" w:space="0" w:color="auto"/>
        <w:bottom w:val="none" w:sz="0" w:space="0" w:color="auto"/>
        <w:right w:val="none" w:sz="0" w:space="0" w:color="auto"/>
      </w:divBdr>
    </w:div>
    <w:div w:id="1921063936">
      <w:bodyDiv w:val="1"/>
      <w:marLeft w:val="0"/>
      <w:marRight w:val="0"/>
      <w:marTop w:val="0"/>
      <w:marBottom w:val="0"/>
      <w:divBdr>
        <w:top w:val="none" w:sz="0" w:space="0" w:color="auto"/>
        <w:left w:val="none" w:sz="0" w:space="0" w:color="auto"/>
        <w:bottom w:val="none" w:sz="0" w:space="0" w:color="auto"/>
        <w:right w:val="none" w:sz="0" w:space="0" w:color="auto"/>
      </w:divBdr>
    </w:div>
    <w:div w:id="1923443670">
      <w:bodyDiv w:val="1"/>
      <w:marLeft w:val="0"/>
      <w:marRight w:val="0"/>
      <w:marTop w:val="0"/>
      <w:marBottom w:val="0"/>
      <w:divBdr>
        <w:top w:val="none" w:sz="0" w:space="0" w:color="auto"/>
        <w:left w:val="none" w:sz="0" w:space="0" w:color="auto"/>
        <w:bottom w:val="none" w:sz="0" w:space="0" w:color="auto"/>
        <w:right w:val="none" w:sz="0" w:space="0" w:color="auto"/>
      </w:divBdr>
    </w:div>
    <w:div w:id="1946187568">
      <w:bodyDiv w:val="1"/>
      <w:marLeft w:val="0"/>
      <w:marRight w:val="0"/>
      <w:marTop w:val="0"/>
      <w:marBottom w:val="0"/>
      <w:divBdr>
        <w:top w:val="none" w:sz="0" w:space="0" w:color="auto"/>
        <w:left w:val="none" w:sz="0" w:space="0" w:color="auto"/>
        <w:bottom w:val="none" w:sz="0" w:space="0" w:color="auto"/>
        <w:right w:val="none" w:sz="0" w:space="0" w:color="auto"/>
      </w:divBdr>
    </w:div>
    <w:div w:id="1961648584">
      <w:bodyDiv w:val="1"/>
      <w:marLeft w:val="0"/>
      <w:marRight w:val="0"/>
      <w:marTop w:val="0"/>
      <w:marBottom w:val="0"/>
      <w:divBdr>
        <w:top w:val="none" w:sz="0" w:space="0" w:color="auto"/>
        <w:left w:val="none" w:sz="0" w:space="0" w:color="auto"/>
        <w:bottom w:val="none" w:sz="0" w:space="0" w:color="auto"/>
        <w:right w:val="none" w:sz="0" w:space="0" w:color="auto"/>
      </w:divBdr>
    </w:div>
    <w:div w:id="1961649260">
      <w:bodyDiv w:val="1"/>
      <w:marLeft w:val="0"/>
      <w:marRight w:val="0"/>
      <w:marTop w:val="0"/>
      <w:marBottom w:val="0"/>
      <w:divBdr>
        <w:top w:val="none" w:sz="0" w:space="0" w:color="auto"/>
        <w:left w:val="none" w:sz="0" w:space="0" w:color="auto"/>
        <w:bottom w:val="none" w:sz="0" w:space="0" w:color="auto"/>
        <w:right w:val="none" w:sz="0" w:space="0" w:color="auto"/>
      </w:divBdr>
    </w:div>
    <w:div w:id="1962956327">
      <w:bodyDiv w:val="1"/>
      <w:marLeft w:val="0"/>
      <w:marRight w:val="0"/>
      <w:marTop w:val="0"/>
      <w:marBottom w:val="0"/>
      <w:divBdr>
        <w:top w:val="none" w:sz="0" w:space="0" w:color="auto"/>
        <w:left w:val="none" w:sz="0" w:space="0" w:color="auto"/>
        <w:bottom w:val="none" w:sz="0" w:space="0" w:color="auto"/>
        <w:right w:val="none" w:sz="0" w:space="0" w:color="auto"/>
      </w:divBdr>
    </w:div>
    <w:div w:id="1988044925">
      <w:bodyDiv w:val="1"/>
      <w:marLeft w:val="0"/>
      <w:marRight w:val="0"/>
      <w:marTop w:val="0"/>
      <w:marBottom w:val="0"/>
      <w:divBdr>
        <w:top w:val="none" w:sz="0" w:space="0" w:color="auto"/>
        <w:left w:val="none" w:sz="0" w:space="0" w:color="auto"/>
        <w:bottom w:val="none" w:sz="0" w:space="0" w:color="auto"/>
        <w:right w:val="none" w:sz="0" w:space="0" w:color="auto"/>
      </w:divBdr>
    </w:div>
    <w:div w:id="2013096493">
      <w:bodyDiv w:val="1"/>
      <w:marLeft w:val="0"/>
      <w:marRight w:val="0"/>
      <w:marTop w:val="0"/>
      <w:marBottom w:val="0"/>
      <w:divBdr>
        <w:top w:val="none" w:sz="0" w:space="0" w:color="auto"/>
        <w:left w:val="none" w:sz="0" w:space="0" w:color="auto"/>
        <w:bottom w:val="none" w:sz="0" w:space="0" w:color="auto"/>
        <w:right w:val="none" w:sz="0" w:space="0" w:color="auto"/>
      </w:divBdr>
    </w:div>
    <w:div w:id="2036031952">
      <w:bodyDiv w:val="1"/>
      <w:marLeft w:val="0"/>
      <w:marRight w:val="0"/>
      <w:marTop w:val="0"/>
      <w:marBottom w:val="0"/>
      <w:divBdr>
        <w:top w:val="none" w:sz="0" w:space="0" w:color="auto"/>
        <w:left w:val="none" w:sz="0" w:space="0" w:color="auto"/>
        <w:bottom w:val="none" w:sz="0" w:space="0" w:color="auto"/>
        <w:right w:val="none" w:sz="0" w:space="0" w:color="auto"/>
      </w:divBdr>
    </w:div>
    <w:div w:id="2040351450">
      <w:bodyDiv w:val="1"/>
      <w:marLeft w:val="0"/>
      <w:marRight w:val="0"/>
      <w:marTop w:val="0"/>
      <w:marBottom w:val="0"/>
      <w:divBdr>
        <w:top w:val="none" w:sz="0" w:space="0" w:color="auto"/>
        <w:left w:val="none" w:sz="0" w:space="0" w:color="auto"/>
        <w:bottom w:val="none" w:sz="0" w:space="0" w:color="auto"/>
        <w:right w:val="none" w:sz="0" w:space="0" w:color="auto"/>
      </w:divBdr>
    </w:div>
    <w:div w:id="2042974100">
      <w:bodyDiv w:val="1"/>
      <w:marLeft w:val="0"/>
      <w:marRight w:val="0"/>
      <w:marTop w:val="0"/>
      <w:marBottom w:val="0"/>
      <w:divBdr>
        <w:top w:val="none" w:sz="0" w:space="0" w:color="auto"/>
        <w:left w:val="none" w:sz="0" w:space="0" w:color="auto"/>
        <w:bottom w:val="none" w:sz="0" w:space="0" w:color="auto"/>
        <w:right w:val="none" w:sz="0" w:space="0" w:color="auto"/>
      </w:divBdr>
    </w:div>
    <w:div w:id="2053918240">
      <w:bodyDiv w:val="1"/>
      <w:marLeft w:val="0"/>
      <w:marRight w:val="0"/>
      <w:marTop w:val="0"/>
      <w:marBottom w:val="0"/>
      <w:divBdr>
        <w:top w:val="none" w:sz="0" w:space="0" w:color="auto"/>
        <w:left w:val="none" w:sz="0" w:space="0" w:color="auto"/>
        <w:bottom w:val="none" w:sz="0" w:space="0" w:color="auto"/>
        <w:right w:val="none" w:sz="0" w:space="0" w:color="auto"/>
      </w:divBdr>
    </w:div>
    <w:div w:id="2058582250">
      <w:bodyDiv w:val="1"/>
      <w:marLeft w:val="0"/>
      <w:marRight w:val="0"/>
      <w:marTop w:val="0"/>
      <w:marBottom w:val="0"/>
      <w:divBdr>
        <w:top w:val="none" w:sz="0" w:space="0" w:color="auto"/>
        <w:left w:val="none" w:sz="0" w:space="0" w:color="auto"/>
        <w:bottom w:val="none" w:sz="0" w:space="0" w:color="auto"/>
        <w:right w:val="none" w:sz="0" w:space="0" w:color="auto"/>
      </w:divBdr>
    </w:div>
    <w:div w:id="2064136633">
      <w:bodyDiv w:val="1"/>
      <w:marLeft w:val="0"/>
      <w:marRight w:val="0"/>
      <w:marTop w:val="0"/>
      <w:marBottom w:val="0"/>
      <w:divBdr>
        <w:top w:val="none" w:sz="0" w:space="0" w:color="auto"/>
        <w:left w:val="none" w:sz="0" w:space="0" w:color="auto"/>
        <w:bottom w:val="none" w:sz="0" w:space="0" w:color="auto"/>
        <w:right w:val="none" w:sz="0" w:space="0" w:color="auto"/>
      </w:divBdr>
    </w:div>
    <w:div w:id="2065056814">
      <w:bodyDiv w:val="1"/>
      <w:marLeft w:val="0"/>
      <w:marRight w:val="0"/>
      <w:marTop w:val="0"/>
      <w:marBottom w:val="0"/>
      <w:divBdr>
        <w:top w:val="none" w:sz="0" w:space="0" w:color="auto"/>
        <w:left w:val="none" w:sz="0" w:space="0" w:color="auto"/>
        <w:bottom w:val="none" w:sz="0" w:space="0" w:color="auto"/>
        <w:right w:val="none" w:sz="0" w:space="0" w:color="auto"/>
      </w:divBdr>
    </w:div>
    <w:div w:id="2087262221">
      <w:bodyDiv w:val="1"/>
      <w:marLeft w:val="0"/>
      <w:marRight w:val="0"/>
      <w:marTop w:val="0"/>
      <w:marBottom w:val="0"/>
      <w:divBdr>
        <w:top w:val="none" w:sz="0" w:space="0" w:color="auto"/>
        <w:left w:val="none" w:sz="0" w:space="0" w:color="auto"/>
        <w:bottom w:val="none" w:sz="0" w:space="0" w:color="auto"/>
        <w:right w:val="none" w:sz="0" w:space="0" w:color="auto"/>
      </w:divBdr>
    </w:div>
    <w:div w:id="2118213760">
      <w:bodyDiv w:val="1"/>
      <w:marLeft w:val="0"/>
      <w:marRight w:val="0"/>
      <w:marTop w:val="0"/>
      <w:marBottom w:val="0"/>
      <w:divBdr>
        <w:top w:val="none" w:sz="0" w:space="0" w:color="auto"/>
        <w:left w:val="none" w:sz="0" w:space="0" w:color="auto"/>
        <w:bottom w:val="none" w:sz="0" w:space="0" w:color="auto"/>
        <w:right w:val="none" w:sz="0" w:space="0" w:color="auto"/>
      </w:divBdr>
    </w:div>
    <w:div w:id="2130278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chart" Target="charts/chart1.xm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image" Target="media/image4.png"/><Relationship Id="rId28" Type="http://schemas.openxmlformats.org/officeDocument/2006/relationships/footer" Target="footer7.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image" Target="media/image3.png"/><Relationship Id="rId27" Type="http://schemas.openxmlformats.org/officeDocument/2006/relationships/header" Target="header6.xm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doughnutChart>
        <c:varyColors val="1"/>
        <c:ser>
          <c:idx val="0"/>
          <c:order val="0"/>
          <c:dPt>
            <c:idx val="0"/>
            <c:bubble3D val="0"/>
            <c:spPr>
              <a:gradFill>
                <a:gsLst>
                  <a:gs pos="100000">
                    <a:schemeClr val="accent1">
                      <a:lumMod val="60000"/>
                      <a:lumOff val="40000"/>
                    </a:schemeClr>
                  </a:gs>
                  <a:gs pos="0">
                    <a:schemeClr val="accent1"/>
                  </a:gs>
                </a:gsLst>
                <a:lin ang="5400000" scaled="0"/>
              </a:gradFill>
              <a:ln w="19050">
                <a:solidFill>
                  <a:schemeClr val="lt1"/>
                </a:solidFill>
              </a:ln>
              <a:effectLst/>
            </c:spPr>
            <c:extLst>
              <c:ext xmlns:c16="http://schemas.microsoft.com/office/drawing/2014/chart" uri="{C3380CC4-5D6E-409C-BE32-E72D297353CC}">
                <c16:uniqueId val="{00000001-5AB5-4B10-87D6-901E5A58C213}"/>
              </c:ext>
            </c:extLst>
          </c:dPt>
          <c:dPt>
            <c:idx val="1"/>
            <c:bubble3D val="0"/>
            <c:spPr>
              <a:gradFill>
                <a:gsLst>
                  <a:gs pos="100000">
                    <a:schemeClr val="accent2">
                      <a:lumMod val="60000"/>
                      <a:lumOff val="40000"/>
                    </a:schemeClr>
                  </a:gs>
                  <a:gs pos="0">
                    <a:schemeClr val="accent2"/>
                  </a:gs>
                </a:gsLst>
                <a:lin ang="5400000" scaled="0"/>
              </a:gradFill>
              <a:ln w="19050">
                <a:solidFill>
                  <a:schemeClr val="lt1"/>
                </a:solidFill>
              </a:ln>
              <a:effectLst/>
            </c:spPr>
            <c:extLst>
              <c:ext xmlns:c16="http://schemas.microsoft.com/office/drawing/2014/chart" uri="{C3380CC4-5D6E-409C-BE32-E72D297353CC}">
                <c16:uniqueId val="{00000003-5AB5-4B10-87D6-901E5A58C213}"/>
              </c:ext>
            </c:extLst>
          </c:dPt>
          <c:dPt>
            <c:idx val="2"/>
            <c:bubble3D val="0"/>
            <c:spPr>
              <a:gradFill>
                <a:gsLst>
                  <a:gs pos="100000">
                    <a:schemeClr val="accent3">
                      <a:lumMod val="60000"/>
                      <a:lumOff val="40000"/>
                    </a:schemeClr>
                  </a:gs>
                  <a:gs pos="0">
                    <a:schemeClr val="accent3"/>
                  </a:gs>
                </a:gsLst>
                <a:lin ang="5400000" scaled="0"/>
              </a:gradFill>
              <a:ln w="19050">
                <a:solidFill>
                  <a:schemeClr val="lt1"/>
                </a:solidFill>
              </a:ln>
              <a:effectLst/>
            </c:spPr>
            <c:extLst>
              <c:ext xmlns:c16="http://schemas.microsoft.com/office/drawing/2014/chart" uri="{C3380CC4-5D6E-409C-BE32-E72D297353CC}">
                <c16:uniqueId val="{00000005-5AB5-4B10-87D6-901E5A58C213}"/>
              </c:ext>
            </c:extLst>
          </c:dPt>
          <c:dPt>
            <c:idx val="3"/>
            <c:bubble3D val="0"/>
            <c:spPr>
              <a:gradFill>
                <a:gsLst>
                  <a:gs pos="100000">
                    <a:schemeClr val="accent4">
                      <a:lumMod val="60000"/>
                      <a:lumOff val="40000"/>
                    </a:schemeClr>
                  </a:gs>
                  <a:gs pos="0">
                    <a:schemeClr val="accent4"/>
                  </a:gs>
                </a:gsLst>
                <a:lin ang="5400000" scaled="0"/>
              </a:gradFill>
              <a:ln w="19050">
                <a:solidFill>
                  <a:schemeClr val="lt1"/>
                </a:solidFill>
              </a:ln>
              <a:effectLst/>
            </c:spPr>
            <c:extLst>
              <c:ext xmlns:c16="http://schemas.microsoft.com/office/drawing/2014/chart" uri="{C3380CC4-5D6E-409C-BE32-E72D297353CC}">
                <c16:uniqueId val="{00000007-5AB5-4B10-87D6-901E5A58C213}"/>
              </c:ext>
            </c:extLst>
          </c:dPt>
          <c:dPt>
            <c:idx val="4"/>
            <c:bubble3D val="0"/>
            <c:spPr>
              <a:gradFill>
                <a:gsLst>
                  <a:gs pos="100000">
                    <a:schemeClr val="accent5">
                      <a:lumMod val="60000"/>
                      <a:lumOff val="40000"/>
                    </a:schemeClr>
                  </a:gs>
                  <a:gs pos="0">
                    <a:schemeClr val="accent5"/>
                  </a:gs>
                </a:gsLst>
                <a:lin ang="5400000" scaled="0"/>
              </a:gradFill>
              <a:ln w="19050">
                <a:solidFill>
                  <a:schemeClr val="lt1"/>
                </a:solidFill>
              </a:ln>
              <a:effectLst/>
            </c:spPr>
            <c:extLst>
              <c:ext xmlns:c16="http://schemas.microsoft.com/office/drawing/2014/chart" uri="{C3380CC4-5D6E-409C-BE32-E72D297353CC}">
                <c16:uniqueId val="{00000009-5AB5-4B10-87D6-901E5A58C213}"/>
              </c:ext>
            </c:extLst>
          </c:dPt>
          <c:dPt>
            <c:idx val="5"/>
            <c:bubble3D val="0"/>
            <c:spPr>
              <a:gradFill>
                <a:gsLst>
                  <a:gs pos="100000">
                    <a:schemeClr val="accent6">
                      <a:lumMod val="60000"/>
                      <a:lumOff val="40000"/>
                    </a:schemeClr>
                  </a:gs>
                  <a:gs pos="0">
                    <a:schemeClr val="accent6"/>
                  </a:gs>
                </a:gsLst>
                <a:lin ang="5400000" scaled="0"/>
              </a:gradFill>
              <a:ln w="19050">
                <a:solidFill>
                  <a:schemeClr val="lt1"/>
                </a:solidFill>
              </a:ln>
              <a:effectLst/>
            </c:spPr>
            <c:extLst>
              <c:ext xmlns:c16="http://schemas.microsoft.com/office/drawing/2014/chart" uri="{C3380CC4-5D6E-409C-BE32-E72D297353CC}">
                <c16:uniqueId val="{0000000B-5AB5-4B10-87D6-901E5A58C213}"/>
              </c:ext>
            </c:extLst>
          </c:dPt>
          <c:dLbls>
            <c:dLbl>
              <c:idx val="0"/>
              <c:layout>
                <c:manualLayout>
                  <c:x val="0.11376564277588168"/>
                  <c:y val="-2.7247956403269755E-2"/>
                </c:manualLayout>
              </c:layout>
              <c:tx>
                <c:rich>
                  <a:bodyPr/>
                  <a:lstStyle/>
                  <a:p>
                    <a:fld id="{9F99E739-D997-4C0F-991E-C1FE02F7126D}" type="CATEGORYNAME">
                      <a:rPr lang="en-US"/>
                      <a:pPr/>
                      <a:t>[CATEGORY NAME]</a:t>
                    </a:fld>
                    <a:r>
                      <a:rPr lang="en-US" baseline="0"/>
                      <a:t>, </a:t>
                    </a:r>
                    <a:fld id="{C489BDF1-4B9F-401B-9574-467081D0EBBD}" type="VALUE">
                      <a:rPr lang="en-US" baseline="0"/>
                      <a:pPr/>
                      <a:t>[VALUE]</a:t>
                    </a:fld>
                    <a:endParaRPr lang="en-US" baseline="0"/>
                  </a:p>
                </c:rich>
              </c:tx>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5AB5-4B10-87D6-901E5A58C213}"/>
                </c:ext>
              </c:extLst>
            </c:dLbl>
            <c:dLbl>
              <c:idx val="1"/>
              <c:layout>
                <c:manualLayout>
                  <c:x val="0.11660978384527873"/>
                  <c:y val="3.3303057826218591E-2"/>
                </c:manualLayout>
              </c:layout>
              <c:tx>
                <c:rich>
                  <a:bodyPr/>
                  <a:lstStyle/>
                  <a:p>
                    <a:fld id="{BF8D1E7A-44E9-499F-A87F-FF26C0FF7056}" type="CATEGORYNAME">
                      <a:rPr lang="en-US"/>
                      <a:pPr/>
                      <a:t>[CATEGORY NAME]</a:t>
                    </a:fld>
                    <a:r>
                      <a:rPr lang="en-US" baseline="0"/>
                      <a:t>, </a:t>
                    </a:r>
                    <a:fld id="{5C6E7128-ECA8-40E5-813B-03FD60CEE271}" type="VALUE">
                      <a:rPr lang="en-US" baseline="0"/>
                      <a:pPr/>
                      <a:t>[VALUE]</a:t>
                    </a:fld>
                    <a:endParaRPr lang="en-US" baseline="0"/>
                  </a:p>
                </c:rich>
              </c:tx>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5AB5-4B10-87D6-901E5A58C213}"/>
                </c:ext>
              </c:extLst>
            </c:dLbl>
            <c:dLbl>
              <c:idx val="2"/>
              <c:layout>
                <c:manualLayout>
                  <c:x val="-8.2480091012514245E-2"/>
                  <c:y val="5.4495912806539509E-2"/>
                </c:manualLayout>
              </c:layout>
              <c:tx>
                <c:rich>
                  <a:bodyPr/>
                  <a:lstStyle/>
                  <a:p>
                    <a:fld id="{6CD90178-614B-4134-A0DE-4D7D1DFAEF2E}" type="CATEGORYNAME">
                      <a:rPr lang="en-US"/>
                      <a:pPr/>
                      <a:t>[CATEGORY NAME]</a:t>
                    </a:fld>
                    <a:r>
                      <a:rPr lang="en-US" baseline="0"/>
                      <a:t>, </a:t>
                    </a:r>
                    <a:fld id="{96EBDEF1-13D7-4952-91CA-A9BA4FE985D4}" type="VALUE">
                      <a:rPr lang="en-US" baseline="0"/>
                      <a:pPr/>
                      <a:t>[VALUE]</a:t>
                    </a:fld>
                    <a:endParaRPr lang="en-US" baseline="0"/>
                  </a:p>
                </c:rich>
              </c:tx>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5AB5-4B10-87D6-901E5A58C213}"/>
                </c:ext>
              </c:extLst>
            </c:dLbl>
            <c:dLbl>
              <c:idx val="3"/>
              <c:layout>
                <c:manualLayout>
                  <c:x val="-0.10665529010238906"/>
                  <c:y val="-3.6330608537692981E-2"/>
                </c:manualLayout>
              </c:layout>
              <c:tx>
                <c:rich>
                  <a:bodyPr/>
                  <a:lstStyle/>
                  <a:p>
                    <a:fld id="{BC19C6D5-2074-484E-A0AF-969400D4567A}" type="CATEGORYNAME">
                      <a:rPr lang="en-US"/>
                      <a:pPr/>
                      <a:t>[CATEGORY NAME]</a:t>
                    </a:fld>
                    <a:r>
                      <a:rPr lang="en-US" baseline="0"/>
                      <a:t>, </a:t>
                    </a:r>
                    <a:fld id="{4EFFE65F-E420-4410-A6CF-2C8E75CA6266}" type="VALUE">
                      <a:rPr lang="en-US" baseline="0"/>
                      <a:pPr/>
                      <a:t>[VALUE]</a:t>
                    </a:fld>
                    <a:endParaRPr lang="en-US" baseline="0"/>
                  </a:p>
                </c:rich>
              </c:tx>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5AB5-4B10-87D6-901E5A58C213}"/>
                </c:ext>
              </c:extLst>
            </c:dLbl>
            <c:dLbl>
              <c:idx val="4"/>
              <c:layout>
                <c:manualLayout>
                  <c:x val="-5.9726962457337884E-2"/>
                  <c:y val="-6.6606115652437153E-2"/>
                </c:manualLayout>
              </c:layout>
              <c:tx>
                <c:rich>
                  <a:bodyPr/>
                  <a:lstStyle/>
                  <a:p>
                    <a:fld id="{07E404D0-489F-49F6-B271-B401C2B3F3B0}" type="CATEGORYNAME">
                      <a:rPr lang="en-US"/>
                      <a:pPr/>
                      <a:t>[CATEGORY NAME]</a:t>
                    </a:fld>
                    <a:r>
                      <a:rPr lang="en-US" baseline="0"/>
                      <a:t>, </a:t>
                    </a:r>
                    <a:fld id="{A479CD8A-9D35-44B4-99A4-97B224762C6C}" type="VALUE">
                      <a:rPr lang="en-US" baseline="0"/>
                      <a:pPr/>
                      <a:t>[VALUE]</a:t>
                    </a:fld>
                    <a:endParaRPr lang="en-US" baseline="0"/>
                  </a:p>
                </c:rich>
              </c:tx>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5AB5-4B10-87D6-901E5A58C213}"/>
                </c:ext>
              </c:extLst>
            </c:dLbl>
            <c:dLbl>
              <c:idx val="5"/>
              <c:layout>
                <c:manualLayout>
                  <c:x val="-6.3993174061433442E-2"/>
                  <c:y val="-0.10293672419013021"/>
                </c:manualLayout>
              </c:layout>
              <c:tx>
                <c:rich>
                  <a:bodyPr/>
                  <a:lstStyle/>
                  <a:p>
                    <a:fld id="{4A9088D8-DA8C-42D9-B46F-AB80C72FA36F}" type="CATEGORYNAME">
                      <a:rPr lang="en-US"/>
                      <a:pPr/>
                      <a:t>[CATEGORY NAME]</a:t>
                    </a:fld>
                    <a:r>
                      <a:rPr lang="en-US" baseline="0"/>
                      <a:t>, </a:t>
                    </a:r>
                    <a:fld id="{A834399C-4B79-4560-9FA9-683300E03D50}" type="VALUE">
                      <a:rPr lang="en-US" baseline="0"/>
                      <a:pPr/>
                      <a:t>[VALUE]</a:t>
                    </a:fld>
                    <a:endParaRPr lang="en-US" baseline="0"/>
                  </a:p>
                </c:rich>
              </c:tx>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B-5AB5-4B10-87D6-901E5A58C21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1"/>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Performance!$G$3:$G$8</c:f>
              <c:strCache>
                <c:ptCount val="6"/>
                <c:pt idx="0">
                  <c:v>Employment</c:v>
                </c:pt>
                <c:pt idx="1">
                  <c:v>Children’s Homes and Fostering Services</c:v>
                </c:pt>
                <c:pt idx="2">
                  <c:v>Learning &amp; Skills</c:v>
                </c:pt>
                <c:pt idx="3">
                  <c:v>Shaw Education Trust</c:v>
                </c:pt>
                <c:pt idx="4">
                  <c:v>Jutice and Community Health &amp; Wellbeing</c:v>
                </c:pt>
                <c:pt idx="5">
                  <c:v>Total </c:v>
                </c:pt>
              </c:strCache>
            </c:strRef>
          </c:cat>
          <c:val>
            <c:numRef>
              <c:f>Performance!$H$3:$H$8</c:f>
              <c:numCache>
                <c:formatCode>0.0%</c:formatCode>
                <c:ptCount val="6"/>
                <c:pt idx="0">
                  <c:v>0.14859856183920611</c:v>
                </c:pt>
                <c:pt idx="1">
                  <c:v>0.3484380070712419</c:v>
                </c:pt>
                <c:pt idx="2">
                  <c:v>0.34502194817838661</c:v>
                </c:pt>
                <c:pt idx="3">
                  <c:v>2.8131244982663502E-2</c:v>
                </c:pt>
                <c:pt idx="4">
                  <c:v>0.12981023792850188</c:v>
                </c:pt>
              </c:numCache>
            </c:numRef>
          </c:val>
          <c:extLst>
            <c:ext xmlns:c16="http://schemas.microsoft.com/office/drawing/2014/chart" uri="{C3380CC4-5D6E-409C-BE32-E72D297353CC}">
              <c16:uniqueId val="{0000000C-5AB5-4B10-87D6-901E5A58C213}"/>
            </c:ext>
          </c:extLst>
        </c:ser>
        <c:dLbls>
          <c:showLegendKey val="0"/>
          <c:showVal val="1"/>
          <c:showCatName val="0"/>
          <c:showSerName val="0"/>
          <c:showPercent val="0"/>
          <c:showBubbleSize val="0"/>
          <c:showLeaderLines val="1"/>
        </c:dLbls>
        <c:firstSliceAng val="0"/>
        <c:holeSize val="70"/>
      </c:doughnutChart>
      <c:spPr>
        <a:noFill/>
        <a:ln>
          <a:noFill/>
        </a:ln>
        <a:effectLst/>
      </c:spPr>
    </c:plotArea>
    <c:plotVisOnly val="1"/>
    <c:dispBlanksAs val="gap"/>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6">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3CA2EE76D44DB44B4C6E9967880DCEC" ma:contentTypeVersion="0" ma:contentTypeDescription="Create a new document." ma:contentTypeScope="" ma:versionID="8d1f9f09207931b0f8db888cf5b3e30d">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663263-9E96-46D1-A814-308D44104D0D}">
  <ds:schemaRefs>
    <ds:schemaRef ds:uri="http://schemas.microsoft.com/sharepoint/v3/contenttype/forms"/>
  </ds:schemaRefs>
</ds:datastoreItem>
</file>

<file path=customXml/itemProps2.xml><?xml version="1.0" encoding="utf-8"?>
<ds:datastoreItem xmlns:ds="http://schemas.openxmlformats.org/officeDocument/2006/customXml" ds:itemID="{7F3F4523-A8ED-4B28-A000-EABA9E94C53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2C5D38A-B074-48E3-BAB8-CA0602371A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B2EDAE9-B90F-47D6-9ABF-345FB286D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88</Pages>
  <Words>24279</Words>
  <Characters>138395</Characters>
  <Application>Microsoft Office Word</Application>
  <DocSecurity>8</DocSecurity>
  <Lines>1153</Lines>
  <Paragraphs>324</Paragraphs>
  <ScaleCrop>false</ScaleCrop>
  <HeadingPairs>
    <vt:vector size="2" baseType="variant">
      <vt:variant>
        <vt:lpstr>Title</vt:lpstr>
      </vt:variant>
      <vt:variant>
        <vt:i4>1</vt:i4>
      </vt:variant>
    </vt:vector>
  </HeadingPairs>
  <TitlesOfParts>
    <vt:vector size="1" baseType="lpstr">
      <vt:lpstr/>
    </vt:vector>
  </TitlesOfParts>
  <Company>Shaw Trust</Company>
  <LinksUpToDate>false</LinksUpToDate>
  <CharactersWithSpaces>162350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Sanders</dc:creator>
  <cp:keywords/>
  <dc:description/>
  <cp:lastModifiedBy>Ricardo Marino</cp:lastModifiedBy>
  <cp:revision>4</cp:revision>
  <cp:lastPrinted>2021-03-25T07:42:00Z</cp:lastPrinted>
  <dcterms:created xsi:type="dcterms:W3CDTF">2021-03-25T09:56:00Z</dcterms:created>
  <dcterms:modified xsi:type="dcterms:W3CDTF">2021-04-22T09:26:00Z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0x01010043CA2EE76D44DB44B4C6E9967880DCEC</vt:lpwstr>
  </property>
</Properties>
</file>